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960"/>
        <w:rPr>
          <w:rFonts w:ascii="Times New Roman"/>
          <w:sz w:val="20"/>
        </w:rPr>
      </w:pPr>
      <w:r>
        <w:rPr>
          <w:rFonts w:ascii="Times New Roman"/>
          <w:sz w:val="20"/>
        </w:rPr>
        <w:drawing>
          <wp:inline distT="0" distB="0" distL="0" distR="0">
            <wp:extent cx="4366197" cy="30998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366197" cy="309981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spacing w:before="10"/>
        <w:rPr>
          <w:rFonts w:ascii="Times New Roman"/>
          <w:sz w:val="11"/>
        </w:rPr>
      </w:pPr>
      <w:r>
        <w:rPr/>
        <w:drawing>
          <wp:anchor distT="0" distB="0" distL="0" distR="0" allowOverlap="1" layoutInCell="1" locked="0" behindDoc="0" simplePos="0" relativeHeight="0">
            <wp:simplePos x="0" y="0"/>
            <wp:positionH relativeFrom="page">
              <wp:posOffset>1684020</wp:posOffset>
            </wp:positionH>
            <wp:positionV relativeFrom="paragraph">
              <wp:posOffset>112038</wp:posOffset>
            </wp:positionV>
            <wp:extent cx="4400202" cy="2688336"/>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4400202" cy="2688336"/>
                    </a:xfrm>
                    <a:prstGeom prst="rect">
                      <a:avLst/>
                    </a:prstGeom>
                  </pic:spPr>
                </pic:pic>
              </a:graphicData>
            </a:graphic>
          </wp:anchor>
        </w:drawing>
      </w:r>
    </w:p>
    <w:p>
      <w:pPr>
        <w:spacing w:after="0"/>
        <w:rPr>
          <w:rFonts w:ascii="Times New Roman"/>
          <w:sz w:val="11"/>
        </w:rPr>
        <w:sectPr>
          <w:type w:val="continuous"/>
          <w:pgSz w:w="12240" w:h="15840"/>
          <w:pgMar w:top="1420" w:bottom="280" w:left="1720" w:right="1720"/>
        </w:sectPr>
      </w:pPr>
    </w:p>
    <w:p>
      <w:pPr>
        <w:pStyle w:val="BodyText"/>
        <w:ind w:left="650"/>
        <w:rPr>
          <w:rFonts w:ascii="Times New Roman"/>
          <w:sz w:val="20"/>
        </w:rPr>
      </w:pPr>
      <w:r>
        <w:rPr>
          <w:rFonts w:ascii="Times New Roman"/>
          <w:sz w:val="20"/>
        </w:rPr>
        <w:drawing>
          <wp:inline distT="0" distB="0" distL="0" distR="0">
            <wp:extent cx="4675921" cy="3288411"/>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4675921" cy="3288411"/>
                    </a:xfrm>
                    <a:prstGeom prst="rect">
                      <a:avLst/>
                    </a:prstGeom>
                  </pic:spPr>
                </pic:pic>
              </a:graphicData>
            </a:graphic>
          </wp:inline>
        </w:drawing>
      </w:r>
      <w:r>
        <w:rPr>
          <w:rFonts w:ascii="Times New Roman"/>
          <w:sz w:val="20"/>
        </w:rPr>
      </w:r>
    </w:p>
    <w:p>
      <w:pPr>
        <w:spacing w:after="0"/>
        <w:rPr>
          <w:rFonts w:ascii="Times New Roman"/>
          <w:sz w:val="20"/>
        </w:rPr>
        <w:sectPr>
          <w:pgSz w:w="12240" w:h="15840"/>
          <w:pgMar w:top="1420" w:bottom="280" w:left="1720" w:right="1720"/>
        </w:sectPr>
      </w:pPr>
    </w:p>
    <w:p>
      <w:pPr>
        <w:pStyle w:val="Heading1"/>
        <w:spacing w:before="52"/>
        <w:jc w:val="both"/>
      </w:pPr>
      <w:r>
        <w:rPr/>
        <w:t>LA TENDENCIA HACIA LA PRODUCCIÓN SUSTENTABLE EN LOS PARQUES</w:t>
      </w:r>
    </w:p>
    <w:p>
      <w:pPr>
        <w:pStyle w:val="BodyText"/>
        <w:rPr>
          <w:b/>
          <w:sz w:val="24"/>
        </w:rPr>
      </w:pPr>
    </w:p>
    <w:p>
      <w:pPr>
        <w:spacing w:before="0"/>
        <w:ind w:left="612" w:right="613" w:firstLine="0"/>
        <w:jc w:val="center"/>
        <w:rPr>
          <w:b/>
          <w:sz w:val="24"/>
        </w:rPr>
      </w:pPr>
      <w:r>
        <w:rPr>
          <w:b/>
          <w:sz w:val="24"/>
        </w:rPr>
        <w:t>INDUSTRIALES. Una propuesta metodológica para su cuantificación</w:t>
      </w:r>
    </w:p>
    <w:p>
      <w:pPr>
        <w:pStyle w:val="BodyText"/>
        <w:rPr>
          <w:b/>
          <w:sz w:val="24"/>
        </w:rPr>
      </w:pPr>
    </w:p>
    <w:p>
      <w:pPr>
        <w:pStyle w:val="BodyText"/>
        <w:rPr>
          <w:b/>
          <w:sz w:val="24"/>
        </w:rPr>
      </w:pPr>
    </w:p>
    <w:p>
      <w:pPr>
        <w:pStyle w:val="BodyText"/>
        <w:spacing w:before="9"/>
        <w:rPr>
          <w:b/>
          <w:sz w:val="19"/>
        </w:rPr>
      </w:pPr>
    </w:p>
    <w:p>
      <w:pPr>
        <w:spacing w:before="0"/>
        <w:ind w:left="7260" w:right="0" w:firstLine="0"/>
        <w:jc w:val="left"/>
        <w:rPr>
          <w:b/>
          <w:i/>
          <w:sz w:val="12"/>
        </w:rPr>
      </w:pPr>
      <w:r>
        <w:rPr>
          <w:b/>
          <w:i/>
          <w:sz w:val="18"/>
        </w:rPr>
        <w:t>David Iglesias Piña</w:t>
      </w:r>
      <w:r>
        <w:rPr>
          <w:b/>
          <w:i/>
          <w:position w:val="6"/>
          <w:sz w:val="12"/>
        </w:rPr>
        <w:t>1</w:t>
      </w:r>
    </w:p>
    <w:p>
      <w:pPr>
        <w:pStyle w:val="BodyText"/>
        <w:rPr>
          <w:b/>
          <w:i/>
          <w:sz w:val="18"/>
        </w:rPr>
      </w:pPr>
    </w:p>
    <w:p>
      <w:pPr>
        <w:pStyle w:val="BodyText"/>
        <w:rPr>
          <w:b/>
          <w:i/>
          <w:sz w:val="18"/>
        </w:rPr>
      </w:pPr>
    </w:p>
    <w:p>
      <w:pPr>
        <w:pStyle w:val="BodyText"/>
        <w:spacing w:before="9"/>
        <w:rPr>
          <w:b/>
          <w:i/>
          <w:sz w:val="25"/>
        </w:rPr>
      </w:pPr>
    </w:p>
    <w:p>
      <w:pPr>
        <w:pStyle w:val="Heading2"/>
        <w:ind w:left="122"/>
      </w:pPr>
      <w:r>
        <w:rPr/>
        <w:t>RESUMEN</w:t>
      </w:r>
    </w:p>
    <w:p>
      <w:pPr>
        <w:pStyle w:val="BodyText"/>
        <w:spacing w:before="2"/>
        <w:rPr>
          <w:b/>
        </w:rPr>
      </w:pPr>
    </w:p>
    <w:p>
      <w:pPr>
        <w:pStyle w:val="BodyText"/>
        <w:spacing w:line="480" w:lineRule="auto" w:before="1"/>
        <w:ind w:left="122" w:right="114"/>
        <w:jc w:val="both"/>
      </w:pPr>
      <w:r>
        <w:rPr/>
        <w:t>Parte de los problemas ambientales generados por los parques industriales se deriva de</w:t>
      </w:r>
      <w:r>
        <w:rPr>
          <w:spacing w:val="-40"/>
        </w:rPr>
        <w:t> </w:t>
      </w:r>
      <w:r>
        <w:rPr/>
        <w:t>la utilización de procesos de producción lineales, por lo que resultan insostenibles ambiental y económicamente en razón de la extracción y utilización intensiva de materias primas y energías fósiles, que al procesarlas, los residuos generados son devueltos al ambiente, provocando generando una fuerte presión</w:t>
      </w:r>
      <w:r>
        <w:rPr>
          <w:spacing w:val="-12"/>
        </w:rPr>
        <w:t> </w:t>
      </w:r>
      <w:r>
        <w:rPr/>
        <w:t>ambiental.</w:t>
      </w:r>
    </w:p>
    <w:p>
      <w:pPr>
        <w:pStyle w:val="BodyText"/>
        <w:spacing w:line="480" w:lineRule="auto" w:before="5"/>
        <w:ind w:left="122" w:right="115"/>
        <w:jc w:val="both"/>
      </w:pPr>
      <w:r>
        <w:rPr/>
        <w:t>Las condiciones internas y externas de dichas aglomeraciones empresariales, permite optimizar el uso de los insumos, materiales y energías a través de la creación de ciclos de cierre, lo que contribuye a dinamizar el sistema productivo y reducir la presión ambiental, favoreciendo</w:t>
      </w:r>
      <w:r>
        <w:rPr>
          <w:spacing w:val="-6"/>
        </w:rPr>
        <w:t> </w:t>
      </w:r>
      <w:r>
        <w:rPr/>
        <w:t>la</w:t>
      </w:r>
      <w:r>
        <w:rPr>
          <w:spacing w:val="-5"/>
        </w:rPr>
        <w:t> </w:t>
      </w:r>
      <w:r>
        <w:rPr/>
        <w:t>creación</w:t>
      </w:r>
      <w:r>
        <w:rPr>
          <w:spacing w:val="-10"/>
        </w:rPr>
        <w:t> </w:t>
      </w:r>
      <w:r>
        <w:rPr/>
        <w:t>de</w:t>
      </w:r>
      <w:r>
        <w:rPr>
          <w:spacing w:val="-6"/>
        </w:rPr>
        <w:t> </w:t>
      </w:r>
      <w:r>
        <w:rPr/>
        <w:t>cadenas</w:t>
      </w:r>
      <w:r>
        <w:rPr>
          <w:spacing w:val="-8"/>
        </w:rPr>
        <w:t> </w:t>
      </w:r>
      <w:r>
        <w:rPr/>
        <w:t>de</w:t>
      </w:r>
      <w:r>
        <w:rPr>
          <w:spacing w:val="-8"/>
        </w:rPr>
        <w:t> </w:t>
      </w:r>
      <w:r>
        <w:rPr/>
        <w:t>procesos,</w:t>
      </w:r>
      <w:r>
        <w:rPr>
          <w:spacing w:val="-6"/>
        </w:rPr>
        <w:t> </w:t>
      </w:r>
      <w:r>
        <w:rPr/>
        <w:t>la</w:t>
      </w:r>
      <w:r>
        <w:rPr>
          <w:spacing w:val="-8"/>
        </w:rPr>
        <w:t> </w:t>
      </w:r>
      <w:r>
        <w:rPr/>
        <w:t>reducción</w:t>
      </w:r>
      <w:r>
        <w:rPr>
          <w:spacing w:val="-8"/>
        </w:rPr>
        <w:t> </w:t>
      </w:r>
      <w:r>
        <w:rPr/>
        <w:t>de</w:t>
      </w:r>
      <w:r>
        <w:rPr>
          <w:spacing w:val="-8"/>
        </w:rPr>
        <w:t> </w:t>
      </w:r>
      <w:r>
        <w:rPr/>
        <w:t>residuos</w:t>
      </w:r>
      <w:r>
        <w:rPr>
          <w:spacing w:val="-8"/>
        </w:rPr>
        <w:t> </w:t>
      </w:r>
      <w:r>
        <w:rPr/>
        <w:t>y</w:t>
      </w:r>
      <w:r>
        <w:rPr>
          <w:spacing w:val="-7"/>
        </w:rPr>
        <w:t> </w:t>
      </w:r>
      <w:r>
        <w:rPr/>
        <w:t>subproductos dañinos al ambiente, asumiéndose con ello la existencia de un sistema de producción industrial racional, rentable y sostenible en el</w:t>
      </w:r>
      <w:r>
        <w:rPr>
          <w:spacing w:val="-18"/>
        </w:rPr>
        <w:t> </w:t>
      </w:r>
      <w:r>
        <w:rPr/>
        <w:t>tiempo.</w:t>
      </w:r>
    </w:p>
    <w:p>
      <w:pPr>
        <w:pStyle w:val="BodyText"/>
        <w:spacing w:line="480" w:lineRule="auto" w:before="7"/>
        <w:ind w:left="122" w:right="114"/>
        <w:jc w:val="both"/>
      </w:pPr>
      <w:r>
        <w:rPr/>
        <w:t>La producción sustentable en los parques industriales implica producir más limpiamente bajo parámetros competitivos, centralizar funciones generales administrativas, logísticas, productivas, comerciales y tecnológicas, optimizar el desempeño ambiental de las empresas participantes y disminuir costos de producción, buscar mayores impactos favorables en los entornos territoriales donde están establecidos, fomentar el ahorro de energía y materia primas, reducir la generación de residuos y materiales tóxicos, disminuir riesgos,  contribuir  al  ahorro  en  el  gasto  de  control  de  la  contaminación,  estimular la</w:t>
      </w:r>
    </w:p>
    <w:p>
      <w:pPr>
        <w:pStyle w:val="BodyText"/>
        <w:spacing w:before="2"/>
        <w:rPr>
          <w:sz w:val="26"/>
        </w:rPr>
      </w:pPr>
      <w:r>
        <w:rPr/>
        <w:pict>
          <v:line style="position:absolute;mso-position-horizontal-relative:page;mso-position-vertical-relative:paragraph;z-index:1048;mso-wrap-distance-left:0;mso-wrap-distance-right:0" from="85.103996pt,17.415901pt" to="229.123996pt,17.415901pt" stroked="true" strokeweight=".71997pt" strokecolor="#000000">
            <w10:wrap type="topAndBottom"/>
          </v:line>
        </w:pict>
      </w:r>
    </w:p>
    <w:p>
      <w:pPr>
        <w:spacing w:before="69"/>
        <w:ind w:left="122" w:right="0" w:firstLine="0"/>
        <w:jc w:val="left"/>
        <w:rPr>
          <w:sz w:val="18"/>
        </w:rPr>
      </w:pPr>
      <w:r>
        <w:rPr>
          <w:position w:val="6"/>
          <w:sz w:val="12"/>
        </w:rPr>
        <w:t>1 </w:t>
      </w:r>
      <w:r>
        <w:rPr>
          <w:sz w:val="18"/>
        </w:rPr>
        <w:t>Doctor en Economía. Universidad Autónoma del Estado de México, Centro de Estudios e Investigación en Desarrollo Sustentable, Tel. (01722) 4898250 y 4899589. Mail: </w:t>
      </w:r>
      <w:hyperlink r:id="rId8">
        <w:r>
          <w:rPr>
            <w:sz w:val="18"/>
          </w:rPr>
          <w:t>iglesiaspdavid@gmail.com.</w:t>
        </w:r>
      </w:hyperlink>
    </w:p>
    <w:p>
      <w:pPr>
        <w:spacing w:after="0"/>
        <w:jc w:val="left"/>
        <w:rPr>
          <w:sz w:val="18"/>
        </w:rPr>
        <w:sectPr>
          <w:pgSz w:w="12240" w:h="15840"/>
          <w:pgMar w:top="1360" w:bottom="280" w:left="1580" w:right="1580"/>
        </w:sectPr>
      </w:pPr>
    </w:p>
    <w:p>
      <w:pPr>
        <w:pStyle w:val="BodyText"/>
        <w:spacing w:line="480" w:lineRule="auto" w:before="54"/>
        <w:ind w:left="102" w:right="116"/>
        <w:jc w:val="both"/>
      </w:pPr>
      <w:r>
        <w:rPr/>
        <w:t>disposición de una mano de obra más motivada, reducir los riesgos civiles ambientales, mejorar la imagen pública, dar mayor confianza al consumidor, entre otros beneficios más.</w:t>
      </w:r>
    </w:p>
    <w:p>
      <w:pPr>
        <w:pStyle w:val="BodyText"/>
        <w:spacing w:line="480" w:lineRule="auto" w:before="168"/>
        <w:ind w:left="102" w:right="116"/>
        <w:jc w:val="both"/>
      </w:pPr>
      <w:r>
        <w:rPr/>
        <w:t>De</w:t>
      </w:r>
      <w:r>
        <w:rPr>
          <w:spacing w:val="-15"/>
        </w:rPr>
        <w:t> </w:t>
      </w:r>
      <w:r>
        <w:rPr/>
        <w:t>aquí</w:t>
      </w:r>
      <w:r>
        <w:rPr>
          <w:spacing w:val="-19"/>
        </w:rPr>
        <w:t> </w:t>
      </w:r>
      <w:r>
        <w:rPr/>
        <w:t>la</w:t>
      </w:r>
      <w:r>
        <w:rPr>
          <w:spacing w:val="-15"/>
        </w:rPr>
        <w:t> </w:t>
      </w:r>
      <w:r>
        <w:rPr/>
        <w:t>propuesta</w:t>
      </w:r>
      <w:r>
        <w:rPr>
          <w:spacing w:val="-17"/>
        </w:rPr>
        <w:t> </w:t>
      </w:r>
      <w:r>
        <w:rPr/>
        <w:t>metodológica,</w:t>
      </w:r>
      <w:r>
        <w:rPr>
          <w:spacing w:val="-18"/>
        </w:rPr>
        <w:t> </w:t>
      </w:r>
      <w:r>
        <w:rPr/>
        <w:t>que</w:t>
      </w:r>
      <w:r>
        <w:rPr>
          <w:spacing w:val="-18"/>
        </w:rPr>
        <w:t> </w:t>
      </w:r>
      <w:r>
        <w:rPr/>
        <w:t>a</w:t>
      </w:r>
      <w:r>
        <w:rPr>
          <w:spacing w:val="-15"/>
        </w:rPr>
        <w:t> </w:t>
      </w:r>
      <w:r>
        <w:rPr/>
        <w:t>partir</w:t>
      </w:r>
      <w:r>
        <w:rPr>
          <w:spacing w:val="-14"/>
        </w:rPr>
        <w:t> </w:t>
      </w:r>
      <w:r>
        <w:rPr/>
        <w:t>de</w:t>
      </w:r>
      <w:r>
        <w:rPr>
          <w:spacing w:val="-18"/>
        </w:rPr>
        <w:t> </w:t>
      </w:r>
      <w:r>
        <w:rPr/>
        <w:t>una</w:t>
      </w:r>
      <w:r>
        <w:rPr>
          <w:spacing w:val="-18"/>
        </w:rPr>
        <w:t> </w:t>
      </w:r>
      <w:r>
        <w:rPr/>
        <w:t>serie</w:t>
      </w:r>
      <w:r>
        <w:rPr>
          <w:spacing w:val="-18"/>
        </w:rPr>
        <w:t> </w:t>
      </w:r>
      <w:r>
        <w:rPr/>
        <w:t>de</w:t>
      </w:r>
      <w:r>
        <w:rPr>
          <w:spacing w:val="-15"/>
        </w:rPr>
        <w:t> </w:t>
      </w:r>
      <w:r>
        <w:rPr/>
        <w:t>variables</w:t>
      </w:r>
      <w:r>
        <w:rPr>
          <w:spacing w:val="-15"/>
        </w:rPr>
        <w:t> </w:t>
      </w:r>
      <w:r>
        <w:rPr/>
        <w:t>permiten</w:t>
      </w:r>
      <w:r>
        <w:rPr>
          <w:spacing w:val="-18"/>
        </w:rPr>
        <w:t> </w:t>
      </w:r>
      <w:r>
        <w:rPr/>
        <w:t>el</w:t>
      </w:r>
      <w:r>
        <w:rPr>
          <w:spacing w:val="-18"/>
        </w:rPr>
        <w:t> </w:t>
      </w:r>
      <w:r>
        <w:rPr/>
        <w:t>cálculo de determinados índices que arrojan parámetros que evidencia la presencia de este ambiente productivo. Esta propuesta representa una contribución al análisis de la producción industrial, donde el ambiente y la sustentabilidad se consideran ejes nodales para la expansión de estos entornos productivos en los parques</w:t>
      </w:r>
      <w:r>
        <w:rPr>
          <w:spacing w:val="-17"/>
        </w:rPr>
        <w:t> </w:t>
      </w:r>
      <w:r>
        <w:rPr/>
        <w:t>industriales.</w:t>
      </w:r>
    </w:p>
    <w:p>
      <w:pPr>
        <w:pStyle w:val="BodyText"/>
      </w:pPr>
    </w:p>
    <w:p>
      <w:pPr>
        <w:pStyle w:val="BodyText"/>
      </w:pPr>
    </w:p>
    <w:p>
      <w:pPr>
        <w:pStyle w:val="BodyText"/>
        <w:spacing w:before="5"/>
        <w:rPr>
          <w:sz w:val="28"/>
        </w:rPr>
      </w:pPr>
    </w:p>
    <w:p>
      <w:pPr>
        <w:pStyle w:val="BodyText"/>
        <w:spacing w:before="1"/>
        <w:ind w:left="102"/>
        <w:jc w:val="both"/>
      </w:pPr>
      <w:r>
        <w:rPr/>
        <w:t>Palabras clave:</w:t>
      </w:r>
    </w:p>
    <w:p>
      <w:pPr>
        <w:pStyle w:val="BodyText"/>
      </w:pPr>
    </w:p>
    <w:p>
      <w:pPr>
        <w:pStyle w:val="ListParagraph"/>
        <w:numPr>
          <w:ilvl w:val="0"/>
          <w:numId w:val="1"/>
        </w:numPr>
        <w:tabs>
          <w:tab w:pos="350" w:val="left" w:leader="none"/>
        </w:tabs>
        <w:spacing w:line="240" w:lineRule="auto" w:before="159" w:after="0"/>
        <w:ind w:left="349" w:right="0" w:hanging="247"/>
        <w:jc w:val="both"/>
        <w:rPr>
          <w:sz w:val="22"/>
        </w:rPr>
      </w:pPr>
      <w:r>
        <w:rPr>
          <w:sz w:val="22"/>
        </w:rPr>
        <w:t>Producción</w:t>
      </w:r>
      <w:r>
        <w:rPr>
          <w:spacing w:val="-9"/>
          <w:sz w:val="22"/>
        </w:rPr>
        <w:t> </w:t>
      </w:r>
      <w:r>
        <w:rPr>
          <w:sz w:val="22"/>
        </w:rPr>
        <w:t>sustentable</w:t>
      </w:r>
    </w:p>
    <w:p>
      <w:pPr>
        <w:pStyle w:val="BodyText"/>
      </w:pPr>
    </w:p>
    <w:p>
      <w:pPr>
        <w:pStyle w:val="BodyText"/>
        <w:spacing w:before="5"/>
        <w:rPr>
          <w:sz w:val="24"/>
        </w:rPr>
      </w:pPr>
    </w:p>
    <w:p>
      <w:pPr>
        <w:pStyle w:val="ListParagraph"/>
        <w:numPr>
          <w:ilvl w:val="0"/>
          <w:numId w:val="1"/>
        </w:numPr>
        <w:tabs>
          <w:tab w:pos="350" w:val="left" w:leader="none"/>
        </w:tabs>
        <w:spacing w:line="240" w:lineRule="auto" w:before="0" w:after="0"/>
        <w:ind w:left="349" w:right="0" w:hanging="247"/>
        <w:jc w:val="both"/>
        <w:rPr>
          <w:sz w:val="22"/>
        </w:rPr>
      </w:pPr>
      <w:r>
        <w:rPr>
          <w:sz w:val="22"/>
        </w:rPr>
        <w:t>Parques</w:t>
      </w:r>
      <w:r>
        <w:rPr>
          <w:spacing w:val="-9"/>
          <w:sz w:val="22"/>
        </w:rPr>
        <w:t> </w:t>
      </w:r>
      <w:r>
        <w:rPr>
          <w:sz w:val="22"/>
        </w:rPr>
        <w:t>industriales</w:t>
      </w:r>
    </w:p>
    <w:p>
      <w:pPr>
        <w:pStyle w:val="BodyText"/>
      </w:pPr>
    </w:p>
    <w:p>
      <w:pPr>
        <w:pStyle w:val="BodyText"/>
        <w:spacing w:before="3"/>
        <w:rPr>
          <w:sz w:val="24"/>
        </w:rPr>
      </w:pPr>
    </w:p>
    <w:p>
      <w:pPr>
        <w:pStyle w:val="ListParagraph"/>
        <w:numPr>
          <w:ilvl w:val="0"/>
          <w:numId w:val="1"/>
        </w:numPr>
        <w:tabs>
          <w:tab w:pos="350" w:val="left" w:leader="none"/>
        </w:tabs>
        <w:spacing w:line="240" w:lineRule="auto" w:before="0" w:after="0"/>
        <w:ind w:left="349" w:right="0" w:hanging="247"/>
        <w:jc w:val="both"/>
        <w:rPr>
          <w:sz w:val="22"/>
        </w:rPr>
      </w:pPr>
      <w:r>
        <w:rPr>
          <w:sz w:val="22"/>
        </w:rPr>
        <w:t>Sistema de</w:t>
      </w:r>
      <w:r>
        <w:rPr>
          <w:spacing w:val="-9"/>
          <w:sz w:val="22"/>
        </w:rPr>
        <w:t> </w:t>
      </w:r>
      <w:r>
        <w:rPr>
          <w:sz w:val="22"/>
        </w:rPr>
        <w:t>producción</w:t>
      </w:r>
    </w:p>
    <w:p>
      <w:pPr>
        <w:pStyle w:val="BodyText"/>
      </w:pPr>
    </w:p>
    <w:p>
      <w:pPr>
        <w:pStyle w:val="BodyText"/>
      </w:pPr>
    </w:p>
    <w:p>
      <w:pPr>
        <w:pStyle w:val="BodyText"/>
      </w:pPr>
    </w:p>
    <w:p>
      <w:pPr>
        <w:pStyle w:val="BodyText"/>
      </w:pPr>
    </w:p>
    <w:p>
      <w:pPr>
        <w:pStyle w:val="Heading2"/>
        <w:spacing w:line="480" w:lineRule="auto" w:before="184"/>
        <w:ind w:right="121"/>
      </w:pPr>
      <w:r>
        <w:rPr/>
        <w:t>LA</w:t>
      </w:r>
      <w:r>
        <w:rPr>
          <w:spacing w:val="-21"/>
        </w:rPr>
        <w:t> </w:t>
      </w:r>
      <w:r>
        <w:rPr/>
        <w:t>PERCEPCIÓN</w:t>
      </w:r>
      <w:r>
        <w:rPr>
          <w:spacing w:val="-17"/>
        </w:rPr>
        <w:t> </w:t>
      </w:r>
      <w:r>
        <w:rPr/>
        <w:t>DE</w:t>
      </w:r>
      <w:r>
        <w:rPr>
          <w:spacing w:val="-17"/>
        </w:rPr>
        <w:t> </w:t>
      </w:r>
      <w:r>
        <w:rPr/>
        <w:t>LA</w:t>
      </w:r>
      <w:r>
        <w:rPr>
          <w:spacing w:val="-17"/>
        </w:rPr>
        <w:t> </w:t>
      </w:r>
      <w:r>
        <w:rPr/>
        <w:t>SUSTENTABILIDAD</w:t>
      </w:r>
      <w:r>
        <w:rPr>
          <w:spacing w:val="-14"/>
        </w:rPr>
        <w:t> </w:t>
      </w:r>
      <w:r>
        <w:rPr/>
        <w:t>EN</w:t>
      </w:r>
      <w:r>
        <w:rPr>
          <w:spacing w:val="-17"/>
        </w:rPr>
        <w:t> </w:t>
      </w:r>
      <w:r>
        <w:rPr/>
        <w:t>LA</w:t>
      </w:r>
      <w:r>
        <w:rPr>
          <w:spacing w:val="-24"/>
        </w:rPr>
        <w:t> </w:t>
      </w:r>
      <w:r>
        <w:rPr/>
        <w:t>PRODUCCIÓN</w:t>
      </w:r>
      <w:r>
        <w:rPr>
          <w:spacing w:val="-17"/>
        </w:rPr>
        <w:t> </w:t>
      </w:r>
      <w:r>
        <w:rPr/>
        <w:t>DE</w:t>
      </w:r>
      <w:r>
        <w:rPr>
          <w:spacing w:val="-17"/>
        </w:rPr>
        <w:t> </w:t>
      </w:r>
      <w:r>
        <w:rPr/>
        <w:t>LOS</w:t>
      </w:r>
      <w:r>
        <w:rPr>
          <w:spacing w:val="-19"/>
        </w:rPr>
        <w:t> </w:t>
      </w:r>
      <w:r>
        <w:rPr/>
        <w:t>PARQUES INDUSTRIALES</w:t>
      </w:r>
    </w:p>
    <w:p>
      <w:pPr>
        <w:pStyle w:val="BodyText"/>
        <w:spacing w:line="480" w:lineRule="auto" w:before="171"/>
        <w:ind w:left="102" w:right="115"/>
        <w:jc w:val="both"/>
      </w:pPr>
      <w:r>
        <w:rPr/>
        <w:t>La actividad industrial enfrenta grandes retos para su supervivencia y crecimiento, siendo uno de los más recientes la sustentabilidad ambiental, derivado de los convenios internacionales para cambiar tecnologías de producción y patrones de consumo; preferencias de los consumidores en países desarrollados; prácticas de empresas transnacionales; reglas y normas en el comercio internacional y presiones domésticas a raíz</w:t>
      </w:r>
      <w:r>
        <w:rPr>
          <w:spacing w:val="-11"/>
        </w:rPr>
        <w:t> </w:t>
      </w:r>
      <w:r>
        <w:rPr/>
        <w:t>del</w:t>
      </w:r>
      <w:r>
        <w:rPr>
          <w:spacing w:val="-10"/>
        </w:rPr>
        <w:t> </w:t>
      </w:r>
      <w:r>
        <w:rPr/>
        <w:t>deterioro</w:t>
      </w:r>
      <w:r>
        <w:rPr>
          <w:spacing w:val="-9"/>
        </w:rPr>
        <w:t> </w:t>
      </w:r>
      <w:r>
        <w:rPr/>
        <w:t>ambiental</w:t>
      </w:r>
      <w:r>
        <w:rPr>
          <w:spacing w:val="-10"/>
        </w:rPr>
        <w:t> </w:t>
      </w:r>
      <w:r>
        <w:rPr/>
        <w:t>local,</w:t>
      </w:r>
      <w:r>
        <w:rPr>
          <w:spacing w:val="-8"/>
        </w:rPr>
        <w:t> </w:t>
      </w:r>
      <w:r>
        <w:rPr/>
        <w:t>donde</w:t>
      </w:r>
      <w:r>
        <w:rPr>
          <w:spacing w:val="-9"/>
        </w:rPr>
        <w:t> </w:t>
      </w:r>
      <w:r>
        <w:rPr/>
        <w:t>la</w:t>
      </w:r>
      <w:r>
        <w:rPr>
          <w:spacing w:val="-9"/>
        </w:rPr>
        <w:t> </w:t>
      </w:r>
      <w:r>
        <w:rPr/>
        <w:t>respuesta</w:t>
      </w:r>
      <w:r>
        <w:rPr>
          <w:spacing w:val="-9"/>
        </w:rPr>
        <w:t> </w:t>
      </w:r>
      <w:r>
        <w:rPr/>
        <w:t>empresarial</w:t>
      </w:r>
      <w:r>
        <w:rPr>
          <w:spacing w:val="-10"/>
        </w:rPr>
        <w:t> </w:t>
      </w:r>
      <w:r>
        <w:rPr/>
        <w:t>depende</w:t>
      </w:r>
      <w:r>
        <w:rPr>
          <w:spacing w:val="-6"/>
        </w:rPr>
        <w:t> </w:t>
      </w:r>
      <w:r>
        <w:rPr/>
        <w:t>de</w:t>
      </w:r>
      <w:r>
        <w:rPr>
          <w:spacing w:val="-9"/>
        </w:rPr>
        <w:t> </w:t>
      </w:r>
      <w:r>
        <w:rPr/>
        <w:t>la</w:t>
      </w:r>
      <w:r>
        <w:rPr>
          <w:spacing w:val="-9"/>
        </w:rPr>
        <w:t> </w:t>
      </w:r>
      <w:r>
        <w:rPr/>
        <w:t>regulación</w:t>
      </w:r>
    </w:p>
    <w:p>
      <w:pPr>
        <w:spacing w:after="0" w:line="480" w:lineRule="auto"/>
        <w:jc w:val="both"/>
        <w:sectPr>
          <w:pgSz w:w="12240" w:h="15840"/>
          <w:pgMar w:top="1360" w:bottom="280" w:left="1600" w:right="1580"/>
        </w:sectPr>
      </w:pPr>
    </w:p>
    <w:p>
      <w:pPr>
        <w:pStyle w:val="BodyText"/>
        <w:spacing w:line="480" w:lineRule="auto" w:before="54"/>
        <w:ind w:left="102" w:right="116"/>
        <w:jc w:val="both"/>
      </w:pPr>
      <w:r>
        <w:rPr/>
        <w:t>ambiental a la industria, la cooperación internacional, las capacidades tecnológicas nacionales y los esfuerzos del sector productivo organizado (ONU-CEPAL, 2009).</w:t>
      </w:r>
    </w:p>
    <w:p>
      <w:pPr>
        <w:pStyle w:val="BodyText"/>
        <w:spacing w:line="480" w:lineRule="auto" w:before="168"/>
        <w:ind w:left="102" w:right="115"/>
        <w:jc w:val="both"/>
      </w:pPr>
      <w:r>
        <w:rPr/>
        <w:t>El</w:t>
      </w:r>
      <w:r>
        <w:rPr>
          <w:spacing w:val="-11"/>
        </w:rPr>
        <w:t> </w:t>
      </w:r>
      <w:r>
        <w:rPr/>
        <w:t>desarrollo</w:t>
      </w:r>
      <w:r>
        <w:rPr>
          <w:spacing w:val="-10"/>
        </w:rPr>
        <w:t> </w:t>
      </w:r>
      <w:r>
        <w:rPr/>
        <w:t>de</w:t>
      </w:r>
      <w:r>
        <w:rPr>
          <w:spacing w:val="-12"/>
        </w:rPr>
        <w:t> </w:t>
      </w:r>
      <w:r>
        <w:rPr/>
        <w:t>nuevas</w:t>
      </w:r>
      <w:r>
        <w:rPr>
          <w:spacing w:val="-10"/>
        </w:rPr>
        <w:t> </w:t>
      </w:r>
      <w:r>
        <w:rPr/>
        <w:t>actividades</w:t>
      </w:r>
      <w:r>
        <w:rPr>
          <w:spacing w:val="-9"/>
        </w:rPr>
        <w:t> </w:t>
      </w:r>
      <w:r>
        <w:rPr/>
        <w:t>como</w:t>
      </w:r>
      <w:r>
        <w:rPr>
          <w:spacing w:val="-12"/>
        </w:rPr>
        <w:t> </w:t>
      </w:r>
      <w:r>
        <w:rPr/>
        <w:t>la</w:t>
      </w:r>
      <w:r>
        <w:rPr>
          <w:spacing w:val="-10"/>
        </w:rPr>
        <w:t> </w:t>
      </w:r>
      <w:r>
        <w:rPr/>
        <w:t>automotriz,</w:t>
      </w:r>
      <w:r>
        <w:rPr>
          <w:spacing w:val="-9"/>
        </w:rPr>
        <w:t> </w:t>
      </w:r>
      <w:r>
        <w:rPr/>
        <w:t>metalmecánica,</w:t>
      </w:r>
      <w:r>
        <w:rPr>
          <w:spacing w:val="-14"/>
        </w:rPr>
        <w:t> </w:t>
      </w:r>
      <w:r>
        <w:rPr/>
        <w:t>química</w:t>
      </w:r>
      <w:r>
        <w:rPr>
          <w:spacing w:val="-10"/>
        </w:rPr>
        <w:t> </w:t>
      </w:r>
      <w:r>
        <w:rPr/>
        <w:t>y</w:t>
      </w:r>
      <w:r>
        <w:rPr>
          <w:spacing w:val="-12"/>
        </w:rPr>
        <w:t> </w:t>
      </w:r>
      <w:r>
        <w:rPr/>
        <w:t>eléctrica que</w:t>
      </w:r>
      <w:r>
        <w:rPr>
          <w:spacing w:val="-10"/>
        </w:rPr>
        <w:t> </w:t>
      </w:r>
      <w:r>
        <w:rPr/>
        <w:t>se</w:t>
      </w:r>
      <w:r>
        <w:rPr>
          <w:spacing w:val="-10"/>
        </w:rPr>
        <w:t> </w:t>
      </w:r>
      <w:r>
        <w:rPr/>
        <w:t>gestó</w:t>
      </w:r>
      <w:r>
        <w:rPr>
          <w:spacing w:val="-10"/>
        </w:rPr>
        <w:t> </w:t>
      </w:r>
      <w:r>
        <w:rPr/>
        <w:t>durante</w:t>
      </w:r>
      <w:r>
        <w:rPr>
          <w:spacing w:val="-8"/>
        </w:rPr>
        <w:t> </w:t>
      </w:r>
      <w:r>
        <w:rPr/>
        <w:t>el</w:t>
      </w:r>
      <w:r>
        <w:rPr>
          <w:spacing w:val="-11"/>
        </w:rPr>
        <w:t> </w:t>
      </w:r>
      <w:r>
        <w:rPr/>
        <w:t>fordismo,</w:t>
      </w:r>
      <w:r>
        <w:rPr>
          <w:spacing w:val="-9"/>
        </w:rPr>
        <w:t> </w:t>
      </w:r>
      <w:r>
        <w:rPr/>
        <w:t>utilizó</w:t>
      </w:r>
      <w:r>
        <w:rPr>
          <w:spacing w:val="-8"/>
        </w:rPr>
        <w:t> </w:t>
      </w:r>
      <w:r>
        <w:rPr/>
        <w:t>como</w:t>
      </w:r>
      <w:r>
        <w:rPr>
          <w:spacing w:val="-7"/>
        </w:rPr>
        <w:t> </w:t>
      </w:r>
      <w:r>
        <w:rPr/>
        <w:t>base</w:t>
      </w:r>
      <w:r>
        <w:rPr>
          <w:spacing w:val="-8"/>
        </w:rPr>
        <w:t> </w:t>
      </w:r>
      <w:r>
        <w:rPr/>
        <w:t>de</w:t>
      </w:r>
      <w:r>
        <w:rPr>
          <w:spacing w:val="-8"/>
        </w:rPr>
        <w:t> </w:t>
      </w:r>
      <w:r>
        <w:rPr/>
        <w:t>producción</w:t>
      </w:r>
      <w:r>
        <w:rPr>
          <w:spacing w:val="-8"/>
        </w:rPr>
        <w:t> </w:t>
      </w:r>
      <w:r>
        <w:rPr/>
        <w:t>los</w:t>
      </w:r>
      <w:r>
        <w:rPr>
          <w:spacing w:val="-10"/>
        </w:rPr>
        <w:t> </w:t>
      </w:r>
      <w:r>
        <w:rPr/>
        <w:t>hidrocarburos,</w:t>
      </w:r>
      <w:r>
        <w:rPr>
          <w:spacing w:val="-7"/>
        </w:rPr>
        <w:t> </w:t>
      </w:r>
      <w:r>
        <w:rPr/>
        <w:t>lo</w:t>
      </w:r>
      <w:r>
        <w:rPr>
          <w:spacing w:val="-13"/>
        </w:rPr>
        <w:t> </w:t>
      </w:r>
      <w:r>
        <w:rPr/>
        <w:t>que propició una explotación intensiva de recursos no renovables, provocando serias externalidades</w:t>
      </w:r>
      <w:r>
        <w:rPr>
          <w:spacing w:val="-8"/>
        </w:rPr>
        <w:t> </w:t>
      </w:r>
      <w:r>
        <w:rPr/>
        <w:t>negativas</w:t>
      </w:r>
      <w:r>
        <w:rPr>
          <w:spacing w:val="-9"/>
        </w:rPr>
        <w:t> </w:t>
      </w:r>
      <w:r>
        <w:rPr/>
        <w:t>al</w:t>
      </w:r>
      <w:r>
        <w:rPr>
          <w:spacing w:val="-10"/>
        </w:rPr>
        <w:t> </w:t>
      </w:r>
      <w:r>
        <w:rPr/>
        <w:t>ambiente,</w:t>
      </w:r>
      <w:r>
        <w:rPr>
          <w:spacing w:val="-8"/>
        </w:rPr>
        <w:t> </w:t>
      </w:r>
      <w:r>
        <w:rPr/>
        <w:t>cuyas</w:t>
      </w:r>
      <w:r>
        <w:rPr>
          <w:spacing w:val="-7"/>
        </w:rPr>
        <w:t> </w:t>
      </w:r>
      <w:r>
        <w:rPr/>
        <w:t>prácticas</w:t>
      </w:r>
      <w:r>
        <w:rPr>
          <w:spacing w:val="-9"/>
        </w:rPr>
        <w:t> </w:t>
      </w:r>
      <w:r>
        <w:rPr/>
        <w:t>depredadoras</w:t>
      </w:r>
      <w:r>
        <w:rPr>
          <w:spacing w:val="-11"/>
        </w:rPr>
        <w:t> </w:t>
      </w:r>
      <w:r>
        <w:rPr/>
        <w:t>y</w:t>
      </w:r>
      <w:r>
        <w:rPr>
          <w:spacing w:val="-11"/>
        </w:rPr>
        <w:t> </w:t>
      </w:r>
      <w:r>
        <w:rPr/>
        <w:t>de</w:t>
      </w:r>
      <w:r>
        <w:rPr>
          <w:spacing w:val="-9"/>
        </w:rPr>
        <w:t> </w:t>
      </w:r>
      <w:r>
        <w:rPr/>
        <w:t>creciente</w:t>
      </w:r>
      <w:r>
        <w:rPr>
          <w:spacing w:val="-9"/>
        </w:rPr>
        <w:t> </w:t>
      </w:r>
      <w:r>
        <w:rPr/>
        <w:t>presión ambiental contribuyeron a la pérdida de recursos naturales y al incremento de problemas de contaminación ambiental, por lo que dicho sistema de producción industrial fue considerado insustentable</w:t>
      </w:r>
      <w:r>
        <w:rPr>
          <w:spacing w:val="-12"/>
        </w:rPr>
        <w:t> </w:t>
      </w:r>
      <w:r>
        <w:rPr/>
        <w:t>ambientalmente.</w:t>
      </w:r>
    </w:p>
    <w:p>
      <w:pPr>
        <w:spacing w:line="480" w:lineRule="auto" w:before="166"/>
        <w:ind w:left="810" w:right="116" w:firstLine="0"/>
        <w:jc w:val="both"/>
        <w:rPr>
          <w:i/>
          <w:sz w:val="22"/>
        </w:rPr>
      </w:pPr>
      <w:r>
        <w:rPr>
          <w:i/>
          <w:sz w:val="22"/>
        </w:rPr>
        <w:t>…</w:t>
      </w:r>
      <w:r>
        <w:rPr>
          <w:i/>
          <w:spacing w:val="-3"/>
          <w:sz w:val="22"/>
        </w:rPr>
        <w:t> </w:t>
      </w:r>
      <w:r>
        <w:rPr>
          <w:i/>
          <w:sz w:val="22"/>
        </w:rPr>
        <w:t>en</w:t>
      </w:r>
      <w:r>
        <w:rPr>
          <w:i/>
          <w:spacing w:val="-3"/>
          <w:sz w:val="22"/>
        </w:rPr>
        <w:t> </w:t>
      </w:r>
      <w:r>
        <w:rPr>
          <w:i/>
          <w:sz w:val="22"/>
        </w:rPr>
        <w:t>este</w:t>
      </w:r>
      <w:r>
        <w:rPr>
          <w:i/>
          <w:spacing w:val="-5"/>
          <w:sz w:val="22"/>
        </w:rPr>
        <w:t> </w:t>
      </w:r>
      <w:r>
        <w:rPr>
          <w:i/>
          <w:sz w:val="22"/>
        </w:rPr>
        <w:t>tipo</w:t>
      </w:r>
      <w:r>
        <w:rPr>
          <w:i/>
          <w:spacing w:val="-3"/>
          <w:sz w:val="22"/>
        </w:rPr>
        <w:t> </w:t>
      </w:r>
      <w:r>
        <w:rPr>
          <w:i/>
          <w:sz w:val="22"/>
        </w:rPr>
        <w:t>de</w:t>
      </w:r>
      <w:r>
        <w:rPr>
          <w:i/>
          <w:spacing w:val="-6"/>
          <w:sz w:val="22"/>
        </w:rPr>
        <w:t> </w:t>
      </w:r>
      <w:r>
        <w:rPr>
          <w:i/>
          <w:sz w:val="22"/>
        </w:rPr>
        <w:t>organización</w:t>
      </w:r>
      <w:r>
        <w:rPr>
          <w:i/>
          <w:spacing w:val="-3"/>
          <w:sz w:val="22"/>
        </w:rPr>
        <w:t> </w:t>
      </w:r>
      <w:r>
        <w:rPr>
          <w:i/>
          <w:sz w:val="22"/>
        </w:rPr>
        <w:t>industrial</w:t>
      </w:r>
      <w:r>
        <w:rPr>
          <w:i/>
          <w:spacing w:val="-4"/>
          <w:sz w:val="22"/>
        </w:rPr>
        <w:t> </w:t>
      </w:r>
      <w:r>
        <w:rPr>
          <w:i/>
          <w:sz w:val="22"/>
        </w:rPr>
        <w:t>fordista,</w:t>
      </w:r>
      <w:r>
        <w:rPr>
          <w:i/>
          <w:spacing w:val="-4"/>
          <w:sz w:val="22"/>
        </w:rPr>
        <w:t> </w:t>
      </w:r>
      <w:r>
        <w:rPr>
          <w:i/>
          <w:sz w:val="22"/>
        </w:rPr>
        <w:t>se</w:t>
      </w:r>
      <w:r>
        <w:rPr>
          <w:i/>
          <w:spacing w:val="-3"/>
          <w:sz w:val="22"/>
        </w:rPr>
        <w:t> </w:t>
      </w:r>
      <w:r>
        <w:rPr>
          <w:i/>
          <w:sz w:val="22"/>
        </w:rPr>
        <w:t>provocó</w:t>
      </w:r>
      <w:r>
        <w:rPr>
          <w:i/>
          <w:spacing w:val="-3"/>
          <w:sz w:val="22"/>
        </w:rPr>
        <w:t> </w:t>
      </w:r>
      <w:r>
        <w:rPr>
          <w:i/>
          <w:sz w:val="22"/>
        </w:rPr>
        <w:t>el</w:t>
      </w:r>
      <w:r>
        <w:rPr>
          <w:i/>
          <w:spacing w:val="-6"/>
          <w:sz w:val="22"/>
        </w:rPr>
        <w:t> </w:t>
      </w:r>
      <w:r>
        <w:rPr>
          <w:i/>
          <w:sz w:val="22"/>
        </w:rPr>
        <w:t>consumo</w:t>
      </w:r>
      <w:r>
        <w:rPr>
          <w:i/>
          <w:spacing w:val="-5"/>
          <w:sz w:val="22"/>
        </w:rPr>
        <w:t> </w:t>
      </w:r>
      <w:r>
        <w:rPr>
          <w:i/>
          <w:sz w:val="22"/>
        </w:rPr>
        <w:t>ambiental </w:t>
      </w:r>
      <w:r>
        <w:rPr>
          <w:i/>
          <w:sz w:val="22"/>
        </w:rPr>
        <w:t>más intenso de la historia, el riesgo de colapso ecológico, la desigualdad social y</w:t>
      </w:r>
      <w:r>
        <w:rPr>
          <w:i/>
          <w:spacing w:val="-25"/>
          <w:sz w:val="22"/>
        </w:rPr>
        <w:t> </w:t>
      </w:r>
      <w:r>
        <w:rPr>
          <w:i/>
          <w:sz w:val="22"/>
        </w:rPr>
        <w:t>la pobreza extrema, factores que hoy cuestionan la racionalidad económica característica</w:t>
      </w:r>
      <w:r>
        <w:rPr>
          <w:i/>
          <w:spacing w:val="-5"/>
          <w:sz w:val="22"/>
        </w:rPr>
        <w:t> </w:t>
      </w:r>
      <w:r>
        <w:rPr>
          <w:i/>
          <w:sz w:val="22"/>
        </w:rPr>
        <w:t>del</w:t>
      </w:r>
      <w:r>
        <w:rPr>
          <w:i/>
          <w:spacing w:val="-6"/>
          <w:sz w:val="22"/>
        </w:rPr>
        <w:t> </w:t>
      </w:r>
      <w:r>
        <w:rPr>
          <w:i/>
          <w:sz w:val="22"/>
        </w:rPr>
        <w:t>desarrollo</w:t>
      </w:r>
      <w:r>
        <w:rPr>
          <w:i/>
          <w:spacing w:val="-5"/>
          <w:sz w:val="22"/>
        </w:rPr>
        <w:t> </w:t>
      </w:r>
      <w:r>
        <w:rPr>
          <w:i/>
          <w:sz w:val="22"/>
        </w:rPr>
        <w:t>y</w:t>
      </w:r>
      <w:r>
        <w:rPr>
          <w:i/>
          <w:spacing w:val="-5"/>
          <w:sz w:val="22"/>
        </w:rPr>
        <w:t> </w:t>
      </w:r>
      <w:r>
        <w:rPr>
          <w:i/>
          <w:sz w:val="22"/>
        </w:rPr>
        <w:t>que</w:t>
      </w:r>
      <w:r>
        <w:rPr>
          <w:i/>
          <w:spacing w:val="-5"/>
          <w:sz w:val="22"/>
        </w:rPr>
        <w:t> </w:t>
      </w:r>
      <w:r>
        <w:rPr>
          <w:i/>
          <w:sz w:val="22"/>
        </w:rPr>
        <w:t>dejan</w:t>
      </w:r>
      <w:r>
        <w:rPr>
          <w:i/>
          <w:spacing w:val="-6"/>
          <w:sz w:val="22"/>
        </w:rPr>
        <w:t> </w:t>
      </w:r>
      <w:r>
        <w:rPr>
          <w:i/>
          <w:sz w:val="22"/>
        </w:rPr>
        <w:t>de</w:t>
      </w:r>
      <w:r>
        <w:rPr>
          <w:i/>
          <w:spacing w:val="-6"/>
          <w:sz w:val="22"/>
        </w:rPr>
        <w:t> </w:t>
      </w:r>
      <w:r>
        <w:rPr>
          <w:i/>
          <w:sz w:val="22"/>
        </w:rPr>
        <w:t>manifiesto</w:t>
      </w:r>
      <w:r>
        <w:rPr>
          <w:i/>
          <w:spacing w:val="-5"/>
          <w:sz w:val="22"/>
        </w:rPr>
        <w:t> </w:t>
      </w:r>
      <w:r>
        <w:rPr>
          <w:i/>
          <w:sz w:val="22"/>
        </w:rPr>
        <w:t>que</w:t>
      </w:r>
      <w:r>
        <w:rPr>
          <w:i/>
          <w:spacing w:val="-5"/>
          <w:sz w:val="22"/>
        </w:rPr>
        <w:t> </w:t>
      </w:r>
      <w:r>
        <w:rPr>
          <w:i/>
          <w:sz w:val="22"/>
        </w:rPr>
        <w:t>el</w:t>
      </w:r>
      <w:r>
        <w:rPr>
          <w:i/>
          <w:spacing w:val="-6"/>
          <w:sz w:val="22"/>
        </w:rPr>
        <w:t> </w:t>
      </w:r>
      <w:r>
        <w:rPr>
          <w:i/>
          <w:sz w:val="22"/>
        </w:rPr>
        <w:t>hombre,</w:t>
      </w:r>
      <w:r>
        <w:rPr>
          <w:i/>
          <w:spacing w:val="-4"/>
          <w:sz w:val="22"/>
        </w:rPr>
        <w:t> </w:t>
      </w:r>
      <w:r>
        <w:rPr>
          <w:i/>
          <w:sz w:val="22"/>
        </w:rPr>
        <w:t>en</w:t>
      </w:r>
      <w:r>
        <w:rPr>
          <w:i/>
          <w:spacing w:val="-6"/>
          <w:sz w:val="22"/>
        </w:rPr>
        <w:t> </w:t>
      </w:r>
      <w:r>
        <w:rPr>
          <w:i/>
          <w:sz w:val="22"/>
        </w:rPr>
        <w:t>su</w:t>
      </w:r>
      <w:r>
        <w:rPr>
          <w:i/>
          <w:spacing w:val="-5"/>
          <w:sz w:val="22"/>
        </w:rPr>
        <w:t> </w:t>
      </w:r>
      <w:r>
        <w:rPr>
          <w:i/>
          <w:sz w:val="22"/>
        </w:rPr>
        <w:t>afán</w:t>
      </w:r>
      <w:r>
        <w:rPr>
          <w:i/>
          <w:spacing w:val="-5"/>
          <w:sz w:val="22"/>
        </w:rPr>
        <w:t> </w:t>
      </w:r>
      <w:r>
        <w:rPr>
          <w:i/>
          <w:sz w:val="22"/>
        </w:rPr>
        <w:t>de acumular capital, dejó de lado la protección del medio ambiente </w:t>
      </w:r>
      <w:r>
        <w:rPr>
          <w:sz w:val="22"/>
        </w:rPr>
        <w:t>(Carrillo y Hernández, 2011:</w:t>
      </w:r>
      <w:r>
        <w:rPr>
          <w:spacing w:val="-3"/>
          <w:sz w:val="22"/>
        </w:rPr>
        <w:t> </w:t>
      </w:r>
      <w:r>
        <w:rPr>
          <w:sz w:val="22"/>
        </w:rPr>
        <w:t>102)</w:t>
      </w:r>
      <w:r>
        <w:rPr>
          <w:i/>
          <w:sz w:val="22"/>
        </w:rPr>
        <w:t>.</w:t>
      </w:r>
    </w:p>
    <w:p>
      <w:pPr>
        <w:pStyle w:val="BodyText"/>
        <w:rPr>
          <w:i/>
        </w:rPr>
      </w:pPr>
    </w:p>
    <w:p>
      <w:pPr>
        <w:pStyle w:val="BodyText"/>
        <w:rPr>
          <w:i/>
        </w:rPr>
      </w:pPr>
    </w:p>
    <w:p>
      <w:pPr>
        <w:pStyle w:val="BodyText"/>
        <w:spacing w:before="5"/>
        <w:rPr>
          <w:i/>
          <w:sz w:val="28"/>
        </w:rPr>
      </w:pPr>
    </w:p>
    <w:p>
      <w:pPr>
        <w:pStyle w:val="BodyText"/>
        <w:spacing w:line="480" w:lineRule="auto"/>
        <w:ind w:left="102" w:right="114"/>
        <w:jc w:val="both"/>
      </w:pPr>
      <w:r>
        <w:rPr/>
        <w:t>Esta situación implicó altos costos económicos, sociales y ambientales así como desajustes, rupturas y discontinuidades en el funcionamiento del sistema productivo industrial, lo que se tradujo en una disminución del ritmo de crecimiento económico, la pérdida de empleos y el desencadenamiento de frecuentes y crecientes paros laborales. Frente</w:t>
      </w:r>
      <w:r>
        <w:rPr>
          <w:spacing w:val="-7"/>
        </w:rPr>
        <w:t> </w:t>
      </w:r>
      <w:r>
        <w:rPr/>
        <w:t>a</w:t>
      </w:r>
      <w:r>
        <w:rPr>
          <w:spacing w:val="-10"/>
        </w:rPr>
        <w:t> </w:t>
      </w:r>
      <w:r>
        <w:rPr/>
        <w:t>estos</w:t>
      </w:r>
      <w:r>
        <w:rPr>
          <w:spacing w:val="-7"/>
        </w:rPr>
        <w:t> </w:t>
      </w:r>
      <w:r>
        <w:rPr/>
        <w:t>hechos,</w:t>
      </w:r>
      <w:r>
        <w:rPr>
          <w:spacing w:val="-7"/>
        </w:rPr>
        <w:t> </w:t>
      </w:r>
      <w:r>
        <w:rPr/>
        <w:t>a</w:t>
      </w:r>
      <w:r>
        <w:rPr>
          <w:spacing w:val="-13"/>
        </w:rPr>
        <w:t> </w:t>
      </w:r>
      <w:r>
        <w:rPr/>
        <w:t>principios</w:t>
      </w:r>
      <w:r>
        <w:rPr>
          <w:spacing w:val="-8"/>
        </w:rPr>
        <w:t> </w:t>
      </w:r>
      <w:r>
        <w:rPr/>
        <w:t>de</w:t>
      </w:r>
      <w:r>
        <w:rPr>
          <w:spacing w:val="-8"/>
        </w:rPr>
        <w:t> </w:t>
      </w:r>
      <w:r>
        <w:rPr/>
        <w:t>los</w:t>
      </w:r>
      <w:r>
        <w:rPr>
          <w:spacing w:val="-8"/>
        </w:rPr>
        <w:t> </w:t>
      </w:r>
      <w:r>
        <w:rPr/>
        <w:t>años</w:t>
      </w:r>
      <w:r>
        <w:rPr>
          <w:spacing w:val="-8"/>
        </w:rPr>
        <w:t> </w:t>
      </w:r>
      <w:r>
        <w:rPr/>
        <w:t>70´s,</w:t>
      </w:r>
      <w:r>
        <w:rPr>
          <w:spacing w:val="-9"/>
        </w:rPr>
        <w:t> </w:t>
      </w:r>
      <w:r>
        <w:rPr/>
        <w:t>se</w:t>
      </w:r>
      <w:r>
        <w:rPr>
          <w:spacing w:val="-8"/>
        </w:rPr>
        <w:t> </w:t>
      </w:r>
      <w:r>
        <w:rPr/>
        <w:t>cuestionó</w:t>
      </w:r>
      <w:r>
        <w:rPr>
          <w:spacing w:val="-8"/>
        </w:rPr>
        <w:t> </w:t>
      </w:r>
      <w:r>
        <w:rPr/>
        <w:t>la</w:t>
      </w:r>
      <w:r>
        <w:rPr>
          <w:spacing w:val="-8"/>
        </w:rPr>
        <w:t> </w:t>
      </w:r>
      <w:r>
        <w:rPr/>
        <w:t>irracionalidad</w:t>
      </w:r>
      <w:r>
        <w:rPr>
          <w:spacing w:val="-8"/>
        </w:rPr>
        <w:t> </w:t>
      </w:r>
      <w:r>
        <w:rPr/>
        <w:t>de</w:t>
      </w:r>
      <w:r>
        <w:rPr>
          <w:spacing w:val="-8"/>
        </w:rPr>
        <w:t> </w:t>
      </w:r>
      <w:r>
        <w:rPr/>
        <w:t>dicho sistema de producción fordista, en cuyo replanteamiento se buscó la incorporación de una mayor conciencia ambiental, con la posibilidad de conjuntar el desarrollo económico con</w:t>
      </w:r>
      <w:r>
        <w:rPr>
          <w:spacing w:val="-31"/>
        </w:rPr>
        <w:t> </w:t>
      </w:r>
      <w:r>
        <w:rPr/>
        <w:t>la</w:t>
      </w:r>
    </w:p>
    <w:p>
      <w:pPr>
        <w:spacing w:after="0" w:line="480" w:lineRule="auto"/>
        <w:jc w:val="both"/>
        <w:sectPr>
          <w:pgSz w:w="12240" w:h="15840"/>
          <w:pgMar w:top="1360" w:bottom="280" w:left="1600" w:right="1580"/>
        </w:sectPr>
      </w:pPr>
    </w:p>
    <w:p>
      <w:pPr>
        <w:pStyle w:val="BodyText"/>
        <w:spacing w:line="480" w:lineRule="auto" w:before="54"/>
        <w:ind w:left="102" w:right="119"/>
        <w:jc w:val="both"/>
      </w:pPr>
      <w:r>
        <w:rPr/>
        <w:t>conservación ambiental, buscando establecer una dialéctica teórica positiva entre ambas categorías.</w:t>
      </w:r>
    </w:p>
    <w:p>
      <w:pPr>
        <w:pStyle w:val="BodyText"/>
        <w:spacing w:line="480" w:lineRule="auto" w:before="168"/>
        <w:ind w:left="102" w:right="115"/>
        <w:jc w:val="both"/>
      </w:pPr>
      <w:r>
        <w:rPr/>
        <w:t>Ante ello, en la segunda mitad del siglo XX se dio paso a la producción postindustrial o posfordista, donde la incorporación creciente de innovaciones influyó en la mejora tanto</w:t>
      </w:r>
      <w:r>
        <w:rPr>
          <w:spacing w:val="-40"/>
        </w:rPr>
        <w:t> </w:t>
      </w:r>
      <w:r>
        <w:rPr/>
        <w:t>de los productos como de los procesos productivos y las formas de organización empresariales. El desarrollo de nuevas tecnologías, no sólo permitió reducir significativamente el consumo de energía y otros insumos basados en recursos naturales, sino contribuyó a la organización de la industria en redes productivas, como determinante de una mayor eficiencia productiva, operativa y funcional de las empresas (Iglesias,</w:t>
      </w:r>
      <w:r>
        <w:rPr>
          <w:spacing w:val="-28"/>
        </w:rPr>
        <w:t> </w:t>
      </w:r>
      <w:r>
        <w:rPr/>
        <w:t>2013).</w:t>
      </w:r>
    </w:p>
    <w:p>
      <w:pPr>
        <w:pStyle w:val="BodyText"/>
        <w:spacing w:line="480" w:lineRule="auto" w:before="166"/>
        <w:ind w:left="102" w:right="114"/>
        <w:jc w:val="both"/>
      </w:pPr>
      <w:r>
        <w:rPr/>
        <w:t>Desde esta perspectiva, se estimuló la creación de ambientes industriales más competitivos,</w:t>
      </w:r>
      <w:r>
        <w:rPr>
          <w:spacing w:val="-10"/>
        </w:rPr>
        <w:t> </w:t>
      </w:r>
      <w:r>
        <w:rPr/>
        <w:t>eficientes</w:t>
      </w:r>
      <w:r>
        <w:rPr>
          <w:spacing w:val="-11"/>
        </w:rPr>
        <w:t> </w:t>
      </w:r>
      <w:r>
        <w:rPr/>
        <w:t>y</w:t>
      </w:r>
      <w:r>
        <w:rPr>
          <w:spacing w:val="-13"/>
        </w:rPr>
        <w:t> </w:t>
      </w:r>
      <w:r>
        <w:rPr/>
        <w:t>sustentables,</w:t>
      </w:r>
      <w:r>
        <w:rPr>
          <w:spacing w:val="-10"/>
        </w:rPr>
        <w:t> </w:t>
      </w:r>
      <w:r>
        <w:rPr/>
        <w:t>agrupadas</w:t>
      </w:r>
      <w:r>
        <w:rPr>
          <w:spacing w:val="-14"/>
        </w:rPr>
        <w:t> </w:t>
      </w:r>
      <w:r>
        <w:rPr/>
        <w:t>en</w:t>
      </w:r>
      <w:r>
        <w:rPr>
          <w:spacing w:val="-11"/>
        </w:rPr>
        <w:t> </w:t>
      </w:r>
      <w:r>
        <w:rPr/>
        <w:t>localidades</w:t>
      </w:r>
      <w:r>
        <w:rPr>
          <w:spacing w:val="-11"/>
        </w:rPr>
        <w:t> </w:t>
      </w:r>
      <w:r>
        <w:rPr/>
        <w:t>específicas,</w:t>
      </w:r>
      <w:r>
        <w:rPr>
          <w:spacing w:val="-10"/>
        </w:rPr>
        <w:t> </w:t>
      </w:r>
      <w:r>
        <w:rPr/>
        <w:t>adaptadas</w:t>
      </w:r>
      <w:r>
        <w:rPr>
          <w:spacing w:val="-11"/>
        </w:rPr>
        <w:t> </w:t>
      </w:r>
      <w:r>
        <w:rPr/>
        <w:t>al nuevo contexto tecnológico, con sistemas de producción y de organización más flexible y segmentada. Esta forma de producción, no sólo contribuyó a la reducción de costos de traslado y de manufacturación, sino propició el incremento de las economías de escala, externas y de urbanización, dando lugar a la conformación de espacios geográficos más densos y dinámicos, misma que definieron el perfil productivo de las regiones a través de la conformación de redes y sistemas de producción industriales (Precedo y Villarino, 1992; Méndez y Caravaca, 1996; Stimson, </w:t>
      </w:r>
      <w:r>
        <w:rPr>
          <w:i/>
        </w:rPr>
        <w:t>et. al., </w:t>
      </w:r>
      <w:r>
        <w:rPr/>
        <w:t>2006; Capello,</w:t>
      </w:r>
      <w:r>
        <w:rPr>
          <w:spacing w:val="-16"/>
        </w:rPr>
        <w:t> </w:t>
      </w:r>
      <w:r>
        <w:rPr/>
        <w:t>2009).</w:t>
      </w:r>
    </w:p>
    <w:p>
      <w:pPr>
        <w:pStyle w:val="BodyText"/>
        <w:spacing w:line="480" w:lineRule="auto" w:before="166"/>
        <w:ind w:left="102" w:right="114"/>
        <w:jc w:val="both"/>
      </w:pPr>
      <w:r>
        <w:rPr/>
        <w:t>Este</w:t>
      </w:r>
      <w:r>
        <w:rPr>
          <w:spacing w:val="-6"/>
        </w:rPr>
        <w:t> </w:t>
      </w:r>
      <w:r>
        <w:rPr/>
        <w:t>ambiente</w:t>
      </w:r>
      <w:r>
        <w:rPr>
          <w:spacing w:val="-6"/>
        </w:rPr>
        <w:t> </w:t>
      </w:r>
      <w:r>
        <w:rPr/>
        <w:t>aglomerado</w:t>
      </w:r>
      <w:r>
        <w:rPr>
          <w:spacing w:val="-4"/>
        </w:rPr>
        <w:t> </w:t>
      </w:r>
      <w:r>
        <w:rPr/>
        <w:t>de</w:t>
      </w:r>
      <w:r>
        <w:rPr>
          <w:spacing w:val="-7"/>
        </w:rPr>
        <w:t> </w:t>
      </w:r>
      <w:r>
        <w:rPr/>
        <w:t>producción,</w:t>
      </w:r>
      <w:r>
        <w:rPr>
          <w:spacing w:val="-5"/>
        </w:rPr>
        <w:t> </w:t>
      </w:r>
      <w:r>
        <w:rPr/>
        <w:t>desde</w:t>
      </w:r>
      <w:r>
        <w:rPr>
          <w:spacing w:val="-7"/>
        </w:rPr>
        <w:t> </w:t>
      </w:r>
      <w:r>
        <w:rPr/>
        <w:t>la</w:t>
      </w:r>
      <w:r>
        <w:rPr>
          <w:spacing w:val="-6"/>
        </w:rPr>
        <w:t> </w:t>
      </w:r>
      <w:r>
        <w:rPr/>
        <w:t>perspectiva</w:t>
      </w:r>
      <w:r>
        <w:rPr>
          <w:spacing w:val="-4"/>
        </w:rPr>
        <w:t> </w:t>
      </w:r>
      <w:r>
        <w:rPr/>
        <w:t>de</w:t>
      </w:r>
      <w:r>
        <w:rPr>
          <w:spacing w:val="-7"/>
        </w:rPr>
        <w:t> </w:t>
      </w:r>
      <w:r>
        <w:rPr/>
        <w:t>la</w:t>
      </w:r>
      <w:r>
        <w:rPr>
          <w:spacing w:val="-4"/>
        </w:rPr>
        <w:t> </w:t>
      </w:r>
      <w:r>
        <w:rPr/>
        <w:t>ecología</w:t>
      </w:r>
      <w:r>
        <w:rPr>
          <w:spacing w:val="-4"/>
        </w:rPr>
        <w:t> </w:t>
      </w:r>
      <w:r>
        <w:rPr/>
        <w:t>industrial</w:t>
      </w:r>
      <w:r>
        <w:rPr>
          <w:spacing w:val="-7"/>
        </w:rPr>
        <w:t> </w:t>
      </w:r>
      <w:r>
        <w:rPr/>
        <w:t>se denominó simbiosis industrial o coindustrialización, que busca aumentar el volumen de producción, incrementar los beneficios sociales y ser más eficientes y sustentables productivamente. La ecología industrial guía a las empresas y las organizaciones gubernamentales para la adopción de estrategias de producción ambientalmente sustentables y económicamente rentables, teniendo como objetivo final la optimización  </w:t>
      </w:r>
      <w:r>
        <w:rPr>
          <w:spacing w:val="43"/>
        </w:rPr>
        <w:t> </w:t>
      </w:r>
      <w:r>
        <w:rPr/>
        <w:t>y</w:t>
      </w:r>
    </w:p>
    <w:p>
      <w:pPr>
        <w:spacing w:after="0" w:line="480" w:lineRule="auto"/>
        <w:jc w:val="both"/>
        <w:sectPr>
          <w:pgSz w:w="12240" w:h="15840"/>
          <w:pgMar w:top="1360" w:bottom="280" w:left="1600" w:right="1580"/>
        </w:sectPr>
      </w:pPr>
    </w:p>
    <w:p>
      <w:pPr>
        <w:pStyle w:val="BodyText"/>
        <w:spacing w:line="480" w:lineRule="auto" w:before="54"/>
        <w:ind w:left="102" w:right="121"/>
        <w:jc w:val="both"/>
      </w:pPr>
      <w:r>
        <w:rPr/>
        <w:t>creación de ciclos de cierre de materiales, con la pretensión de nulificar la cantidad de emisiones y el consumo de insumos y energía para la producción.</w:t>
      </w:r>
    </w:p>
    <w:p>
      <w:pPr>
        <w:pStyle w:val="BodyText"/>
        <w:spacing w:line="480" w:lineRule="auto" w:before="7"/>
        <w:ind w:left="102" w:right="118"/>
        <w:jc w:val="both"/>
      </w:pPr>
      <w:r>
        <w:rPr/>
        <w:t>Dicha integración productiva, constituye una de las nuevas formas de organización, producción y gestión de la industria contemporánea, ya que no sólo influye en la eficiencia y competitividad de estas, sino se ha convertido en un factor condicionante del emplazamiento</w:t>
      </w:r>
      <w:r>
        <w:rPr>
          <w:spacing w:val="-7"/>
        </w:rPr>
        <w:t> </w:t>
      </w:r>
      <w:r>
        <w:rPr/>
        <w:t>de</w:t>
      </w:r>
      <w:r>
        <w:rPr>
          <w:spacing w:val="-8"/>
        </w:rPr>
        <w:t> </w:t>
      </w:r>
      <w:r>
        <w:rPr/>
        <w:t>nuevas</w:t>
      </w:r>
      <w:r>
        <w:rPr>
          <w:spacing w:val="-7"/>
        </w:rPr>
        <w:t> </w:t>
      </w:r>
      <w:r>
        <w:rPr/>
        <w:t>actividades</w:t>
      </w:r>
      <w:r>
        <w:rPr>
          <w:spacing w:val="-7"/>
        </w:rPr>
        <w:t> </w:t>
      </w:r>
      <w:r>
        <w:rPr/>
        <w:t>empresariales,</w:t>
      </w:r>
      <w:r>
        <w:rPr>
          <w:spacing w:val="-6"/>
        </w:rPr>
        <w:t> </w:t>
      </w:r>
      <w:r>
        <w:rPr/>
        <w:t>principalmente</w:t>
      </w:r>
      <w:r>
        <w:rPr>
          <w:spacing w:val="-7"/>
        </w:rPr>
        <w:t> </w:t>
      </w:r>
      <w:r>
        <w:rPr/>
        <w:t>la</w:t>
      </w:r>
      <w:r>
        <w:rPr>
          <w:spacing w:val="-7"/>
        </w:rPr>
        <w:t> </w:t>
      </w:r>
      <w:r>
        <w:rPr/>
        <w:t>industria</w:t>
      </w:r>
      <w:r>
        <w:rPr>
          <w:spacing w:val="-7"/>
        </w:rPr>
        <w:t> </w:t>
      </w:r>
      <w:r>
        <w:rPr/>
        <w:t>ligera</w:t>
      </w:r>
      <w:r>
        <w:rPr>
          <w:spacing w:val="-9"/>
        </w:rPr>
        <w:t> </w:t>
      </w:r>
      <w:r>
        <w:rPr/>
        <w:t>que presta servicios especializados a dichas unidades de producción (Cotorruelo,</w:t>
      </w:r>
      <w:r>
        <w:rPr>
          <w:spacing w:val="-21"/>
        </w:rPr>
        <w:t> </w:t>
      </w:r>
      <w:r>
        <w:rPr/>
        <w:t>1996).</w:t>
      </w:r>
    </w:p>
    <w:p>
      <w:pPr>
        <w:pStyle w:val="BodyText"/>
        <w:spacing w:line="480" w:lineRule="auto" w:before="8"/>
        <w:ind w:left="102" w:right="114"/>
        <w:jc w:val="both"/>
      </w:pPr>
      <w:r>
        <w:rPr/>
        <w:t>A pesar de la inclusión del ambiente en este tipo de entornos productivos tendiente a una mayor eficiencia y sustentabilidad de la producción, y que cada vez se está expandiendo, pocos empresarios están plenamente consciente de la dimensión del reto y más bien tienden</w:t>
      </w:r>
      <w:r>
        <w:rPr>
          <w:spacing w:val="-6"/>
        </w:rPr>
        <w:t> </w:t>
      </w:r>
      <w:r>
        <w:rPr/>
        <w:t>a</w:t>
      </w:r>
      <w:r>
        <w:rPr>
          <w:spacing w:val="-9"/>
        </w:rPr>
        <w:t> </w:t>
      </w:r>
      <w:r>
        <w:rPr/>
        <w:t>alarmarse</w:t>
      </w:r>
      <w:r>
        <w:rPr>
          <w:spacing w:val="-9"/>
        </w:rPr>
        <w:t> </w:t>
      </w:r>
      <w:r>
        <w:rPr/>
        <w:t>por</w:t>
      </w:r>
      <w:r>
        <w:rPr>
          <w:spacing w:val="-10"/>
        </w:rPr>
        <w:t> </w:t>
      </w:r>
      <w:r>
        <w:rPr/>
        <w:t>el</w:t>
      </w:r>
      <w:r>
        <w:rPr>
          <w:spacing w:val="-7"/>
        </w:rPr>
        <w:t> </w:t>
      </w:r>
      <w:r>
        <w:rPr/>
        <w:t>incremento</w:t>
      </w:r>
      <w:r>
        <w:rPr>
          <w:spacing w:val="-9"/>
        </w:rPr>
        <w:t> </w:t>
      </w:r>
      <w:r>
        <w:rPr/>
        <w:t>de</w:t>
      </w:r>
      <w:r>
        <w:rPr>
          <w:spacing w:val="-9"/>
        </w:rPr>
        <w:t> </w:t>
      </w:r>
      <w:r>
        <w:rPr/>
        <w:t>los</w:t>
      </w:r>
      <w:r>
        <w:rPr>
          <w:spacing w:val="-9"/>
        </w:rPr>
        <w:t> </w:t>
      </w:r>
      <w:r>
        <w:rPr/>
        <w:t>costos</w:t>
      </w:r>
      <w:r>
        <w:rPr>
          <w:spacing w:val="-6"/>
        </w:rPr>
        <w:t> </w:t>
      </w:r>
      <w:r>
        <w:rPr/>
        <w:t>asociados</w:t>
      </w:r>
      <w:r>
        <w:rPr>
          <w:spacing w:val="-6"/>
        </w:rPr>
        <w:t> </w:t>
      </w:r>
      <w:r>
        <w:rPr/>
        <w:t>al</w:t>
      </w:r>
      <w:r>
        <w:rPr>
          <w:spacing w:val="-10"/>
        </w:rPr>
        <w:t> </w:t>
      </w:r>
      <w:r>
        <w:rPr/>
        <w:t>control</w:t>
      </w:r>
      <w:r>
        <w:rPr>
          <w:spacing w:val="-10"/>
        </w:rPr>
        <w:t> </w:t>
      </w:r>
      <w:r>
        <w:rPr/>
        <w:t>de</w:t>
      </w:r>
      <w:r>
        <w:rPr>
          <w:spacing w:val="-6"/>
        </w:rPr>
        <w:t> </w:t>
      </w:r>
      <w:r>
        <w:rPr/>
        <w:t>contaminantes, por</w:t>
      </w:r>
      <w:r>
        <w:rPr>
          <w:spacing w:val="-16"/>
        </w:rPr>
        <w:t> </w:t>
      </w:r>
      <w:r>
        <w:rPr/>
        <w:t>lo</w:t>
      </w:r>
      <w:r>
        <w:rPr>
          <w:spacing w:val="-18"/>
        </w:rPr>
        <w:t> </w:t>
      </w:r>
      <w:r>
        <w:rPr/>
        <w:t>que</w:t>
      </w:r>
      <w:r>
        <w:rPr>
          <w:spacing w:val="-19"/>
        </w:rPr>
        <w:t> </w:t>
      </w:r>
      <w:r>
        <w:rPr/>
        <w:t>sigue</w:t>
      </w:r>
      <w:r>
        <w:rPr>
          <w:spacing w:val="-16"/>
        </w:rPr>
        <w:t> </w:t>
      </w:r>
      <w:r>
        <w:rPr/>
        <w:t>prevaleciendo</w:t>
      </w:r>
      <w:r>
        <w:rPr>
          <w:spacing w:val="-16"/>
        </w:rPr>
        <w:t> </w:t>
      </w:r>
      <w:r>
        <w:rPr/>
        <w:t>una</w:t>
      </w:r>
      <w:r>
        <w:rPr>
          <w:spacing w:val="-16"/>
        </w:rPr>
        <w:t> </w:t>
      </w:r>
      <w:r>
        <w:rPr/>
        <w:t>actitud</w:t>
      </w:r>
      <w:r>
        <w:rPr>
          <w:spacing w:val="-19"/>
        </w:rPr>
        <w:t> </w:t>
      </w:r>
      <w:r>
        <w:rPr/>
        <w:t>empresarial</w:t>
      </w:r>
      <w:r>
        <w:rPr>
          <w:spacing w:val="-17"/>
        </w:rPr>
        <w:t> </w:t>
      </w:r>
      <w:r>
        <w:rPr/>
        <w:t>reactiva</w:t>
      </w:r>
      <w:r>
        <w:rPr>
          <w:spacing w:val="-16"/>
        </w:rPr>
        <w:t> </w:t>
      </w:r>
      <w:r>
        <w:rPr/>
        <w:t>ante</w:t>
      </w:r>
      <w:r>
        <w:rPr>
          <w:spacing w:val="-16"/>
        </w:rPr>
        <w:t> </w:t>
      </w:r>
      <w:r>
        <w:rPr/>
        <w:t>las</w:t>
      </w:r>
      <w:r>
        <w:rPr>
          <w:spacing w:val="-19"/>
        </w:rPr>
        <w:t> </w:t>
      </w:r>
      <w:r>
        <w:rPr/>
        <w:t>mayores</w:t>
      </w:r>
      <w:r>
        <w:rPr>
          <w:spacing w:val="-16"/>
        </w:rPr>
        <w:t> </w:t>
      </w:r>
      <w:r>
        <w:rPr/>
        <w:t>exigencias de la regulación ambiental y sólo un número reducido de empresas asumen el reto en plenitud (ONU-CEPAL, 1999). Esta conducta, desde la perspectiva de la eficiencia global, se centra en la idea del uso de las nuevas tecnologías para incrementar la eficiencia energética y la aparente conservación de los recursos naturales, razón de su creciente cuestionamiento,</w:t>
      </w:r>
      <w:r>
        <w:rPr>
          <w:spacing w:val="-10"/>
        </w:rPr>
        <w:t> </w:t>
      </w:r>
      <w:r>
        <w:rPr/>
        <w:t>pues</w:t>
      </w:r>
      <w:r>
        <w:rPr>
          <w:spacing w:val="-11"/>
        </w:rPr>
        <w:t> </w:t>
      </w:r>
      <w:r>
        <w:rPr/>
        <w:t>su</w:t>
      </w:r>
      <w:r>
        <w:rPr>
          <w:spacing w:val="-9"/>
        </w:rPr>
        <w:t> </w:t>
      </w:r>
      <w:r>
        <w:rPr/>
        <w:t>proceder</w:t>
      </w:r>
      <w:r>
        <w:rPr>
          <w:spacing w:val="-10"/>
        </w:rPr>
        <w:t> </w:t>
      </w:r>
      <w:r>
        <w:rPr/>
        <w:t>ha</w:t>
      </w:r>
      <w:r>
        <w:rPr>
          <w:spacing w:val="-11"/>
        </w:rPr>
        <w:t> </w:t>
      </w:r>
      <w:r>
        <w:rPr/>
        <w:t>significado</w:t>
      </w:r>
      <w:r>
        <w:rPr>
          <w:spacing w:val="-11"/>
        </w:rPr>
        <w:t> </w:t>
      </w:r>
      <w:r>
        <w:rPr/>
        <w:t>una</w:t>
      </w:r>
      <w:r>
        <w:rPr>
          <w:spacing w:val="-14"/>
        </w:rPr>
        <w:t> </w:t>
      </w:r>
      <w:r>
        <w:rPr/>
        <w:t>grave</w:t>
      </w:r>
      <w:r>
        <w:rPr>
          <w:spacing w:val="-11"/>
        </w:rPr>
        <w:t> </w:t>
      </w:r>
      <w:r>
        <w:rPr/>
        <w:t>amenaza</w:t>
      </w:r>
      <w:r>
        <w:rPr>
          <w:spacing w:val="-9"/>
        </w:rPr>
        <w:t> </w:t>
      </w:r>
      <w:r>
        <w:rPr/>
        <w:t>para</w:t>
      </w:r>
      <w:r>
        <w:rPr>
          <w:spacing w:val="-9"/>
        </w:rPr>
        <w:t> </w:t>
      </w:r>
      <w:r>
        <w:rPr/>
        <w:t>la</w:t>
      </w:r>
      <w:r>
        <w:rPr>
          <w:spacing w:val="-8"/>
        </w:rPr>
        <w:t> </w:t>
      </w:r>
      <w:r>
        <w:rPr/>
        <w:t>conservación del ambiente y la preservación de los</w:t>
      </w:r>
      <w:r>
        <w:rPr>
          <w:spacing w:val="-11"/>
        </w:rPr>
        <w:t> </w:t>
      </w:r>
      <w:r>
        <w:rPr/>
        <w:t>recursos.</w:t>
      </w:r>
    </w:p>
    <w:p>
      <w:pPr>
        <w:pStyle w:val="BodyText"/>
      </w:pPr>
    </w:p>
    <w:p>
      <w:pPr>
        <w:pStyle w:val="BodyText"/>
      </w:pPr>
    </w:p>
    <w:p>
      <w:pPr>
        <w:pStyle w:val="Heading2"/>
        <w:spacing w:before="166"/>
      </w:pPr>
      <w:r>
        <w:rPr/>
        <w:t>LA SIMBIÓSIS PRODUCTIVA EN LOS PARQUES INDUSTRIALES</w:t>
      </w:r>
    </w:p>
    <w:p>
      <w:pPr>
        <w:pStyle w:val="BodyText"/>
        <w:spacing w:before="1"/>
        <w:rPr>
          <w:b/>
        </w:rPr>
      </w:pPr>
    </w:p>
    <w:p>
      <w:pPr>
        <w:pStyle w:val="BodyText"/>
        <w:spacing w:line="480" w:lineRule="auto"/>
        <w:ind w:left="102" w:right="115"/>
        <w:jc w:val="both"/>
      </w:pPr>
      <w:r>
        <w:rPr/>
        <w:t>Parte de los graves problemas ambientales creados por las industrias nacen por la individualidad funcional de las empresas y el empleo de procesos de producción lineales, que</w:t>
      </w:r>
      <w:r>
        <w:rPr>
          <w:spacing w:val="-15"/>
        </w:rPr>
        <w:t> </w:t>
      </w:r>
      <w:r>
        <w:rPr/>
        <w:t>extraen</w:t>
      </w:r>
      <w:r>
        <w:rPr>
          <w:spacing w:val="-18"/>
        </w:rPr>
        <w:t> </w:t>
      </w:r>
      <w:r>
        <w:rPr/>
        <w:t>y</w:t>
      </w:r>
      <w:r>
        <w:rPr>
          <w:spacing w:val="-17"/>
        </w:rPr>
        <w:t> </w:t>
      </w:r>
      <w:r>
        <w:rPr/>
        <w:t>utilizan</w:t>
      </w:r>
      <w:r>
        <w:rPr>
          <w:spacing w:val="-12"/>
        </w:rPr>
        <w:t> </w:t>
      </w:r>
      <w:r>
        <w:rPr/>
        <w:t>intensivamente</w:t>
      </w:r>
      <w:r>
        <w:rPr>
          <w:spacing w:val="-14"/>
        </w:rPr>
        <w:t> </w:t>
      </w:r>
      <w:r>
        <w:rPr/>
        <w:t>materias</w:t>
      </w:r>
      <w:r>
        <w:rPr>
          <w:spacing w:val="-15"/>
        </w:rPr>
        <w:t> </w:t>
      </w:r>
      <w:r>
        <w:rPr/>
        <w:t>primas</w:t>
      </w:r>
      <w:r>
        <w:rPr>
          <w:spacing w:val="-15"/>
        </w:rPr>
        <w:t> </w:t>
      </w:r>
      <w:r>
        <w:rPr/>
        <w:t>y</w:t>
      </w:r>
      <w:r>
        <w:rPr>
          <w:spacing w:val="-17"/>
        </w:rPr>
        <w:t> </w:t>
      </w:r>
      <w:r>
        <w:rPr/>
        <w:t>energías</w:t>
      </w:r>
      <w:r>
        <w:rPr>
          <w:spacing w:val="-15"/>
        </w:rPr>
        <w:t> </w:t>
      </w:r>
      <w:r>
        <w:rPr/>
        <w:t>fósiles,</w:t>
      </w:r>
      <w:r>
        <w:rPr>
          <w:spacing w:val="-19"/>
        </w:rPr>
        <w:t> </w:t>
      </w:r>
      <w:r>
        <w:rPr/>
        <w:t>que</w:t>
      </w:r>
      <w:r>
        <w:rPr>
          <w:spacing w:val="-15"/>
        </w:rPr>
        <w:t> </w:t>
      </w:r>
      <w:r>
        <w:rPr/>
        <w:t>al</w:t>
      </w:r>
      <w:r>
        <w:rPr>
          <w:spacing w:val="-16"/>
        </w:rPr>
        <w:t> </w:t>
      </w:r>
      <w:r>
        <w:rPr/>
        <w:t>procesarlas, los residuos generados son devueltos al sistema natural, por lo que este tipo de patrón de producción  difícilmente es  sostenible  ambiental,  productiva  y  económicamente (Golf </w:t>
      </w:r>
      <w:r>
        <w:rPr>
          <w:spacing w:val="27"/>
        </w:rPr>
        <w:t> </w:t>
      </w:r>
      <w:r>
        <w:rPr/>
        <w:t>y</w:t>
      </w:r>
    </w:p>
    <w:p>
      <w:pPr>
        <w:spacing w:after="0" w:line="480" w:lineRule="auto"/>
        <w:jc w:val="both"/>
        <w:sectPr>
          <w:pgSz w:w="12240" w:h="15840"/>
          <w:pgMar w:top="1360" w:bottom="280" w:left="1600" w:right="1580"/>
        </w:sectPr>
      </w:pPr>
    </w:p>
    <w:p>
      <w:pPr>
        <w:pStyle w:val="BodyText"/>
        <w:spacing w:line="480" w:lineRule="auto" w:before="54"/>
        <w:ind w:left="102" w:right="118"/>
        <w:jc w:val="both"/>
      </w:pPr>
      <w:r>
        <w:rPr/>
        <w:t>Molinero, 2009). Una alternativa que busca resarcir esta insustentabilidad productiva es la articulación e integración de empresas enraizadas localmente (como los parques industriales)</w:t>
      </w:r>
      <w:r>
        <w:rPr>
          <w:spacing w:val="-10"/>
        </w:rPr>
        <w:t> </w:t>
      </w:r>
      <w:r>
        <w:rPr/>
        <w:t>que</w:t>
      </w:r>
      <w:r>
        <w:rPr>
          <w:spacing w:val="-14"/>
        </w:rPr>
        <w:t> </w:t>
      </w:r>
      <w:r>
        <w:rPr/>
        <w:t>favorecen</w:t>
      </w:r>
      <w:r>
        <w:rPr>
          <w:spacing w:val="-9"/>
        </w:rPr>
        <w:t> </w:t>
      </w:r>
      <w:r>
        <w:rPr/>
        <w:t>la</w:t>
      </w:r>
      <w:r>
        <w:rPr>
          <w:spacing w:val="-11"/>
        </w:rPr>
        <w:t> </w:t>
      </w:r>
      <w:r>
        <w:rPr/>
        <w:t>maduración</w:t>
      </w:r>
      <w:r>
        <w:rPr>
          <w:spacing w:val="-10"/>
        </w:rPr>
        <w:t> </w:t>
      </w:r>
      <w:r>
        <w:rPr/>
        <w:t>competitiva,</w:t>
      </w:r>
      <w:r>
        <w:rPr>
          <w:spacing w:val="-8"/>
        </w:rPr>
        <w:t> </w:t>
      </w:r>
      <w:r>
        <w:rPr/>
        <w:t>que</w:t>
      </w:r>
      <w:r>
        <w:rPr>
          <w:spacing w:val="-11"/>
        </w:rPr>
        <w:t> </w:t>
      </w:r>
      <w:r>
        <w:rPr/>
        <w:t>desde</w:t>
      </w:r>
      <w:r>
        <w:rPr>
          <w:spacing w:val="-11"/>
        </w:rPr>
        <w:t> </w:t>
      </w:r>
      <w:r>
        <w:rPr/>
        <w:t>el</w:t>
      </w:r>
      <w:r>
        <w:rPr>
          <w:spacing w:val="-10"/>
        </w:rPr>
        <w:t> </w:t>
      </w:r>
      <w:r>
        <w:rPr/>
        <w:t>enfoque</w:t>
      </w:r>
      <w:r>
        <w:rPr>
          <w:spacing w:val="-9"/>
        </w:rPr>
        <w:t> </w:t>
      </w:r>
      <w:r>
        <w:rPr/>
        <w:t>de</w:t>
      </w:r>
      <w:r>
        <w:rPr>
          <w:spacing w:val="-9"/>
        </w:rPr>
        <w:t> </w:t>
      </w:r>
      <w:r>
        <w:rPr/>
        <w:t>la</w:t>
      </w:r>
      <w:r>
        <w:rPr>
          <w:spacing w:val="-11"/>
        </w:rPr>
        <w:t> </w:t>
      </w:r>
      <w:r>
        <w:rPr/>
        <w:t>ecología industrial se denomina sistema industrial, cuya interpretación se desprende de lo que la perspectiva industrial italiana concibió como sistema productivo local (Garofoli,</w:t>
      </w:r>
      <w:r>
        <w:rPr>
          <w:spacing w:val="-20"/>
        </w:rPr>
        <w:t> </w:t>
      </w:r>
      <w:r>
        <w:rPr/>
        <w:t>1992).</w:t>
      </w:r>
    </w:p>
    <w:p>
      <w:pPr>
        <w:pStyle w:val="BodyText"/>
        <w:spacing w:line="480" w:lineRule="auto" w:before="5"/>
        <w:ind w:left="102" w:right="115"/>
        <w:jc w:val="both"/>
      </w:pPr>
      <w:r>
        <w:rPr/>
        <w:t>Desde la postura de la geografía económica, se consideran áreas de especialización flexible o territorios de industria endógena con un nivel de complejidad creciente, definido por las relaciones horizontales que mantienen las unidades productoras, acompañado de cierto grado de competencia y una densa colaboración reticular con agentes del entorno local y regional, que buscan mejorar el conocimiento y las decisiones en las distintas industrias sobre el uso de materiales, reducir los desechos, promocionar el reciclaje, la explotación de energías renovables y el uso de tecnologías limpias, buscando prevenir la contaminación</w:t>
      </w:r>
      <w:r>
        <w:rPr>
          <w:spacing w:val="-9"/>
        </w:rPr>
        <w:t> </w:t>
      </w:r>
      <w:r>
        <w:rPr/>
        <w:t>y</w:t>
      </w:r>
      <w:r>
        <w:rPr>
          <w:spacing w:val="-8"/>
        </w:rPr>
        <w:t> </w:t>
      </w:r>
      <w:r>
        <w:rPr/>
        <w:t>el</w:t>
      </w:r>
      <w:r>
        <w:rPr>
          <w:spacing w:val="-10"/>
        </w:rPr>
        <w:t> </w:t>
      </w:r>
      <w:r>
        <w:rPr/>
        <w:t>balance</w:t>
      </w:r>
      <w:r>
        <w:rPr>
          <w:spacing w:val="-6"/>
        </w:rPr>
        <w:t> </w:t>
      </w:r>
      <w:r>
        <w:rPr/>
        <w:t>entre</w:t>
      </w:r>
      <w:r>
        <w:rPr>
          <w:spacing w:val="-9"/>
        </w:rPr>
        <w:t> </w:t>
      </w:r>
      <w:r>
        <w:rPr/>
        <w:t>las</w:t>
      </w:r>
      <w:r>
        <w:rPr>
          <w:spacing w:val="-9"/>
        </w:rPr>
        <w:t> </w:t>
      </w:r>
      <w:r>
        <w:rPr/>
        <w:t>actividades</w:t>
      </w:r>
      <w:r>
        <w:rPr>
          <w:spacing w:val="-6"/>
        </w:rPr>
        <w:t> </w:t>
      </w:r>
      <w:r>
        <w:rPr/>
        <w:t>de</w:t>
      </w:r>
      <w:r>
        <w:rPr>
          <w:spacing w:val="-7"/>
        </w:rPr>
        <w:t> </w:t>
      </w:r>
      <w:r>
        <w:rPr/>
        <w:t>la</w:t>
      </w:r>
      <w:r>
        <w:rPr>
          <w:spacing w:val="-9"/>
        </w:rPr>
        <w:t> </w:t>
      </w:r>
      <w:r>
        <w:rPr/>
        <w:t>sociedad</w:t>
      </w:r>
      <w:r>
        <w:rPr>
          <w:spacing w:val="-9"/>
        </w:rPr>
        <w:t> </w:t>
      </w:r>
      <w:r>
        <w:rPr/>
        <w:t>con</w:t>
      </w:r>
      <w:r>
        <w:rPr>
          <w:spacing w:val="-9"/>
        </w:rPr>
        <w:t> </w:t>
      </w:r>
      <w:r>
        <w:rPr/>
        <w:t>su</w:t>
      </w:r>
      <w:r>
        <w:rPr>
          <w:spacing w:val="-9"/>
        </w:rPr>
        <w:t> </w:t>
      </w:r>
      <w:r>
        <w:rPr/>
        <w:t>entorno,</w:t>
      </w:r>
      <w:r>
        <w:rPr>
          <w:spacing w:val="-7"/>
        </w:rPr>
        <w:t> </w:t>
      </w:r>
      <w:r>
        <w:rPr/>
        <w:t>a</w:t>
      </w:r>
      <w:r>
        <w:rPr>
          <w:spacing w:val="-9"/>
        </w:rPr>
        <w:t> </w:t>
      </w:r>
      <w:r>
        <w:rPr/>
        <w:t>través</w:t>
      </w:r>
      <w:r>
        <w:rPr>
          <w:spacing w:val="-9"/>
        </w:rPr>
        <w:t> </w:t>
      </w:r>
      <w:r>
        <w:rPr/>
        <w:t>de la generación de procesos sistémicos, que se realimentan de los diferentes desechos evitando que estos representen un problema para el</w:t>
      </w:r>
      <w:r>
        <w:rPr>
          <w:spacing w:val="-15"/>
        </w:rPr>
        <w:t> </w:t>
      </w:r>
      <w:r>
        <w:rPr/>
        <w:t>ambiente.</w:t>
      </w:r>
    </w:p>
    <w:p>
      <w:pPr>
        <w:pStyle w:val="BodyText"/>
        <w:spacing w:line="480" w:lineRule="auto" w:before="166"/>
        <w:ind w:left="102" w:right="115"/>
        <w:jc w:val="both"/>
      </w:pPr>
      <w:r>
        <w:rPr/>
        <w:t>La simbiosis industrial, como modelo de producción, promueve las sinergias entre empresas e industrias, produciéndose una vinculación de beneficio colectivo para quienes están involucrados. Dichas sinergias se presentan con el uso de un residuo como materia prima de otra industria, pero también la utilización o implantación conjunta de un servicio o infraestructura. Ello implica que los desechos se convierten en recursos del mismo o cualquier sistema productivo. Esta forma de integración productiva pretende crear un flujo cíclico de los materiales y energía mediante la asociación y la conectividad con diversos tipos de empresas, permitiendo que el concepto de residuo desaparezca y que se genere un tránsito de materiales con la salida en una industria y la entrada en alguna otra, incrementando la capacidad, trabajo y la vida útil de estos materiales (Alvarado, 2009).</w:t>
      </w:r>
    </w:p>
    <w:p>
      <w:pPr>
        <w:spacing w:after="0" w:line="480" w:lineRule="auto"/>
        <w:jc w:val="both"/>
        <w:sectPr>
          <w:pgSz w:w="12240" w:h="15840"/>
          <w:pgMar w:top="1360" w:bottom="280" w:left="1600" w:right="1580"/>
        </w:sectPr>
      </w:pPr>
    </w:p>
    <w:p>
      <w:pPr>
        <w:pStyle w:val="BodyText"/>
        <w:spacing w:line="480" w:lineRule="auto" w:before="54"/>
        <w:ind w:left="102" w:right="114"/>
        <w:jc w:val="both"/>
      </w:pPr>
      <w:r>
        <w:rPr/>
        <w:t>Desde esta perspectiva, el sistema industrial debe funcionar como un ecosistema natural donde</w:t>
      </w:r>
      <w:r>
        <w:rPr>
          <w:spacing w:val="-16"/>
        </w:rPr>
        <w:t> </w:t>
      </w:r>
      <w:r>
        <w:rPr/>
        <w:t>una</w:t>
      </w:r>
      <w:r>
        <w:rPr>
          <w:spacing w:val="-19"/>
        </w:rPr>
        <w:t> </w:t>
      </w:r>
      <w:r>
        <w:rPr/>
        <w:t>empresa</w:t>
      </w:r>
      <w:r>
        <w:rPr>
          <w:spacing w:val="-19"/>
        </w:rPr>
        <w:t> </w:t>
      </w:r>
      <w:r>
        <w:rPr/>
        <w:t>puede</w:t>
      </w:r>
      <w:r>
        <w:rPr>
          <w:spacing w:val="-16"/>
        </w:rPr>
        <w:t> </w:t>
      </w:r>
      <w:r>
        <w:rPr/>
        <w:t>abastecerse</w:t>
      </w:r>
      <w:r>
        <w:rPr>
          <w:spacing w:val="-19"/>
        </w:rPr>
        <w:t> </w:t>
      </w:r>
      <w:r>
        <w:rPr/>
        <w:t>de</w:t>
      </w:r>
      <w:r>
        <w:rPr>
          <w:spacing w:val="-19"/>
        </w:rPr>
        <w:t> </w:t>
      </w:r>
      <w:r>
        <w:rPr/>
        <w:t>la</w:t>
      </w:r>
      <w:r>
        <w:rPr>
          <w:spacing w:val="-16"/>
        </w:rPr>
        <w:t> </w:t>
      </w:r>
      <w:r>
        <w:rPr/>
        <w:t>otra,</w:t>
      </w:r>
      <w:r>
        <w:rPr>
          <w:spacing w:val="-15"/>
        </w:rPr>
        <w:t> </w:t>
      </w:r>
      <w:r>
        <w:rPr/>
        <w:t>bajo</w:t>
      </w:r>
      <w:r>
        <w:rPr>
          <w:spacing w:val="-19"/>
        </w:rPr>
        <w:t> </w:t>
      </w:r>
      <w:r>
        <w:rPr/>
        <w:t>la</w:t>
      </w:r>
      <w:r>
        <w:rPr>
          <w:spacing w:val="-16"/>
        </w:rPr>
        <w:t> </w:t>
      </w:r>
      <w:r>
        <w:rPr/>
        <w:t>idea</w:t>
      </w:r>
      <w:r>
        <w:rPr>
          <w:spacing w:val="-19"/>
        </w:rPr>
        <w:t> </w:t>
      </w:r>
      <w:r>
        <w:rPr/>
        <w:t>de</w:t>
      </w:r>
      <w:r>
        <w:rPr>
          <w:spacing w:val="-16"/>
        </w:rPr>
        <w:t> </w:t>
      </w:r>
      <w:r>
        <w:rPr/>
        <w:t>una</w:t>
      </w:r>
      <w:r>
        <w:rPr>
          <w:spacing w:val="-19"/>
        </w:rPr>
        <w:t> </w:t>
      </w:r>
      <w:r>
        <w:rPr/>
        <w:t>cadena</w:t>
      </w:r>
      <w:r>
        <w:rPr>
          <w:spacing w:val="-16"/>
        </w:rPr>
        <w:t> </w:t>
      </w:r>
      <w:r>
        <w:rPr/>
        <w:t>trófica,</w:t>
      </w:r>
      <w:r>
        <w:rPr>
          <w:spacing w:val="-17"/>
        </w:rPr>
        <w:t> </w:t>
      </w:r>
      <w:r>
        <w:rPr/>
        <w:t>misma que</w:t>
      </w:r>
      <w:r>
        <w:rPr>
          <w:spacing w:val="-13"/>
        </w:rPr>
        <w:t> </w:t>
      </w:r>
      <w:r>
        <w:rPr/>
        <w:t>puede</w:t>
      </w:r>
      <w:r>
        <w:rPr>
          <w:spacing w:val="-15"/>
        </w:rPr>
        <w:t> </w:t>
      </w:r>
      <w:r>
        <w:rPr/>
        <w:t>ampliarse</w:t>
      </w:r>
      <w:r>
        <w:rPr>
          <w:spacing w:val="-14"/>
        </w:rPr>
        <w:t> </w:t>
      </w:r>
      <w:r>
        <w:rPr/>
        <w:t>a</w:t>
      </w:r>
      <w:r>
        <w:rPr>
          <w:spacing w:val="-12"/>
        </w:rPr>
        <w:t> </w:t>
      </w:r>
      <w:r>
        <w:rPr/>
        <w:t>otras</w:t>
      </w:r>
      <w:r>
        <w:rPr>
          <w:spacing w:val="-12"/>
        </w:rPr>
        <w:t> </w:t>
      </w:r>
      <w:r>
        <w:rPr/>
        <w:t>actividades</w:t>
      </w:r>
      <w:r>
        <w:rPr>
          <w:spacing w:val="-12"/>
        </w:rPr>
        <w:t> </w:t>
      </w:r>
      <w:r>
        <w:rPr/>
        <w:t>económicas</w:t>
      </w:r>
      <w:r>
        <w:rPr>
          <w:spacing w:val="-12"/>
        </w:rPr>
        <w:t> </w:t>
      </w:r>
      <w:r>
        <w:rPr/>
        <w:t>y</w:t>
      </w:r>
      <w:r>
        <w:rPr>
          <w:spacing w:val="-15"/>
        </w:rPr>
        <w:t> </w:t>
      </w:r>
      <w:r>
        <w:rPr/>
        <w:t>humanas.</w:t>
      </w:r>
      <w:r>
        <w:rPr>
          <w:spacing w:val="-14"/>
        </w:rPr>
        <w:t> </w:t>
      </w:r>
      <w:r>
        <w:rPr/>
        <w:t>Su</w:t>
      </w:r>
      <w:r>
        <w:rPr>
          <w:spacing w:val="-12"/>
        </w:rPr>
        <w:t> </w:t>
      </w:r>
      <w:r>
        <w:rPr/>
        <w:t>ámbito</w:t>
      </w:r>
      <w:r>
        <w:rPr>
          <w:spacing w:val="-15"/>
        </w:rPr>
        <w:t> </w:t>
      </w:r>
      <w:r>
        <w:rPr/>
        <w:t>espacial</w:t>
      </w:r>
      <w:r>
        <w:rPr>
          <w:spacing w:val="-11"/>
        </w:rPr>
        <w:t> </w:t>
      </w:r>
      <w:r>
        <w:rPr/>
        <w:t>puede ser dentro de una misma organización (como en un parque industrial o en una región) o a nivel macroeconómico. Así mismo, los planteamientos de la ecología industrial son coincidentes</w:t>
      </w:r>
      <w:r>
        <w:rPr>
          <w:spacing w:val="-8"/>
        </w:rPr>
        <w:t> </w:t>
      </w:r>
      <w:r>
        <w:rPr/>
        <w:t>con</w:t>
      </w:r>
      <w:r>
        <w:rPr>
          <w:spacing w:val="-11"/>
        </w:rPr>
        <w:t> </w:t>
      </w:r>
      <w:r>
        <w:rPr/>
        <w:t>los</w:t>
      </w:r>
      <w:r>
        <w:rPr>
          <w:spacing w:val="-9"/>
        </w:rPr>
        <w:t> </w:t>
      </w:r>
      <w:r>
        <w:rPr/>
        <w:t>principios</w:t>
      </w:r>
      <w:r>
        <w:rPr>
          <w:spacing w:val="-9"/>
        </w:rPr>
        <w:t> </w:t>
      </w:r>
      <w:r>
        <w:rPr/>
        <w:t>del</w:t>
      </w:r>
      <w:r>
        <w:rPr>
          <w:spacing w:val="-10"/>
        </w:rPr>
        <w:t> </w:t>
      </w:r>
      <w:r>
        <w:rPr/>
        <w:t>desarrollo</w:t>
      </w:r>
      <w:r>
        <w:rPr>
          <w:spacing w:val="-9"/>
        </w:rPr>
        <w:t> </w:t>
      </w:r>
      <w:r>
        <w:rPr/>
        <w:t>sustentable,</w:t>
      </w:r>
      <w:r>
        <w:rPr>
          <w:spacing w:val="-8"/>
        </w:rPr>
        <w:t> </w:t>
      </w:r>
      <w:r>
        <w:rPr/>
        <w:t>en</w:t>
      </w:r>
      <w:r>
        <w:rPr>
          <w:spacing w:val="-14"/>
        </w:rPr>
        <w:t> </w:t>
      </w:r>
      <w:r>
        <w:rPr/>
        <w:t>razón</w:t>
      </w:r>
      <w:r>
        <w:rPr>
          <w:spacing w:val="-9"/>
        </w:rPr>
        <w:t> </w:t>
      </w:r>
      <w:r>
        <w:rPr/>
        <w:t>de</w:t>
      </w:r>
      <w:r>
        <w:rPr>
          <w:spacing w:val="-11"/>
        </w:rPr>
        <w:t> </w:t>
      </w:r>
      <w:r>
        <w:rPr/>
        <w:t>que</w:t>
      </w:r>
      <w:r>
        <w:rPr>
          <w:spacing w:val="-11"/>
        </w:rPr>
        <w:t> </w:t>
      </w:r>
      <w:r>
        <w:rPr/>
        <w:t>buscan</w:t>
      </w:r>
      <w:r>
        <w:rPr>
          <w:spacing w:val="-11"/>
        </w:rPr>
        <w:t> </w:t>
      </w:r>
      <w:r>
        <w:rPr/>
        <w:t>impactar positivamente en el plano ecológico, económico y social (Carrillo y Hernández,</w:t>
      </w:r>
      <w:r>
        <w:rPr>
          <w:spacing w:val="-19"/>
        </w:rPr>
        <w:t> </w:t>
      </w:r>
      <w:r>
        <w:rPr/>
        <w:t>2011).</w:t>
      </w:r>
    </w:p>
    <w:p>
      <w:pPr>
        <w:pStyle w:val="BodyText"/>
        <w:spacing w:line="480" w:lineRule="auto" w:before="169"/>
        <w:ind w:left="102" w:right="117"/>
        <w:jc w:val="both"/>
      </w:pPr>
      <w:r>
        <w:rPr/>
        <w:t>La simbiosis industrial, planteada por la ecología industrial, genera beneficios</w:t>
      </w:r>
      <w:r>
        <w:rPr>
          <w:spacing w:val="-34"/>
        </w:rPr>
        <w:t> </w:t>
      </w:r>
      <w:r>
        <w:rPr/>
        <w:t>económicos, medioambientales</w:t>
      </w:r>
      <w:r>
        <w:rPr>
          <w:spacing w:val="-14"/>
        </w:rPr>
        <w:t> </w:t>
      </w:r>
      <w:r>
        <w:rPr/>
        <w:t>y</w:t>
      </w:r>
      <w:r>
        <w:rPr>
          <w:spacing w:val="-13"/>
        </w:rPr>
        <w:t> </w:t>
      </w:r>
      <w:r>
        <w:rPr/>
        <w:t>sociales</w:t>
      </w:r>
      <w:r>
        <w:rPr>
          <w:spacing w:val="-11"/>
        </w:rPr>
        <w:t> </w:t>
      </w:r>
      <w:r>
        <w:rPr/>
        <w:t>tales</w:t>
      </w:r>
      <w:r>
        <w:rPr>
          <w:spacing w:val="-14"/>
        </w:rPr>
        <w:t> </w:t>
      </w:r>
      <w:r>
        <w:rPr/>
        <w:t>como</w:t>
      </w:r>
      <w:r>
        <w:rPr>
          <w:spacing w:val="-14"/>
        </w:rPr>
        <w:t> </w:t>
      </w:r>
      <w:r>
        <w:rPr/>
        <w:t>el</w:t>
      </w:r>
      <w:r>
        <w:rPr>
          <w:spacing w:val="-12"/>
        </w:rPr>
        <w:t> </w:t>
      </w:r>
      <w:r>
        <w:rPr/>
        <w:t>ahorro</w:t>
      </w:r>
      <w:r>
        <w:rPr>
          <w:spacing w:val="-14"/>
        </w:rPr>
        <w:t> </w:t>
      </w:r>
      <w:r>
        <w:rPr/>
        <w:t>de</w:t>
      </w:r>
      <w:r>
        <w:rPr>
          <w:spacing w:val="-14"/>
        </w:rPr>
        <w:t> </w:t>
      </w:r>
      <w:r>
        <w:rPr/>
        <w:t>recursos,</w:t>
      </w:r>
      <w:r>
        <w:rPr>
          <w:spacing w:val="-12"/>
        </w:rPr>
        <w:t> </w:t>
      </w:r>
      <w:r>
        <w:rPr/>
        <w:t>la</w:t>
      </w:r>
      <w:r>
        <w:rPr>
          <w:spacing w:val="-13"/>
        </w:rPr>
        <w:t> </w:t>
      </w:r>
      <w:r>
        <w:rPr/>
        <w:t>minimización</w:t>
      </w:r>
      <w:r>
        <w:rPr>
          <w:spacing w:val="-11"/>
        </w:rPr>
        <w:t> </w:t>
      </w:r>
      <w:r>
        <w:rPr/>
        <w:t>de</w:t>
      </w:r>
      <w:r>
        <w:rPr>
          <w:spacing w:val="-14"/>
        </w:rPr>
        <w:t> </w:t>
      </w:r>
      <w:r>
        <w:rPr/>
        <w:t>residuos, la</w:t>
      </w:r>
      <w:r>
        <w:rPr>
          <w:spacing w:val="-13"/>
        </w:rPr>
        <w:t> </w:t>
      </w:r>
      <w:r>
        <w:rPr/>
        <w:t>disminución</w:t>
      </w:r>
      <w:r>
        <w:rPr>
          <w:spacing w:val="-14"/>
        </w:rPr>
        <w:t> </w:t>
      </w:r>
      <w:r>
        <w:rPr/>
        <w:t>de</w:t>
      </w:r>
      <w:r>
        <w:rPr>
          <w:spacing w:val="-14"/>
        </w:rPr>
        <w:t> </w:t>
      </w:r>
      <w:r>
        <w:rPr/>
        <w:t>emisiones</w:t>
      </w:r>
      <w:r>
        <w:rPr>
          <w:spacing w:val="-13"/>
        </w:rPr>
        <w:t> </w:t>
      </w:r>
      <w:r>
        <w:rPr/>
        <w:t>y</w:t>
      </w:r>
      <w:r>
        <w:rPr>
          <w:spacing w:val="-16"/>
        </w:rPr>
        <w:t> </w:t>
      </w:r>
      <w:r>
        <w:rPr/>
        <w:t>cargas</w:t>
      </w:r>
      <w:r>
        <w:rPr>
          <w:spacing w:val="-13"/>
        </w:rPr>
        <w:t> </w:t>
      </w:r>
      <w:r>
        <w:rPr/>
        <w:t>contaminantes,</w:t>
      </w:r>
      <w:r>
        <w:rPr>
          <w:spacing w:val="-15"/>
        </w:rPr>
        <w:t> </w:t>
      </w:r>
      <w:r>
        <w:rPr/>
        <w:t>la</w:t>
      </w:r>
      <w:r>
        <w:rPr>
          <w:spacing w:val="-13"/>
        </w:rPr>
        <w:t> </w:t>
      </w:r>
      <w:r>
        <w:rPr/>
        <w:t>disminución</w:t>
      </w:r>
      <w:r>
        <w:rPr>
          <w:spacing w:val="-14"/>
        </w:rPr>
        <w:t> </w:t>
      </w:r>
      <w:r>
        <w:rPr/>
        <w:t>de</w:t>
      </w:r>
      <w:r>
        <w:rPr>
          <w:spacing w:val="-14"/>
        </w:rPr>
        <w:t> </w:t>
      </w:r>
      <w:r>
        <w:rPr/>
        <w:t>costos</w:t>
      </w:r>
      <w:r>
        <w:rPr>
          <w:spacing w:val="-13"/>
        </w:rPr>
        <w:t> </w:t>
      </w:r>
      <w:r>
        <w:rPr/>
        <w:t>ambientales, la</w:t>
      </w:r>
      <w:r>
        <w:rPr>
          <w:spacing w:val="-1"/>
        </w:rPr>
        <w:t> </w:t>
      </w:r>
      <w:r>
        <w:rPr/>
        <w:t>mejora</w:t>
      </w:r>
      <w:r>
        <w:rPr>
          <w:spacing w:val="-3"/>
        </w:rPr>
        <w:t> </w:t>
      </w:r>
      <w:r>
        <w:rPr/>
        <w:t>en</w:t>
      </w:r>
      <w:r>
        <w:rPr>
          <w:spacing w:val="-3"/>
        </w:rPr>
        <w:t> </w:t>
      </w:r>
      <w:r>
        <w:rPr/>
        <w:t>puestos</w:t>
      </w:r>
      <w:r>
        <w:rPr>
          <w:spacing w:val="-3"/>
        </w:rPr>
        <w:t> </w:t>
      </w:r>
      <w:r>
        <w:rPr/>
        <w:t>de</w:t>
      </w:r>
      <w:r>
        <w:rPr>
          <w:spacing w:val="-6"/>
        </w:rPr>
        <w:t> </w:t>
      </w:r>
      <w:r>
        <w:rPr/>
        <w:t>trabajo,</w:t>
      </w:r>
      <w:r>
        <w:rPr>
          <w:spacing w:val="-2"/>
        </w:rPr>
        <w:t> </w:t>
      </w:r>
      <w:r>
        <w:rPr/>
        <w:t>la</w:t>
      </w:r>
      <w:r>
        <w:rPr>
          <w:spacing w:val="-3"/>
        </w:rPr>
        <w:t> </w:t>
      </w:r>
      <w:r>
        <w:rPr/>
        <w:t>creación</w:t>
      </w:r>
      <w:r>
        <w:rPr>
          <w:spacing w:val="-1"/>
        </w:rPr>
        <w:t> </w:t>
      </w:r>
      <w:r>
        <w:rPr/>
        <w:t>de</w:t>
      </w:r>
      <w:r>
        <w:rPr>
          <w:spacing w:val="-6"/>
        </w:rPr>
        <w:t> </w:t>
      </w:r>
      <w:r>
        <w:rPr/>
        <w:t>redes,</w:t>
      </w:r>
      <w:r>
        <w:rPr>
          <w:spacing w:val="-2"/>
        </w:rPr>
        <w:t> </w:t>
      </w:r>
      <w:r>
        <w:rPr/>
        <w:t>la</w:t>
      </w:r>
      <w:r>
        <w:rPr>
          <w:spacing w:val="-3"/>
        </w:rPr>
        <w:t> </w:t>
      </w:r>
      <w:r>
        <w:rPr/>
        <w:t>mejora</w:t>
      </w:r>
      <w:r>
        <w:rPr>
          <w:spacing w:val="-3"/>
        </w:rPr>
        <w:t> </w:t>
      </w:r>
      <w:r>
        <w:rPr/>
        <w:t>de</w:t>
      </w:r>
      <w:r>
        <w:rPr>
          <w:spacing w:val="-3"/>
        </w:rPr>
        <w:t> </w:t>
      </w:r>
      <w:r>
        <w:rPr/>
        <w:t>la</w:t>
      </w:r>
      <w:r>
        <w:rPr>
          <w:spacing w:val="-3"/>
        </w:rPr>
        <w:t> </w:t>
      </w:r>
      <w:r>
        <w:rPr/>
        <w:t>imagen</w:t>
      </w:r>
      <w:r>
        <w:rPr>
          <w:spacing w:val="-1"/>
        </w:rPr>
        <w:t> </w:t>
      </w:r>
      <w:r>
        <w:rPr/>
        <w:t>ambiental</w:t>
      </w:r>
      <w:r>
        <w:rPr>
          <w:spacing w:val="-2"/>
        </w:rPr>
        <w:t> </w:t>
      </w:r>
      <w:r>
        <w:rPr/>
        <w:t>de las empresas, entidades y municipios y la mayor relación y colaboración dentro del sector industrial y de éste con el medio social y natural (Lowe </w:t>
      </w:r>
      <w:r>
        <w:rPr>
          <w:i/>
        </w:rPr>
        <w:t>et al</w:t>
      </w:r>
      <w:r>
        <w:rPr/>
        <w:t>.,</w:t>
      </w:r>
      <w:r>
        <w:rPr>
          <w:spacing w:val="-19"/>
        </w:rPr>
        <w:t> </w:t>
      </w:r>
      <w:r>
        <w:rPr/>
        <w:t>1997).</w:t>
      </w:r>
    </w:p>
    <w:p>
      <w:pPr>
        <w:pStyle w:val="BodyText"/>
        <w:spacing w:line="480" w:lineRule="auto" w:before="166"/>
        <w:ind w:left="102" w:right="117"/>
        <w:jc w:val="both"/>
      </w:pPr>
      <w:r>
        <w:rPr/>
        <w:t>Esta forma de organización productiva es considerada como nuevo modelo de desarrollo endógeno, por los acuerdos de cooperación empresarial establecidos que permiten una mayor</w:t>
      </w:r>
      <w:r>
        <w:rPr>
          <w:spacing w:val="-14"/>
        </w:rPr>
        <w:t> </w:t>
      </w:r>
      <w:r>
        <w:rPr/>
        <w:t>competitividad</w:t>
      </w:r>
      <w:r>
        <w:rPr>
          <w:spacing w:val="-14"/>
        </w:rPr>
        <w:t> </w:t>
      </w:r>
      <w:r>
        <w:rPr/>
        <w:t>y</w:t>
      </w:r>
      <w:r>
        <w:rPr>
          <w:spacing w:val="-17"/>
        </w:rPr>
        <w:t> </w:t>
      </w:r>
      <w:r>
        <w:rPr/>
        <w:t>sustentabilidad</w:t>
      </w:r>
      <w:r>
        <w:rPr>
          <w:spacing w:val="-14"/>
        </w:rPr>
        <w:t> </w:t>
      </w:r>
      <w:r>
        <w:rPr/>
        <w:t>en</w:t>
      </w:r>
      <w:r>
        <w:rPr>
          <w:spacing w:val="-15"/>
        </w:rPr>
        <w:t> </w:t>
      </w:r>
      <w:r>
        <w:rPr/>
        <w:t>la</w:t>
      </w:r>
      <w:r>
        <w:rPr>
          <w:spacing w:val="-14"/>
        </w:rPr>
        <w:t> </w:t>
      </w:r>
      <w:r>
        <w:rPr/>
        <w:t>cadena</w:t>
      </w:r>
      <w:r>
        <w:rPr>
          <w:spacing w:val="-15"/>
        </w:rPr>
        <w:t> </w:t>
      </w:r>
      <w:r>
        <w:rPr/>
        <w:t>de</w:t>
      </w:r>
      <w:r>
        <w:rPr>
          <w:spacing w:val="-15"/>
        </w:rPr>
        <w:t> </w:t>
      </w:r>
      <w:r>
        <w:rPr/>
        <w:t>producción</w:t>
      </w:r>
      <w:r>
        <w:rPr>
          <w:spacing w:val="-15"/>
        </w:rPr>
        <w:t> </w:t>
      </w:r>
      <w:r>
        <w:rPr/>
        <w:t>(Paunero,</w:t>
      </w:r>
      <w:r>
        <w:rPr>
          <w:spacing w:val="-14"/>
        </w:rPr>
        <w:t> </w:t>
      </w:r>
      <w:r>
        <w:rPr/>
        <w:t>2004;</w:t>
      </w:r>
      <w:r>
        <w:rPr>
          <w:spacing w:val="-13"/>
        </w:rPr>
        <w:t> </w:t>
      </w:r>
      <w:r>
        <w:rPr/>
        <w:t>Negrín, </w:t>
      </w:r>
      <w:r>
        <w:rPr>
          <w:i/>
        </w:rPr>
        <w:t>et al.</w:t>
      </w:r>
      <w:r>
        <w:rPr/>
        <w:t>, 2004). Que conduce a la ecoeficiencia, concebido como el aumento del valor del producto a través de la disminución del consumo de materiales, energía y reducción de emisiones a lo largo de la cadena de valor de la producción industrial (Livert, 2011). La ecoeficiencia industrial, no sólo optimiza el uso de los recursos naturales y mejora la rentabilidad</w:t>
      </w:r>
      <w:r>
        <w:rPr>
          <w:spacing w:val="-15"/>
        </w:rPr>
        <w:t> </w:t>
      </w:r>
      <w:r>
        <w:rPr/>
        <w:t>financiera</w:t>
      </w:r>
      <w:r>
        <w:rPr>
          <w:spacing w:val="-12"/>
        </w:rPr>
        <w:t> </w:t>
      </w:r>
      <w:r>
        <w:rPr/>
        <w:t>de</w:t>
      </w:r>
      <w:r>
        <w:rPr>
          <w:spacing w:val="-15"/>
        </w:rPr>
        <w:t> </w:t>
      </w:r>
      <w:r>
        <w:rPr/>
        <w:t>las</w:t>
      </w:r>
      <w:r>
        <w:rPr>
          <w:spacing w:val="-12"/>
        </w:rPr>
        <w:t> </w:t>
      </w:r>
      <w:r>
        <w:rPr/>
        <w:t>empresas</w:t>
      </w:r>
      <w:r>
        <w:rPr>
          <w:spacing w:val="-12"/>
        </w:rPr>
        <w:t> </w:t>
      </w:r>
      <w:r>
        <w:rPr/>
        <w:t>agrupadas,</w:t>
      </w:r>
      <w:r>
        <w:rPr>
          <w:spacing w:val="-11"/>
        </w:rPr>
        <w:t> </w:t>
      </w:r>
      <w:r>
        <w:rPr/>
        <w:t>sino</w:t>
      </w:r>
      <w:r>
        <w:rPr>
          <w:spacing w:val="-15"/>
        </w:rPr>
        <w:t> </w:t>
      </w:r>
      <w:r>
        <w:rPr/>
        <w:t>que</w:t>
      </w:r>
      <w:r>
        <w:rPr>
          <w:spacing w:val="-15"/>
        </w:rPr>
        <w:t> </w:t>
      </w:r>
      <w:r>
        <w:rPr/>
        <w:t>reduce</w:t>
      </w:r>
      <w:r>
        <w:rPr>
          <w:spacing w:val="-13"/>
        </w:rPr>
        <w:t> </w:t>
      </w:r>
      <w:r>
        <w:rPr/>
        <w:t>las</w:t>
      </w:r>
      <w:r>
        <w:rPr>
          <w:spacing w:val="-15"/>
        </w:rPr>
        <w:t> </w:t>
      </w:r>
      <w:r>
        <w:rPr/>
        <w:t>emisiones</w:t>
      </w:r>
      <w:r>
        <w:rPr>
          <w:spacing w:val="-12"/>
        </w:rPr>
        <w:t> </w:t>
      </w:r>
      <w:r>
        <w:rPr/>
        <w:t>de</w:t>
      </w:r>
      <w:r>
        <w:rPr>
          <w:spacing w:val="-13"/>
        </w:rPr>
        <w:t> </w:t>
      </w:r>
      <w:r>
        <w:rPr/>
        <w:t>aguas residuales y de residuos sólidos industriales, raciona el uso de agua potable y cuida la calidad del aire, gracias a la infraestructura y el equipamiento que disponen y que comparten las empresas agrupadas en los parques y sistemas</w:t>
      </w:r>
      <w:r>
        <w:rPr>
          <w:spacing w:val="-19"/>
        </w:rPr>
        <w:t> </w:t>
      </w:r>
      <w:r>
        <w:rPr/>
        <w:t>industriales.</w:t>
      </w:r>
    </w:p>
    <w:p>
      <w:pPr>
        <w:spacing w:after="0" w:line="480" w:lineRule="auto"/>
        <w:jc w:val="both"/>
        <w:sectPr>
          <w:pgSz w:w="12240" w:h="15840"/>
          <w:pgMar w:top="1360" w:bottom="280" w:left="1600" w:right="1580"/>
        </w:sectPr>
      </w:pPr>
    </w:p>
    <w:p>
      <w:pPr>
        <w:pStyle w:val="BodyText"/>
        <w:spacing w:line="480" w:lineRule="auto" w:before="54"/>
        <w:ind w:left="102" w:right="116"/>
        <w:jc w:val="both"/>
      </w:pPr>
      <w:r>
        <w:rPr/>
        <w:t>Es así que la ecoeficiencia en los parques industriales constituye una alternativa para producir más limpiamente bajo parámetros competitivos, centralizar funciones generales administrativas, logísticas, productivas, comerciales y tecnológicas, optimizar el desempeño ambiental de las empresas participantes y disminuir costos de producción, buscar</w:t>
      </w:r>
      <w:r>
        <w:rPr>
          <w:spacing w:val="-11"/>
        </w:rPr>
        <w:t> </w:t>
      </w:r>
      <w:r>
        <w:rPr/>
        <w:t>mayores</w:t>
      </w:r>
      <w:r>
        <w:rPr>
          <w:spacing w:val="-12"/>
        </w:rPr>
        <w:t> </w:t>
      </w:r>
      <w:r>
        <w:rPr/>
        <w:t>impactos</w:t>
      </w:r>
      <w:r>
        <w:rPr>
          <w:spacing w:val="-12"/>
        </w:rPr>
        <w:t> </w:t>
      </w:r>
      <w:r>
        <w:rPr/>
        <w:t>favorables</w:t>
      </w:r>
      <w:r>
        <w:rPr>
          <w:spacing w:val="-12"/>
        </w:rPr>
        <w:t> </w:t>
      </w:r>
      <w:r>
        <w:rPr/>
        <w:t>en</w:t>
      </w:r>
      <w:r>
        <w:rPr>
          <w:spacing w:val="-10"/>
        </w:rPr>
        <w:t> </w:t>
      </w:r>
      <w:r>
        <w:rPr/>
        <w:t>los</w:t>
      </w:r>
      <w:r>
        <w:rPr>
          <w:spacing w:val="-12"/>
        </w:rPr>
        <w:t> </w:t>
      </w:r>
      <w:r>
        <w:rPr/>
        <w:t>entornos</w:t>
      </w:r>
      <w:r>
        <w:rPr>
          <w:spacing w:val="-9"/>
        </w:rPr>
        <w:t> </w:t>
      </w:r>
      <w:r>
        <w:rPr/>
        <w:t>territoriales</w:t>
      </w:r>
      <w:r>
        <w:rPr>
          <w:spacing w:val="-10"/>
        </w:rPr>
        <w:t> </w:t>
      </w:r>
      <w:r>
        <w:rPr/>
        <w:t>donde</w:t>
      </w:r>
      <w:r>
        <w:rPr>
          <w:spacing w:val="-12"/>
        </w:rPr>
        <w:t> </w:t>
      </w:r>
      <w:r>
        <w:rPr/>
        <w:t>están</w:t>
      </w:r>
      <w:r>
        <w:rPr>
          <w:spacing w:val="-10"/>
        </w:rPr>
        <w:t> </w:t>
      </w:r>
      <w:r>
        <w:rPr/>
        <w:t>establecidos, fomentar el ahorro de energía y materias primas, reducir la generación de residuos y materiales tóxicos, disminuir riesgos, contribuir al ahorro en el gasto de control de la contaminación, estimular la disposición de una mano de obra más motivada, reducir los riesgos</w:t>
      </w:r>
      <w:r>
        <w:rPr>
          <w:spacing w:val="-7"/>
        </w:rPr>
        <w:t> </w:t>
      </w:r>
      <w:r>
        <w:rPr/>
        <w:t>civiles</w:t>
      </w:r>
      <w:r>
        <w:rPr>
          <w:spacing w:val="-5"/>
        </w:rPr>
        <w:t> </w:t>
      </w:r>
      <w:r>
        <w:rPr/>
        <w:t>ambientales,</w:t>
      </w:r>
      <w:r>
        <w:rPr>
          <w:spacing w:val="-6"/>
        </w:rPr>
        <w:t> </w:t>
      </w:r>
      <w:r>
        <w:rPr/>
        <w:t>mejorar</w:t>
      </w:r>
      <w:r>
        <w:rPr>
          <w:spacing w:val="-4"/>
        </w:rPr>
        <w:t> </w:t>
      </w:r>
      <w:r>
        <w:rPr/>
        <w:t>la</w:t>
      </w:r>
      <w:r>
        <w:rPr>
          <w:spacing w:val="-5"/>
        </w:rPr>
        <w:t> </w:t>
      </w:r>
      <w:r>
        <w:rPr/>
        <w:t>imagen</w:t>
      </w:r>
      <w:r>
        <w:rPr>
          <w:spacing w:val="-5"/>
        </w:rPr>
        <w:t> </w:t>
      </w:r>
      <w:r>
        <w:rPr/>
        <w:t>pública,</w:t>
      </w:r>
      <w:r>
        <w:rPr>
          <w:spacing w:val="-4"/>
        </w:rPr>
        <w:t> </w:t>
      </w:r>
      <w:r>
        <w:rPr/>
        <w:t>dar</w:t>
      </w:r>
      <w:r>
        <w:rPr>
          <w:spacing w:val="-6"/>
        </w:rPr>
        <w:t> </w:t>
      </w:r>
      <w:r>
        <w:rPr/>
        <w:t>mayor</w:t>
      </w:r>
      <w:r>
        <w:rPr>
          <w:spacing w:val="-7"/>
        </w:rPr>
        <w:t> </w:t>
      </w:r>
      <w:r>
        <w:rPr/>
        <w:t>confianza</w:t>
      </w:r>
      <w:r>
        <w:rPr>
          <w:spacing w:val="-5"/>
        </w:rPr>
        <w:t> </w:t>
      </w:r>
      <w:r>
        <w:rPr/>
        <w:t>al</w:t>
      </w:r>
      <w:r>
        <w:rPr>
          <w:spacing w:val="-6"/>
        </w:rPr>
        <w:t> </w:t>
      </w:r>
      <w:r>
        <w:rPr/>
        <w:t>consumidor, entre otros (Leal,</w:t>
      </w:r>
      <w:r>
        <w:rPr>
          <w:spacing w:val="-8"/>
        </w:rPr>
        <w:t> </w:t>
      </w:r>
      <w:r>
        <w:rPr/>
        <w:t>2005).</w:t>
      </w:r>
    </w:p>
    <w:p>
      <w:pPr>
        <w:pStyle w:val="BodyText"/>
        <w:spacing w:line="480" w:lineRule="auto" w:before="166"/>
        <w:ind w:left="102" w:right="114"/>
        <w:jc w:val="both"/>
      </w:pPr>
      <w:r>
        <w:rPr/>
        <w:t>En este ambiente productivo simbiótico se privilegia el intercambio de materiales entre varias empresas del parque industrial, induciendo a que las unidades productoras y los agentes involucrados compartan el transporte, la infraestructura, el equipamiento disponible, los materiales, la energía, el agua y los sub-productos (Chertown, 2007). La simbiosis</w:t>
      </w:r>
      <w:r>
        <w:rPr>
          <w:spacing w:val="-16"/>
        </w:rPr>
        <w:t> </w:t>
      </w:r>
      <w:r>
        <w:rPr/>
        <w:t>industrial</w:t>
      </w:r>
      <w:r>
        <w:rPr>
          <w:spacing w:val="-17"/>
        </w:rPr>
        <w:t> </w:t>
      </w:r>
      <w:r>
        <w:rPr/>
        <w:t>se</w:t>
      </w:r>
      <w:r>
        <w:rPr>
          <w:spacing w:val="-16"/>
        </w:rPr>
        <w:t> </w:t>
      </w:r>
      <w:r>
        <w:rPr/>
        <w:t>convierte</w:t>
      </w:r>
      <w:r>
        <w:rPr>
          <w:spacing w:val="-16"/>
        </w:rPr>
        <w:t> </w:t>
      </w:r>
      <w:r>
        <w:rPr/>
        <w:t>en</w:t>
      </w:r>
      <w:r>
        <w:rPr>
          <w:spacing w:val="-16"/>
        </w:rPr>
        <w:t> </w:t>
      </w:r>
      <w:r>
        <w:rPr/>
        <w:t>el</w:t>
      </w:r>
      <w:r>
        <w:rPr>
          <w:spacing w:val="-17"/>
        </w:rPr>
        <w:t> </w:t>
      </w:r>
      <w:r>
        <w:rPr/>
        <w:t>elemento</w:t>
      </w:r>
      <w:r>
        <w:rPr>
          <w:spacing w:val="-16"/>
        </w:rPr>
        <w:t> </w:t>
      </w:r>
      <w:r>
        <w:rPr/>
        <w:t>clave</w:t>
      </w:r>
      <w:r>
        <w:rPr>
          <w:spacing w:val="-16"/>
        </w:rPr>
        <w:t> </w:t>
      </w:r>
      <w:r>
        <w:rPr/>
        <w:t>para</w:t>
      </w:r>
      <w:r>
        <w:rPr>
          <w:spacing w:val="-16"/>
        </w:rPr>
        <w:t> </w:t>
      </w:r>
      <w:r>
        <w:rPr/>
        <w:t>la</w:t>
      </w:r>
      <w:r>
        <w:rPr>
          <w:spacing w:val="-16"/>
        </w:rPr>
        <w:t> </w:t>
      </w:r>
      <w:r>
        <w:rPr/>
        <w:t>producción</w:t>
      </w:r>
      <w:r>
        <w:rPr>
          <w:spacing w:val="-16"/>
        </w:rPr>
        <w:t> </w:t>
      </w:r>
      <w:r>
        <w:rPr/>
        <w:t>sustentable,</w:t>
      </w:r>
      <w:r>
        <w:rPr>
          <w:spacing w:val="-14"/>
        </w:rPr>
        <w:t> </w:t>
      </w:r>
      <w:r>
        <w:rPr/>
        <w:t>siendo al mismo tiempo uno de los principales retos para extender su existencia a todos los sectores productivos, principalmente en aquellas economías donde las formas de producción siguen siendo lineales, cuya interacción empresarial no está plenamente desarrollada.</w:t>
      </w:r>
    </w:p>
    <w:p>
      <w:pPr>
        <w:pStyle w:val="BodyText"/>
        <w:spacing w:line="480" w:lineRule="auto" w:before="166"/>
        <w:ind w:left="102" w:right="117"/>
        <w:jc w:val="both"/>
      </w:pPr>
      <w:r>
        <w:rPr/>
        <w:t>La funcionalidad de la simbiosis industrial está definido por la colaboración, cohesión y la sinergia</w:t>
      </w:r>
      <w:r>
        <w:rPr>
          <w:spacing w:val="-12"/>
        </w:rPr>
        <w:t> </w:t>
      </w:r>
      <w:r>
        <w:rPr/>
        <w:t>que</w:t>
      </w:r>
      <w:r>
        <w:rPr>
          <w:spacing w:val="-10"/>
        </w:rPr>
        <w:t> </w:t>
      </w:r>
      <w:r>
        <w:rPr/>
        <w:t>puede</w:t>
      </w:r>
      <w:r>
        <w:rPr>
          <w:spacing w:val="-10"/>
        </w:rPr>
        <w:t> </w:t>
      </w:r>
      <w:r>
        <w:rPr/>
        <w:t>existir</w:t>
      </w:r>
      <w:r>
        <w:rPr>
          <w:spacing w:val="-6"/>
        </w:rPr>
        <w:t> </w:t>
      </w:r>
      <w:r>
        <w:rPr/>
        <w:t>entre</w:t>
      </w:r>
      <w:r>
        <w:rPr>
          <w:spacing w:val="-10"/>
        </w:rPr>
        <w:t> </w:t>
      </w:r>
      <w:r>
        <w:rPr/>
        <w:t>las</w:t>
      </w:r>
      <w:r>
        <w:rPr>
          <w:spacing w:val="-10"/>
        </w:rPr>
        <w:t> </w:t>
      </w:r>
      <w:r>
        <w:rPr/>
        <w:t>distintas</w:t>
      </w:r>
      <w:r>
        <w:rPr>
          <w:spacing w:val="-9"/>
        </w:rPr>
        <w:t> </w:t>
      </w:r>
      <w:r>
        <w:rPr/>
        <w:t>actividades</w:t>
      </w:r>
      <w:r>
        <w:rPr>
          <w:spacing w:val="-7"/>
        </w:rPr>
        <w:t> </w:t>
      </w:r>
      <w:r>
        <w:rPr/>
        <w:t>económicas</w:t>
      </w:r>
      <w:r>
        <w:rPr>
          <w:spacing w:val="-10"/>
        </w:rPr>
        <w:t> </w:t>
      </w:r>
      <w:r>
        <w:rPr/>
        <w:t>ubicadas</w:t>
      </w:r>
      <w:r>
        <w:rPr>
          <w:spacing w:val="-7"/>
        </w:rPr>
        <w:t> </w:t>
      </w:r>
      <w:r>
        <w:rPr/>
        <w:t>en</w:t>
      </w:r>
      <w:r>
        <w:rPr>
          <w:spacing w:val="-12"/>
        </w:rPr>
        <w:t> </w:t>
      </w:r>
      <w:r>
        <w:rPr/>
        <w:t>territorios geográficamente próximos, lo que posibilita el surgimiento y crecimiento de ecoparques industriales,</w:t>
      </w:r>
      <w:r>
        <w:rPr>
          <w:spacing w:val="-9"/>
        </w:rPr>
        <w:t> </w:t>
      </w:r>
      <w:r>
        <w:rPr/>
        <w:t>considerados</w:t>
      </w:r>
      <w:r>
        <w:rPr>
          <w:spacing w:val="-10"/>
        </w:rPr>
        <w:t> </w:t>
      </w:r>
      <w:r>
        <w:rPr/>
        <w:t>como</w:t>
      </w:r>
      <w:r>
        <w:rPr>
          <w:spacing w:val="-10"/>
        </w:rPr>
        <w:t> </w:t>
      </w:r>
      <w:r>
        <w:rPr/>
        <w:t>unidades</w:t>
      </w:r>
      <w:r>
        <w:rPr>
          <w:spacing w:val="-10"/>
        </w:rPr>
        <w:t> </w:t>
      </w:r>
      <w:r>
        <w:rPr/>
        <w:t>de</w:t>
      </w:r>
      <w:r>
        <w:rPr>
          <w:spacing w:val="-10"/>
        </w:rPr>
        <w:t> </w:t>
      </w:r>
      <w:r>
        <w:rPr/>
        <w:t>producción</w:t>
      </w:r>
      <w:r>
        <w:rPr>
          <w:spacing w:val="-10"/>
        </w:rPr>
        <w:t> </w:t>
      </w:r>
      <w:r>
        <w:rPr/>
        <w:t>y</w:t>
      </w:r>
      <w:r>
        <w:rPr>
          <w:spacing w:val="-12"/>
        </w:rPr>
        <w:t> </w:t>
      </w:r>
      <w:r>
        <w:rPr/>
        <w:t>negocio,</w:t>
      </w:r>
      <w:r>
        <w:rPr>
          <w:spacing w:val="-9"/>
        </w:rPr>
        <w:t> </w:t>
      </w:r>
      <w:r>
        <w:rPr/>
        <w:t>en</w:t>
      </w:r>
      <w:r>
        <w:rPr>
          <w:spacing w:val="-10"/>
        </w:rPr>
        <w:t> </w:t>
      </w:r>
      <w:r>
        <w:rPr/>
        <w:t>el</w:t>
      </w:r>
      <w:r>
        <w:rPr>
          <w:spacing w:val="-14"/>
        </w:rPr>
        <w:t> </w:t>
      </w:r>
      <w:r>
        <w:rPr/>
        <w:t>que</w:t>
      </w:r>
      <w:r>
        <w:rPr>
          <w:spacing w:val="-10"/>
        </w:rPr>
        <w:t> </w:t>
      </w:r>
      <w:r>
        <w:rPr/>
        <w:t>las</w:t>
      </w:r>
      <w:r>
        <w:rPr>
          <w:spacing w:val="-10"/>
        </w:rPr>
        <w:t> </w:t>
      </w:r>
      <w:r>
        <w:rPr/>
        <w:t>empresas instaladas</w:t>
      </w:r>
      <w:r>
        <w:rPr>
          <w:spacing w:val="-8"/>
        </w:rPr>
        <w:t> </w:t>
      </w:r>
      <w:r>
        <w:rPr/>
        <w:t>cooperan</w:t>
      </w:r>
      <w:r>
        <w:rPr>
          <w:spacing w:val="-10"/>
        </w:rPr>
        <w:t> </w:t>
      </w:r>
      <w:r>
        <w:rPr/>
        <w:t>entre</w:t>
      </w:r>
      <w:r>
        <w:rPr>
          <w:spacing w:val="-8"/>
        </w:rPr>
        <w:t> </w:t>
      </w:r>
      <w:r>
        <w:rPr/>
        <w:t>sí,</w:t>
      </w:r>
      <w:r>
        <w:rPr>
          <w:spacing w:val="-7"/>
        </w:rPr>
        <w:t> </w:t>
      </w:r>
      <w:r>
        <w:rPr/>
        <w:t>comparten</w:t>
      </w:r>
      <w:r>
        <w:rPr>
          <w:spacing w:val="-10"/>
        </w:rPr>
        <w:t> </w:t>
      </w:r>
      <w:r>
        <w:rPr/>
        <w:t>sus</w:t>
      </w:r>
      <w:r>
        <w:rPr>
          <w:spacing w:val="-10"/>
        </w:rPr>
        <w:t> </w:t>
      </w:r>
      <w:r>
        <w:rPr/>
        <w:t>recursos</w:t>
      </w:r>
      <w:r>
        <w:rPr>
          <w:spacing w:val="-8"/>
        </w:rPr>
        <w:t> </w:t>
      </w:r>
      <w:r>
        <w:rPr/>
        <w:t>para</w:t>
      </w:r>
      <w:r>
        <w:rPr>
          <w:spacing w:val="-10"/>
        </w:rPr>
        <w:t> </w:t>
      </w:r>
      <w:r>
        <w:rPr/>
        <w:t>alcanzar</w:t>
      </w:r>
      <w:r>
        <w:rPr>
          <w:spacing w:val="-7"/>
        </w:rPr>
        <w:t> </w:t>
      </w:r>
      <w:r>
        <w:rPr/>
        <w:t>una</w:t>
      </w:r>
      <w:r>
        <w:rPr>
          <w:spacing w:val="-10"/>
        </w:rPr>
        <w:t> </w:t>
      </w:r>
      <w:r>
        <w:rPr/>
        <w:t>mejora</w:t>
      </w:r>
      <w:r>
        <w:rPr>
          <w:spacing w:val="-10"/>
        </w:rPr>
        <w:t> </w:t>
      </w:r>
      <w:r>
        <w:rPr/>
        <w:t>económica y</w:t>
      </w:r>
      <w:r>
        <w:rPr>
          <w:spacing w:val="-17"/>
        </w:rPr>
        <w:t> </w:t>
      </w:r>
      <w:r>
        <w:rPr/>
        <w:t>social,</w:t>
      </w:r>
      <w:r>
        <w:rPr>
          <w:spacing w:val="-13"/>
        </w:rPr>
        <w:t> </w:t>
      </w:r>
      <w:r>
        <w:rPr/>
        <w:t>reducen</w:t>
      </w:r>
      <w:r>
        <w:rPr>
          <w:spacing w:val="-17"/>
        </w:rPr>
        <w:t> </w:t>
      </w:r>
      <w:r>
        <w:rPr/>
        <w:t>las</w:t>
      </w:r>
      <w:r>
        <w:rPr>
          <w:spacing w:val="-17"/>
        </w:rPr>
        <w:t> </w:t>
      </w:r>
      <w:r>
        <w:rPr/>
        <w:t>repercusiones</w:t>
      </w:r>
      <w:r>
        <w:rPr>
          <w:spacing w:val="-17"/>
        </w:rPr>
        <w:t> </w:t>
      </w:r>
      <w:r>
        <w:rPr/>
        <w:t>sobre</w:t>
      </w:r>
      <w:r>
        <w:rPr>
          <w:spacing w:val="-17"/>
        </w:rPr>
        <w:t> </w:t>
      </w:r>
      <w:r>
        <w:rPr/>
        <w:t>el</w:t>
      </w:r>
      <w:r>
        <w:rPr>
          <w:spacing w:val="-16"/>
        </w:rPr>
        <w:t> </w:t>
      </w:r>
      <w:r>
        <w:rPr/>
        <w:t>ambiente,</w:t>
      </w:r>
      <w:r>
        <w:rPr>
          <w:spacing w:val="-15"/>
        </w:rPr>
        <w:t> </w:t>
      </w:r>
      <w:r>
        <w:rPr/>
        <w:t>mejoran</w:t>
      </w:r>
      <w:r>
        <w:rPr>
          <w:spacing w:val="-15"/>
        </w:rPr>
        <w:t> </w:t>
      </w:r>
      <w:r>
        <w:rPr/>
        <w:t>la</w:t>
      </w:r>
      <w:r>
        <w:rPr>
          <w:spacing w:val="-17"/>
        </w:rPr>
        <w:t> </w:t>
      </w:r>
      <w:r>
        <w:rPr/>
        <w:t>competitividad,</w:t>
      </w:r>
      <w:r>
        <w:rPr>
          <w:spacing w:val="-14"/>
        </w:rPr>
        <w:t> </w:t>
      </w:r>
      <w:r>
        <w:rPr/>
        <w:t>minimizan</w:t>
      </w:r>
    </w:p>
    <w:p>
      <w:pPr>
        <w:spacing w:after="0" w:line="480" w:lineRule="auto"/>
        <w:jc w:val="both"/>
        <w:sectPr>
          <w:pgSz w:w="12240" w:h="15840"/>
          <w:pgMar w:top="1360" w:bottom="280" w:left="1600" w:right="1580"/>
        </w:sectPr>
      </w:pPr>
    </w:p>
    <w:p>
      <w:pPr>
        <w:pStyle w:val="BodyText"/>
        <w:spacing w:line="480" w:lineRule="auto" w:before="54"/>
        <w:ind w:left="102" w:right="122"/>
        <w:jc w:val="both"/>
      </w:pPr>
      <w:r>
        <w:rPr/>
        <w:t>costos</w:t>
      </w:r>
      <w:r>
        <w:rPr>
          <w:spacing w:val="-12"/>
        </w:rPr>
        <w:t> </w:t>
      </w:r>
      <w:r>
        <w:rPr/>
        <w:t>y</w:t>
      </w:r>
      <w:r>
        <w:rPr>
          <w:spacing w:val="-12"/>
        </w:rPr>
        <w:t> </w:t>
      </w:r>
      <w:r>
        <w:rPr/>
        <w:t>el</w:t>
      </w:r>
      <w:r>
        <w:rPr>
          <w:spacing w:val="-11"/>
        </w:rPr>
        <w:t> </w:t>
      </w:r>
      <w:r>
        <w:rPr/>
        <w:t>consumo</w:t>
      </w:r>
      <w:r>
        <w:rPr>
          <w:spacing w:val="-10"/>
        </w:rPr>
        <w:t> </w:t>
      </w:r>
      <w:r>
        <w:rPr/>
        <w:t>de</w:t>
      </w:r>
      <w:r>
        <w:rPr>
          <w:spacing w:val="-15"/>
        </w:rPr>
        <w:t> </w:t>
      </w:r>
      <w:r>
        <w:rPr/>
        <w:t>recursos,</w:t>
      </w:r>
      <w:r>
        <w:rPr>
          <w:spacing w:val="-9"/>
        </w:rPr>
        <w:t> </w:t>
      </w:r>
      <w:r>
        <w:rPr/>
        <w:t>así</w:t>
      </w:r>
      <w:r>
        <w:rPr>
          <w:spacing w:val="-14"/>
        </w:rPr>
        <w:t> </w:t>
      </w:r>
      <w:r>
        <w:rPr/>
        <w:t>como</w:t>
      </w:r>
      <w:r>
        <w:rPr>
          <w:spacing w:val="-12"/>
        </w:rPr>
        <w:t> </w:t>
      </w:r>
      <w:r>
        <w:rPr/>
        <w:t>la</w:t>
      </w:r>
      <w:r>
        <w:rPr>
          <w:spacing w:val="-10"/>
        </w:rPr>
        <w:t> </w:t>
      </w:r>
      <w:r>
        <w:rPr/>
        <w:t>promoción</w:t>
      </w:r>
      <w:r>
        <w:rPr>
          <w:spacing w:val="-10"/>
        </w:rPr>
        <w:t> </w:t>
      </w:r>
      <w:r>
        <w:rPr/>
        <w:t>y</w:t>
      </w:r>
      <w:r>
        <w:rPr>
          <w:spacing w:val="-12"/>
        </w:rPr>
        <w:t> </w:t>
      </w:r>
      <w:r>
        <w:rPr/>
        <w:t>desarrollo</w:t>
      </w:r>
      <w:r>
        <w:rPr>
          <w:spacing w:val="-10"/>
        </w:rPr>
        <w:t> </w:t>
      </w:r>
      <w:r>
        <w:rPr/>
        <w:t>de</w:t>
      </w:r>
      <w:r>
        <w:rPr>
          <w:spacing w:val="-13"/>
        </w:rPr>
        <w:t> </w:t>
      </w:r>
      <w:r>
        <w:rPr/>
        <w:t>nuevas</w:t>
      </w:r>
      <w:r>
        <w:rPr>
          <w:spacing w:val="-10"/>
        </w:rPr>
        <w:t> </w:t>
      </w:r>
      <w:r>
        <w:rPr/>
        <w:t>actividades (Golf y Molinero, 2009; Messner, 2002; Vázquez,</w:t>
      </w:r>
      <w:r>
        <w:rPr>
          <w:spacing w:val="-15"/>
        </w:rPr>
        <w:t> </w:t>
      </w:r>
      <w:r>
        <w:rPr/>
        <w:t>1993).</w:t>
      </w:r>
    </w:p>
    <w:p>
      <w:pPr>
        <w:pStyle w:val="BodyText"/>
        <w:spacing w:line="480" w:lineRule="auto" w:before="168"/>
        <w:ind w:left="102" w:right="115"/>
        <w:jc w:val="both"/>
      </w:pPr>
      <w:r>
        <w:rPr/>
        <w:t>En el corto plazo, este ambiente industrial debe verse como una tendencia para aminorar las presiones ambientales y fomentar la sustentabilidad productiva, aunque es cierto que cuando los residuos de materiales y energías no son recuperados y reutilizados, su disposición incontrolada perturba los sistemas físicos y biológicos, cuyos daños son en la mayoría de las veces irreparables (Seoánez, 1998).</w:t>
      </w:r>
    </w:p>
    <w:p>
      <w:pPr>
        <w:pStyle w:val="BodyText"/>
      </w:pPr>
    </w:p>
    <w:p>
      <w:pPr>
        <w:pStyle w:val="BodyText"/>
      </w:pPr>
    </w:p>
    <w:p>
      <w:pPr>
        <w:pStyle w:val="Heading2"/>
        <w:spacing w:line="480" w:lineRule="auto" w:before="164"/>
        <w:ind w:right="125"/>
      </w:pPr>
      <w:r>
        <w:rPr/>
        <w:t>¿ES POSIBLE CUANTIFICAR LA PRODUCCIÓN SUSTENTABLE EN LOS PARQUES INDUSTRIALES?</w:t>
      </w:r>
    </w:p>
    <w:p>
      <w:pPr>
        <w:pStyle w:val="BodyText"/>
        <w:spacing w:line="480" w:lineRule="auto" w:before="171"/>
        <w:ind w:left="102" w:right="114"/>
        <w:jc w:val="both"/>
      </w:pPr>
      <w:r>
        <w:rPr/>
        <w:t>La mera integración de empresas </w:t>
      </w:r>
      <w:r>
        <w:rPr>
          <w:spacing w:val="-3"/>
        </w:rPr>
        <w:t>vía </w:t>
      </w:r>
      <w:r>
        <w:rPr/>
        <w:t>parques industriales no es garantía de eficiencia y sustentabilidad</w:t>
      </w:r>
      <w:r>
        <w:rPr>
          <w:spacing w:val="-11"/>
        </w:rPr>
        <w:t> </w:t>
      </w:r>
      <w:r>
        <w:rPr/>
        <w:t>productiva,</w:t>
      </w:r>
      <w:r>
        <w:rPr>
          <w:spacing w:val="-10"/>
        </w:rPr>
        <w:t> </w:t>
      </w:r>
      <w:r>
        <w:rPr/>
        <w:t>ya</w:t>
      </w:r>
      <w:r>
        <w:rPr>
          <w:spacing w:val="-13"/>
        </w:rPr>
        <w:t> </w:t>
      </w:r>
      <w:r>
        <w:rPr/>
        <w:t>que</w:t>
      </w:r>
      <w:r>
        <w:rPr>
          <w:spacing w:val="-11"/>
        </w:rPr>
        <w:t> </w:t>
      </w:r>
      <w:r>
        <w:rPr/>
        <w:t>es</w:t>
      </w:r>
      <w:r>
        <w:rPr>
          <w:spacing w:val="-14"/>
        </w:rPr>
        <w:t> </w:t>
      </w:r>
      <w:r>
        <w:rPr/>
        <w:t>necesario</w:t>
      </w:r>
      <w:r>
        <w:rPr>
          <w:spacing w:val="-11"/>
        </w:rPr>
        <w:t> </w:t>
      </w:r>
      <w:r>
        <w:rPr/>
        <w:t>la</w:t>
      </w:r>
      <w:r>
        <w:rPr>
          <w:spacing w:val="-16"/>
        </w:rPr>
        <w:t> </w:t>
      </w:r>
      <w:r>
        <w:rPr/>
        <w:t>disponibilidad</w:t>
      </w:r>
      <w:r>
        <w:rPr>
          <w:spacing w:val="-11"/>
        </w:rPr>
        <w:t> </w:t>
      </w:r>
      <w:r>
        <w:rPr/>
        <w:t>de</w:t>
      </w:r>
      <w:r>
        <w:rPr>
          <w:spacing w:val="-11"/>
        </w:rPr>
        <w:t> </w:t>
      </w:r>
      <w:r>
        <w:rPr/>
        <w:t>condiciones</w:t>
      </w:r>
      <w:r>
        <w:rPr>
          <w:spacing w:val="-11"/>
        </w:rPr>
        <w:t> </w:t>
      </w:r>
      <w:r>
        <w:rPr/>
        <w:t>internas</w:t>
      </w:r>
      <w:r>
        <w:rPr>
          <w:spacing w:val="-13"/>
        </w:rPr>
        <w:t> </w:t>
      </w:r>
      <w:r>
        <w:rPr/>
        <w:t>en términos de infraestructura y equipamiento industrial, así como de condiciones externas capaces</w:t>
      </w:r>
      <w:r>
        <w:rPr>
          <w:spacing w:val="-5"/>
        </w:rPr>
        <w:t> </w:t>
      </w:r>
      <w:r>
        <w:rPr/>
        <w:t>no</w:t>
      </w:r>
      <w:r>
        <w:rPr>
          <w:spacing w:val="-6"/>
        </w:rPr>
        <w:t> </w:t>
      </w:r>
      <w:r>
        <w:rPr/>
        <w:t>sólo</w:t>
      </w:r>
      <w:r>
        <w:rPr>
          <w:spacing w:val="-5"/>
        </w:rPr>
        <w:t> </w:t>
      </w:r>
      <w:r>
        <w:rPr/>
        <w:t>de</w:t>
      </w:r>
      <w:r>
        <w:rPr>
          <w:spacing w:val="-8"/>
        </w:rPr>
        <w:t> </w:t>
      </w:r>
      <w:r>
        <w:rPr/>
        <w:t>favorecer</w:t>
      </w:r>
      <w:r>
        <w:rPr>
          <w:spacing w:val="-5"/>
        </w:rPr>
        <w:t> </w:t>
      </w:r>
      <w:r>
        <w:rPr/>
        <w:t>el</w:t>
      </w:r>
      <w:r>
        <w:rPr>
          <w:spacing w:val="-6"/>
        </w:rPr>
        <w:t> </w:t>
      </w:r>
      <w:r>
        <w:rPr/>
        <w:t>establecimiento</w:t>
      </w:r>
      <w:r>
        <w:rPr>
          <w:spacing w:val="-5"/>
        </w:rPr>
        <w:t> </w:t>
      </w:r>
      <w:r>
        <w:rPr/>
        <w:t>y</w:t>
      </w:r>
      <w:r>
        <w:rPr>
          <w:spacing w:val="-12"/>
        </w:rPr>
        <w:t> </w:t>
      </w:r>
      <w:r>
        <w:rPr/>
        <w:t>funcionamiento</w:t>
      </w:r>
      <w:r>
        <w:rPr>
          <w:spacing w:val="-5"/>
        </w:rPr>
        <w:t> </w:t>
      </w:r>
      <w:r>
        <w:rPr/>
        <w:t>de</w:t>
      </w:r>
      <w:r>
        <w:rPr>
          <w:spacing w:val="-6"/>
        </w:rPr>
        <w:t> </w:t>
      </w:r>
      <w:r>
        <w:rPr/>
        <w:t>empresas,</w:t>
      </w:r>
      <w:r>
        <w:rPr>
          <w:spacing w:val="-5"/>
        </w:rPr>
        <w:t> </w:t>
      </w:r>
      <w:r>
        <w:rPr/>
        <w:t>sino</w:t>
      </w:r>
      <w:r>
        <w:rPr>
          <w:spacing w:val="-6"/>
        </w:rPr>
        <w:t> </w:t>
      </w:r>
      <w:r>
        <w:rPr/>
        <w:t>hacer de estos ambientes productivos sostenible en la temporalidad, con efectos positivos en el entorno de ubicación (Iglesias,</w:t>
      </w:r>
      <w:r>
        <w:rPr>
          <w:spacing w:val="-10"/>
        </w:rPr>
        <w:t> </w:t>
      </w:r>
      <w:r>
        <w:rPr/>
        <w:t>2013).</w:t>
      </w:r>
    </w:p>
    <w:p>
      <w:pPr>
        <w:pStyle w:val="BodyText"/>
        <w:spacing w:line="480" w:lineRule="auto" w:before="166"/>
        <w:ind w:left="102" w:right="116"/>
        <w:jc w:val="both"/>
      </w:pPr>
      <w:r>
        <w:rPr/>
        <w:t>Por tanto, para que la industria se encamine hacia la creación y maduración de sistemas productivos sustentable, es necesario tomar en cuenta tanto la tecnología como todos aquellos factores que están presentes en el entorno, como la infraestructura, el capital social, la capacidad de organización, las instituciones financieras y el propio ambiente, la capacidad funcional de la sociedad, la confianza que estos tiene para desarrollar alguna actividad, el tipo de políticas públicas, la organización de las autoridades locales, así como los patrones y comportamientos de los diferentes colectivos sociales (Vázquez, 1993; Messner, 2002). Estos requerimientos deben ser susceptibles de cuantificar y medir por</w:t>
      </w:r>
    </w:p>
    <w:p>
      <w:pPr>
        <w:spacing w:after="0" w:line="480" w:lineRule="auto"/>
        <w:jc w:val="both"/>
        <w:sectPr>
          <w:pgSz w:w="12240" w:h="15840"/>
          <w:pgMar w:top="1360" w:bottom="280" w:left="1600" w:right="1580"/>
        </w:sectPr>
      </w:pPr>
    </w:p>
    <w:p>
      <w:pPr>
        <w:pStyle w:val="BodyText"/>
        <w:spacing w:line="480" w:lineRule="auto" w:before="54"/>
        <w:ind w:left="102" w:right="18"/>
      </w:pPr>
      <w:r>
        <w:rPr/>
        <w:t>medio de indicadores para tomar decisiones y planear su funcionalidad temporal, evitando en lo sumo las externalidades ambientales negativas.</w:t>
      </w:r>
    </w:p>
    <w:p>
      <w:pPr>
        <w:pStyle w:val="BodyText"/>
        <w:spacing w:line="480" w:lineRule="auto" w:before="168"/>
        <w:ind w:left="102" w:right="117"/>
        <w:jc w:val="both"/>
      </w:pPr>
      <w:r>
        <w:rPr/>
        <w:t>Los indicadores como datos precisos y puntuales, dimensionan la evolución o comportamiento de cada una de las categorías y variables explicativas del ambiente productivo industrial. Adicionalmente, proporciona información relevante para definir mecanismo de acción e intervención, ya que buscan mediar, a través de la información existente,</w:t>
      </w:r>
      <w:r>
        <w:rPr>
          <w:spacing w:val="-15"/>
        </w:rPr>
        <w:t> </w:t>
      </w:r>
      <w:r>
        <w:rPr/>
        <w:t>un</w:t>
      </w:r>
      <w:r>
        <w:rPr>
          <w:spacing w:val="-16"/>
        </w:rPr>
        <w:t> </w:t>
      </w:r>
      <w:r>
        <w:rPr/>
        <w:t>estado</w:t>
      </w:r>
      <w:r>
        <w:rPr>
          <w:spacing w:val="-18"/>
        </w:rPr>
        <w:t> </w:t>
      </w:r>
      <w:r>
        <w:rPr/>
        <w:t>final</w:t>
      </w:r>
      <w:r>
        <w:rPr>
          <w:spacing w:val="-19"/>
        </w:rPr>
        <w:t> </w:t>
      </w:r>
      <w:r>
        <w:rPr/>
        <w:t>para</w:t>
      </w:r>
      <w:r>
        <w:rPr>
          <w:spacing w:val="-16"/>
        </w:rPr>
        <w:t> </w:t>
      </w:r>
      <w:r>
        <w:rPr/>
        <w:t>cada</w:t>
      </w:r>
      <w:r>
        <w:rPr>
          <w:spacing w:val="-16"/>
        </w:rPr>
        <w:t> </w:t>
      </w:r>
      <w:r>
        <w:rPr/>
        <w:t>componente.</w:t>
      </w:r>
      <w:r>
        <w:rPr>
          <w:spacing w:val="-17"/>
        </w:rPr>
        <w:t> </w:t>
      </w:r>
      <w:r>
        <w:rPr/>
        <w:t>Para</w:t>
      </w:r>
      <w:r>
        <w:rPr>
          <w:spacing w:val="-15"/>
        </w:rPr>
        <w:t> </w:t>
      </w:r>
      <w:r>
        <w:rPr/>
        <w:t>transformar</w:t>
      </w:r>
      <w:r>
        <w:rPr>
          <w:spacing w:val="-15"/>
        </w:rPr>
        <w:t> </w:t>
      </w:r>
      <w:r>
        <w:rPr/>
        <w:t>la</w:t>
      </w:r>
      <w:r>
        <w:rPr>
          <w:spacing w:val="-16"/>
        </w:rPr>
        <w:t> </w:t>
      </w:r>
      <w:r>
        <w:rPr/>
        <w:t>información</w:t>
      </w:r>
      <w:r>
        <w:rPr>
          <w:spacing w:val="-16"/>
        </w:rPr>
        <w:t> </w:t>
      </w:r>
      <w:r>
        <w:rPr/>
        <w:t>cualitativa en indicadores, es necesario que (Fundación Friedrich Eber,</w:t>
      </w:r>
      <w:r>
        <w:rPr>
          <w:spacing w:val="-13"/>
        </w:rPr>
        <w:t> </w:t>
      </w:r>
      <w:r>
        <w:rPr/>
        <w:t>2001):</w:t>
      </w:r>
    </w:p>
    <w:p>
      <w:pPr>
        <w:pStyle w:val="ListParagraph"/>
        <w:numPr>
          <w:ilvl w:val="0"/>
          <w:numId w:val="2"/>
        </w:numPr>
        <w:tabs>
          <w:tab w:pos="239" w:val="left" w:leader="none"/>
        </w:tabs>
        <w:spacing w:line="240" w:lineRule="auto" w:before="166" w:after="0"/>
        <w:ind w:left="102" w:right="0" w:firstLine="0"/>
        <w:jc w:val="both"/>
        <w:rPr>
          <w:sz w:val="22"/>
        </w:rPr>
      </w:pPr>
      <w:r>
        <w:rPr>
          <w:sz w:val="22"/>
        </w:rPr>
        <w:t>Sean fáciles de cuantificar, agregar y</w:t>
      </w:r>
      <w:r>
        <w:rPr>
          <w:spacing w:val="-16"/>
          <w:sz w:val="22"/>
        </w:rPr>
        <w:t> </w:t>
      </w:r>
      <w:r>
        <w:rPr>
          <w:sz w:val="22"/>
        </w:rPr>
        <w:t>desagregar.</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Sean sencillos, de fácil manejo e</w:t>
      </w:r>
      <w:r>
        <w:rPr>
          <w:spacing w:val="-15"/>
          <w:sz w:val="22"/>
        </w:rPr>
        <w:t> </w:t>
      </w:r>
      <w:r>
        <w:rPr>
          <w:sz w:val="22"/>
        </w:rPr>
        <w:t>interpretación.</w:t>
      </w:r>
    </w:p>
    <w:p>
      <w:pPr>
        <w:pStyle w:val="BodyText"/>
      </w:pPr>
    </w:p>
    <w:p>
      <w:pPr>
        <w:pStyle w:val="ListParagraph"/>
        <w:numPr>
          <w:ilvl w:val="0"/>
          <w:numId w:val="2"/>
        </w:numPr>
        <w:tabs>
          <w:tab w:pos="239" w:val="left" w:leader="none"/>
        </w:tabs>
        <w:spacing w:line="240" w:lineRule="auto" w:before="159" w:after="0"/>
        <w:ind w:left="238" w:right="0" w:hanging="136"/>
        <w:jc w:val="both"/>
        <w:rPr>
          <w:sz w:val="22"/>
        </w:rPr>
      </w:pPr>
      <w:r>
        <w:rPr>
          <w:sz w:val="22"/>
        </w:rPr>
        <w:t>Sean susceptibles de actualizarse</w:t>
      </w:r>
      <w:r>
        <w:rPr>
          <w:spacing w:val="-10"/>
          <w:sz w:val="22"/>
        </w:rPr>
        <w:t> </w:t>
      </w:r>
      <w:r>
        <w:rPr>
          <w:sz w:val="22"/>
        </w:rPr>
        <w:t>constantemente.</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Estén disponibles</w:t>
      </w:r>
      <w:r>
        <w:rPr>
          <w:spacing w:val="-11"/>
          <w:sz w:val="22"/>
        </w:rPr>
        <w:t> </w:t>
      </w:r>
      <w:r>
        <w:rPr>
          <w:sz w:val="22"/>
        </w:rPr>
        <w:t>periódicamente.</w:t>
      </w:r>
    </w:p>
    <w:p>
      <w:pPr>
        <w:pStyle w:val="BodyText"/>
      </w:pPr>
    </w:p>
    <w:p>
      <w:pPr>
        <w:pStyle w:val="ListParagraph"/>
        <w:numPr>
          <w:ilvl w:val="0"/>
          <w:numId w:val="2"/>
        </w:numPr>
        <w:tabs>
          <w:tab w:pos="251" w:val="left" w:leader="none"/>
        </w:tabs>
        <w:spacing w:line="480" w:lineRule="auto" w:before="159" w:after="0"/>
        <w:ind w:left="102" w:right="113" w:firstLine="0"/>
        <w:jc w:val="left"/>
        <w:rPr>
          <w:sz w:val="22"/>
        </w:rPr>
      </w:pPr>
      <w:r>
        <w:rPr>
          <w:sz w:val="22"/>
        </w:rPr>
        <w:t>Sean confiables o quien lo genere deben gozar de confiabilidad y credibilidad científica- institucional.</w:t>
      </w:r>
    </w:p>
    <w:p>
      <w:pPr>
        <w:pStyle w:val="ListParagraph"/>
        <w:numPr>
          <w:ilvl w:val="0"/>
          <w:numId w:val="2"/>
        </w:numPr>
        <w:tabs>
          <w:tab w:pos="239" w:val="left" w:leader="none"/>
        </w:tabs>
        <w:spacing w:line="240" w:lineRule="auto" w:before="168" w:after="0"/>
        <w:ind w:left="238" w:right="0" w:hanging="136"/>
        <w:jc w:val="both"/>
        <w:rPr>
          <w:sz w:val="22"/>
        </w:rPr>
      </w:pPr>
      <w:r>
        <w:rPr>
          <w:sz w:val="22"/>
        </w:rPr>
        <w:t>Sean comparables en el</w:t>
      </w:r>
      <w:r>
        <w:rPr>
          <w:spacing w:val="-10"/>
          <w:sz w:val="22"/>
        </w:rPr>
        <w:t> </w:t>
      </w:r>
      <w:r>
        <w:rPr>
          <w:sz w:val="22"/>
        </w:rPr>
        <w:t>tiempo.</w:t>
      </w:r>
    </w:p>
    <w:p>
      <w:pPr>
        <w:pStyle w:val="BodyText"/>
      </w:pPr>
    </w:p>
    <w:p>
      <w:pPr>
        <w:pStyle w:val="ListParagraph"/>
        <w:numPr>
          <w:ilvl w:val="0"/>
          <w:numId w:val="2"/>
        </w:numPr>
        <w:tabs>
          <w:tab w:pos="237" w:val="left" w:leader="none"/>
        </w:tabs>
        <w:spacing w:line="240" w:lineRule="auto" w:before="159" w:after="0"/>
        <w:ind w:left="236" w:right="0" w:hanging="134"/>
        <w:jc w:val="both"/>
        <w:rPr>
          <w:sz w:val="22"/>
        </w:rPr>
      </w:pPr>
      <w:r>
        <w:rPr>
          <w:sz w:val="22"/>
        </w:rPr>
        <w:t>Que tengan una significación</w:t>
      </w:r>
      <w:r>
        <w:rPr>
          <w:spacing w:val="-11"/>
          <w:sz w:val="22"/>
        </w:rPr>
        <w:t> </w:t>
      </w:r>
      <w:r>
        <w:rPr>
          <w:sz w:val="22"/>
        </w:rPr>
        <w:t>conceptual.</w:t>
      </w:r>
    </w:p>
    <w:p>
      <w:pPr>
        <w:pStyle w:val="BodyText"/>
      </w:pPr>
    </w:p>
    <w:p>
      <w:pPr>
        <w:pStyle w:val="BodyText"/>
        <w:spacing w:line="480" w:lineRule="auto" w:before="159"/>
        <w:ind w:left="102" w:right="18"/>
      </w:pPr>
      <w:r>
        <w:rPr/>
        <w:t>En</w:t>
      </w:r>
      <w:r>
        <w:rPr>
          <w:spacing w:val="-11"/>
        </w:rPr>
        <w:t> </w:t>
      </w:r>
      <w:r>
        <w:rPr/>
        <w:t>este</w:t>
      </w:r>
      <w:r>
        <w:rPr>
          <w:spacing w:val="-13"/>
        </w:rPr>
        <w:t> </w:t>
      </w:r>
      <w:r>
        <w:rPr/>
        <w:t>tenor,</w:t>
      </w:r>
      <w:r>
        <w:rPr>
          <w:spacing w:val="-12"/>
        </w:rPr>
        <w:t> </w:t>
      </w:r>
      <w:r>
        <w:rPr/>
        <w:t>las</w:t>
      </w:r>
      <w:r>
        <w:rPr>
          <w:spacing w:val="-13"/>
        </w:rPr>
        <w:t> </w:t>
      </w:r>
      <w:r>
        <w:rPr/>
        <w:t>condiciones</w:t>
      </w:r>
      <w:r>
        <w:rPr>
          <w:spacing w:val="-12"/>
        </w:rPr>
        <w:t> </w:t>
      </w:r>
      <w:r>
        <w:rPr/>
        <w:t>que</w:t>
      </w:r>
      <w:r>
        <w:rPr>
          <w:spacing w:val="-13"/>
        </w:rPr>
        <w:t> </w:t>
      </w:r>
      <w:r>
        <w:rPr/>
        <w:t>disponen</w:t>
      </w:r>
      <w:r>
        <w:rPr>
          <w:spacing w:val="-13"/>
        </w:rPr>
        <w:t> </w:t>
      </w:r>
      <w:r>
        <w:rPr/>
        <w:t>los</w:t>
      </w:r>
      <w:r>
        <w:rPr>
          <w:spacing w:val="-13"/>
        </w:rPr>
        <w:t> </w:t>
      </w:r>
      <w:r>
        <w:rPr/>
        <w:t>parques</w:t>
      </w:r>
      <w:r>
        <w:rPr>
          <w:spacing w:val="-12"/>
        </w:rPr>
        <w:t> </w:t>
      </w:r>
      <w:r>
        <w:rPr/>
        <w:t>industriales</w:t>
      </w:r>
      <w:r>
        <w:rPr>
          <w:spacing w:val="-11"/>
        </w:rPr>
        <w:t> </w:t>
      </w:r>
      <w:r>
        <w:rPr/>
        <w:t>y</w:t>
      </w:r>
      <w:r>
        <w:rPr>
          <w:spacing w:val="-15"/>
        </w:rPr>
        <w:t> </w:t>
      </w:r>
      <w:r>
        <w:rPr/>
        <w:t>que</w:t>
      </w:r>
      <w:r>
        <w:rPr>
          <w:spacing w:val="-13"/>
        </w:rPr>
        <w:t> </w:t>
      </w:r>
      <w:r>
        <w:rPr/>
        <w:t>son</w:t>
      </w:r>
      <w:r>
        <w:rPr>
          <w:spacing w:val="-13"/>
        </w:rPr>
        <w:t> </w:t>
      </w:r>
      <w:r>
        <w:rPr/>
        <w:t>susceptibles de</w:t>
      </w:r>
      <w:r>
        <w:rPr>
          <w:spacing w:val="46"/>
        </w:rPr>
        <w:t> </w:t>
      </w:r>
      <w:r>
        <w:rPr/>
        <w:t>cuantificarse</w:t>
      </w:r>
      <w:r>
        <w:rPr>
          <w:spacing w:val="46"/>
        </w:rPr>
        <w:t> </w:t>
      </w:r>
      <w:r>
        <w:rPr/>
        <w:t>son</w:t>
      </w:r>
      <w:r>
        <w:rPr>
          <w:spacing w:val="43"/>
        </w:rPr>
        <w:t> </w:t>
      </w:r>
      <w:r>
        <w:rPr/>
        <w:t>(Iglesias,</w:t>
      </w:r>
      <w:r>
        <w:rPr>
          <w:spacing w:val="47"/>
        </w:rPr>
        <w:t> </w:t>
      </w:r>
      <w:r>
        <w:rPr/>
        <w:t>2013;</w:t>
      </w:r>
      <w:r>
        <w:rPr>
          <w:spacing w:val="47"/>
        </w:rPr>
        <w:t> </w:t>
      </w:r>
      <w:r>
        <w:rPr/>
        <w:t>SE,</w:t>
      </w:r>
      <w:r>
        <w:rPr>
          <w:spacing w:val="47"/>
        </w:rPr>
        <w:t> </w:t>
      </w:r>
      <w:r>
        <w:rPr/>
        <w:t>2011;</w:t>
      </w:r>
      <w:r>
        <w:rPr>
          <w:spacing w:val="45"/>
        </w:rPr>
        <w:t> </w:t>
      </w:r>
      <w:r>
        <w:rPr/>
        <w:t>SE,</w:t>
      </w:r>
      <w:r>
        <w:rPr>
          <w:spacing w:val="47"/>
        </w:rPr>
        <w:t> </w:t>
      </w:r>
      <w:r>
        <w:rPr/>
        <w:t>2005;</w:t>
      </w:r>
      <w:r>
        <w:rPr>
          <w:spacing w:val="45"/>
        </w:rPr>
        <w:t> </w:t>
      </w:r>
      <w:r>
        <w:rPr/>
        <w:t>Méndez</w:t>
      </w:r>
      <w:r>
        <w:rPr>
          <w:spacing w:val="46"/>
        </w:rPr>
        <w:t> </w:t>
      </w:r>
      <w:r>
        <w:rPr/>
        <w:t>y</w:t>
      </w:r>
      <w:r>
        <w:rPr>
          <w:spacing w:val="46"/>
        </w:rPr>
        <w:t> </w:t>
      </w:r>
      <w:r>
        <w:rPr/>
        <w:t>Caravaca,</w:t>
      </w:r>
      <w:r>
        <w:rPr>
          <w:spacing w:val="47"/>
        </w:rPr>
        <w:t> </w:t>
      </w:r>
      <w:r>
        <w:rPr/>
        <w:t>1996;</w:t>
      </w:r>
    </w:p>
    <w:p>
      <w:pPr>
        <w:pStyle w:val="BodyText"/>
        <w:spacing w:before="7"/>
        <w:ind w:left="102"/>
        <w:jc w:val="both"/>
      </w:pPr>
      <w:r>
        <w:rPr/>
        <w:t>ONUDI, 1979):</w:t>
      </w:r>
    </w:p>
    <w:p>
      <w:pPr>
        <w:pStyle w:val="BodyText"/>
      </w:pPr>
    </w:p>
    <w:p>
      <w:pPr>
        <w:pStyle w:val="ListParagraph"/>
        <w:numPr>
          <w:ilvl w:val="0"/>
          <w:numId w:val="3"/>
        </w:numPr>
        <w:tabs>
          <w:tab w:pos="462" w:val="left" w:leader="none"/>
        </w:tabs>
        <w:spacing w:line="480" w:lineRule="auto" w:before="0" w:after="0"/>
        <w:ind w:left="462" w:right="118" w:hanging="360"/>
        <w:jc w:val="both"/>
        <w:rPr>
          <w:sz w:val="22"/>
        </w:rPr>
      </w:pPr>
      <w:r>
        <w:rPr>
          <w:sz w:val="22"/>
        </w:rPr>
        <w:t>Delimitación y organización interna del espacio: límites y tamaño de los lotes industriales,</w:t>
      </w:r>
      <w:r>
        <w:rPr>
          <w:spacing w:val="-18"/>
          <w:sz w:val="22"/>
        </w:rPr>
        <w:t> </w:t>
      </w:r>
      <w:r>
        <w:rPr>
          <w:sz w:val="22"/>
        </w:rPr>
        <w:t>traza</w:t>
      </w:r>
      <w:r>
        <w:rPr>
          <w:spacing w:val="-17"/>
          <w:sz w:val="22"/>
        </w:rPr>
        <w:t> </w:t>
      </w:r>
      <w:r>
        <w:rPr>
          <w:sz w:val="22"/>
        </w:rPr>
        <w:t>urbana,</w:t>
      </w:r>
      <w:r>
        <w:rPr>
          <w:spacing w:val="-18"/>
          <w:sz w:val="22"/>
        </w:rPr>
        <w:t> </w:t>
      </w:r>
      <w:r>
        <w:rPr>
          <w:sz w:val="22"/>
        </w:rPr>
        <w:t>red</w:t>
      </w:r>
      <w:r>
        <w:rPr>
          <w:spacing w:val="-20"/>
          <w:sz w:val="22"/>
        </w:rPr>
        <w:t> </w:t>
      </w:r>
      <w:r>
        <w:rPr>
          <w:sz w:val="22"/>
        </w:rPr>
        <w:t>vial,</w:t>
      </w:r>
      <w:r>
        <w:rPr>
          <w:spacing w:val="-16"/>
          <w:sz w:val="22"/>
        </w:rPr>
        <w:t> </w:t>
      </w:r>
      <w:r>
        <w:rPr>
          <w:sz w:val="22"/>
        </w:rPr>
        <w:t>zonas</w:t>
      </w:r>
      <w:r>
        <w:rPr>
          <w:spacing w:val="-17"/>
          <w:sz w:val="22"/>
        </w:rPr>
        <w:t> </w:t>
      </w:r>
      <w:r>
        <w:rPr>
          <w:sz w:val="22"/>
        </w:rPr>
        <w:t>libres</w:t>
      </w:r>
      <w:r>
        <w:rPr>
          <w:spacing w:val="-19"/>
          <w:sz w:val="22"/>
        </w:rPr>
        <w:t> </w:t>
      </w:r>
      <w:r>
        <w:rPr>
          <w:sz w:val="22"/>
        </w:rPr>
        <w:t>(áreas</w:t>
      </w:r>
      <w:r>
        <w:rPr>
          <w:spacing w:val="-17"/>
          <w:sz w:val="22"/>
        </w:rPr>
        <w:t> </w:t>
      </w:r>
      <w:r>
        <w:rPr>
          <w:sz w:val="22"/>
        </w:rPr>
        <w:t>verdes),</w:t>
      </w:r>
      <w:r>
        <w:rPr>
          <w:spacing w:val="-18"/>
          <w:sz w:val="22"/>
        </w:rPr>
        <w:t> </w:t>
      </w:r>
      <w:r>
        <w:rPr>
          <w:sz w:val="22"/>
        </w:rPr>
        <w:t>especificaciones</w:t>
      </w:r>
      <w:r>
        <w:rPr>
          <w:spacing w:val="-17"/>
          <w:sz w:val="22"/>
        </w:rPr>
        <w:t> </w:t>
      </w:r>
      <w:r>
        <w:rPr>
          <w:sz w:val="22"/>
        </w:rPr>
        <w:t>de</w:t>
      </w:r>
      <w:r>
        <w:rPr>
          <w:spacing w:val="-20"/>
          <w:sz w:val="22"/>
        </w:rPr>
        <w:t> </w:t>
      </w:r>
      <w:r>
        <w:rPr>
          <w:sz w:val="22"/>
        </w:rPr>
        <w:t>usos del suelo y tipo de construcciones</w:t>
      </w:r>
      <w:r>
        <w:rPr>
          <w:spacing w:val="-10"/>
          <w:sz w:val="22"/>
        </w:rPr>
        <w:t> </w:t>
      </w:r>
      <w:r>
        <w:rPr>
          <w:sz w:val="22"/>
        </w:rPr>
        <w:t>permitidas.</w:t>
      </w:r>
    </w:p>
    <w:p>
      <w:pPr>
        <w:spacing w:after="0" w:line="480" w:lineRule="auto"/>
        <w:jc w:val="both"/>
        <w:rPr>
          <w:sz w:val="22"/>
        </w:rPr>
        <w:sectPr>
          <w:pgSz w:w="12240" w:h="15840"/>
          <w:pgMar w:top="1360" w:bottom="280" w:left="1600" w:right="1580"/>
        </w:sectPr>
      </w:pPr>
    </w:p>
    <w:p>
      <w:pPr>
        <w:pStyle w:val="ListParagraph"/>
        <w:numPr>
          <w:ilvl w:val="0"/>
          <w:numId w:val="3"/>
        </w:numPr>
        <w:tabs>
          <w:tab w:pos="462" w:val="left" w:leader="none"/>
        </w:tabs>
        <w:spacing w:line="480" w:lineRule="auto" w:before="54" w:after="0"/>
        <w:ind w:left="462" w:right="121" w:hanging="360"/>
        <w:jc w:val="left"/>
        <w:rPr>
          <w:sz w:val="22"/>
        </w:rPr>
      </w:pPr>
      <w:r>
        <w:rPr>
          <w:sz w:val="22"/>
        </w:rPr>
        <w:t>Infraestructura: vialidades, energía eléctrica, abastecimiento de agua, plantas de tratamiento de aguas residuales, drenajes y redes</w:t>
      </w:r>
      <w:r>
        <w:rPr>
          <w:spacing w:val="-15"/>
          <w:sz w:val="22"/>
        </w:rPr>
        <w:t> </w:t>
      </w:r>
      <w:r>
        <w:rPr>
          <w:sz w:val="22"/>
        </w:rPr>
        <w:t>telefónicas.</w:t>
      </w:r>
    </w:p>
    <w:p>
      <w:pPr>
        <w:pStyle w:val="ListParagraph"/>
        <w:numPr>
          <w:ilvl w:val="0"/>
          <w:numId w:val="3"/>
        </w:numPr>
        <w:tabs>
          <w:tab w:pos="462" w:val="left" w:leader="none"/>
        </w:tabs>
        <w:spacing w:line="480" w:lineRule="auto" w:before="7" w:after="0"/>
        <w:ind w:left="462" w:right="120" w:hanging="360"/>
        <w:jc w:val="both"/>
        <w:rPr>
          <w:sz w:val="22"/>
        </w:rPr>
      </w:pPr>
      <w:r>
        <w:rPr>
          <w:sz w:val="22"/>
        </w:rPr>
        <w:t>Equipamiento y servicios: vigilancia y seguridad, servicios de limpieza, oficinas de correos, asistencia sanitaria, transporte público, constructoras, bancos y servicios de asesoría</w:t>
      </w:r>
      <w:r>
        <w:rPr>
          <w:spacing w:val="-2"/>
          <w:sz w:val="22"/>
        </w:rPr>
        <w:t> </w:t>
      </w:r>
      <w:r>
        <w:rPr>
          <w:sz w:val="22"/>
        </w:rPr>
        <w:t>técnica.</w:t>
      </w:r>
    </w:p>
    <w:p>
      <w:pPr>
        <w:pStyle w:val="BodyText"/>
      </w:pPr>
    </w:p>
    <w:p>
      <w:pPr>
        <w:pStyle w:val="BodyText"/>
        <w:spacing w:before="5"/>
      </w:pPr>
    </w:p>
    <w:p>
      <w:pPr>
        <w:pStyle w:val="BodyText"/>
        <w:ind w:left="102" w:right="18"/>
      </w:pPr>
      <w:r>
        <w:rPr/>
        <w:t>En términos de servicios e infraestructura, los requerimientos son:</w:t>
      </w:r>
    </w:p>
    <w:p>
      <w:pPr>
        <w:pStyle w:val="BodyText"/>
        <w:spacing w:before="1"/>
      </w:pPr>
    </w:p>
    <w:p>
      <w:pPr>
        <w:pStyle w:val="ListParagraph"/>
        <w:numPr>
          <w:ilvl w:val="0"/>
          <w:numId w:val="4"/>
        </w:numPr>
        <w:tabs>
          <w:tab w:pos="362" w:val="left" w:leader="none"/>
        </w:tabs>
        <w:spacing w:line="240" w:lineRule="auto" w:before="0" w:after="0"/>
        <w:ind w:left="102" w:right="0" w:firstLine="0"/>
        <w:jc w:val="left"/>
        <w:rPr>
          <w:sz w:val="22"/>
        </w:rPr>
      </w:pPr>
      <w:r>
        <w:rPr>
          <w:sz w:val="22"/>
        </w:rPr>
        <w:t>Servicios</w:t>
      </w:r>
      <w:r>
        <w:rPr>
          <w:spacing w:val="-4"/>
          <w:sz w:val="22"/>
        </w:rPr>
        <w:t> </w:t>
      </w:r>
      <w:r>
        <w:rPr>
          <w:sz w:val="22"/>
        </w:rPr>
        <w:t>básicos</w:t>
      </w:r>
    </w:p>
    <w:p>
      <w:pPr>
        <w:pStyle w:val="BodyText"/>
      </w:pPr>
    </w:p>
    <w:p>
      <w:pPr>
        <w:pStyle w:val="ListParagraph"/>
        <w:numPr>
          <w:ilvl w:val="0"/>
          <w:numId w:val="2"/>
        </w:numPr>
        <w:tabs>
          <w:tab w:pos="266" w:val="left" w:leader="none"/>
        </w:tabs>
        <w:spacing w:line="477" w:lineRule="auto" w:before="161" w:after="0"/>
        <w:ind w:left="102" w:right="124" w:firstLine="0"/>
        <w:jc w:val="left"/>
        <w:rPr>
          <w:sz w:val="22"/>
        </w:rPr>
      </w:pPr>
      <w:r>
        <w:rPr>
          <w:sz w:val="22"/>
        </w:rPr>
        <w:t>Agua potable y/o de uso industrial. El requerimiento mínimo debe ser de 0.5 litros por segundo por hectárea (l/s/ha) y el recomendable de 1</w:t>
      </w:r>
      <w:r>
        <w:rPr>
          <w:spacing w:val="-17"/>
          <w:sz w:val="22"/>
        </w:rPr>
        <w:t> </w:t>
      </w:r>
      <w:r>
        <w:rPr>
          <w:sz w:val="22"/>
        </w:rPr>
        <w:t>l/s/ha.</w:t>
      </w:r>
    </w:p>
    <w:p>
      <w:pPr>
        <w:pStyle w:val="ListParagraph"/>
        <w:numPr>
          <w:ilvl w:val="0"/>
          <w:numId w:val="2"/>
        </w:numPr>
        <w:tabs>
          <w:tab w:pos="237" w:val="left" w:leader="none"/>
        </w:tabs>
        <w:spacing w:line="480" w:lineRule="auto" w:before="171" w:after="0"/>
        <w:ind w:left="102" w:right="117" w:firstLine="0"/>
        <w:jc w:val="left"/>
        <w:rPr>
          <w:sz w:val="22"/>
        </w:rPr>
      </w:pPr>
      <w:r>
        <w:rPr>
          <w:sz w:val="22"/>
        </w:rPr>
        <w:t>Energía</w:t>
      </w:r>
      <w:r>
        <w:rPr>
          <w:spacing w:val="-4"/>
          <w:sz w:val="22"/>
        </w:rPr>
        <w:t> </w:t>
      </w:r>
      <w:r>
        <w:rPr>
          <w:sz w:val="22"/>
        </w:rPr>
        <w:t>eléctrica.</w:t>
      </w:r>
      <w:r>
        <w:rPr>
          <w:spacing w:val="-5"/>
          <w:sz w:val="22"/>
        </w:rPr>
        <w:t> </w:t>
      </w:r>
      <w:r>
        <w:rPr>
          <w:sz w:val="22"/>
        </w:rPr>
        <w:t>La</w:t>
      </w:r>
      <w:r>
        <w:rPr>
          <w:spacing w:val="-7"/>
          <w:sz w:val="22"/>
        </w:rPr>
        <w:t> </w:t>
      </w:r>
      <w:r>
        <w:rPr>
          <w:sz w:val="22"/>
        </w:rPr>
        <w:t>capacidad</w:t>
      </w:r>
      <w:r>
        <w:rPr>
          <w:spacing w:val="-4"/>
          <w:sz w:val="22"/>
        </w:rPr>
        <w:t> </w:t>
      </w:r>
      <w:r>
        <w:rPr>
          <w:sz w:val="22"/>
        </w:rPr>
        <w:t>mínima</w:t>
      </w:r>
      <w:r>
        <w:rPr>
          <w:spacing w:val="-4"/>
          <w:sz w:val="22"/>
        </w:rPr>
        <w:t> </w:t>
      </w:r>
      <w:r>
        <w:rPr>
          <w:sz w:val="22"/>
        </w:rPr>
        <w:t>debe</w:t>
      </w:r>
      <w:r>
        <w:rPr>
          <w:spacing w:val="-7"/>
          <w:sz w:val="22"/>
        </w:rPr>
        <w:t> </w:t>
      </w:r>
      <w:r>
        <w:rPr>
          <w:sz w:val="22"/>
        </w:rPr>
        <w:t>ser</w:t>
      </w:r>
      <w:r>
        <w:rPr>
          <w:spacing w:val="-3"/>
          <w:sz w:val="22"/>
        </w:rPr>
        <w:t> </w:t>
      </w:r>
      <w:r>
        <w:rPr>
          <w:sz w:val="22"/>
        </w:rPr>
        <w:t>de</w:t>
      </w:r>
      <w:r>
        <w:rPr>
          <w:spacing w:val="-7"/>
          <w:sz w:val="22"/>
        </w:rPr>
        <w:t> </w:t>
      </w:r>
      <w:r>
        <w:rPr>
          <w:sz w:val="22"/>
        </w:rPr>
        <w:t>150</w:t>
      </w:r>
      <w:r>
        <w:rPr>
          <w:spacing w:val="-9"/>
          <w:sz w:val="22"/>
        </w:rPr>
        <w:t> </w:t>
      </w:r>
      <w:r>
        <w:rPr>
          <w:sz w:val="22"/>
        </w:rPr>
        <w:t>kilo</w:t>
      </w:r>
      <w:r>
        <w:rPr>
          <w:spacing w:val="-2"/>
          <w:sz w:val="22"/>
        </w:rPr>
        <w:t> </w:t>
      </w:r>
      <w:r>
        <w:rPr>
          <w:sz w:val="22"/>
        </w:rPr>
        <w:t>valtios</w:t>
      </w:r>
      <w:r>
        <w:rPr>
          <w:spacing w:val="-4"/>
          <w:sz w:val="22"/>
        </w:rPr>
        <w:t> </w:t>
      </w:r>
      <w:r>
        <w:rPr>
          <w:sz w:val="22"/>
        </w:rPr>
        <w:t>por</w:t>
      </w:r>
      <w:r>
        <w:rPr>
          <w:spacing w:val="-5"/>
          <w:sz w:val="22"/>
        </w:rPr>
        <w:t> </w:t>
      </w:r>
      <w:r>
        <w:rPr>
          <w:sz w:val="22"/>
        </w:rPr>
        <w:t>hectárea</w:t>
      </w:r>
      <w:r>
        <w:rPr>
          <w:spacing w:val="-7"/>
          <w:sz w:val="22"/>
        </w:rPr>
        <w:t> </w:t>
      </w:r>
      <w:r>
        <w:rPr>
          <w:sz w:val="22"/>
        </w:rPr>
        <w:t>(kva/ha) y la recomendable de 250</w:t>
      </w:r>
      <w:r>
        <w:rPr>
          <w:spacing w:val="-7"/>
          <w:sz w:val="22"/>
        </w:rPr>
        <w:t> </w:t>
      </w:r>
      <w:r>
        <w:rPr>
          <w:sz w:val="22"/>
        </w:rPr>
        <w:t>kva/ha.</w:t>
      </w:r>
    </w:p>
    <w:p>
      <w:pPr>
        <w:pStyle w:val="ListParagraph"/>
        <w:numPr>
          <w:ilvl w:val="0"/>
          <w:numId w:val="2"/>
        </w:numPr>
        <w:tabs>
          <w:tab w:pos="249" w:val="left" w:leader="none"/>
        </w:tabs>
        <w:spacing w:line="480" w:lineRule="auto" w:before="166" w:after="0"/>
        <w:ind w:left="102" w:right="121" w:firstLine="0"/>
        <w:jc w:val="left"/>
        <w:rPr>
          <w:sz w:val="22"/>
        </w:rPr>
      </w:pPr>
      <w:r>
        <w:rPr>
          <w:sz w:val="22"/>
        </w:rPr>
        <w:t>Redes telefónicas. La cantidad mínima se contempla de 10 líneas por hectárea, aunque lo recomendable es contar con</w:t>
      </w:r>
      <w:r>
        <w:rPr>
          <w:spacing w:val="-5"/>
          <w:sz w:val="22"/>
        </w:rPr>
        <w:t> </w:t>
      </w:r>
      <w:r>
        <w:rPr>
          <w:sz w:val="22"/>
        </w:rPr>
        <w:t>20.</w:t>
      </w:r>
    </w:p>
    <w:p>
      <w:pPr>
        <w:pStyle w:val="ListParagraph"/>
        <w:numPr>
          <w:ilvl w:val="0"/>
          <w:numId w:val="2"/>
        </w:numPr>
        <w:tabs>
          <w:tab w:pos="283" w:val="left" w:leader="none"/>
        </w:tabs>
        <w:spacing w:line="477" w:lineRule="auto" w:before="168" w:after="0"/>
        <w:ind w:left="102" w:right="115" w:firstLine="0"/>
        <w:jc w:val="left"/>
        <w:rPr>
          <w:sz w:val="22"/>
        </w:rPr>
      </w:pPr>
      <w:r>
        <w:rPr>
          <w:sz w:val="22"/>
        </w:rPr>
        <w:t>Red de aguas residuales. Debe estar en función a la precipitación máxima del área geográfica.</w:t>
      </w:r>
    </w:p>
    <w:p>
      <w:pPr>
        <w:pStyle w:val="ListParagraph"/>
        <w:numPr>
          <w:ilvl w:val="0"/>
          <w:numId w:val="4"/>
        </w:numPr>
        <w:tabs>
          <w:tab w:pos="359" w:val="left" w:leader="none"/>
        </w:tabs>
        <w:spacing w:line="240" w:lineRule="auto" w:before="171" w:after="0"/>
        <w:ind w:left="358" w:right="0" w:hanging="256"/>
        <w:jc w:val="left"/>
        <w:rPr>
          <w:sz w:val="22"/>
        </w:rPr>
      </w:pPr>
      <w:r>
        <w:rPr>
          <w:sz w:val="22"/>
        </w:rPr>
        <w:t>Infraestructura y</w:t>
      </w:r>
      <w:r>
        <w:rPr>
          <w:spacing w:val="-14"/>
          <w:sz w:val="22"/>
        </w:rPr>
        <w:t> </w:t>
      </w:r>
      <w:r>
        <w:rPr>
          <w:sz w:val="22"/>
        </w:rPr>
        <w:t>urbanización</w:t>
      </w:r>
    </w:p>
    <w:p>
      <w:pPr>
        <w:pStyle w:val="BodyText"/>
      </w:pPr>
    </w:p>
    <w:p>
      <w:pPr>
        <w:pStyle w:val="ListParagraph"/>
        <w:numPr>
          <w:ilvl w:val="0"/>
          <w:numId w:val="2"/>
        </w:numPr>
        <w:tabs>
          <w:tab w:pos="239" w:val="left" w:leader="none"/>
        </w:tabs>
        <w:spacing w:line="240" w:lineRule="auto" w:before="159" w:after="0"/>
        <w:ind w:left="238" w:right="0" w:hanging="136"/>
        <w:jc w:val="left"/>
        <w:rPr>
          <w:sz w:val="22"/>
        </w:rPr>
      </w:pPr>
      <w:r>
        <w:rPr>
          <w:sz w:val="22"/>
        </w:rPr>
        <w:t>Carriles de aceleración y desaceleración o camino de acceso al</w:t>
      </w:r>
      <w:r>
        <w:rPr>
          <w:spacing w:val="-20"/>
          <w:sz w:val="22"/>
        </w:rPr>
        <w:t> </w:t>
      </w:r>
      <w:r>
        <w:rPr>
          <w:sz w:val="22"/>
        </w:rPr>
        <w:t>parque.</w:t>
      </w:r>
    </w:p>
    <w:p>
      <w:pPr>
        <w:pStyle w:val="BodyText"/>
      </w:pPr>
    </w:p>
    <w:p>
      <w:pPr>
        <w:pStyle w:val="ListParagraph"/>
        <w:numPr>
          <w:ilvl w:val="0"/>
          <w:numId w:val="2"/>
        </w:numPr>
        <w:tabs>
          <w:tab w:pos="239" w:val="left" w:leader="none"/>
        </w:tabs>
        <w:spacing w:line="240" w:lineRule="auto" w:before="162" w:after="0"/>
        <w:ind w:left="238" w:right="0" w:hanging="136"/>
        <w:jc w:val="left"/>
        <w:rPr>
          <w:sz w:val="22"/>
        </w:rPr>
      </w:pPr>
      <w:r>
        <w:rPr>
          <w:sz w:val="22"/>
        </w:rPr>
        <w:t>Vialidades pavimentadas de concreto asfáltico o concreto</w:t>
      </w:r>
      <w:r>
        <w:rPr>
          <w:spacing w:val="-26"/>
          <w:sz w:val="22"/>
        </w:rPr>
        <w:t> </w:t>
      </w:r>
      <w:r>
        <w:rPr>
          <w:sz w:val="22"/>
        </w:rPr>
        <w:t>hidráulico.</w:t>
      </w:r>
    </w:p>
    <w:p>
      <w:pPr>
        <w:pStyle w:val="BodyText"/>
      </w:pPr>
    </w:p>
    <w:p>
      <w:pPr>
        <w:pStyle w:val="ListParagraph"/>
        <w:numPr>
          <w:ilvl w:val="0"/>
          <w:numId w:val="2"/>
        </w:numPr>
        <w:tabs>
          <w:tab w:pos="237" w:val="left" w:leader="none"/>
        </w:tabs>
        <w:spacing w:line="240" w:lineRule="auto" w:before="159" w:after="0"/>
        <w:ind w:left="236" w:right="0" w:hanging="134"/>
        <w:jc w:val="left"/>
        <w:rPr>
          <w:sz w:val="22"/>
        </w:rPr>
      </w:pPr>
      <w:r>
        <w:rPr>
          <w:sz w:val="22"/>
        </w:rPr>
        <w:t>Guarniciones de</w:t>
      </w:r>
      <w:r>
        <w:rPr>
          <w:spacing w:val="-6"/>
          <w:sz w:val="22"/>
        </w:rPr>
        <w:t> </w:t>
      </w:r>
      <w:r>
        <w:rPr>
          <w:sz w:val="22"/>
        </w:rPr>
        <w:t>concreto.</w:t>
      </w:r>
    </w:p>
    <w:p>
      <w:pPr>
        <w:pStyle w:val="BodyText"/>
      </w:pPr>
    </w:p>
    <w:p>
      <w:pPr>
        <w:pStyle w:val="ListParagraph"/>
        <w:numPr>
          <w:ilvl w:val="0"/>
          <w:numId w:val="2"/>
        </w:numPr>
        <w:tabs>
          <w:tab w:pos="249" w:val="left" w:leader="none"/>
        </w:tabs>
        <w:spacing w:line="480" w:lineRule="auto" w:before="161" w:after="0"/>
        <w:ind w:left="102" w:right="119" w:firstLine="0"/>
        <w:jc w:val="left"/>
        <w:rPr>
          <w:sz w:val="22"/>
        </w:rPr>
      </w:pPr>
      <w:r>
        <w:rPr>
          <w:sz w:val="22"/>
        </w:rPr>
        <w:t>Alumbrado público suficiente y eficiente en vialidades y banquetas: mínimo promedio de 8</w:t>
      </w:r>
      <w:r>
        <w:rPr>
          <w:spacing w:val="-2"/>
          <w:sz w:val="22"/>
        </w:rPr>
        <w:t> </w:t>
      </w:r>
      <w:r>
        <w:rPr>
          <w:sz w:val="22"/>
        </w:rPr>
        <w:t>luxes.</w:t>
      </w:r>
    </w:p>
    <w:p>
      <w:pPr>
        <w:pStyle w:val="ListParagraph"/>
        <w:numPr>
          <w:ilvl w:val="0"/>
          <w:numId w:val="2"/>
        </w:numPr>
        <w:tabs>
          <w:tab w:pos="239" w:val="left" w:leader="none"/>
        </w:tabs>
        <w:spacing w:line="240" w:lineRule="auto" w:before="166" w:after="0"/>
        <w:ind w:left="238" w:right="0" w:hanging="136"/>
        <w:jc w:val="left"/>
        <w:rPr>
          <w:sz w:val="22"/>
        </w:rPr>
      </w:pPr>
      <w:r>
        <w:rPr>
          <w:sz w:val="22"/>
        </w:rPr>
        <w:t>Nomenclatura de calles y números oficiales de los</w:t>
      </w:r>
      <w:r>
        <w:rPr>
          <w:spacing w:val="-18"/>
          <w:sz w:val="22"/>
        </w:rPr>
        <w:t> </w:t>
      </w:r>
      <w:r>
        <w:rPr>
          <w:sz w:val="22"/>
        </w:rPr>
        <w:t>lotes.</w:t>
      </w:r>
    </w:p>
    <w:p>
      <w:pPr>
        <w:spacing w:after="0" w:line="240" w:lineRule="auto"/>
        <w:jc w:val="left"/>
        <w:rPr>
          <w:sz w:val="22"/>
        </w:rPr>
        <w:sectPr>
          <w:pgSz w:w="12240" w:h="15840"/>
          <w:pgMar w:top="1360" w:bottom="280" w:left="1600" w:right="1580"/>
        </w:sectPr>
      </w:pPr>
    </w:p>
    <w:p>
      <w:pPr>
        <w:pStyle w:val="ListParagraph"/>
        <w:numPr>
          <w:ilvl w:val="0"/>
          <w:numId w:val="2"/>
        </w:numPr>
        <w:tabs>
          <w:tab w:pos="239" w:val="left" w:leader="none"/>
        </w:tabs>
        <w:spacing w:line="240" w:lineRule="auto" w:before="54" w:after="0"/>
        <w:ind w:left="238" w:right="0" w:hanging="136"/>
        <w:jc w:val="both"/>
        <w:rPr>
          <w:sz w:val="22"/>
        </w:rPr>
      </w:pPr>
      <w:r>
        <w:rPr>
          <w:sz w:val="22"/>
        </w:rPr>
        <w:t>Áreas verdes: 3 % del área total del</w:t>
      </w:r>
      <w:r>
        <w:rPr>
          <w:spacing w:val="-14"/>
          <w:sz w:val="22"/>
        </w:rPr>
        <w:t> </w:t>
      </w:r>
      <w:r>
        <w:rPr>
          <w:sz w:val="22"/>
        </w:rPr>
        <w:t>parque.</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Señalización horizontal y vertical (informativas, restrictivas y</w:t>
      </w:r>
      <w:r>
        <w:rPr>
          <w:spacing w:val="-23"/>
          <w:sz w:val="22"/>
        </w:rPr>
        <w:t> </w:t>
      </w:r>
      <w:r>
        <w:rPr>
          <w:sz w:val="22"/>
        </w:rPr>
        <w:t>preventivas).</w:t>
      </w:r>
    </w:p>
    <w:p>
      <w:pPr>
        <w:pStyle w:val="BodyText"/>
      </w:pPr>
    </w:p>
    <w:p>
      <w:pPr>
        <w:pStyle w:val="ListParagraph"/>
        <w:numPr>
          <w:ilvl w:val="0"/>
          <w:numId w:val="2"/>
        </w:numPr>
        <w:tabs>
          <w:tab w:pos="239" w:val="left" w:leader="none"/>
        </w:tabs>
        <w:spacing w:line="240" w:lineRule="auto" w:before="159" w:after="0"/>
        <w:ind w:left="238" w:right="0" w:hanging="136"/>
        <w:jc w:val="both"/>
        <w:rPr>
          <w:sz w:val="22"/>
        </w:rPr>
      </w:pPr>
      <w:r>
        <w:rPr>
          <w:sz w:val="22"/>
        </w:rPr>
        <w:t>Redes de energía</w:t>
      </w:r>
      <w:r>
        <w:rPr>
          <w:spacing w:val="-8"/>
          <w:sz w:val="22"/>
        </w:rPr>
        <w:t> </w:t>
      </w:r>
      <w:r>
        <w:rPr>
          <w:sz w:val="22"/>
        </w:rPr>
        <w:t>eléctrica.</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Agua</w:t>
      </w:r>
      <w:r>
        <w:rPr>
          <w:spacing w:val="-6"/>
          <w:sz w:val="22"/>
        </w:rPr>
        <w:t> </w:t>
      </w:r>
      <w:r>
        <w:rPr>
          <w:sz w:val="22"/>
        </w:rPr>
        <w:t>potable.</w:t>
      </w:r>
    </w:p>
    <w:p>
      <w:pPr>
        <w:pStyle w:val="BodyText"/>
      </w:pPr>
    </w:p>
    <w:p>
      <w:pPr>
        <w:pStyle w:val="ListParagraph"/>
        <w:numPr>
          <w:ilvl w:val="0"/>
          <w:numId w:val="2"/>
        </w:numPr>
        <w:tabs>
          <w:tab w:pos="237" w:val="left" w:leader="none"/>
        </w:tabs>
        <w:spacing w:line="240" w:lineRule="auto" w:before="159" w:after="0"/>
        <w:ind w:left="236" w:right="0" w:hanging="134"/>
        <w:jc w:val="both"/>
        <w:rPr>
          <w:sz w:val="22"/>
        </w:rPr>
      </w:pPr>
      <w:r>
        <w:rPr>
          <w:sz w:val="22"/>
        </w:rPr>
        <w:t>Teléfonos.</w:t>
      </w:r>
    </w:p>
    <w:p>
      <w:pPr>
        <w:pStyle w:val="BodyText"/>
      </w:pPr>
    </w:p>
    <w:p>
      <w:pPr>
        <w:pStyle w:val="ListParagraph"/>
        <w:numPr>
          <w:ilvl w:val="0"/>
          <w:numId w:val="2"/>
        </w:numPr>
        <w:tabs>
          <w:tab w:pos="251" w:val="left" w:leader="none"/>
        </w:tabs>
        <w:spacing w:line="480" w:lineRule="auto" w:before="162" w:after="0"/>
        <w:ind w:left="102" w:right="120" w:firstLine="0"/>
        <w:jc w:val="both"/>
        <w:rPr>
          <w:sz w:val="22"/>
        </w:rPr>
      </w:pPr>
      <w:r>
        <w:rPr>
          <w:sz w:val="22"/>
        </w:rPr>
        <w:t>Drenaje con cualquiera de las siguientes soluciones: 1) descarga de aguas residuales a red municipal, 2) reuso previo tratamiento, 3) descarga a cielo abierto, previo tratamiento, cumplimiento con norma vigente y permiso de la Comisión Nacional del Agua</w:t>
      </w:r>
      <w:r>
        <w:rPr>
          <w:spacing w:val="-24"/>
          <w:sz w:val="22"/>
        </w:rPr>
        <w:t> </w:t>
      </w:r>
      <w:r>
        <w:rPr>
          <w:sz w:val="22"/>
        </w:rPr>
        <w:t>(CNA).</w:t>
      </w:r>
    </w:p>
    <w:p>
      <w:pPr>
        <w:pStyle w:val="ListParagraph"/>
        <w:numPr>
          <w:ilvl w:val="0"/>
          <w:numId w:val="4"/>
        </w:numPr>
        <w:tabs>
          <w:tab w:pos="362" w:val="left" w:leader="none"/>
        </w:tabs>
        <w:spacing w:line="240" w:lineRule="auto" w:before="168" w:after="0"/>
        <w:ind w:left="361" w:right="0" w:hanging="259"/>
        <w:jc w:val="both"/>
        <w:rPr>
          <w:sz w:val="22"/>
        </w:rPr>
      </w:pPr>
      <w:r>
        <w:rPr>
          <w:sz w:val="22"/>
        </w:rPr>
        <w:t>Superficie</w:t>
      </w:r>
    </w:p>
    <w:p>
      <w:pPr>
        <w:pStyle w:val="BodyText"/>
      </w:pPr>
    </w:p>
    <w:p>
      <w:pPr>
        <w:pStyle w:val="BodyText"/>
        <w:spacing w:line="480" w:lineRule="auto" w:before="159"/>
        <w:ind w:left="102" w:right="115"/>
        <w:jc w:val="both"/>
      </w:pPr>
      <w:r>
        <w:rPr/>
        <w:t>El</w:t>
      </w:r>
      <w:r>
        <w:rPr>
          <w:spacing w:val="-12"/>
        </w:rPr>
        <w:t> </w:t>
      </w:r>
      <w:r>
        <w:rPr/>
        <w:t>desarrollo</w:t>
      </w:r>
      <w:r>
        <w:rPr>
          <w:spacing w:val="-11"/>
        </w:rPr>
        <w:t> </w:t>
      </w:r>
      <w:r>
        <w:rPr/>
        <w:t>industrial</w:t>
      </w:r>
      <w:r>
        <w:rPr>
          <w:spacing w:val="-12"/>
        </w:rPr>
        <w:t> </w:t>
      </w:r>
      <w:r>
        <w:rPr/>
        <w:t>debe</w:t>
      </w:r>
      <w:r>
        <w:rPr>
          <w:spacing w:val="-11"/>
        </w:rPr>
        <w:t> </w:t>
      </w:r>
      <w:r>
        <w:rPr/>
        <w:t>tener</w:t>
      </w:r>
      <w:r>
        <w:rPr>
          <w:spacing w:val="-10"/>
        </w:rPr>
        <w:t> </w:t>
      </w:r>
      <w:r>
        <w:rPr/>
        <w:t>un</w:t>
      </w:r>
      <w:r>
        <w:rPr>
          <w:spacing w:val="-14"/>
        </w:rPr>
        <w:t> </w:t>
      </w:r>
      <w:r>
        <w:rPr/>
        <w:t>mínimo</w:t>
      </w:r>
      <w:r>
        <w:rPr>
          <w:spacing w:val="-11"/>
        </w:rPr>
        <w:t> </w:t>
      </w:r>
      <w:r>
        <w:rPr/>
        <w:t>de</w:t>
      </w:r>
      <w:r>
        <w:rPr>
          <w:spacing w:val="-14"/>
        </w:rPr>
        <w:t> </w:t>
      </w:r>
      <w:r>
        <w:rPr/>
        <w:t>10</w:t>
      </w:r>
      <w:r>
        <w:rPr>
          <w:spacing w:val="-11"/>
        </w:rPr>
        <w:t> </w:t>
      </w:r>
      <w:r>
        <w:rPr/>
        <w:t>hectáreas</w:t>
      </w:r>
      <w:r>
        <w:rPr>
          <w:spacing w:val="-13"/>
        </w:rPr>
        <w:t> </w:t>
      </w:r>
      <w:r>
        <w:rPr/>
        <w:t>de</w:t>
      </w:r>
      <w:r>
        <w:rPr>
          <w:spacing w:val="-11"/>
        </w:rPr>
        <w:t> </w:t>
      </w:r>
      <w:r>
        <w:rPr/>
        <w:t>superficie</w:t>
      </w:r>
      <w:r>
        <w:rPr>
          <w:spacing w:val="-14"/>
        </w:rPr>
        <w:t> </w:t>
      </w:r>
      <w:r>
        <w:rPr/>
        <w:t>urbanizada</w:t>
      </w:r>
      <w:r>
        <w:rPr>
          <w:spacing w:val="-11"/>
        </w:rPr>
        <w:t> </w:t>
      </w:r>
      <w:r>
        <w:rPr/>
        <w:t>para considerarse parque industrial, y se recomienda contar con una reserva de terreno para</w:t>
      </w:r>
      <w:r>
        <w:rPr>
          <w:spacing w:val="-37"/>
        </w:rPr>
        <w:t> </w:t>
      </w:r>
      <w:r>
        <w:rPr/>
        <w:t>su crecimiento por lo menos de 10 hectáreas de terreno</w:t>
      </w:r>
      <w:r>
        <w:rPr>
          <w:spacing w:val="-23"/>
        </w:rPr>
        <w:t> </w:t>
      </w:r>
      <w:r>
        <w:rPr/>
        <w:t>utilizable.</w:t>
      </w:r>
    </w:p>
    <w:p>
      <w:pPr>
        <w:pStyle w:val="ListParagraph"/>
        <w:numPr>
          <w:ilvl w:val="0"/>
          <w:numId w:val="4"/>
        </w:numPr>
        <w:tabs>
          <w:tab w:pos="359" w:val="left" w:leader="none"/>
        </w:tabs>
        <w:spacing w:line="240" w:lineRule="auto" w:before="168" w:after="0"/>
        <w:ind w:left="358" w:right="0" w:hanging="256"/>
        <w:jc w:val="both"/>
        <w:rPr>
          <w:sz w:val="22"/>
        </w:rPr>
      </w:pPr>
      <w:r>
        <w:rPr>
          <w:sz w:val="22"/>
        </w:rPr>
        <w:t>Terreno</w:t>
      </w:r>
      <w:r>
        <w:rPr>
          <w:spacing w:val="-4"/>
          <w:sz w:val="22"/>
        </w:rPr>
        <w:t> </w:t>
      </w:r>
      <w:r>
        <w:rPr>
          <w:sz w:val="22"/>
        </w:rPr>
        <w:t>industrial</w:t>
      </w:r>
    </w:p>
    <w:p>
      <w:pPr>
        <w:pStyle w:val="BodyText"/>
      </w:pPr>
    </w:p>
    <w:p>
      <w:pPr>
        <w:pStyle w:val="BodyText"/>
        <w:spacing w:before="159"/>
        <w:ind w:left="102"/>
        <w:jc w:val="both"/>
      </w:pPr>
      <w:r>
        <w:rPr/>
        <w:t>Todas las edificaciones deben cumplir con las siguientes características:</w:t>
      </w:r>
    </w:p>
    <w:p>
      <w:pPr>
        <w:pStyle w:val="BodyText"/>
      </w:pPr>
    </w:p>
    <w:p>
      <w:pPr>
        <w:pStyle w:val="ListParagraph"/>
        <w:numPr>
          <w:ilvl w:val="0"/>
          <w:numId w:val="2"/>
        </w:numPr>
        <w:tabs>
          <w:tab w:pos="244" w:val="left" w:leader="none"/>
        </w:tabs>
        <w:spacing w:line="477" w:lineRule="auto" w:before="161" w:after="0"/>
        <w:ind w:left="102" w:right="121" w:firstLine="0"/>
        <w:jc w:val="both"/>
        <w:rPr>
          <w:sz w:val="22"/>
        </w:rPr>
      </w:pPr>
      <w:r>
        <w:rPr>
          <w:sz w:val="22"/>
        </w:rPr>
        <w:t>Densidad de construcción: superficie máxima de desplante 70%, espacios abiertos 30%, superficie de terreno 100</w:t>
      </w:r>
      <w:r>
        <w:rPr>
          <w:spacing w:val="-9"/>
          <w:sz w:val="22"/>
        </w:rPr>
        <w:t> </w:t>
      </w:r>
      <w:r>
        <w:rPr>
          <w:sz w:val="22"/>
        </w:rPr>
        <w:t>%.</w:t>
      </w:r>
    </w:p>
    <w:p>
      <w:pPr>
        <w:pStyle w:val="ListParagraph"/>
        <w:numPr>
          <w:ilvl w:val="0"/>
          <w:numId w:val="2"/>
        </w:numPr>
        <w:tabs>
          <w:tab w:pos="225" w:val="left" w:leader="none"/>
        </w:tabs>
        <w:spacing w:line="480" w:lineRule="auto" w:before="171" w:after="0"/>
        <w:ind w:left="102" w:right="119" w:firstLine="0"/>
        <w:jc w:val="both"/>
        <w:rPr>
          <w:sz w:val="22"/>
        </w:rPr>
      </w:pPr>
      <w:r>
        <w:rPr>
          <w:sz w:val="22"/>
        </w:rPr>
        <w:t>Restricciones</w:t>
      </w:r>
      <w:r>
        <w:rPr>
          <w:spacing w:val="-15"/>
          <w:sz w:val="22"/>
        </w:rPr>
        <w:t> </w:t>
      </w:r>
      <w:r>
        <w:rPr>
          <w:sz w:val="22"/>
        </w:rPr>
        <w:t>de</w:t>
      </w:r>
      <w:r>
        <w:rPr>
          <w:spacing w:val="-18"/>
          <w:sz w:val="22"/>
        </w:rPr>
        <w:t> </w:t>
      </w:r>
      <w:r>
        <w:rPr>
          <w:sz w:val="22"/>
        </w:rPr>
        <w:t>construcción,</w:t>
      </w:r>
      <w:r>
        <w:rPr>
          <w:spacing w:val="-15"/>
          <w:sz w:val="22"/>
        </w:rPr>
        <w:t> </w:t>
      </w:r>
      <w:r>
        <w:rPr>
          <w:sz w:val="22"/>
        </w:rPr>
        <w:t>distancia</w:t>
      </w:r>
      <w:r>
        <w:rPr>
          <w:spacing w:val="-15"/>
          <w:sz w:val="22"/>
        </w:rPr>
        <w:t> </w:t>
      </w:r>
      <w:r>
        <w:rPr>
          <w:sz w:val="22"/>
        </w:rPr>
        <w:t>mínima</w:t>
      </w:r>
      <w:r>
        <w:rPr>
          <w:spacing w:val="-15"/>
          <w:sz w:val="22"/>
        </w:rPr>
        <w:t> </w:t>
      </w:r>
      <w:r>
        <w:rPr>
          <w:sz w:val="22"/>
        </w:rPr>
        <w:t>al</w:t>
      </w:r>
      <w:r>
        <w:rPr>
          <w:spacing w:val="-16"/>
          <w:sz w:val="22"/>
        </w:rPr>
        <w:t> </w:t>
      </w:r>
      <w:r>
        <w:rPr>
          <w:sz w:val="22"/>
        </w:rPr>
        <w:t>frente</w:t>
      </w:r>
      <w:r>
        <w:rPr>
          <w:spacing w:val="-15"/>
          <w:sz w:val="22"/>
        </w:rPr>
        <w:t> </w:t>
      </w:r>
      <w:r>
        <w:rPr>
          <w:sz w:val="22"/>
        </w:rPr>
        <w:t>de</w:t>
      </w:r>
      <w:r>
        <w:rPr>
          <w:spacing w:val="-15"/>
          <w:sz w:val="22"/>
        </w:rPr>
        <w:t> </w:t>
      </w:r>
      <w:r>
        <w:rPr>
          <w:sz w:val="22"/>
        </w:rPr>
        <w:t>la</w:t>
      </w:r>
      <w:r>
        <w:rPr>
          <w:spacing w:val="-15"/>
          <w:sz w:val="22"/>
        </w:rPr>
        <w:t> </w:t>
      </w:r>
      <w:r>
        <w:rPr>
          <w:sz w:val="22"/>
        </w:rPr>
        <w:t>calle</w:t>
      </w:r>
      <w:r>
        <w:rPr>
          <w:spacing w:val="-15"/>
          <w:sz w:val="22"/>
        </w:rPr>
        <w:t> </w:t>
      </w:r>
      <w:r>
        <w:rPr>
          <w:sz w:val="22"/>
        </w:rPr>
        <w:t>o</w:t>
      </w:r>
      <w:r>
        <w:rPr>
          <w:spacing w:val="-15"/>
          <w:sz w:val="22"/>
        </w:rPr>
        <w:t> </w:t>
      </w:r>
      <w:r>
        <w:rPr>
          <w:sz w:val="22"/>
        </w:rPr>
        <w:t>avenida</w:t>
      </w:r>
      <w:r>
        <w:rPr>
          <w:spacing w:val="-15"/>
          <w:sz w:val="22"/>
        </w:rPr>
        <w:t> </w:t>
      </w:r>
      <w:r>
        <w:rPr>
          <w:sz w:val="22"/>
        </w:rPr>
        <w:t>de</w:t>
      </w:r>
      <w:r>
        <w:rPr>
          <w:spacing w:val="-15"/>
          <w:sz w:val="22"/>
        </w:rPr>
        <w:t> </w:t>
      </w:r>
      <w:r>
        <w:rPr>
          <w:sz w:val="22"/>
        </w:rPr>
        <w:t>7</w:t>
      </w:r>
      <w:r>
        <w:rPr>
          <w:spacing w:val="-15"/>
          <w:sz w:val="22"/>
        </w:rPr>
        <w:t> </w:t>
      </w:r>
      <w:r>
        <w:rPr>
          <w:sz w:val="22"/>
        </w:rPr>
        <w:t>metros; distancia mínima a colindancias laterales y posterior de 2.5 metros; distancia mínima a colindancias con andén de carga 32 metros y banquetas frente a empresas en</w:t>
      </w:r>
      <w:r>
        <w:rPr>
          <w:spacing w:val="-19"/>
          <w:sz w:val="22"/>
        </w:rPr>
        <w:t> </w:t>
      </w:r>
      <w:r>
        <w:rPr>
          <w:sz w:val="22"/>
        </w:rPr>
        <w:t>operación.</w:t>
      </w:r>
    </w:p>
    <w:p>
      <w:pPr>
        <w:pStyle w:val="ListParagraph"/>
        <w:numPr>
          <w:ilvl w:val="0"/>
          <w:numId w:val="2"/>
        </w:numPr>
        <w:tabs>
          <w:tab w:pos="239" w:val="left" w:leader="none"/>
        </w:tabs>
        <w:spacing w:line="240" w:lineRule="auto" w:before="168" w:after="0"/>
        <w:ind w:left="238" w:right="0" w:hanging="136"/>
        <w:jc w:val="both"/>
        <w:rPr>
          <w:sz w:val="22"/>
        </w:rPr>
      </w:pPr>
      <w:r>
        <w:rPr>
          <w:sz w:val="22"/>
        </w:rPr>
        <w:t>Áreas verdes. Destinar el 5 % mínimo de la superficie del terreno para este</w:t>
      </w:r>
      <w:r>
        <w:rPr>
          <w:spacing w:val="-25"/>
          <w:sz w:val="22"/>
        </w:rPr>
        <w:t> </w:t>
      </w:r>
      <w:r>
        <w:rPr>
          <w:sz w:val="22"/>
        </w:rPr>
        <w:t>uso.</w:t>
      </w:r>
    </w:p>
    <w:p>
      <w:pPr>
        <w:pStyle w:val="BodyText"/>
      </w:pPr>
    </w:p>
    <w:p>
      <w:pPr>
        <w:pStyle w:val="ListParagraph"/>
        <w:numPr>
          <w:ilvl w:val="0"/>
          <w:numId w:val="2"/>
        </w:numPr>
        <w:tabs>
          <w:tab w:pos="237" w:val="left" w:leader="none"/>
        </w:tabs>
        <w:spacing w:line="480" w:lineRule="auto" w:before="159" w:after="0"/>
        <w:ind w:left="102" w:right="118" w:firstLine="0"/>
        <w:jc w:val="both"/>
        <w:rPr>
          <w:sz w:val="22"/>
        </w:rPr>
      </w:pPr>
      <w:r>
        <w:rPr>
          <w:sz w:val="22"/>
        </w:rPr>
        <w:t>Estacionamientos.</w:t>
      </w:r>
      <w:r>
        <w:rPr>
          <w:spacing w:val="-5"/>
          <w:sz w:val="22"/>
        </w:rPr>
        <w:t> </w:t>
      </w:r>
      <w:r>
        <w:rPr>
          <w:sz w:val="22"/>
        </w:rPr>
        <w:t>Deben</w:t>
      </w:r>
      <w:r>
        <w:rPr>
          <w:spacing w:val="-4"/>
          <w:sz w:val="22"/>
        </w:rPr>
        <w:t> </w:t>
      </w:r>
      <w:r>
        <w:rPr>
          <w:sz w:val="22"/>
        </w:rPr>
        <w:t>contar</w:t>
      </w:r>
      <w:r>
        <w:rPr>
          <w:spacing w:val="-5"/>
          <w:sz w:val="22"/>
        </w:rPr>
        <w:t> </w:t>
      </w:r>
      <w:r>
        <w:rPr>
          <w:sz w:val="22"/>
        </w:rPr>
        <w:t>con</w:t>
      </w:r>
      <w:r>
        <w:rPr>
          <w:spacing w:val="-4"/>
          <w:sz w:val="22"/>
        </w:rPr>
        <w:t> </w:t>
      </w:r>
      <w:r>
        <w:rPr>
          <w:sz w:val="22"/>
        </w:rPr>
        <w:t>un</w:t>
      </w:r>
      <w:r>
        <w:rPr>
          <w:spacing w:val="-7"/>
          <w:sz w:val="22"/>
        </w:rPr>
        <w:t> </w:t>
      </w:r>
      <w:r>
        <w:rPr>
          <w:sz w:val="22"/>
        </w:rPr>
        <w:t>área</w:t>
      </w:r>
      <w:r>
        <w:rPr>
          <w:spacing w:val="-6"/>
          <w:sz w:val="22"/>
        </w:rPr>
        <w:t> </w:t>
      </w:r>
      <w:r>
        <w:rPr>
          <w:sz w:val="22"/>
        </w:rPr>
        <w:t>de</w:t>
      </w:r>
      <w:r>
        <w:rPr>
          <w:spacing w:val="-7"/>
          <w:sz w:val="22"/>
        </w:rPr>
        <w:t> </w:t>
      </w:r>
      <w:r>
        <w:rPr>
          <w:sz w:val="22"/>
        </w:rPr>
        <w:t>estacionamiento</w:t>
      </w:r>
      <w:r>
        <w:rPr>
          <w:spacing w:val="-6"/>
          <w:sz w:val="22"/>
        </w:rPr>
        <w:t> </w:t>
      </w:r>
      <w:r>
        <w:rPr>
          <w:sz w:val="22"/>
        </w:rPr>
        <w:t>suficiente</w:t>
      </w:r>
      <w:r>
        <w:rPr>
          <w:spacing w:val="-3"/>
          <w:sz w:val="22"/>
        </w:rPr>
        <w:t> </w:t>
      </w:r>
      <w:r>
        <w:rPr>
          <w:sz w:val="22"/>
        </w:rPr>
        <w:t>para</w:t>
      </w:r>
      <w:r>
        <w:rPr>
          <w:spacing w:val="-4"/>
          <w:sz w:val="22"/>
        </w:rPr>
        <w:t> </w:t>
      </w:r>
      <w:r>
        <w:rPr>
          <w:sz w:val="22"/>
        </w:rPr>
        <w:t>albergar vehículos (autos, bicicletas, transporte de personal, motos, camiones y otros), misma </w:t>
      </w:r>
      <w:r>
        <w:rPr>
          <w:spacing w:val="17"/>
          <w:sz w:val="22"/>
        </w:rPr>
        <w:t> </w:t>
      </w:r>
      <w:r>
        <w:rPr>
          <w:sz w:val="22"/>
        </w:rPr>
        <w:t>que</w:t>
      </w:r>
    </w:p>
    <w:p>
      <w:pPr>
        <w:spacing w:after="0" w:line="480" w:lineRule="auto"/>
        <w:jc w:val="both"/>
        <w:rPr>
          <w:sz w:val="22"/>
        </w:rPr>
        <w:sectPr>
          <w:pgSz w:w="12240" w:h="15840"/>
          <w:pgMar w:top="1360" w:bottom="280" w:left="1600" w:right="1580"/>
        </w:sectPr>
      </w:pPr>
    </w:p>
    <w:p>
      <w:pPr>
        <w:pStyle w:val="BodyText"/>
        <w:spacing w:line="480" w:lineRule="auto" w:before="54"/>
        <w:ind w:left="102" w:right="18"/>
      </w:pPr>
      <w:r>
        <w:rPr/>
        <w:t>debe</w:t>
      </w:r>
      <w:r>
        <w:rPr>
          <w:spacing w:val="-16"/>
        </w:rPr>
        <w:t> </w:t>
      </w:r>
      <w:r>
        <w:rPr/>
        <w:t>estar</w:t>
      </w:r>
      <w:r>
        <w:rPr>
          <w:spacing w:val="-15"/>
        </w:rPr>
        <w:t> </w:t>
      </w:r>
      <w:r>
        <w:rPr/>
        <w:t>pavimentada</w:t>
      </w:r>
      <w:r>
        <w:rPr>
          <w:spacing w:val="-19"/>
        </w:rPr>
        <w:t> </w:t>
      </w:r>
      <w:r>
        <w:rPr/>
        <w:t>o</w:t>
      </w:r>
      <w:r>
        <w:rPr>
          <w:spacing w:val="-16"/>
        </w:rPr>
        <w:t> </w:t>
      </w:r>
      <w:r>
        <w:rPr/>
        <w:t>recubierta</w:t>
      </w:r>
      <w:r>
        <w:rPr>
          <w:spacing w:val="-19"/>
        </w:rPr>
        <w:t> </w:t>
      </w:r>
      <w:r>
        <w:rPr/>
        <w:t>con</w:t>
      </w:r>
      <w:r>
        <w:rPr>
          <w:spacing w:val="-19"/>
        </w:rPr>
        <w:t> </w:t>
      </w:r>
      <w:r>
        <w:rPr/>
        <w:t>gravilla.</w:t>
      </w:r>
      <w:r>
        <w:rPr>
          <w:spacing w:val="-15"/>
        </w:rPr>
        <w:t> </w:t>
      </w:r>
      <w:r>
        <w:rPr/>
        <w:t>Asimismo,</w:t>
      </w:r>
      <w:r>
        <w:rPr>
          <w:spacing w:val="-17"/>
        </w:rPr>
        <w:t> </w:t>
      </w:r>
      <w:r>
        <w:rPr/>
        <w:t>cada</w:t>
      </w:r>
      <w:r>
        <w:rPr>
          <w:spacing w:val="-19"/>
        </w:rPr>
        <w:t> </w:t>
      </w:r>
      <w:r>
        <w:rPr/>
        <w:t>lote</w:t>
      </w:r>
      <w:r>
        <w:rPr>
          <w:spacing w:val="-15"/>
        </w:rPr>
        <w:t> </w:t>
      </w:r>
      <w:r>
        <w:rPr/>
        <w:t>industrial</w:t>
      </w:r>
      <w:r>
        <w:rPr>
          <w:spacing w:val="-17"/>
        </w:rPr>
        <w:t> </w:t>
      </w:r>
      <w:r>
        <w:rPr/>
        <w:t>debe</w:t>
      </w:r>
      <w:r>
        <w:rPr>
          <w:spacing w:val="-19"/>
        </w:rPr>
        <w:t> </w:t>
      </w:r>
      <w:r>
        <w:rPr/>
        <w:t>contar con las siguientes áreas mínimas para</w:t>
      </w:r>
      <w:r>
        <w:rPr>
          <w:spacing w:val="-14"/>
        </w:rPr>
        <w:t> </w:t>
      </w:r>
      <w:r>
        <w:rPr/>
        <w:t>estacionamiento:</w:t>
      </w:r>
    </w:p>
    <w:p>
      <w:pPr>
        <w:pStyle w:val="ListParagraph"/>
        <w:numPr>
          <w:ilvl w:val="0"/>
          <w:numId w:val="2"/>
        </w:numPr>
        <w:tabs>
          <w:tab w:pos="239" w:val="left" w:leader="none"/>
        </w:tabs>
        <w:spacing w:line="240" w:lineRule="auto" w:before="163" w:after="0"/>
        <w:ind w:left="238" w:right="0" w:hanging="136"/>
        <w:jc w:val="both"/>
        <w:rPr>
          <w:sz w:val="22"/>
        </w:rPr>
      </w:pPr>
      <w:r>
        <w:rPr>
          <w:sz w:val="22"/>
        </w:rPr>
        <w:t>1 Cajón de estacionamiento por cada 200 m</w:t>
      </w:r>
      <w:r>
        <w:rPr>
          <w:position w:val="8"/>
          <w:sz w:val="14"/>
        </w:rPr>
        <w:t>2  </w:t>
      </w:r>
      <w:r>
        <w:rPr>
          <w:sz w:val="22"/>
        </w:rPr>
        <w:t>de área de</w:t>
      </w:r>
      <w:r>
        <w:rPr>
          <w:spacing w:val="-29"/>
          <w:sz w:val="22"/>
        </w:rPr>
        <w:t> </w:t>
      </w:r>
      <w:r>
        <w:rPr>
          <w:sz w:val="22"/>
        </w:rPr>
        <w:t>almacenamiento.</w:t>
      </w:r>
    </w:p>
    <w:p>
      <w:pPr>
        <w:pStyle w:val="BodyText"/>
      </w:pPr>
    </w:p>
    <w:p>
      <w:pPr>
        <w:pStyle w:val="ListParagraph"/>
        <w:numPr>
          <w:ilvl w:val="0"/>
          <w:numId w:val="2"/>
        </w:numPr>
        <w:tabs>
          <w:tab w:pos="239" w:val="left" w:leader="none"/>
        </w:tabs>
        <w:spacing w:line="240" w:lineRule="auto" w:before="154" w:after="0"/>
        <w:ind w:left="238" w:right="0" w:hanging="136"/>
        <w:jc w:val="both"/>
        <w:rPr>
          <w:sz w:val="22"/>
        </w:rPr>
      </w:pPr>
      <w:r>
        <w:rPr>
          <w:sz w:val="22"/>
        </w:rPr>
        <w:t>1 Cajón de estacionamiento por cada 150 m</w:t>
      </w:r>
      <w:r>
        <w:rPr>
          <w:position w:val="8"/>
          <w:sz w:val="14"/>
        </w:rPr>
        <w:t>2  </w:t>
      </w:r>
      <w:r>
        <w:rPr>
          <w:sz w:val="22"/>
        </w:rPr>
        <w:t>de área de</w:t>
      </w:r>
      <w:r>
        <w:rPr>
          <w:spacing w:val="-29"/>
          <w:sz w:val="22"/>
        </w:rPr>
        <w:t> </w:t>
      </w:r>
      <w:r>
        <w:rPr>
          <w:sz w:val="22"/>
        </w:rPr>
        <w:t>producción.</w:t>
      </w:r>
    </w:p>
    <w:p>
      <w:pPr>
        <w:pStyle w:val="BodyText"/>
      </w:pPr>
    </w:p>
    <w:p>
      <w:pPr>
        <w:pStyle w:val="ListParagraph"/>
        <w:numPr>
          <w:ilvl w:val="0"/>
          <w:numId w:val="2"/>
        </w:numPr>
        <w:tabs>
          <w:tab w:pos="239" w:val="left" w:leader="none"/>
        </w:tabs>
        <w:spacing w:line="240" w:lineRule="auto" w:before="156" w:after="0"/>
        <w:ind w:left="238" w:right="0" w:hanging="136"/>
        <w:jc w:val="both"/>
        <w:rPr>
          <w:sz w:val="22"/>
        </w:rPr>
      </w:pPr>
      <w:r>
        <w:rPr>
          <w:sz w:val="22"/>
        </w:rPr>
        <w:t>1 Cajón de estacionamiento por cada 50 m</w:t>
      </w:r>
      <w:r>
        <w:rPr>
          <w:position w:val="8"/>
          <w:sz w:val="14"/>
        </w:rPr>
        <w:t>2 </w:t>
      </w:r>
      <w:r>
        <w:rPr>
          <w:sz w:val="22"/>
        </w:rPr>
        <w:t>de área de</w:t>
      </w:r>
      <w:r>
        <w:rPr>
          <w:spacing w:val="-15"/>
          <w:sz w:val="22"/>
        </w:rPr>
        <w:t> </w:t>
      </w:r>
      <w:r>
        <w:rPr>
          <w:sz w:val="22"/>
        </w:rPr>
        <w:t>oficinas.</w:t>
      </w:r>
    </w:p>
    <w:p>
      <w:pPr>
        <w:pStyle w:val="BodyText"/>
      </w:pPr>
    </w:p>
    <w:p>
      <w:pPr>
        <w:pStyle w:val="ListParagraph"/>
        <w:numPr>
          <w:ilvl w:val="0"/>
          <w:numId w:val="2"/>
        </w:numPr>
        <w:tabs>
          <w:tab w:pos="239" w:val="left" w:leader="none"/>
        </w:tabs>
        <w:spacing w:line="240" w:lineRule="auto" w:before="154" w:after="0"/>
        <w:ind w:left="238" w:right="0" w:hanging="136"/>
        <w:jc w:val="both"/>
        <w:rPr>
          <w:sz w:val="22"/>
        </w:rPr>
      </w:pPr>
      <w:r>
        <w:rPr>
          <w:sz w:val="22"/>
        </w:rPr>
        <w:t>1 Cajón de estacionamiento para tráileres por cada 1000 m</w:t>
      </w:r>
      <w:r>
        <w:rPr>
          <w:position w:val="8"/>
          <w:sz w:val="14"/>
        </w:rPr>
        <w:t>2  </w:t>
      </w:r>
      <w:r>
        <w:rPr>
          <w:sz w:val="22"/>
        </w:rPr>
        <w:t>de área de nave</w:t>
      </w:r>
      <w:r>
        <w:rPr>
          <w:spacing w:val="-41"/>
          <w:sz w:val="22"/>
        </w:rPr>
        <w:t> </w:t>
      </w:r>
      <w:r>
        <w:rPr>
          <w:sz w:val="22"/>
        </w:rPr>
        <w:t>industrial.</w:t>
      </w:r>
    </w:p>
    <w:p>
      <w:pPr>
        <w:pStyle w:val="BodyText"/>
      </w:pPr>
    </w:p>
    <w:p>
      <w:pPr>
        <w:pStyle w:val="BodyText"/>
        <w:spacing w:line="477" w:lineRule="auto" w:before="162"/>
        <w:ind w:left="102" w:right="118"/>
        <w:jc w:val="both"/>
      </w:pPr>
      <w:r>
        <w:rPr/>
        <w:t>Los andenes de carga no deben estar ubicados frente al acceso principal, excepto si el terreno tiene 2 o más frentes. El área del cajón de estacionamiento, incluyendo superficie de circulación debe ser de 25 m</w:t>
      </w:r>
      <w:r>
        <w:rPr>
          <w:position w:val="8"/>
          <w:sz w:val="14"/>
        </w:rPr>
        <w:t>2  </w:t>
      </w:r>
      <w:r>
        <w:rPr/>
        <w:t>mínimo, para automóviles.</w:t>
      </w:r>
    </w:p>
    <w:p>
      <w:pPr>
        <w:pStyle w:val="ListParagraph"/>
        <w:numPr>
          <w:ilvl w:val="0"/>
          <w:numId w:val="4"/>
        </w:numPr>
        <w:tabs>
          <w:tab w:pos="362" w:val="left" w:leader="none"/>
        </w:tabs>
        <w:spacing w:line="631" w:lineRule="auto" w:before="163" w:after="0"/>
        <w:ind w:left="102" w:right="6964" w:firstLine="0"/>
        <w:jc w:val="left"/>
        <w:rPr>
          <w:sz w:val="22"/>
        </w:rPr>
      </w:pPr>
      <w:r>
        <w:rPr>
          <w:sz w:val="22"/>
        </w:rPr>
        <w:t>Ubicación</w:t>
      </w:r>
      <w:r>
        <w:rPr>
          <w:spacing w:val="-9"/>
          <w:sz w:val="22"/>
        </w:rPr>
        <w:t> </w:t>
      </w:r>
      <w:r>
        <w:rPr>
          <w:sz w:val="22"/>
        </w:rPr>
        <w:t>relativa Cercanía</w:t>
      </w:r>
      <w:r>
        <w:rPr>
          <w:spacing w:val="-2"/>
          <w:sz w:val="22"/>
        </w:rPr>
        <w:t> </w:t>
      </w:r>
      <w:r>
        <w:rPr>
          <w:sz w:val="22"/>
        </w:rPr>
        <w:t>con:</w:t>
      </w:r>
    </w:p>
    <w:p>
      <w:pPr>
        <w:pStyle w:val="ListParagraph"/>
        <w:numPr>
          <w:ilvl w:val="0"/>
          <w:numId w:val="2"/>
        </w:numPr>
        <w:tabs>
          <w:tab w:pos="239" w:val="left" w:leader="none"/>
        </w:tabs>
        <w:spacing w:line="240" w:lineRule="auto" w:before="14" w:after="0"/>
        <w:ind w:left="238" w:right="0" w:hanging="136"/>
        <w:jc w:val="both"/>
        <w:rPr>
          <w:sz w:val="22"/>
        </w:rPr>
      </w:pPr>
      <w:r>
        <w:rPr>
          <w:sz w:val="22"/>
        </w:rPr>
        <w:t>Zonas</w:t>
      </w:r>
      <w:r>
        <w:rPr>
          <w:spacing w:val="-6"/>
          <w:sz w:val="22"/>
        </w:rPr>
        <w:t> </w:t>
      </w:r>
      <w:r>
        <w:rPr>
          <w:sz w:val="22"/>
        </w:rPr>
        <w:t>habitacionales.</w:t>
      </w:r>
    </w:p>
    <w:p>
      <w:pPr>
        <w:pStyle w:val="BodyText"/>
      </w:pPr>
    </w:p>
    <w:p>
      <w:pPr>
        <w:pStyle w:val="ListParagraph"/>
        <w:numPr>
          <w:ilvl w:val="0"/>
          <w:numId w:val="2"/>
        </w:numPr>
        <w:tabs>
          <w:tab w:pos="239" w:val="left" w:leader="none"/>
        </w:tabs>
        <w:spacing w:line="240" w:lineRule="auto" w:before="159" w:after="0"/>
        <w:ind w:left="238" w:right="0" w:hanging="136"/>
        <w:jc w:val="both"/>
        <w:rPr>
          <w:sz w:val="22"/>
        </w:rPr>
      </w:pPr>
      <w:r>
        <w:rPr>
          <w:sz w:val="22"/>
        </w:rPr>
        <w:t>Centro de la</w:t>
      </w:r>
      <w:r>
        <w:rPr>
          <w:spacing w:val="-8"/>
          <w:sz w:val="22"/>
        </w:rPr>
        <w:t> </w:t>
      </w:r>
      <w:r>
        <w:rPr>
          <w:sz w:val="22"/>
        </w:rPr>
        <w:t>ciudad.</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Carretera federal, autopista, línea ferroviaria, aeropuerto o puerto</w:t>
      </w:r>
      <w:r>
        <w:rPr>
          <w:spacing w:val="-27"/>
          <w:sz w:val="22"/>
        </w:rPr>
        <w:t> </w:t>
      </w:r>
      <w:r>
        <w:rPr>
          <w:sz w:val="22"/>
        </w:rPr>
        <w:t>marítimo.</w:t>
      </w:r>
    </w:p>
    <w:p>
      <w:pPr>
        <w:pStyle w:val="BodyText"/>
      </w:pPr>
    </w:p>
    <w:p>
      <w:pPr>
        <w:pStyle w:val="ListParagraph"/>
        <w:numPr>
          <w:ilvl w:val="0"/>
          <w:numId w:val="2"/>
        </w:numPr>
        <w:tabs>
          <w:tab w:pos="239" w:val="left" w:leader="none"/>
        </w:tabs>
        <w:spacing w:line="240" w:lineRule="auto" w:before="159" w:after="0"/>
        <w:ind w:left="238" w:right="0" w:hanging="136"/>
        <w:jc w:val="both"/>
        <w:rPr>
          <w:sz w:val="22"/>
        </w:rPr>
      </w:pPr>
      <w:r>
        <w:rPr>
          <w:sz w:val="22"/>
        </w:rPr>
        <w:t>Clientes y</w:t>
      </w:r>
      <w:r>
        <w:rPr>
          <w:spacing w:val="-9"/>
          <w:sz w:val="22"/>
        </w:rPr>
        <w:t> </w:t>
      </w:r>
      <w:r>
        <w:rPr>
          <w:sz w:val="22"/>
        </w:rPr>
        <w:t>proveedores.</w:t>
      </w:r>
    </w:p>
    <w:p>
      <w:pPr>
        <w:pStyle w:val="BodyText"/>
      </w:pPr>
    </w:p>
    <w:p>
      <w:pPr>
        <w:pStyle w:val="ListParagraph"/>
        <w:numPr>
          <w:ilvl w:val="0"/>
          <w:numId w:val="2"/>
        </w:numPr>
        <w:tabs>
          <w:tab w:pos="239" w:val="left" w:leader="none"/>
        </w:tabs>
        <w:spacing w:line="240" w:lineRule="auto" w:before="161" w:after="0"/>
        <w:ind w:left="238" w:right="0" w:hanging="136"/>
        <w:jc w:val="both"/>
        <w:rPr>
          <w:sz w:val="22"/>
        </w:rPr>
      </w:pPr>
      <w:r>
        <w:rPr>
          <w:sz w:val="22"/>
        </w:rPr>
        <w:t>Frontera, terminal de carga y</w:t>
      </w:r>
      <w:r>
        <w:rPr>
          <w:spacing w:val="-12"/>
          <w:sz w:val="22"/>
        </w:rPr>
        <w:t> </w:t>
      </w:r>
      <w:r>
        <w:rPr>
          <w:sz w:val="22"/>
        </w:rPr>
        <w:t>aduana.</w:t>
      </w:r>
    </w:p>
    <w:p>
      <w:pPr>
        <w:pStyle w:val="BodyText"/>
      </w:pPr>
    </w:p>
    <w:p>
      <w:pPr>
        <w:pStyle w:val="ListParagraph"/>
        <w:numPr>
          <w:ilvl w:val="0"/>
          <w:numId w:val="4"/>
        </w:numPr>
        <w:tabs>
          <w:tab w:pos="359" w:val="left" w:leader="none"/>
        </w:tabs>
        <w:spacing w:line="240" w:lineRule="auto" w:before="159" w:after="0"/>
        <w:ind w:left="358" w:right="0" w:hanging="256"/>
        <w:jc w:val="both"/>
        <w:rPr>
          <w:sz w:val="22"/>
        </w:rPr>
      </w:pPr>
      <w:r>
        <w:rPr>
          <w:sz w:val="22"/>
        </w:rPr>
        <w:t>Impacto</w:t>
      </w:r>
      <w:r>
        <w:rPr>
          <w:spacing w:val="-4"/>
          <w:sz w:val="22"/>
        </w:rPr>
        <w:t> </w:t>
      </w:r>
      <w:r>
        <w:rPr>
          <w:sz w:val="22"/>
        </w:rPr>
        <w:t>Ambiental</w:t>
      </w:r>
    </w:p>
    <w:p>
      <w:pPr>
        <w:pStyle w:val="BodyText"/>
      </w:pPr>
    </w:p>
    <w:p>
      <w:pPr>
        <w:pStyle w:val="BodyText"/>
        <w:spacing w:line="480" w:lineRule="auto" w:before="161"/>
        <w:ind w:left="102" w:right="116"/>
        <w:jc w:val="both"/>
      </w:pPr>
      <w:r>
        <w:rPr/>
        <w:t>Se</w:t>
      </w:r>
      <w:r>
        <w:rPr>
          <w:spacing w:val="-5"/>
        </w:rPr>
        <w:t> </w:t>
      </w:r>
      <w:r>
        <w:rPr/>
        <w:t>debe</w:t>
      </w:r>
      <w:r>
        <w:rPr>
          <w:spacing w:val="-8"/>
        </w:rPr>
        <w:t> </w:t>
      </w:r>
      <w:r>
        <w:rPr/>
        <w:t>contar</w:t>
      </w:r>
      <w:r>
        <w:rPr>
          <w:spacing w:val="-7"/>
        </w:rPr>
        <w:t> </w:t>
      </w:r>
      <w:r>
        <w:rPr/>
        <w:t>con</w:t>
      </w:r>
      <w:r>
        <w:rPr>
          <w:spacing w:val="-8"/>
        </w:rPr>
        <w:t> </w:t>
      </w:r>
      <w:r>
        <w:rPr/>
        <w:t>la</w:t>
      </w:r>
      <w:r>
        <w:rPr>
          <w:spacing w:val="-5"/>
        </w:rPr>
        <w:t> </w:t>
      </w:r>
      <w:r>
        <w:rPr/>
        <w:t>Manifestación</w:t>
      </w:r>
      <w:r>
        <w:rPr>
          <w:spacing w:val="-8"/>
        </w:rPr>
        <w:t> </w:t>
      </w:r>
      <w:r>
        <w:rPr/>
        <w:t>de</w:t>
      </w:r>
      <w:r>
        <w:rPr>
          <w:spacing w:val="-8"/>
        </w:rPr>
        <w:t> </w:t>
      </w:r>
      <w:r>
        <w:rPr/>
        <w:t>Impacto</w:t>
      </w:r>
      <w:r>
        <w:rPr>
          <w:spacing w:val="-10"/>
        </w:rPr>
        <w:t> </w:t>
      </w:r>
      <w:r>
        <w:rPr/>
        <w:t>Ambiental,</w:t>
      </w:r>
      <w:r>
        <w:rPr>
          <w:spacing w:val="-6"/>
        </w:rPr>
        <w:t> </w:t>
      </w:r>
      <w:r>
        <w:rPr/>
        <w:t>en</w:t>
      </w:r>
      <w:r>
        <w:rPr>
          <w:spacing w:val="-8"/>
        </w:rPr>
        <w:t> </w:t>
      </w:r>
      <w:r>
        <w:rPr/>
        <w:t>donde</w:t>
      </w:r>
      <w:r>
        <w:rPr>
          <w:spacing w:val="-8"/>
        </w:rPr>
        <w:t> </w:t>
      </w:r>
      <w:r>
        <w:rPr/>
        <w:t>se</w:t>
      </w:r>
      <w:r>
        <w:rPr>
          <w:spacing w:val="-10"/>
        </w:rPr>
        <w:t> </w:t>
      </w:r>
      <w:r>
        <w:rPr/>
        <w:t>especifique</w:t>
      </w:r>
      <w:r>
        <w:rPr>
          <w:spacing w:val="-10"/>
        </w:rPr>
        <w:t> </w:t>
      </w:r>
      <w:r>
        <w:rPr/>
        <w:t>que</w:t>
      </w:r>
      <w:r>
        <w:rPr>
          <w:spacing w:val="-8"/>
        </w:rPr>
        <w:t> </w:t>
      </w:r>
      <w:r>
        <w:rPr/>
        <w:t>la actividad industrial a desarrollar no genera impactos ambientales negativos en la localidad o región de</w:t>
      </w:r>
      <w:r>
        <w:rPr>
          <w:spacing w:val="-4"/>
        </w:rPr>
        <w:t> </w:t>
      </w:r>
      <w:r>
        <w:rPr/>
        <w:t>asentamiento.</w:t>
      </w:r>
    </w:p>
    <w:p>
      <w:pPr>
        <w:spacing w:after="0" w:line="480" w:lineRule="auto"/>
        <w:jc w:val="both"/>
        <w:sectPr>
          <w:pgSz w:w="12240" w:h="15840"/>
          <w:pgMar w:top="1360" w:bottom="280" w:left="1600" w:right="1580"/>
        </w:sectPr>
      </w:pPr>
    </w:p>
    <w:p>
      <w:pPr>
        <w:pStyle w:val="BodyText"/>
        <w:spacing w:line="480" w:lineRule="auto" w:before="54"/>
        <w:ind w:left="122" w:right="714"/>
        <w:jc w:val="both"/>
      </w:pPr>
      <w:r>
        <w:rPr/>
        <w:t>Integrando y agrupando la información, se definen nueve categorías como requerimientos básicos</w:t>
      </w:r>
      <w:r>
        <w:rPr>
          <w:spacing w:val="-9"/>
        </w:rPr>
        <w:t> </w:t>
      </w:r>
      <w:r>
        <w:rPr/>
        <w:t>al</w:t>
      </w:r>
      <w:r>
        <w:rPr>
          <w:spacing w:val="-12"/>
        </w:rPr>
        <w:t> </w:t>
      </w:r>
      <w:r>
        <w:rPr/>
        <w:t>funcionamiento</w:t>
      </w:r>
      <w:r>
        <w:rPr>
          <w:spacing w:val="-9"/>
        </w:rPr>
        <w:t> </w:t>
      </w:r>
      <w:r>
        <w:rPr/>
        <w:t>de</w:t>
      </w:r>
      <w:r>
        <w:rPr>
          <w:spacing w:val="-9"/>
        </w:rPr>
        <w:t> </w:t>
      </w:r>
      <w:r>
        <w:rPr/>
        <w:t>los</w:t>
      </w:r>
      <w:r>
        <w:rPr>
          <w:spacing w:val="-9"/>
        </w:rPr>
        <w:t> </w:t>
      </w:r>
      <w:r>
        <w:rPr/>
        <w:t>parques</w:t>
      </w:r>
      <w:r>
        <w:rPr>
          <w:spacing w:val="-8"/>
        </w:rPr>
        <w:t> </w:t>
      </w:r>
      <w:r>
        <w:rPr/>
        <w:t>industriales,</w:t>
      </w:r>
      <w:r>
        <w:rPr>
          <w:spacing w:val="-8"/>
        </w:rPr>
        <w:t> </w:t>
      </w:r>
      <w:r>
        <w:rPr/>
        <w:t>cuyas</w:t>
      </w:r>
      <w:r>
        <w:rPr>
          <w:spacing w:val="-9"/>
        </w:rPr>
        <w:t> </w:t>
      </w:r>
      <w:r>
        <w:rPr/>
        <w:t>condiciones</w:t>
      </w:r>
      <w:r>
        <w:rPr>
          <w:spacing w:val="-9"/>
        </w:rPr>
        <w:t> </w:t>
      </w:r>
      <w:r>
        <w:rPr/>
        <w:t>permiten</w:t>
      </w:r>
      <w:r>
        <w:rPr>
          <w:spacing w:val="-11"/>
        </w:rPr>
        <w:t> </w:t>
      </w:r>
      <w:r>
        <w:rPr/>
        <w:t>detectar la presencia y nivel de la producción sustentable en dichos conglomerados empresariales, tal como se aprecia en la Figura 1. Cada una de las categorías mostradas en la Tabla 1, contempla un conjunto de variables, que a través de su indicador como unidad medible o cuantificable, y relacionándolo con otras variables, permite definir índices que explican de manera puntual las condiciones de dichos aspectos y su influencia en la producción sustentable de los parques</w:t>
      </w:r>
      <w:r>
        <w:rPr>
          <w:spacing w:val="-10"/>
        </w:rPr>
        <w:t> </w:t>
      </w:r>
      <w:r>
        <w:rPr/>
        <w:t>industriales.</w:t>
      </w:r>
    </w:p>
    <w:p>
      <w:pPr>
        <w:pStyle w:val="Heading2"/>
        <w:spacing w:before="166"/>
        <w:ind w:left="131"/>
      </w:pPr>
      <w:r>
        <w:rPr>
          <w:b w:val="0"/>
        </w:rPr>
        <w:t>Figura 1. </w:t>
      </w:r>
      <w:r>
        <w:rPr/>
        <w:t>Requerimientos para la producción sustentable en los parques industriales</w:t>
      </w:r>
    </w:p>
    <w:p>
      <w:pPr>
        <w:pStyle w:val="BodyText"/>
        <w:spacing w:before="8"/>
        <w:rPr>
          <w:b/>
          <w:sz w:val="9"/>
        </w:rPr>
      </w:pPr>
      <w:r>
        <w:rPr/>
        <w:pict>
          <v:group style="position:absolute;margin-left:143.300003pt;margin-top:7.563941pt;width:363.75pt;height:224.75pt;mso-position-horizontal-relative:page;mso-position-vertical-relative:paragraph;z-index:1336;mso-wrap-distance-left:0;mso-wrap-distance-right:0" coordorigin="2866,151" coordsize="7275,4495">
            <v:shape style="position:absolute;left:3210;top:607;width:1596;height:682" coordorigin="3210,607" coordsize="1596,682" path="m3210,948l3234,864,3303,788,3353,753,3411,721,3478,693,3552,668,3633,647,3720,630,3811,617,3908,609,4008,607,4108,609,4205,617,4296,630,4383,647,4464,668,4538,693,4605,721,4663,753,4713,788,4782,864,4806,948,4800,991,4752,1071,4663,1143,4605,1174,4538,1203,4464,1228,4383,1249,4296,1266,4205,1278,4108,1286,4008,1289,3908,1286,3811,1278,3720,1266,3633,1249,3552,1228,3478,1203,3411,1174,3353,1143,3303,1108,3234,1032,3210,948xe" filled="false" stroked="true" strokeweight=".75pt" strokecolor="#000000">
              <v:path arrowok="t"/>
            </v:shape>
            <v:shape style="position:absolute;left:3451;top:785;width:1114;height:324" type="#_x0000_t75" stroked="false">
              <v:imagedata r:id="rId9" o:title=""/>
            </v:shape>
            <v:shape style="position:absolute;left:4893;top:297;width:1697;height:682" coordorigin="4893,297" coordsize="1697,682" path="m4893,638l4919,554,4992,478,5045,443,5107,411,5178,383,5257,358,5343,337,5435,320,5533,307,5635,299,5742,297,5848,299,5951,307,6048,320,6140,337,6226,358,6305,383,6376,411,6438,443,6491,478,6564,554,6590,638,6583,681,6533,761,6438,833,6376,864,6305,893,6226,918,6140,939,6048,956,5951,968,5848,976,5742,979,5635,976,5533,968,5435,956,5343,939,5257,918,5178,893,5107,864,5045,833,4992,798,4919,722,4893,638xe" filled="false" stroked="true" strokeweight=".75pt" strokecolor="#000000">
              <v:path arrowok="t"/>
            </v:shape>
            <v:shape style="position:absolute;left:5148;top:476;width:1186;height:324" type="#_x0000_t75" stroked="false">
              <v:imagedata r:id="rId10" o:title=""/>
            </v:shape>
            <v:shape style="position:absolute;left:6821;top:274;width:1787;height:682" coordorigin="6821,274" coordsize="1787,682" path="m6821,615l6845,537,6912,465,7017,402,7083,374,7156,349,7236,327,7322,308,7413,294,7510,283,7610,276,7715,274,7819,276,7919,283,8016,294,8107,308,8194,327,8273,349,8346,374,8412,402,8469,432,8556,500,8602,575,8608,615,8602,655,8556,730,8469,798,8412,828,8346,856,8273,881,8194,903,8107,921,8016,936,7919,947,7819,953,7715,956,7610,953,7510,947,7413,936,7322,921,7236,903,7156,881,7083,856,7017,828,6960,798,6873,730,6827,655,6821,615xe" filled="false" stroked="true" strokeweight=".75pt" strokecolor="#000000">
              <v:path arrowok="t"/>
            </v:shape>
            <v:shape style="position:absolute;left:7090;top:454;width:1250;height:324" type="#_x0000_t75" stroked="false">
              <v:imagedata r:id="rId11" o:title=""/>
            </v:shape>
            <v:shape style="position:absolute;left:8022;top:989;width:1651;height:682" coordorigin="8022,989" coordsize="1651,682" path="m8022,1330l8047,1246,8119,1170,8170,1135,8230,1103,8299,1075,8376,1050,8459,1029,8549,1012,8644,999,8744,991,8848,989,8951,991,9051,999,9146,1012,9236,1029,9319,1050,9396,1075,9465,1103,9525,1135,9576,1170,9648,1246,9673,1330,9667,1373,9617,1453,9525,1525,9465,1556,9396,1585,9319,1610,9236,1631,9146,1648,9051,1660,8951,1668,8848,1671,8744,1668,8644,1660,8549,1648,8459,1631,8376,1610,8299,1585,8230,1556,8170,1525,8119,1490,8047,1414,8022,1330xe" filled="false" stroked="true" strokeweight=".75pt" strokecolor="#000000">
              <v:path arrowok="t"/>
            </v:shape>
            <v:shape style="position:absolute;left:8270;top:1169;width:1154;height:324" type="#_x0000_t75" stroked="false">
              <v:imagedata r:id="rId12" o:title=""/>
            </v:shape>
            <v:shape style="position:absolute;left:8065;top:1839;width:1984;height:682" coordorigin="8065,1839" coordsize="1984,682" path="m8065,2180l8088,2107,8153,2039,8256,1978,8321,1951,8392,1927,8471,1905,8556,1885,8647,1869,8743,1856,8844,1847,8949,1841,9057,1839,9165,1841,9270,1847,9371,1856,9467,1869,9558,1885,9643,1905,9722,1927,9793,1951,9858,1978,9914,2008,9998,2072,10043,2143,10049,2180,10043,2217,9998,2288,9914,2352,9858,2381,9793,2408,9722,2433,9643,2455,9558,2474,9467,2490,9371,2503,9270,2513,9165,2519,9057,2521,8949,2519,8844,2513,8743,2503,8647,2490,8556,2474,8471,2455,8392,2433,8321,2408,8256,2381,8200,2352,8116,2288,8071,2217,8065,2180xe" filled="false" stroked="true" strokeweight=".75pt" strokecolor="#000000">
              <v:path arrowok="t"/>
            </v:shape>
            <v:shape style="position:absolute;left:8364;top:2019;width:1387;height:324" type="#_x0000_t75" stroked="false">
              <v:imagedata r:id="rId13" o:title=""/>
            </v:shape>
            <v:shape style="position:absolute;left:7773;top:2662;width:1876;height:682" coordorigin="7773,2662" coordsize="1876,682" path="m7773,3003l7798,2925,7868,2853,7919,2820,7979,2790,8048,2762,8124,2737,8208,2715,8299,2696,8395,2682,8496,2671,8602,2664,8711,2662,8820,2664,8926,2671,9027,2682,9123,2696,9214,2715,9298,2737,9374,2762,9443,2790,9503,2820,9554,2853,9624,2925,9649,3003,9643,3043,9594,3118,9503,3186,9443,3216,9374,3244,9298,3269,9214,3291,9123,3309,9027,3324,8926,3335,8820,3341,8711,3344,8602,3341,8496,3335,8395,3324,8299,3309,8208,3291,8124,3269,8048,3244,7979,3216,7919,3186,7868,3153,7798,3081,7773,3003xe" filled="false" stroked="true" strokeweight=".75pt" strokecolor="#000000">
              <v:path arrowok="t"/>
            </v:shape>
            <v:shape style="position:absolute;left:8054;top:2842;width:1313;height:324" type="#_x0000_t75" stroked="false">
              <v:imagedata r:id="rId14" o:title=""/>
            </v:shape>
            <v:shape style="position:absolute;left:5333;top:2641;width:2043;height:742" coordorigin="5333,2641" coordsize="2043,742" path="m5333,3012l5354,2937,5413,2867,5507,2804,5566,2776,5632,2749,5705,2726,5783,2704,5868,2686,5957,2670,6051,2657,6149,2648,6250,2643,6355,2641,6459,2643,6560,2648,6658,2657,6752,2670,6841,2686,6926,2704,7004,2726,7077,2749,7143,2776,7202,2804,7296,2867,7355,2937,7376,3012,7371,3050,7330,3122,7253,3189,7143,3248,7077,3274,7004,3298,6926,3319,6841,3338,6752,3354,6658,3366,6560,3375,6459,3381,6355,3383,6250,3381,6149,3375,6051,3366,5957,3354,5868,3338,5783,3319,5705,3298,5632,3274,5566,3248,5507,3219,5413,3156,5354,3087,5333,3012xe" filled="false" stroked="true" strokeweight=".75pt" strokecolor="#000000">
              <v:path arrowok="t"/>
            </v:shape>
            <v:shape style="position:absolute;left:5640;top:2830;width:1428;height:365" type="#_x0000_t75" stroked="false">
              <v:imagedata r:id="rId15" o:title=""/>
            </v:shape>
            <v:shape style="position:absolute;left:3430;top:2469;width:1596;height:682" coordorigin="3430,2469" coordsize="1596,682" path="m3430,2810l3454,2726,3523,2650,3573,2615,3631,2583,3698,2555,3772,2530,3853,2509,3940,2492,4031,2479,4128,2471,4228,2469,4328,2471,4425,2479,4516,2492,4603,2509,4684,2530,4758,2555,4825,2583,4883,2615,4933,2650,5002,2726,5026,2810,5020,2853,4972,2933,4883,3005,4825,3036,4758,3065,4684,3090,4603,3111,4516,3128,4425,3140,4328,3148,4228,3151,4128,3148,4031,3140,3940,3128,3853,3111,3772,3090,3698,3065,3631,3036,3573,3005,3523,2970,3454,2894,3430,2810xe" filled="false" stroked="true" strokeweight=".75pt" strokecolor="#000000">
              <v:path arrowok="t"/>
            </v:shape>
            <v:shape style="position:absolute;left:3672;top:2648;width:1114;height:324" type="#_x0000_t75" stroked="false">
              <v:imagedata r:id="rId9" o:title=""/>
            </v:shape>
            <v:shape style="position:absolute;left:3030;top:1529;width:1596;height:682" coordorigin="3030,1529" coordsize="1596,682" path="m3030,1870l3054,1786,3123,1710,3173,1675,3231,1643,3298,1615,3372,1590,3453,1569,3540,1552,3631,1539,3728,1531,3828,1529,3928,1531,4025,1539,4116,1552,4203,1569,4284,1590,4358,1615,4425,1643,4483,1675,4533,1710,4602,1786,4626,1870,4620,1913,4572,1993,4483,2065,4425,2096,4358,2125,4284,2150,4203,2171,4116,2188,4025,2200,3928,2208,3828,2211,3728,2208,3631,2200,3540,2188,3453,2171,3372,2150,3298,2125,3231,2096,3173,2065,3123,2030,3054,1954,3030,1870xe" filled="false" stroked="true" strokeweight=".75pt" strokecolor="#000000">
              <v:path arrowok="t"/>
            </v:shape>
            <v:shape style="position:absolute;left:3271;top:1709;width:1114;height:324" type="#_x0000_t75" stroked="false">
              <v:imagedata r:id="rId9" o:title=""/>
            </v:shape>
            <v:shape style="position:absolute;left:5013;top:3488;width:2750;height:460" coordorigin="5013,3488" coordsize="2750,460" path="m5013,3722l5701,3722,5701,3488,7075,3488,7075,3722,7763,3722,6388,3948,5013,3722xe" filled="false" stroked="true" strokeweight=".75pt" strokecolor="#000000">
              <v:path arrowok="t"/>
            </v:shape>
            <v:shape style="position:absolute;left:5710;top:3567;width:1358;height:190" type="#_x0000_t75" stroked="false">
              <v:imagedata r:id="rId16" o:title=""/>
            </v:shape>
            <v:shape style="position:absolute;left:3166;top:4031;width:6765;height:515" type="#_x0000_t75" stroked="false">
              <v:imagedata r:id="rId17" o:title=""/>
            </v:shape>
            <v:rect style="position:absolute;left:2903;top:159;width:7230;height:4480" filled="false" stroked="true" strokeweight=".75pt" strokecolor="#000000"/>
            <v:shape style="position:absolute;left:4723;top:1187;width:3260;height:1362" coordorigin="4723,1187" coordsize="3260,1362" path="m6830,2349l5876,2349,6353,2549,6830,2349xm7506,1386l6830,1387,5200,1387,5201,1668,4723,1868,5201,2067,5200,2349,7506,2349,7505,2067,7983,1868,7505,1668,7506,1387,5876,1387,7506,1386xm7506,2349l6830,2349,7506,2349,7506,2349xm6353,1187l5876,1387,6830,1387,6353,1187xe" filled="true" fillcolor="#ffffff" stroked="false">
              <v:path arrowok="t"/>
              <v:fill type="solid"/>
            </v:shape>
            <v:shape style="position:absolute;left:4723;top:1187;width:3260;height:1362" coordorigin="4723,1187" coordsize="3260,1362" path="m4723,1868l5201,1668,5200,1386,5876,1387,6353,1187,6830,1387,7506,1386,7505,1668,7983,1868,7505,2067,7506,2349,6830,2349,6353,2549,5876,2349,5200,2349,5201,2067,4723,1868xe" filled="false" stroked="true" strokeweight=".75pt" strokecolor="#000000">
              <v:path arrowok="t"/>
            </v:shape>
            <v:shape style="position:absolute;left:5208;top:1467;width:2290;height:804" type="#_x0000_t75" stroked="false">
              <v:imagedata r:id="rId18" o:title=""/>
            </v:shape>
            <v:shapetype id="_x0000_t202" o:spt="202" coordsize="21600,21600" path="m,l,21600r21600,l21600,xe">
              <v:stroke joinstyle="miter"/>
              <v:path gradientshapeok="t" o:connecttype="rect"/>
            </v:shapetype>
            <v:shape style="position:absolute;left:3596;top:800;width:827;height:339" type="#_x0000_t202" filled="false" stroked="false">
              <v:textbox inset="0,0,0,0">
                <w:txbxContent>
                  <w:p>
                    <w:pPr>
                      <w:spacing w:line="154" w:lineRule="exact" w:before="0"/>
                      <w:ind w:left="23" w:right="-18" w:hanging="24"/>
                      <w:jc w:val="left"/>
                      <w:rPr>
                        <w:sz w:val="15"/>
                      </w:rPr>
                    </w:pPr>
                    <w:r>
                      <w:rPr>
                        <w:sz w:val="15"/>
                      </w:rPr>
                      <w:t>Condiciones</w:t>
                    </w:r>
                  </w:p>
                  <w:p>
                    <w:pPr>
                      <w:spacing w:line="169" w:lineRule="exact" w:before="14"/>
                      <w:ind w:left="23" w:right="-18" w:firstLine="0"/>
                      <w:jc w:val="left"/>
                      <w:rPr>
                        <w:sz w:val="15"/>
                      </w:rPr>
                    </w:pPr>
                    <w:r>
                      <w:rPr>
                        <w:sz w:val="15"/>
                      </w:rPr>
                      <w:t>geográficas</w:t>
                    </w:r>
                  </w:p>
                </w:txbxContent>
              </v:textbox>
              <w10:wrap type="none"/>
            </v:shape>
            <v:shape style="position:absolute;left:5295;top:493;width:892;height:360" type="#_x0000_t202" filled="false" stroked="false">
              <v:textbox inset="0,0,0,0">
                <w:txbxContent>
                  <w:p>
                    <w:pPr>
                      <w:spacing w:line="164" w:lineRule="exact" w:before="0"/>
                      <w:ind w:left="60" w:right="-18" w:hanging="60"/>
                      <w:jc w:val="left"/>
                      <w:rPr>
                        <w:sz w:val="16"/>
                      </w:rPr>
                    </w:pPr>
                    <w:r>
                      <w:rPr>
                        <w:sz w:val="16"/>
                      </w:rPr>
                      <w:t>Equipamient</w:t>
                    </w:r>
                  </w:p>
                  <w:p>
                    <w:pPr>
                      <w:spacing w:line="181" w:lineRule="exact" w:before="15"/>
                      <w:ind w:left="60" w:right="-18" w:firstLine="0"/>
                      <w:jc w:val="left"/>
                      <w:rPr>
                        <w:sz w:val="16"/>
                      </w:rPr>
                    </w:pPr>
                    <w:r>
                      <w:rPr>
                        <w:sz w:val="16"/>
                      </w:rPr>
                      <w:t>o industrial</w:t>
                    </w:r>
                  </w:p>
                </w:txbxContent>
              </v:textbox>
              <w10:wrap type="none"/>
            </v:shape>
            <v:shape style="position:absolute;left:7242;top:471;width:944;height:358" type="#_x0000_t202" filled="false" stroked="false">
              <v:textbox inset="0,0,0,0">
                <w:txbxContent>
                  <w:p>
                    <w:pPr>
                      <w:spacing w:line="164" w:lineRule="exact" w:before="0"/>
                      <w:ind w:left="57" w:right="-18" w:hanging="58"/>
                      <w:jc w:val="left"/>
                      <w:rPr>
                        <w:sz w:val="16"/>
                      </w:rPr>
                    </w:pPr>
                    <w:r>
                      <w:rPr>
                        <w:sz w:val="16"/>
                      </w:rPr>
                      <w:t>Infraestructur</w:t>
                    </w:r>
                  </w:p>
                  <w:p>
                    <w:pPr>
                      <w:spacing w:line="181" w:lineRule="exact" w:before="13"/>
                      <w:ind w:left="57" w:right="-18" w:firstLine="0"/>
                      <w:jc w:val="left"/>
                      <w:rPr>
                        <w:sz w:val="16"/>
                      </w:rPr>
                    </w:pPr>
                    <w:r>
                      <w:rPr>
                        <w:sz w:val="16"/>
                      </w:rPr>
                      <w:t>a ambiental</w:t>
                    </w:r>
                  </w:p>
                </w:txbxContent>
              </v:textbox>
              <w10:wrap type="none"/>
            </v:shape>
            <v:shape style="position:absolute;left:8425;top:1186;width:845;height:358" type="#_x0000_t202" filled="false" stroked="false">
              <v:textbox inset="0,0,0,0">
                <w:txbxContent>
                  <w:p>
                    <w:pPr>
                      <w:spacing w:line="164" w:lineRule="exact" w:before="0"/>
                      <w:ind w:left="36" w:right="-20" w:hanging="36"/>
                      <w:jc w:val="left"/>
                      <w:rPr>
                        <w:sz w:val="16"/>
                      </w:rPr>
                    </w:pPr>
                    <w:r>
                      <w:rPr>
                        <w:sz w:val="16"/>
                      </w:rPr>
                      <w:t>Urbanizació</w:t>
                    </w:r>
                  </w:p>
                  <w:p>
                    <w:pPr>
                      <w:spacing w:line="181" w:lineRule="exact" w:before="13"/>
                      <w:ind w:left="36" w:right="-20" w:firstLine="0"/>
                      <w:jc w:val="left"/>
                      <w:rPr>
                        <w:sz w:val="16"/>
                      </w:rPr>
                    </w:pPr>
                    <w:r>
                      <w:rPr>
                        <w:sz w:val="16"/>
                      </w:rPr>
                      <w:t>n industrial</w:t>
                    </w:r>
                  </w:p>
                </w:txbxContent>
              </v:textbox>
              <w10:wrap type="none"/>
            </v:shape>
            <v:shape style="position:absolute;left:3435;top:1726;width:788;height:358" type="#_x0000_t202" filled="false" stroked="false">
              <v:textbox inset="0,0,0,0">
                <w:txbxContent>
                  <w:p>
                    <w:pPr>
                      <w:spacing w:line="164" w:lineRule="exact" w:before="0"/>
                      <w:ind w:left="2" w:right="-14" w:hanging="3"/>
                      <w:jc w:val="left"/>
                      <w:rPr>
                        <w:sz w:val="16"/>
                      </w:rPr>
                    </w:pPr>
                    <w:r>
                      <w:rPr>
                        <w:sz w:val="16"/>
                      </w:rPr>
                      <w:t>Interacción</w:t>
                    </w:r>
                  </w:p>
                  <w:p>
                    <w:pPr>
                      <w:spacing w:line="181" w:lineRule="exact" w:before="13"/>
                      <w:ind w:left="2" w:right="-17" w:firstLine="0"/>
                      <w:jc w:val="left"/>
                      <w:rPr>
                        <w:sz w:val="16"/>
                      </w:rPr>
                    </w:pPr>
                    <w:r>
                      <w:rPr>
                        <w:sz w:val="16"/>
                      </w:rPr>
                      <w:t>internacion</w:t>
                    </w:r>
                  </w:p>
                </w:txbxContent>
              </v:textbox>
              <w10:wrap type="none"/>
            </v:shape>
            <v:shape style="position:absolute;left:5586;top:1491;width:1532;height:444" type="#_x0000_t202" filled="false" stroked="false">
              <v:textbox inset="0,0,0,0">
                <w:txbxContent>
                  <w:p>
                    <w:pPr>
                      <w:spacing w:line="204" w:lineRule="exact" w:before="0"/>
                      <w:ind w:left="0" w:right="0" w:firstLine="67"/>
                      <w:jc w:val="left"/>
                      <w:rPr>
                        <w:sz w:val="20"/>
                      </w:rPr>
                    </w:pPr>
                    <w:r>
                      <w:rPr>
                        <w:sz w:val="20"/>
                      </w:rPr>
                      <w:t>Requerimientos</w:t>
                    </w:r>
                  </w:p>
                  <w:p>
                    <w:pPr>
                      <w:spacing w:line="225" w:lineRule="exact" w:before="15"/>
                      <w:ind w:left="0" w:right="0" w:firstLine="0"/>
                      <w:jc w:val="left"/>
                      <w:rPr>
                        <w:sz w:val="20"/>
                      </w:rPr>
                    </w:pPr>
                    <w:r>
                      <w:rPr>
                        <w:w w:val="95"/>
                        <w:sz w:val="20"/>
                      </w:rPr>
                      <w:t>infraestructurales</w:t>
                    </w:r>
                  </w:p>
                </w:txbxContent>
              </v:textbox>
              <w10:wrap type="none"/>
            </v:shape>
            <v:shape style="position:absolute;left:3836;top:2034;width:5742;height:992" type="#_x0000_t202" filled="false" stroked="false">
              <v:textbox inset="0,0,0,0">
                <w:txbxContent>
                  <w:p>
                    <w:pPr>
                      <w:spacing w:line="154" w:lineRule="exact" w:before="0"/>
                      <w:ind w:left="0" w:right="0" w:firstLine="0"/>
                      <w:jc w:val="right"/>
                      <w:rPr>
                        <w:sz w:val="15"/>
                      </w:rPr>
                    </w:pPr>
                    <w:r>
                      <w:rPr>
                        <w:sz w:val="15"/>
                      </w:rPr>
                      <w:t>Comunicacione</w:t>
                    </w:r>
                  </w:p>
                  <w:p>
                    <w:pPr>
                      <w:spacing w:before="12"/>
                      <w:ind w:left="4730" w:right="0" w:firstLine="0"/>
                      <w:jc w:val="left"/>
                      <w:rPr>
                        <w:sz w:val="15"/>
                      </w:rPr>
                    </w:pPr>
                    <w:r>
                      <w:rPr>
                        <w:sz w:val="15"/>
                      </w:rPr>
                      <w:t>s y transportes</w:t>
                    </w:r>
                  </w:p>
                  <w:p>
                    <w:pPr>
                      <w:spacing w:line="240" w:lineRule="auto" w:before="0"/>
                      <w:rPr>
                        <w:b/>
                        <w:sz w:val="14"/>
                      </w:rPr>
                    </w:pPr>
                  </w:p>
                  <w:p>
                    <w:pPr>
                      <w:spacing w:line="259" w:lineRule="auto" w:before="111"/>
                      <w:ind w:left="108" w:right="4939" w:hanging="108"/>
                      <w:jc w:val="left"/>
                      <w:rPr>
                        <w:sz w:val="16"/>
                      </w:rPr>
                    </w:pPr>
                    <w:r>
                      <w:rPr>
                        <w:sz w:val="16"/>
                      </w:rPr>
                      <w:t>Interacción regional</w:t>
                    </w:r>
                  </w:p>
                </w:txbxContent>
              </v:textbox>
              <w10:wrap type="none"/>
            </v:shape>
            <v:shape style="position:absolute;left:5799;top:2847;width:1112;height:358" type="#_x0000_t202" filled="false" stroked="false">
              <v:textbox inset="0,0,0,0">
                <w:txbxContent>
                  <w:p>
                    <w:pPr>
                      <w:spacing w:line="164" w:lineRule="exact" w:before="0"/>
                      <w:ind w:left="0" w:right="0" w:firstLine="0"/>
                      <w:jc w:val="center"/>
                      <w:rPr>
                        <w:sz w:val="16"/>
                      </w:rPr>
                    </w:pPr>
                    <w:r>
                      <w:rPr>
                        <w:sz w:val="16"/>
                      </w:rPr>
                      <w:t>Interacción</w:t>
                    </w:r>
                  </w:p>
                  <w:p>
                    <w:pPr>
                      <w:spacing w:line="181" w:lineRule="exact" w:before="13"/>
                      <w:ind w:left="0" w:right="0" w:firstLine="0"/>
                      <w:jc w:val="center"/>
                      <w:rPr>
                        <w:sz w:val="16"/>
                      </w:rPr>
                    </w:pPr>
                    <w:r>
                      <w:rPr>
                        <w:sz w:val="16"/>
                      </w:rPr>
                      <w:t>entre empresas</w:t>
                    </w:r>
                  </w:p>
                </w:txbxContent>
              </v:textbox>
              <w10:wrap type="none"/>
            </v:shape>
            <v:shape style="position:absolute;left:8205;top:2859;width:1017;height:358" type="#_x0000_t202" filled="false" stroked="false">
              <v:textbox inset="0,0,0,0">
                <w:txbxContent>
                  <w:p>
                    <w:pPr>
                      <w:spacing w:line="164" w:lineRule="exact" w:before="0"/>
                      <w:ind w:left="-1" w:right="0" w:firstLine="0"/>
                      <w:jc w:val="center"/>
                      <w:rPr>
                        <w:sz w:val="16"/>
                      </w:rPr>
                    </w:pPr>
                    <w:r>
                      <w:rPr>
                        <w:sz w:val="16"/>
                      </w:rPr>
                      <w:t>Servicios</w:t>
                    </w:r>
                    <w:r>
                      <w:rPr>
                        <w:spacing w:val="-2"/>
                        <w:sz w:val="16"/>
                      </w:rPr>
                      <w:t> </w:t>
                    </w:r>
                    <w:r>
                      <w:rPr>
                        <w:sz w:val="16"/>
                      </w:rPr>
                      <w:t>peri-</w:t>
                    </w:r>
                  </w:p>
                  <w:p>
                    <w:pPr>
                      <w:spacing w:line="181" w:lineRule="exact" w:before="13"/>
                      <w:ind w:left="0" w:right="0" w:firstLine="0"/>
                      <w:jc w:val="center"/>
                      <w:rPr>
                        <w:sz w:val="16"/>
                      </w:rPr>
                    </w:pPr>
                    <w:r>
                      <w:rPr>
                        <w:sz w:val="16"/>
                      </w:rPr>
                      <w:t>industriales</w:t>
                    </w:r>
                  </w:p>
                </w:txbxContent>
              </v:textbox>
              <w10:wrap type="none"/>
            </v:shape>
            <v:shape style="position:absolute;left:5415;top:3592;width:2265;height:749" type="#_x0000_t202" filled="false" stroked="false">
              <v:textbox inset="0,0,0,0">
                <w:txbxContent>
                  <w:p>
                    <w:pPr>
                      <w:spacing w:line="204" w:lineRule="exact" w:before="0"/>
                      <w:ind w:left="472" w:right="-16" w:firstLine="0"/>
                      <w:jc w:val="left"/>
                      <w:rPr>
                        <w:sz w:val="20"/>
                      </w:rPr>
                    </w:pPr>
                    <w:r>
                      <w:rPr>
                        <w:sz w:val="20"/>
                      </w:rPr>
                      <w:t>Condicione</w:t>
                    </w:r>
                  </w:p>
                  <w:p>
                    <w:pPr>
                      <w:spacing w:line="240" w:lineRule="auto" w:before="9"/>
                      <w:rPr>
                        <w:b/>
                        <w:sz w:val="27"/>
                      </w:rPr>
                    </w:pPr>
                  </w:p>
                  <w:p>
                    <w:pPr>
                      <w:spacing w:line="225" w:lineRule="exact" w:before="0"/>
                      <w:ind w:left="0" w:right="-16" w:firstLine="0"/>
                      <w:jc w:val="left"/>
                      <w:rPr>
                        <w:b/>
                        <w:sz w:val="20"/>
                      </w:rPr>
                    </w:pPr>
                    <w:r>
                      <w:rPr>
                        <w:b/>
                        <w:sz w:val="20"/>
                      </w:rPr>
                      <w:t>Producción</w:t>
                    </w:r>
                    <w:r>
                      <w:rPr>
                        <w:b/>
                        <w:spacing w:val="-7"/>
                        <w:sz w:val="20"/>
                      </w:rPr>
                      <w:t> </w:t>
                    </w:r>
                    <w:r>
                      <w:rPr>
                        <w:b/>
                        <w:sz w:val="20"/>
                      </w:rPr>
                      <w:t>sustentable</w:t>
                    </w:r>
                  </w:p>
                </w:txbxContent>
              </v:textbox>
              <w10:wrap type="none"/>
            </v:shape>
            <v:shape style="position:absolute;left:2866;top:4427;width:319;height:161" type="#_x0000_t202" filled="false" stroked="false">
              <v:textbox inset="0,0,0,0">
                <w:txbxContent>
                  <w:p>
                    <w:pPr>
                      <w:spacing w:line="161" w:lineRule="exact" w:before="0"/>
                      <w:ind w:left="0" w:right="-16" w:firstLine="0"/>
                      <w:jc w:val="left"/>
                      <w:rPr>
                        <w:sz w:val="16"/>
                      </w:rPr>
                    </w:pPr>
                    <w:r>
                      <w:rPr>
                        <w:spacing w:val="-2"/>
                        <w:sz w:val="16"/>
                      </w:rPr>
                      <w:t>FUE</w:t>
                    </w:r>
                  </w:p>
                </w:txbxContent>
              </v:textbox>
              <w10:wrap type="none"/>
            </v:shape>
            <w10:wrap type="topAndBottom"/>
          </v:group>
        </w:pict>
      </w:r>
    </w:p>
    <w:p>
      <w:pPr>
        <w:pStyle w:val="BodyText"/>
        <w:spacing w:before="4"/>
        <w:rPr>
          <w:b/>
          <w:sz w:val="16"/>
        </w:rPr>
      </w:pPr>
    </w:p>
    <w:p>
      <w:pPr>
        <w:pStyle w:val="Heading2"/>
        <w:spacing w:before="73"/>
        <w:ind w:left="326"/>
        <w:jc w:val="left"/>
      </w:pPr>
      <w:r>
        <w:rPr/>
        <w:pict>
          <v:shape style="position:absolute;margin-left:158.649994pt;margin-top:-41.222122pt;width:337.5pt;height:27.45pt;mso-position-horizontal-relative:page;mso-position-vertical-relative:paragraph;z-index:-19336" type="#_x0000_t202" filled="false" stroked="false">
            <v:textbox inset="0,0,0,0">
              <w:txbxContent>
                <w:p>
                  <w:pPr>
                    <w:pStyle w:val="BodyText"/>
                    <w:rPr>
                      <w:b/>
                      <w:sz w:val="16"/>
                    </w:rPr>
                  </w:pPr>
                </w:p>
                <w:p>
                  <w:pPr>
                    <w:pStyle w:val="BodyText"/>
                    <w:rPr>
                      <w:b/>
                      <w:sz w:val="16"/>
                    </w:rPr>
                  </w:pPr>
                </w:p>
                <w:p>
                  <w:pPr>
                    <w:spacing w:line="181" w:lineRule="exact" w:before="0"/>
                    <w:ind w:left="12" w:right="0" w:firstLine="0"/>
                    <w:jc w:val="left"/>
                    <w:rPr>
                      <w:sz w:val="16"/>
                    </w:rPr>
                  </w:pPr>
                  <w:r>
                    <w:rPr>
                      <w:sz w:val="16"/>
                    </w:rPr>
                    <w:t>NTE: Elaboración propia.</w:t>
                  </w:r>
                </w:p>
              </w:txbxContent>
            </v:textbox>
            <w10:wrap type="none"/>
          </v:shape>
        </w:pict>
      </w:r>
      <w:r>
        <w:rPr>
          <w:b w:val="0"/>
        </w:rPr>
        <w:t>Tabla 1. </w:t>
      </w:r>
      <w:r>
        <w:rPr/>
        <w:t>Requerimientos funcionales y cuantificables de los parques industriales</w:t>
      </w:r>
    </w:p>
    <w:p>
      <w:pPr>
        <w:pStyle w:val="BodyText"/>
        <w:rPr>
          <w:b/>
          <w:sz w:val="20"/>
        </w:rPr>
      </w:pPr>
    </w:p>
    <w:p>
      <w:pPr>
        <w:pStyle w:val="BodyText"/>
        <w:spacing w:before="3" w:after="1"/>
        <w:rPr>
          <w:b/>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3084"/>
        <w:gridCol w:w="2410"/>
        <w:gridCol w:w="1814"/>
      </w:tblGrid>
      <w:tr>
        <w:trPr>
          <w:trHeight w:val="241" w:hRule="exact"/>
        </w:trPr>
        <w:tc>
          <w:tcPr>
            <w:tcW w:w="2127" w:type="dxa"/>
            <w:tcBorders>
              <w:left w:val="nil"/>
            </w:tcBorders>
            <w:shd w:val="clear" w:color="auto" w:fill="BEBEBE"/>
          </w:tcPr>
          <w:p>
            <w:pPr>
              <w:pStyle w:val="TableParagraph"/>
              <w:spacing w:line="227" w:lineRule="exact"/>
              <w:ind w:left="602" w:right="360"/>
              <w:rPr>
                <w:b/>
                <w:sz w:val="20"/>
              </w:rPr>
            </w:pPr>
            <w:r>
              <w:rPr>
                <w:b/>
                <w:sz w:val="20"/>
              </w:rPr>
              <w:t>Categoría</w:t>
            </w:r>
          </w:p>
        </w:tc>
        <w:tc>
          <w:tcPr>
            <w:tcW w:w="3084" w:type="dxa"/>
            <w:shd w:val="clear" w:color="auto" w:fill="BEBEBE"/>
          </w:tcPr>
          <w:p>
            <w:pPr>
              <w:pStyle w:val="TableParagraph"/>
              <w:spacing w:line="227" w:lineRule="exact"/>
              <w:ind w:left="1072" w:right="1072"/>
              <w:jc w:val="center"/>
              <w:rPr>
                <w:b/>
                <w:sz w:val="20"/>
              </w:rPr>
            </w:pPr>
            <w:r>
              <w:rPr>
                <w:b/>
                <w:sz w:val="20"/>
              </w:rPr>
              <w:t>Variables</w:t>
            </w:r>
          </w:p>
        </w:tc>
        <w:tc>
          <w:tcPr>
            <w:tcW w:w="2410" w:type="dxa"/>
            <w:shd w:val="clear" w:color="auto" w:fill="BEBEBE"/>
          </w:tcPr>
          <w:p>
            <w:pPr>
              <w:pStyle w:val="TableParagraph"/>
              <w:spacing w:line="227" w:lineRule="exact"/>
              <w:ind w:left="748" w:right="627"/>
              <w:rPr>
                <w:b/>
                <w:sz w:val="20"/>
              </w:rPr>
            </w:pPr>
            <w:r>
              <w:rPr>
                <w:b/>
                <w:sz w:val="20"/>
              </w:rPr>
              <w:t>Indicador</w:t>
            </w:r>
          </w:p>
        </w:tc>
        <w:tc>
          <w:tcPr>
            <w:tcW w:w="1814" w:type="dxa"/>
            <w:tcBorders>
              <w:right w:val="nil"/>
            </w:tcBorders>
            <w:shd w:val="clear" w:color="auto" w:fill="BEBEBE"/>
          </w:tcPr>
          <w:p>
            <w:pPr>
              <w:pStyle w:val="TableParagraph"/>
              <w:spacing w:line="227" w:lineRule="exact"/>
              <w:ind w:left="83" w:right="89"/>
              <w:jc w:val="center"/>
              <w:rPr>
                <w:b/>
                <w:sz w:val="20"/>
              </w:rPr>
            </w:pPr>
            <w:r>
              <w:rPr>
                <w:b/>
                <w:sz w:val="20"/>
              </w:rPr>
              <w:t>Índice</w:t>
            </w:r>
          </w:p>
        </w:tc>
      </w:tr>
      <w:tr>
        <w:trPr>
          <w:trHeight w:val="930" w:hRule="exact"/>
        </w:trPr>
        <w:tc>
          <w:tcPr>
            <w:tcW w:w="2127" w:type="dxa"/>
            <w:tcBorders>
              <w:left w:val="nil"/>
              <w:right w:val="single" w:sz="4" w:space="0" w:color="7E7E7E"/>
            </w:tcBorders>
            <w:shd w:val="clear" w:color="auto" w:fill="D9D9D9"/>
          </w:tcPr>
          <w:p>
            <w:pPr>
              <w:pStyle w:val="TableParagraph"/>
              <w:spacing w:before="7"/>
              <w:rPr>
                <w:b/>
                <w:sz w:val="19"/>
              </w:rPr>
            </w:pPr>
          </w:p>
          <w:p>
            <w:pPr>
              <w:pStyle w:val="TableParagraph"/>
              <w:spacing w:before="1"/>
              <w:ind w:left="108" w:right="360"/>
              <w:rPr>
                <w:sz w:val="20"/>
              </w:rPr>
            </w:pPr>
            <w:r>
              <w:rPr>
                <w:w w:val="95"/>
                <w:sz w:val="20"/>
              </w:rPr>
              <w:t>Condiciones </w:t>
            </w:r>
            <w:r>
              <w:rPr>
                <w:sz w:val="20"/>
              </w:rPr>
              <w:t>Geográfica</w:t>
            </w:r>
          </w:p>
        </w:tc>
        <w:tc>
          <w:tcPr>
            <w:tcW w:w="3084" w:type="dxa"/>
            <w:tcBorders>
              <w:left w:val="single" w:sz="4" w:space="0" w:color="7E7E7E"/>
            </w:tcBorders>
            <w:shd w:val="clear" w:color="auto" w:fill="D9D9D9"/>
          </w:tcPr>
          <w:p>
            <w:pPr>
              <w:pStyle w:val="TableParagraph"/>
              <w:ind w:left="103" w:right="759"/>
              <w:rPr>
                <w:sz w:val="20"/>
              </w:rPr>
            </w:pPr>
            <w:r>
              <w:rPr>
                <w:sz w:val="20"/>
              </w:rPr>
              <w:t>Superficie total Superficie urbanizada Superficie no</w:t>
            </w:r>
            <w:r>
              <w:rPr>
                <w:spacing w:val="-9"/>
                <w:sz w:val="20"/>
              </w:rPr>
              <w:t> </w:t>
            </w:r>
            <w:r>
              <w:rPr>
                <w:sz w:val="20"/>
              </w:rPr>
              <w:t>urbanizada Área de</w:t>
            </w:r>
            <w:r>
              <w:rPr>
                <w:spacing w:val="-7"/>
                <w:sz w:val="20"/>
              </w:rPr>
              <w:t> </w:t>
            </w:r>
            <w:r>
              <w:rPr>
                <w:sz w:val="20"/>
              </w:rPr>
              <w:t>reserva</w:t>
            </w:r>
          </w:p>
        </w:tc>
        <w:tc>
          <w:tcPr>
            <w:tcW w:w="2410" w:type="dxa"/>
            <w:shd w:val="clear" w:color="auto" w:fill="D9D9D9"/>
          </w:tcPr>
          <w:p>
            <w:pPr>
              <w:pStyle w:val="TableParagraph"/>
              <w:spacing w:before="7"/>
              <w:rPr>
                <w:b/>
                <w:sz w:val="19"/>
              </w:rPr>
            </w:pPr>
          </w:p>
          <w:p>
            <w:pPr>
              <w:pStyle w:val="TableParagraph"/>
              <w:spacing w:before="1"/>
              <w:ind w:left="103" w:right="627"/>
              <w:rPr>
                <w:sz w:val="20"/>
              </w:rPr>
            </w:pPr>
            <w:r>
              <w:rPr>
                <w:sz w:val="20"/>
              </w:rPr>
              <w:t>Hectáreas</w:t>
            </w:r>
          </w:p>
        </w:tc>
        <w:tc>
          <w:tcPr>
            <w:tcW w:w="1814" w:type="dxa"/>
            <w:tcBorders>
              <w:right w:val="nil"/>
            </w:tcBorders>
            <w:shd w:val="clear" w:color="auto" w:fill="D9D9D9"/>
          </w:tcPr>
          <w:p>
            <w:pPr>
              <w:pStyle w:val="TableParagraph"/>
              <w:spacing w:before="7"/>
              <w:rPr>
                <w:b/>
                <w:sz w:val="19"/>
              </w:rPr>
            </w:pPr>
          </w:p>
          <w:p>
            <w:pPr>
              <w:pStyle w:val="TableParagraph"/>
              <w:spacing w:before="1"/>
              <w:ind w:left="103"/>
              <w:rPr>
                <w:sz w:val="20"/>
              </w:rPr>
            </w:pPr>
            <w:r>
              <w:rPr>
                <w:sz w:val="20"/>
              </w:rPr>
              <w:t>De distribución espacial</w:t>
            </w:r>
          </w:p>
        </w:tc>
      </w:tr>
      <w:tr>
        <w:trPr>
          <w:trHeight w:val="1390" w:hRule="exact"/>
        </w:trPr>
        <w:tc>
          <w:tcPr>
            <w:tcW w:w="2127" w:type="dxa"/>
            <w:tcBorders>
              <w:left w:val="nil"/>
              <w:right w:val="single" w:sz="4" w:space="0" w:color="7E7E7E"/>
            </w:tcBorders>
          </w:tcPr>
          <w:p>
            <w:pPr>
              <w:pStyle w:val="TableParagraph"/>
              <w:rPr>
                <w:b/>
                <w:sz w:val="20"/>
              </w:rPr>
            </w:pPr>
          </w:p>
          <w:p>
            <w:pPr>
              <w:pStyle w:val="TableParagraph"/>
              <w:spacing w:before="9"/>
              <w:rPr>
                <w:b/>
                <w:sz w:val="19"/>
              </w:rPr>
            </w:pPr>
          </w:p>
          <w:p>
            <w:pPr>
              <w:pStyle w:val="TableParagraph"/>
              <w:ind w:left="108" w:right="360"/>
              <w:rPr>
                <w:sz w:val="20"/>
              </w:rPr>
            </w:pPr>
            <w:r>
              <w:rPr>
                <w:w w:val="95"/>
                <w:sz w:val="20"/>
              </w:rPr>
              <w:t>Equipamiento </w:t>
            </w:r>
            <w:r>
              <w:rPr>
                <w:sz w:val="20"/>
              </w:rPr>
              <w:t>Industrial</w:t>
            </w:r>
          </w:p>
        </w:tc>
        <w:tc>
          <w:tcPr>
            <w:tcW w:w="3084" w:type="dxa"/>
            <w:tcBorders>
              <w:left w:val="single" w:sz="4" w:space="0" w:color="7E7E7E"/>
            </w:tcBorders>
          </w:tcPr>
          <w:p>
            <w:pPr>
              <w:pStyle w:val="TableParagraph"/>
              <w:ind w:left="103" w:right="861"/>
              <w:rPr>
                <w:sz w:val="20"/>
              </w:rPr>
            </w:pPr>
            <w:r>
              <w:rPr>
                <w:sz w:val="20"/>
              </w:rPr>
              <w:t>Energía eléctrica Subestación eléctrica Red de gas</w:t>
            </w:r>
          </w:p>
          <w:p>
            <w:pPr>
              <w:pStyle w:val="TableParagraph"/>
              <w:ind w:left="103" w:right="1273"/>
              <w:rPr>
                <w:sz w:val="20"/>
              </w:rPr>
            </w:pPr>
            <w:r>
              <w:rPr>
                <w:sz w:val="20"/>
              </w:rPr>
              <w:t>Agua potable Drenaje pluvial</w:t>
            </w:r>
          </w:p>
          <w:p>
            <w:pPr>
              <w:pStyle w:val="TableParagraph"/>
              <w:ind w:left="103" w:right="861"/>
              <w:rPr>
                <w:sz w:val="20"/>
              </w:rPr>
            </w:pPr>
            <w:r>
              <w:rPr>
                <w:sz w:val="20"/>
              </w:rPr>
              <w:t>Espuelas de ferrocarril</w:t>
            </w:r>
          </w:p>
        </w:tc>
        <w:tc>
          <w:tcPr>
            <w:tcW w:w="2410" w:type="dxa"/>
          </w:tcPr>
          <w:p>
            <w:pPr>
              <w:pStyle w:val="TableParagraph"/>
              <w:ind w:left="103" w:right="627"/>
              <w:rPr>
                <w:sz w:val="20"/>
              </w:rPr>
            </w:pPr>
            <w:r>
              <w:rPr>
                <w:w w:val="95"/>
                <w:sz w:val="20"/>
              </w:rPr>
              <w:t>Kilovatios/hectárea </w:t>
            </w:r>
            <w:r>
              <w:rPr>
                <w:sz w:val="20"/>
              </w:rPr>
              <w:t>Unidades Unidades Unidades</w:t>
            </w:r>
          </w:p>
          <w:p>
            <w:pPr>
              <w:pStyle w:val="TableParagraph"/>
              <w:ind w:left="103"/>
              <w:rPr>
                <w:sz w:val="20"/>
              </w:rPr>
            </w:pPr>
            <w:r>
              <w:rPr>
                <w:w w:val="95"/>
                <w:sz w:val="20"/>
              </w:rPr>
              <w:t>Litros/segundo/hectárea </w:t>
            </w:r>
            <w:r>
              <w:rPr>
                <w:sz w:val="20"/>
              </w:rPr>
              <w:t>Unidades</w:t>
            </w:r>
          </w:p>
        </w:tc>
        <w:tc>
          <w:tcPr>
            <w:tcW w:w="1814" w:type="dxa"/>
            <w:tcBorders>
              <w:right w:val="nil"/>
            </w:tcBorders>
          </w:tcPr>
          <w:p>
            <w:pPr>
              <w:pStyle w:val="TableParagraph"/>
              <w:rPr>
                <w:b/>
                <w:sz w:val="20"/>
              </w:rPr>
            </w:pPr>
          </w:p>
          <w:p>
            <w:pPr>
              <w:pStyle w:val="TableParagraph"/>
              <w:spacing w:before="9"/>
              <w:rPr>
                <w:b/>
                <w:sz w:val="19"/>
              </w:rPr>
            </w:pPr>
          </w:p>
          <w:p>
            <w:pPr>
              <w:pStyle w:val="TableParagraph"/>
              <w:ind w:left="83" w:right="163"/>
              <w:jc w:val="center"/>
              <w:rPr>
                <w:sz w:val="20"/>
              </w:rPr>
            </w:pPr>
            <w:r>
              <w:rPr>
                <w:sz w:val="20"/>
              </w:rPr>
              <w:t>De disponibilidad</w:t>
            </w:r>
          </w:p>
        </w:tc>
      </w:tr>
    </w:tbl>
    <w:p>
      <w:pPr>
        <w:spacing w:after="0"/>
        <w:jc w:val="center"/>
        <w:rPr>
          <w:sz w:val="20"/>
        </w:rPr>
        <w:sectPr>
          <w:pgSz w:w="12240" w:h="15840"/>
          <w:pgMar w:top="1360" w:bottom="280" w:left="1580" w:right="98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3084"/>
        <w:gridCol w:w="2410"/>
        <w:gridCol w:w="1814"/>
      </w:tblGrid>
      <w:tr>
        <w:trPr>
          <w:trHeight w:val="3460" w:hRule="exact"/>
        </w:trPr>
        <w:tc>
          <w:tcPr>
            <w:tcW w:w="2127" w:type="dxa"/>
            <w:tcBorders>
              <w:left w:val="nil"/>
              <w:right w:val="single" w:sz="4" w:space="0" w:color="7E7E7E"/>
            </w:tcBorders>
            <w:shd w:val="clear" w:color="auto" w:fill="D9D9D9"/>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7"/>
              <w:rPr>
                <w:b/>
                <w:sz w:val="19"/>
              </w:rPr>
            </w:pPr>
          </w:p>
          <w:p>
            <w:pPr>
              <w:pStyle w:val="TableParagraph"/>
              <w:ind w:left="108" w:right="360"/>
              <w:rPr>
                <w:sz w:val="20"/>
              </w:rPr>
            </w:pPr>
            <w:r>
              <w:rPr>
                <w:w w:val="95"/>
                <w:sz w:val="20"/>
              </w:rPr>
              <w:t>Infraestructura </w:t>
            </w:r>
            <w:r>
              <w:rPr>
                <w:sz w:val="20"/>
              </w:rPr>
              <w:t>Ambiental</w:t>
            </w:r>
          </w:p>
        </w:tc>
        <w:tc>
          <w:tcPr>
            <w:tcW w:w="3084" w:type="dxa"/>
            <w:tcBorders>
              <w:left w:val="single" w:sz="4" w:space="0" w:color="7E7E7E"/>
            </w:tcBorders>
            <w:shd w:val="clear" w:color="auto" w:fill="D9D9D9"/>
          </w:tcPr>
          <w:p>
            <w:pPr>
              <w:pStyle w:val="TableParagraph"/>
              <w:spacing w:line="228" w:lineRule="exact" w:before="1"/>
              <w:ind w:left="103" w:right="172"/>
              <w:rPr>
                <w:sz w:val="20"/>
              </w:rPr>
            </w:pPr>
            <w:r>
              <w:rPr>
                <w:sz w:val="20"/>
              </w:rPr>
              <w:t>Planta de tratamiento de aguas residuales</w:t>
            </w:r>
          </w:p>
          <w:p>
            <w:pPr>
              <w:pStyle w:val="TableParagraph"/>
              <w:spacing w:line="227" w:lineRule="exact"/>
              <w:ind w:left="103"/>
              <w:jc w:val="both"/>
              <w:rPr>
                <w:sz w:val="20"/>
              </w:rPr>
            </w:pPr>
            <w:r>
              <w:rPr>
                <w:sz w:val="20"/>
              </w:rPr>
              <w:t>Red de drenaje sanitario</w:t>
            </w:r>
          </w:p>
          <w:p>
            <w:pPr>
              <w:pStyle w:val="TableParagraph"/>
              <w:ind w:left="103" w:right="271"/>
              <w:jc w:val="both"/>
              <w:rPr>
                <w:sz w:val="20"/>
              </w:rPr>
            </w:pPr>
            <w:r>
              <w:rPr>
                <w:sz w:val="20"/>
              </w:rPr>
              <w:t>Red de descargas industriales Calentadores/calderas</w:t>
            </w:r>
            <w:r>
              <w:rPr>
                <w:spacing w:val="-11"/>
                <w:sz w:val="20"/>
              </w:rPr>
              <w:t> </w:t>
            </w:r>
            <w:r>
              <w:rPr>
                <w:sz w:val="20"/>
              </w:rPr>
              <w:t>solares Celdas</w:t>
            </w:r>
            <w:r>
              <w:rPr>
                <w:spacing w:val="-7"/>
                <w:sz w:val="20"/>
              </w:rPr>
              <w:t> </w:t>
            </w:r>
            <w:r>
              <w:rPr>
                <w:sz w:val="20"/>
              </w:rPr>
              <w:t>solares</w:t>
            </w:r>
          </w:p>
          <w:p>
            <w:pPr>
              <w:pStyle w:val="TableParagraph"/>
              <w:ind w:left="103" w:right="427"/>
              <w:rPr>
                <w:sz w:val="20"/>
              </w:rPr>
            </w:pPr>
            <w:r>
              <w:rPr>
                <w:sz w:val="20"/>
              </w:rPr>
              <w:t>Contenedores para residuos especiales</w:t>
            </w:r>
          </w:p>
          <w:p>
            <w:pPr>
              <w:pStyle w:val="TableParagraph"/>
              <w:ind w:left="103"/>
              <w:rPr>
                <w:sz w:val="20"/>
              </w:rPr>
            </w:pPr>
            <w:r>
              <w:rPr>
                <w:sz w:val="20"/>
              </w:rPr>
              <w:t>Centro de acopio para residuos especiales</w:t>
            </w:r>
          </w:p>
          <w:p>
            <w:pPr>
              <w:pStyle w:val="TableParagraph"/>
              <w:ind w:left="103" w:right="172"/>
              <w:rPr>
                <w:sz w:val="20"/>
              </w:rPr>
            </w:pPr>
            <w:r>
              <w:rPr>
                <w:sz w:val="20"/>
              </w:rPr>
              <w:t>Centro de disposición para residuos especiales</w:t>
            </w:r>
          </w:p>
          <w:p>
            <w:pPr>
              <w:pStyle w:val="TableParagraph"/>
              <w:spacing w:line="228" w:lineRule="exact"/>
              <w:ind w:left="103"/>
              <w:jc w:val="both"/>
              <w:rPr>
                <w:sz w:val="20"/>
              </w:rPr>
            </w:pPr>
            <w:r>
              <w:rPr>
                <w:sz w:val="20"/>
              </w:rPr>
              <w:t>Reuso de aguas residuales</w:t>
            </w:r>
          </w:p>
        </w:tc>
        <w:tc>
          <w:tcPr>
            <w:tcW w:w="2410" w:type="dxa"/>
            <w:shd w:val="clear" w:color="auto" w:fill="D9D9D9"/>
          </w:tcPr>
          <w:p>
            <w:pPr>
              <w:pStyle w:val="TableParagraph"/>
              <w:spacing w:line="226" w:lineRule="exact"/>
              <w:ind w:left="103"/>
              <w:rPr>
                <w:sz w:val="20"/>
              </w:rPr>
            </w:pPr>
            <w:r>
              <w:rPr>
                <w:sz w:val="20"/>
              </w:rPr>
              <w:t>Litros/segundo/hectárea</w:t>
            </w:r>
          </w:p>
          <w:p>
            <w:pPr>
              <w:pStyle w:val="TableParagraph"/>
              <w:spacing w:before="9"/>
              <w:rPr>
                <w:b/>
                <w:sz w:val="19"/>
              </w:rPr>
            </w:pPr>
          </w:p>
          <w:p>
            <w:pPr>
              <w:pStyle w:val="TableParagraph"/>
              <w:spacing w:before="1"/>
              <w:ind w:left="103"/>
              <w:rPr>
                <w:sz w:val="20"/>
              </w:rPr>
            </w:pPr>
            <w:r>
              <w:rPr>
                <w:w w:val="95"/>
                <w:sz w:val="20"/>
              </w:rPr>
              <w:t>Litros/segundo/hectárea Litros/segundo/hectárea</w:t>
            </w:r>
          </w:p>
          <w:p>
            <w:pPr>
              <w:pStyle w:val="TableParagraph"/>
              <w:rPr>
                <w:b/>
                <w:sz w:val="20"/>
              </w:rPr>
            </w:pPr>
          </w:p>
          <w:p>
            <w:pPr>
              <w:pStyle w:val="TableParagraph"/>
              <w:spacing w:before="1"/>
              <w:ind w:left="103" w:right="627"/>
              <w:rPr>
                <w:sz w:val="20"/>
              </w:rPr>
            </w:pPr>
            <w:r>
              <w:rPr>
                <w:sz w:val="20"/>
              </w:rPr>
              <w:t>Unidades</w:t>
            </w:r>
          </w:p>
          <w:p>
            <w:pPr>
              <w:pStyle w:val="TableParagraph"/>
              <w:spacing w:before="9"/>
              <w:rPr>
                <w:b/>
                <w:sz w:val="19"/>
              </w:rPr>
            </w:pPr>
          </w:p>
          <w:p>
            <w:pPr>
              <w:pStyle w:val="TableParagraph"/>
              <w:spacing w:before="1"/>
              <w:ind w:left="103" w:right="712"/>
              <w:rPr>
                <w:sz w:val="20"/>
              </w:rPr>
            </w:pPr>
            <w:r>
              <w:rPr>
                <w:w w:val="95"/>
                <w:sz w:val="20"/>
              </w:rPr>
              <w:t>Unidades Unidades</w:t>
            </w:r>
          </w:p>
          <w:p>
            <w:pPr>
              <w:pStyle w:val="TableParagraph"/>
              <w:rPr>
                <w:b/>
                <w:sz w:val="20"/>
              </w:rPr>
            </w:pPr>
          </w:p>
          <w:p>
            <w:pPr>
              <w:pStyle w:val="TableParagraph"/>
              <w:spacing w:line="477" w:lineRule="auto" w:before="1"/>
              <w:ind w:left="103" w:right="712"/>
              <w:rPr>
                <w:sz w:val="20"/>
              </w:rPr>
            </w:pPr>
            <w:r>
              <w:rPr>
                <w:w w:val="95"/>
                <w:sz w:val="20"/>
              </w:rPr>
              <w:t>Unidades Unidades</w:t>
            </w:r>
          </w:p>
          <w:p>
            <w:pPr>
              <w:pStyle w:val="TableParagraph"/>
              <w:spacing w:before="9"/>
              <w:ind w:left="103"/>
              <w:rPr>
                <w:sz w:val="20"/>
              </w:rPr>
            </w:pPr>
            <w:r>
              <w:rPr>
                <w:sz w:val="20"/>
              </w:rPr>
              <w:t>Litros/segundo/hectárea</w:t>
            </w:r>
          </w:p>
        </w:tc>
        <w:tc>
          <w:tcPr>
            <w:tcW w:w="1814" w:type="dxa"/>
            <w:tcBorders>
              <w:top w:val="nil"/>
              <w:right w:val="nil"/>
            </w:tcBorders>
            <w:shd w:val="clear" w:color="auto" w:fill="D9D9D9"/>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1"/>
              <w:ind w:left="103"/>
              <w:rPr>
                <w:sz w:val="20"/>
              </w:rPr>
            </w:pPr>
            <w:r>
              <w:rPr>
                <w:sz w:val="20"/>
              </w:rPr>
              <w:t>De disponibilidad</w:t>
            </w:r>
          </w:p>
        </w:tc>
      </w:tr>
      <w:tr>
        <w:trPr>
          <w:trHeight w:val="2077" w:hRule="exact"/>
        </w:trPr>
        <w:tc>
          <w:tcPr>
            <w:tcW w:w="2127" w:type="dxa"/>
            <w:tcBorders>
              <w:left w:val="nil"/>
              <w:bottom w:val="nil"/>
              <w:right w:val="single" w:sz="4" w:space="0" w:color="7E7E7E"/>
            </w:tcBorders>
          </w:tcPr>
          <w:p>
            <w:pPr>
              <w:pStyle w:val="TableParagraph"/>
              <w:rPr>
                <w:b/>
                <w:sz w:val="20"/>
              </w:rPr>
            </w:pPr>
          </w:p>
          <w:p>
            <w:pPr>
              <w:pStyle w:val="TableParagraph"/>
              <w:rPr>
                <w:b/>
                <w:sz w:val="20"/>
              </w:rPr>
            </w:pPr>
          </w:p>
          <w:p>
            <w:pPr>
              <w:pStyle w:val="TableParagraph"/>
              <w:spacing w:before="7"/>
              <w:rPr>
                <w:b/>
                <w:sz w:val="19"/>
              </w:rPr>
            </w:pPr>
          </w:p>
          <w:p>
            <w:pPr>
              <w:pStyle w:val="TableParagraph"/>
              <w:ind w:left="108" w:right="360"/>
              <w:rPr>
                <w:sz w:val="20"/>
              </w:rPr>
            </w:pPr>
            <w:r>
              <w:rPr>
                <w:w w:val="95"/>
                <w:sz w:val="20"/>
              </w:rPr>
              <w:t>Urbanización </w:t>
            </w:r>
            <w:r>
              <w:rPr>
                <w:sz w:val="20"/>
              </w:rPr>
              <w:t>Industrial</w:t>
            </w:r>
          </w:p>
        </w:tc>
        <w:tc>
          <w:tcPr>
            <w:tcW w:w="3084" w:type="dxa"/>
            <w:tcBorders>
              <w:left w:val="single" w:sz="4" w:space="0" w:color="7E7E7E"/>
              <w:bottom w:val="nil"/>
            </w:tcBorders>
          </w:tcPr>
          <w:p>
            <w:pPr>
              <w:pStyle w:val="TableParagraph"/>
              <w:ind w:left="103" w:right="1061"/>
              <w:rPr>
                <w:sz w:val="20"/>
              </w:rPr>
            </w:pPr>
            <w:r>
              <w:rPr>
                <w:sz w:val="20"/>
              </w:rPr>
              <w:t>Vialidades de acceso Guarnición Banquetas Pavimentación Alumbrado público</w:t>
            </w:r>
          </w:p>
          <w:p>
            <w:pPr>
              <w:pStyle w:val="TableParagraph"/>
              <w:ind w:left="103" w:right="861"/>
              <w:rPr>
                <w:sz w:val="20"/>
              </w:rPr>
            </w:pPr>
            <w:r>
              <w:rPr>
                <w:sz w:val="20"/>
              </w:rPr>
              <w:t>Nomenclatura de calles Señalizaciones Mobiliario  urbano Áreas verdes</w:t>
            </w:r>
          </w:p>
        </w:tc>
        <w:tc>
          <w:tcPr>
            <w:tcW w:w="2410" w:type="dxa"/>
            <w:tcBorders>
              <w:bottom w:val="nil"/>
            </w:tcBorders>
          </w:tcPr>
          <w:p>
            <w:pPr>
              <w:pStyle w:val="TableParagraph"/>
              <w:ind w:left="103" w:right="627"/>
              <w:rPr>
                <w:sz w:val="20"/>
              </w:rPr>
            </w:pPr>
            <w:r>
              <w:rPr>
                <w:sz w:val="20"/>
              </w:rPr>
              <w:t>Kilómetros </w:t>
            </w:r>
            <w:r>
              <w:rPr>
                <w:w w:val="95"/>
                <w:sz w:val="20"/>
              </w:rPr>
              <w:t>Proporción* </w:t>
            </w:r>
            <w:r>
              <w:rPr>
                <w:sz w:val="20"/>
              </w:rPr>
              <w:t>Proporción Proporción</w:t>
            </w:r>
          </w:p>
          <w:p>
            <w:pPr>
              <w:pStyle w:val="TableParagraph"/>
              <w:ind w:left="103"/>
              <w:rPr>
                <w:sz w:val="20"/>
              </w:rPr>
            </w:pPr>
            <w:r>
              <w:rPr>
                <w:sz w:val="20"/>
              </w:rPr>
              <w:t>Unidades de luminarias Unidades</w:t>
            </w:r>
          </w:p>
          <w:p>
            <w:pPr>
              <w:pStyle w:val="TableParagraph"/>
              <w:ind w:left="103" w:right="627"/>
              <w:rPr>
                <w:sz w:val="20"/>
              </w:rPr>
            </w:pPr>
            <w:r>
              <w:rPr>
                <w:sz w:val="20"/>
              </w:rPr>
              <w:t>Unidades Unidades </w:t>
            </w:r>
            <w:r>
              <w:rPr>
                <w:w w:val="95"/>
                <w:sz w:val="20"/>
              </w:rPr>
              <w:t>Proporción</w:t>
            </w:r>
          </w:p>
        </w:tc>
        <w:tc>
          <w:tcPr>
            <w:tcW w:w="1814" w:type="dxa"/>
            <w:tcBorders>
              <w:bottom w:val="nil"/>
              <w:right w:val="nil"/>
            </w:tcBorders>
          </w:tcPr>
          <w:p>
            <w:pPr>
              <w:pStyle w:val="TableParagraph"/>
              <w:rPr>
                <w:b/>
                <w:sz w:val="20"/>
              </w:rPr>
            </w:pPr>
          </w:p>
          <w:p>
            <w:pPr>
              <w:pStyle w:val="TableParagraph"/>
              <w:rPr>
                <w:b/>
                <w:sz w:val="20"/>
              </w:rPr>
            </w:pPr>
          </w:p>
          <w:p>
            <w:pPr>
              <w:pStyle w:val="TableParagraph"/>
              <w:rPr>
                <w:b/>
                <w:sz w:val="20"/>
              </w:rPr>
            </w:pPr>
          </w:p>
          <w:p>
            <w:pPr>
              <w:pStyle w:val="TableParagraph"/>
              <w:spacing w:before="5"/>
              <w:rPr>
                <w:b/>
                <w:sz w:val="19"/>
              </w:rPr>
            </w:pPr>
          </w:p>
          <w:p>
            <w:pPr>
              <w:pStyle w:val="TableParagraph"/>
              <w:ind w:left="103"/>
              <w:rPr>
                <w:sz w:val="20"/>
              </w:rPr>
            </w:pPr>
            <w:r>
              <w:rPr>
                <w:sz w:val="20"/>
              </w:rPr>
              <w:t>De disponibilidad</w:t>
            </w:r>
          </w:p>
        </w:tc>
      </w:tr>
      <w:tr>
        <w:trPr>
          <w:trHeight w:val="1385" w:hRule="exact"/>
        </w:trPr>
        <w:tc>
          <w:tcPr>
            <w:tcW w:w="2127" w:type="dxa"/>
            <w:tcBorders>
              <w:top w:val="nil"/>
              <w:left w:val="nil"/>
              <w:right w:val="single" w:sz="4" w:space="0" w:color="7E7E7E"/>
            </w:tcBorders>
            <w:shd w:val="clear" w:color="auto" w:fill="D9D9D9"/>
          </w:tcPr>
          <w:p>
            <w:pPr>
              <w:pStyle w:val="TableParagraph"/>
              <w:rPr>
                <w:b/>
                <w:sz w:val="20"/>
              </w:rPr>
            </w:pPr>
          </w:p>
          <w:p>
            <w:pPr>
              <w:pStyle w:val="TableParagraph"/>
              <w:spacing w:before="4"/>
              <w:rPr>
                <w:b/>
                <w:sz w:val="19"/>
              </w:rPr>
            </w:pPr>
          </w:p>
          <w:p>
            <w:pPr>
              <w:pStyle w:val="TableParagraph"/>
              <w:ind w:left="108" w:right="360"/>
              <w:rPr>
                <w:sz w:val="20"/>
              </w:rPr>
            </w:pPr>
            <w:r>
              <w:rPr>
                <w:sz w:val="20"/>
              </w:rPr>
              <w:t>Comunicaciones y transportes</w:t>
            </w:r>
          </w:p>
        </w:tc>
        <w:tc>
          <w:tcPr>
            <w:tcW w:w="3084" w:type="dxa"/>
            <w:tcBorders>
              <w:top w:val="nil"/>
              <w:left w:val="single" w:sz="4" w:space="0" w:color="7E7E7E"/>
            </w:tcBorders>
            <w:shd w:val="clear" w:color="auto" w:fill="D9D9D9"/>
          </w:tcPr>
          <w:p>
            <w:pPr>
              <w:pStyle w:val="TableParagraph"/>
              <w:spacing w:line="237" w:lineRule="auto"/>
              <w:ind w:left="103" w:right="1273"/>
              <w:rPr>
                <w:sz w:val="20"/>
              </w:rPr>
            </w:pPr>
            <w:r>
              <w:rPr>
                <w:sz w:val="20"/>
              </w:rPr>
              <w:t>Red  telefónica Red de fibra óptica</w:t>
            </w:r>
          </w:p>
          <w:p>
            <w:pPr>
              <w:pStyle w:val="TableParagraph"/>
              <w:spacing w:before="1"/>
              <w:ind w:left="103" w:right="294"/>
              <w:rPr>
                <w:sz w:val="20"/>
              </w:rPr>
            </w:pPr>
            <w:r>
              <w:rPr>
                <w:sz w:val="20"/>
              </w:rPr>
              <w:t>Red de comunicación satelital Transporte  urbano Estaciones de ascenso y descenso</w:t>
            </w:r>
          </w:p>
        </w:tc>
        <w:tc>
          <w:tcPr>
            <w:tcW w:w="2410" w:type="dxa"/>
            <w:tcBorders>
              <w:top w:val="nil"/>
            </w:tcBorders>
            <w:shd w:val="clear" w:color="auto" w:fill="D9D9D9"/>
          </w:tcPr>
          <w:p>
            <w:pPr>
              <w:pStyle w:val="TableParagraph"/>
              <w:ind w:left="103" w:right="627"/>
              <w:rPr>
                <w:sz w:val="20"/>
              </w:rPr>
            </w:pPr>
            <w:r>
              <w:rPr>
                <w:w w:val="95"/>
                <w:sz w:val="20"/>
              </w:rPr>
              <w:t>Líneas/hectárea </w:t>
            </w:r>
            <w:r>
              <w:rPr>
                <w:sz w:val="20"/>
              </w:rPr>
              <w:t>Unidades Unidades Unidades Unidades</w:t>
            </w:r>
          </w:p>
        </w:tc>
        <w:tc>
          <w:tcPr>
            <w:tcW w:w="1814" w:type="dxa"/>
            <w:tcBorders>
              <w:top w:val="nil"/>
              <w:right w:val="nil"/>
            </w:tcBorders>
            <w:shd w:val="clear" w:color="auto" w:fill="D9D9D9"/>
          </w:tcPr>
          <w:p>
            <w:pPr>
              <w:pStyle w:val="TableParagraph"/>
              <w:rPr>
                <w:b/>
                <w:sz w:val="20"/>
              </w:rPr>
            </w:pPr>
          </w:p>
          <w:p>
            <w:pPr>
              <w:pStyle w:val="TableParagraph"/>
              <w:spacing w:before="4"/>
              <w:rPr>
                <w:b/>
                <w:sz w:val="19"/>
              </w:rPr>
            </w:pPr>
          </w:p>
          <w:p>
            <w:pPr>
              <w:pStyle w:val="TableParagraph"/>
              <w:ind w:left="103"/>
              <w:rPr>
                <w:sz w:val="20"/>
              </w:rPr>
            </w:pPr>
            <w:r>
              <w:rPr>
                <w:sz w:val="20"/>
              </w:rPr>
              <w:t>De disponibilidad</w:t>
            </w:r>
          </w:p>
        </w:tc>
      </w:tr>
      <w:tr>
        <w:trPr>
          <w:trHeight w:val="3689" w:hRule="exact"/>
        </w:trPr>
        <w:tc>
          <w:tcPr>
            <w:tcW w:w="2127" w:type="dxa"/>
            <w:tcBorders>
              <w:left w:val="nil"/>
              <w:right w:val="single" w:sz="4" w:space="0" w:color="7E7E7E"/>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19"/>
              </w:rPr>
            </w:pPr>
          </w:p>
          <w:p>
            <w:pPr>
              <w:pStyle w:val="TableParagraph"/>
              <w:spacing w:line="229" w:lineRule="exact" w:before="1"/>
              <w:ind w:left="108" w:right="360"/>
              <w:rPr>
                <w:sz w:val="20"/>
              </w:rPr>
            </w:pPr>
            <w:r>
              <w:rPr>
                <w:sz w:val="20"/>
              </w:rPr>
              <w:t>Servicios</w:t>
            </w:r>
          </w:p>
          <w:p>
            <w:pPr>
              <w:pStyle w:val="TableParagraph"/>
              <w:spacing w:line="229" w:lineRule="exact"/>
              <w:ind w:left="108" w:right="360"/>
              <w:rPr>
                <w:sz w:val="20"/>
              </w:rPr>
            </w:pPr>
            <w:r>
              <w:rPr>
                <w:sz w:val="20"/>
              </w:rPr>
              <w:t>Peri-industriales</w:t>
            </w:r>
          </w:p>
        </w:tc>
        <w:tc>
          <w:tcPr>
            <w:tcW w:w="3084" w:type="dxa"/>
            <w:tcBorders>
              <w:left w:val="single" w:sz="4" w:space="0" w:color="7E7E7E"/>
            </w:tcBorders>
          </w:tcPr>
          <w:p>
            <w:pPr>
              <w:pStyle w:val="TableParagraph"/>
              <w:ind w:left="103" w:right="495"/>
              <w:rPr>
                <w:sz w:val="20"/>
              </w:rPr>
            </w:pPr>
            <w:r>
              <w:rPr>
                <w:sz w:val="20"/>
              </w:rPr>
              <w:t>Asociación de industriales Casetas de vigilancia Oficina de administración Sala de eventos especiales Servicios de mantenimiento Sistema contra incendios Estación de bomberos Estaciones de gasolineras Servicio de guardería Servicios médicos Instituciones financieras Áreas recreativas Restaurantes</w:t>
            </w:r>
          </w:p>
          <w:p>
            <w:pPr>
              <w:pStyle w:val="TableParagraph"/>
              <w:spacing w:line="228" w:lineRule="exact"/>
              <w:ind w:left="103" w:right="861"/>
              <w:rPr>
                <w:sz w:val="20"/>
              </w:rPr>
            </w:pPr>
            <w:r>
              <w:rPr>
                <w:sz w:val="20"/>
              </w:rPr>
              <w:t>Hoteles</w:t>
            </w:r>
          </w:p>
          <w:p>
            <w:pPr>
              <w:pStyle w:val="TableParagraph"/>
              <w:spacing w:before="1"/>
              <w:ind w:left="103" w:right="1273"/>
              <w:rPr>
                <w:sz w:val="20"/>
              </w:rPr>
            </w:pPr>
            <w:r>
              <w:rPr>
                <w:sz w:val="20"/>
              </w:rPr>
              <w:t>Área comercial Aduana interior</w:t>
            </w:r>
          </w:p>
        </w:tc>
        <w:tc>
          <w:tcPr>
            <w:tcW w:w="2410" w:type="dxa"/>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4"/>
              <w:rPr>
                <w:b/>
                <w:sz w:val="19"/>
              </w:rPr>
            </w:pPr>
          </w:p>
          <w:p>
            <w:pPr>
              <w:pStyle w:val="TableParagraph"/>
              <w:ind w:left="103" w:right="627"/>
              <w:rPr>
                <w:sz w:val="20"/>
              </w:rPr>
            </w:pPr>
            <w:r>
              <w:rPr>
                <w:sz w:val="20"/>
              </w:rPr>
              <w:t>Unidades</w:t>
            </w:r>
          </w:p>
        </w:tc>
        <w:tc>
          <w:tcPr>
            <w:tcW w:w="1814" w:type="dxa"/>
            <w:tcBorders>
              <w:right w:val="nil"/>
            </w:tcBorders>
          </w:tcPr>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rPr>
                <w:b/>
                <w:sz w:val="20"/>
              </w:rPr>
            </w:pPr>
          </w:p>
          <w:p>
            <w:pPr>
              <w:pStyle w:val="TableParagraph"/>
              <w:spacing w:before="5"/>
              <w:rPr>
                <w:b/>
                <w:sz w:val="19"/>
              </w:rPr>
            </w:pPr>
          </w:p>
          <w:p>
            <w:pPr>
              <w:pStyle w:val="TableParagraph"/>
              <w:spacing w:before="1"/>
              <w:ind w:left="103"/>
              <w:rPr>
                <w:sz w:val="20"/>
              </w:rPr>
            </w:pPr>
            <w:r>
              <w:rPr>
                <w:sz w:val="20"/>
              </w:rPr>
              <w:t>De disponibilidad</w:t>
            </w:r>
          </w:p>
        </w:tc>
      </w:tr>
      <w:tr>
        <w:trPr>
          <w:trHeight w:val="1159" w:hRule="exact"/>
        </w:trPr>
        <w:tc>
          <w:tcPr>
            <w:tcW w:w="2127" w:type="dxa"/>
            <w:tcBorders>
              <w:left w:val="nil"/>
              <w:right w:val="single" w:sz="4" w:space="0" w:color="7E7E7E"/>
            </w:tcBorders>
            <w:shd w:val="clear" w:color="auto" w:fill="D9D9D9"/>
          </w:tcPr>
          <w:p>
            <w:pPr>
              <w:pStyle w:val="TableParagraph"/>
              <w:spacing w:before="6"/>
              <w:rPr>
                <w:b/>
                <w:sz w:val="19"/>
              </w:rPr>
            </w:pPr>
          </w:p>
          <w:p>
            <w:pPr>
              <w:pStyle w:val="TableParagraph"/>
              <w:ind w:left="108" w:right="582"/>
              <w:rPr>
                <w:sz w:val="20"/>
              </w:rPr>
            </w:pPr>
            <w:r>
              <w:rPr>
                <w:sz w:val="20"/>
              </w:rPr>
              <w:t>Interacción entre Empresas</w:t>
            </w:r>
          </w:p>
        </w:tc>
        <w:tc>
          <w:tcPr>
            <w:tcW w:w="3084" w:type="dxa"/>
            <w:tcBorders>
              <w:left w:val="single" w:sz="4" w:space="0" w:color="7E7E7E"/>
            </w:tcBorders>
            <w:shd w:val="clear" w:color="auto" w:fill="D9D9D9"/>
          </w:tcPr>
          <w:p>
            <w:pPr>
              <w:pStyle w:val="TableParagraph"/>
              <w:ind w:left="103" w:right="617"/>
              <w:rPr>
                <w:sz w:val="20"/>
              </w:rPr>
            </w:pPr>
            <w:r>
              <w:rPr>
                <w:sz w:val="20"/>
              </w:rPr>
              <w:t>Vinculación con empresas internas</w:t>
            </w:r>
          </w:p>
          <w:p>
            <w:pPr>
              <w:pStyle w:val="TableParagraph"/>
              <w:ind w:left="103" w:right="617"/>
              <w:rPr>
                <w:sz w:val="20"/>
              </w:rPr>
            </w:pPr>
            <w:r>
              <w:rPr>
                <w:sz w:val="20"/>
              </w:rPr>
              <w:t>Vinculación con empresas externas</w:t>
            </w:r>
          </w:p>
          <w:p>
            <w:pPr>
              <w:pStyle w:val="TableParagraph"/>
              <w:spacing w:line="228" w:lineRule="exact"/>
              <w:ind w:left="103" w:right="172"/>
              <w:rPr>
                <w:sz w:val="20"/>
              </w:rPr>
            </w:pPr>
            <w:r>
              <w:rPr>
                <w:sz w:val="20"/>
              </w:rPr>
              <w:t>Vinculación entre parques</w:t>
            </w:r>
          </w:p>
        </w:tc>
        <w:tc>
          <w:tcPr>
            <w:tcW w:w="2410" w:type="dxa"/>
            <w:shd w:val="clear" w:color="auto" w:fill="D9D9D9"/>
          </w:tcPr>
          <w:p>
            <w:pPr>
              <w:pStyle w:val="TableParagraph"/>
              <w:spacing w:before="6"/>
              <w:rPr>
                <w:b/>
                <w:sz w:val="19"/>
              </w:rPr>
            </w:pPr>
          </w:p>
          <w:p>
            <w:pPr>
              <w:pStyle w:val="TableParagraph"/>
              <w:ind w:left="103"/>
              <w:rPr>
                <w:sz w:val="20"/>
              </w:rPr>
            </w:pPr>
            <w:r>
              <w:rPr>
                <w:sz w:val="20"/>
              </w:rPr>
              <w:t>Frecuencia/tiempo</w:t>
            </w:r>
          </w:p>
        </w:tc>
        <w:tc>
          <w:tcPr>
            <w:tcW w:w="1814" w:type="dxa"/>
            <w:tcBorders>
              <w:right w:val="nil"/>
            </w:tcBorders>
            <w:shd w:val="clear" w:color="auto" w:fill="D9D9D9"/>
          </w:tcPr>
          <w:p>
            <w:pPr>
              <w:pStyle w:val="TableParagraph"/>
              <w:spacing w:before="6"/>
              <w:rPr>
                <w:b/>
                <w:sz w:val="19"/>
              </w:rPr>
            </w:pPr>
          </w:p>
          <w:p>
            <w:pPr>
              <w:pStyle w:val="TableParagraph"/>
              <w:ind w:left="103"/>
              <w:rPr>
                <w:sz w:val="20"/>
              </w:rPr>
            </w:pPr>
            <w:r>
              <w:rPr>
                <w:sz w:val="20"/>
              </w:rPr>
              <w:t>Grado de </w:t>
            </w:r>
            <w:r>
              <w:rPr>
                <w:w w:val="95"/>
                <w:sz w:val="20"/>
              </w:rPr>
              <w:t>conectividad</w:t>
            </w:r>
          </w:p>
        </w:tc>
      </w:tr>
      <w:tr>
        <w:trPr>
          <w:trHeight w:val="1162" w:hRule="exact"/>
        </w:trPr>
        <w:tc>
          <w:tcPr>
            <w:tcW w:w="2127" w:type="dxa"/>
            <w:tcBorders>
              <w:left w:val="nil"/>
              <w:right w:val="single" w:sz="4" w:space="0" w:color="7E7E7E"/>
            </w:tcBorders>
          </w:tcPr>
          <w:p>
            <w:pPr>
              <w:pStyle w:val="TableParagraph"/>
              <w:rPr>
                <w:b/>
                <w:sz w:val="20"/>
              </w:rPr>
            </w:pPr>
          </w:p>
          <w:p>
            <w:pPr>
              <w:pStyle w:val="TableParagraph"/>
              <w:rPr>
                <w:b/>
                <w:sz w:val="20"/>
              </w:rPr>
            </w:pPr>
          </w:p>
          <w:p>
            <w:pPr>
              <w:pStyle w:val="TableParagraph"/>
              <w:rPr>
                <w:b/>
                <w:sz w:val="20"/>
              </w:rPr>
            </w:pPr>
          </w:p>
          <w:p>
            <w:pPr>
              <w:pStyle w:val="TableParagraph"/>
              <w:spacing w:before="7"/>
              <w:rPr>
                <w:b/>
                <w:sz w:val="19"/>
              </w:rPr>
            </w:pPr>
          </w:p>
          <w:p>
            <w:pPr>
              <w:pStyle w:val="TableParagraph"/>
              <w:ind w:left="108" w:right="360"/>
              <w:rPr>
                <w:sz w:val="20"/>
              </w:rPr>
            </w:pPr>
            <w:r>
              <w:rPr>
                <w:sz w:val="20"/>
              </w:rPr>
              <w:t>Interacción</w:t>
            </w:r>
          </w:p>
        </w:tc>
        <w:tc>
          <w:tcPr>
            <w:tcW w:w="3084" w:type="dxa"/>
            <w:tcBorders>
              <w:left w:val="single" w:sz="4" w:space="0" w:color="7E7E7E"/>
            </w:tcBorders>
          </w:tcPr>
          <w:p>
            <w:pPr>
              <w:pStyle w:val="TableParagraph"/>
              <w:ind w:left="103" w:right="995"/>
              <w:rPr>
                <w:sz w:val="20"/>
              </w:rPr>
            </w:pPr>
            <w:r>
              <w:rPr>
                <w:sz w:val="20"/>
              </w:rPr>
              <w:t>Distancia a zonas habitacionales Distancia a la aduana Distancia a autopistas</w:t>
            </w:r>
          </w:p>
          <w:p>
            <w:pPr>
              <w:pStyle w:val="TableParagraph"/>
              <w:ind w:left="103"/>
              <w:rPr>
                <w:sz w:val="20"/>
              </w:rPr>
            </w:pPr>
            <w:r>
              <w:rPr>
                <w:sz w:val="20"/>
              </w:rPr>
              <w:t>Distancia a carreteras federales</w:t>
            </w:r>
          </w:p>
        </w:tc>
        <w:tc>
          <w:tcPr>
            <w:tcW w:w="2410" w:type="dxa"/>
          </w:tcPr>
          <w:p>
            <w:pPr>
              <w:pStyle w:val="TableParagraph"/>
              <w:rPr>
                <w:b/>
                <w:sz w:val="20"/>
              </w:rPr>
            </w:pPr>
          </w:p>
          <w:p>
            <w:pPr>
              <w:pStyle w:val="TableParagraph"/>
              <w:rPr>
                <w:b/>
                <w:sz w:val="20"/>
              </w:rPr>
            </w:pPr>
          </w:p>
          <w:p>
            <w:pPr>
              <w:pStyle w:val="TableParagraph"/>
              <w:rPr>
                <w:b/>
                <w:sz w:val="20"/>
              </w:rPr>
            </w:pPr>
          </w:p>
          <w:p>
            <w:pPr>
              <w:pStyle w:val="TableParagraph"/>
              <w:spacing w:before="7"/>
              <w:rPr>
                <w:b/>
                <w:sz w:val="19"/>
              </w:rPr>
            </w:pPr>
          </w:p>
          <w:p>
            <w:pPr>
              <w:pStyle w:val="TableParagraph"/>
              <w:ind w:left="103" w:right="627"/>
              <w:rPr>
                <w:sz w:val="20"/>
              </w:rPr>
            </w:pPr>
            <w:r>
              <w:rPr>
                <w:sz w:val="20"/>
              </w:rPr>
              <w:t>Kilómetros</w:t>
            </w:r>
          </w:p>
        </w:tc>
        <w:tc>
          <w:tcPr>
            <w:tcW w:w="1814" w:type="dxa"/>
            <w:tcBorders>
              <w:right w:val="nil"/>
            </w:tcBorders>
          </w:tcPr>
          <w:p>
            <w:pPr/>
          </w:p>
        </w:tc>
      </w:tr>
    </w:tbl>
    <w:p>
      <w:pPr>
        <w:spacing w:after="0"/>
        <w:sectPr>
          <w:pgSz w:w="12240" w:h="15840"/>
          <w:pgMar w:top="1420" w:bottom="280" w:left="1580" w:right="980"/>
        </w:sect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7"/>
        <w:gridCol w:w="3084"/>
        <w:gridCol w:w="2410"/>
        <w:gridCol w:w="1814"/>
      </w:tblGrid>
      <w:tr>
        <w:trPr>
          <w:trHeight w:val="1622" w:hRule="exact"/>
        </w:trPr>
        <w:tc>
          <w:tcPr>
            <w:tcW w:w="2127" w:type="dxa"/>
            <w:tcBorders>
              <w:left w:val="nil"/>
              <w:right w:val="single" w:sz="4" w:space="0" w:color="7E7E7E"/>
            </w:tcBorders>
          </w:tcPr>
          <w:p>
            <w:pPr>
              <w:pStyle w:val="TableParagraph"/>
              <w:spacing w:line="226" w:lineRule="exact"/>
              <w:ind w:left="108" w:right="360"/>
              <w:rPr>
                <w:sz w:val="20"/>
              </w:rPr>
            </w:pPr>
            <w:r>
              <w:rPr>
                <w:sz w:val="20"/>
              </w:rPr>
              <w:t>Regional</w:t>
            </w:r>
          </w:p>
        </w:tc>
        <w:tc>
          <w:tcPr>
            <w:tcW w:w="3084" w:type="dxa"/>
            <w:tcBorders>
              <w:left w:val="single" w:sz="4" w:space="0" w:color="7E7E7E"/>
            </w:tcBorders>
          </w:tcPr>
          <w:p>
            <w:pPr>
              <w:pStyle w:val="TableParagraph"/>
              <w:ind w:left="103" w:right="172"/>
              <w:rPr>
                <w:sz w:val="20"/>
              </w:rPr>
            </w:pPr>
            <w:r>
              <w:rPr>
                <w:sz w:val="20"/>
              </w:rPr>
              <w:t>Distancia a líneas férreas Distancia a la zona urbana Distancia a la ciudad central Distancia al centro de abastecimiento</w:t>
            </w:r>
          </w:p>
          <w:p>
            <w:pPr>
              <w:pStyle w:val="TableParagraph"/>
              <w:ind w:left="103" w:right="861"/>
              <w:rPr>
                <w:sz w:val="20"/>
              </w:rPr>
            </w:pPr>
            <w:r>
              <w:rPr>
                <w:sz w:val="20"/>
              </w:rPr>
              <w:t>Distancia al centro de comercialización</w:t>
            </w:r>
          </w:p>
        </w:tc>
        <w:tc>
          <w:tcPr>
            <w:tcW w:w="2410" w:type="dxa"/>
          </w:tcPr>
          <w:p>
            <w:pPr/>
          </w:p>
        </w:tc>
        <w:tc>
          <w:tcPr>
            <w:tcW w:w="1814" w:type="dxa"/>
            <w:tcBorders>
              <w:right w:val="nil"/>
            </w:tcBorders>
          </w:tcPr>
          <w:p>
            <w:pPr>
              <w:pStyle w:val="TableParagraph"/>
              <w:ind w:left="103"/>
              <w:rPr>
                <w:sz w:val="20"/>
              </w:rPr>
            </w:pPr>
            <w:r>
              <w:rPr>
                <w:sz w:val="20"/>
              </w:rPr>
              <w:t>Grado de </w:t>
            </w:r>
            <w:r>
              <w:rPr>
                <w:w w:val="95"/>
                <w:sz w:val="20"/>
              </w:rPr>
              <w:t>accesibilidad </w:t>
            </w:r>
            <w:r>
              <w:rPr>
                <w:sz w:val="20"/>
              </w:rPr>
              <w:t>regional</w:t>
            </w:r>
          </w:p>
        </w:tc>
      </w:tr>
      <w:tr>
        <w:trPr>
          <w:trHeight w:val="1390" w:hRule="exact"/>
        </w:trPr>
        <w:tc>
          <w:tcPr>
            <w:tcW w:w="2127" w:type="dxa"/>
            <w:tcBorders>
              <w:left w:val="nil"/>
              <w:right w:val="single" w:sz="4" w:space="0" w:color="7E7E7E"/>
            </w:tcBorders>
            <w:shd w:val="clear" w:color="auto" w:fill="D9D9D9"/>
          </w:tcPr>
          <w:p>
            <w:pPr>
              <w:pStyle w:val="TableParagraph"/>
              <w:rPr>
                <w:b/>
                <w:sz w:val="20"/>
              </w:rPr>
            </w:pPr>
          </w:p>
          <w:p>
            <w:pPr>
              <w:pStyle w:val="TableParagraph"/>
              <w:spacing w:before="4"/>
              <w:rPr>
                <w:b/>
                <w:sz w:val="19"/>
              </w:rPr>
            </w:pPr>
          </w:p>
          <w:p>
            <w:pPr>
              <w:pStyle w:val="TableParagraph"/>
              <w:ind w:left="108" w:right="360"/>
              <w:rPr>
                <w:sz w:val="20"/>
              </w:rPr>
            </w:pPr>
            <w:r>
              <w:rPr>
                <w:sz w:val="20"/>
              </w:rPr>
              <w:t>Interacción </w:t>
            </w:r>
            <w:r>
              <w:rPr>
                <w:w w:val="95"/>
                <w:sz w:val="20"/>
              </w:rPr>
              <w:t>Internacional</w:t>
            </w:r>
          </w:p>
        </w:tc>
        <w:tc>
          <w:tcPr>
            <w:tcW w:w="3084" w:type="dxa"/>
            <w:tcBorders>
              <w:left w:val="single" w:sz="4" w:space="0" w:color="7E7E7E"/>
            </w:tcBorders>
            <w:shd w:val="clear" w:color="auto" w:fill="D9D9D9"/>
          </w:tcPr>
          <w:p>
            <w:pPr>
              <w:pStyle w:val="TableParagraph"/>
              <w:ind w:left="103" w:right="495"/>
              <w:rPr>
                <w:sz w:val="20"/>
              </w:rPr>
            </w:pPr>
            <w:r>
              <w:rPr>
                <w:sz w:val="20"/>
              </w:rPr>
              <w:t>Distancia a puertos Distancia a aeropuertos Distancia a las fronteras internacionales</w:t>
            </w:r>
          </w:p>
          <w:p>
            <w:pPr>
              <w:pStyle w:val="TableParagraph"/>
              <w:ind w:left="103" w:right="717"/>
              <w:rPr>
                <w:sz w:val="20"/>
              </w:rPr>
            </w:pPr>
            <w:r>
              <w:rPr>
                <w:sz w:val="20"/>
              </w:rPr>
              <w:t>Distancia a los mercados internacionales</w:t>
            </w:r>
          </w:p>
        </w:tc>
        <w:tc>
          <w:tcPr>
            <w:tcW w:w="2410" w:type="dxa"/>
            <w:shd w:val="clear" w:color="auto" w:fill="D9D9D9"/>
          </w:tcPr>
          <w:p>
            <w:pPr>
              <w:pStyle w:val="TableParagraph"/>
              <w:rPr>
                <w:b/>
                <w:sz w:val="20"/>
              </w:rPr>
            </w:pPr>
          </w:p>
          <w:p>
            <w:pPr>
              <w:pStyle w:val="TableParagraph"/>
              <w:rPr>
                <w:b/>
                <w:sz w:val="20"/>
              </w:rPr>
            </w:pPr>
          </w:p>
          <w:p>
            <w:pPr>
              <w:pStyle w:val="TableParagraph"/>
              <w:spacing w:before="4"/>
              <w:rPr>
                <w:b/>
                <w:sz w:val="19"/>
              </w:rPr>
            </w:pPr>
          </w:p>
          <w:p>
            <w:pPr>
              <w:pStyle w:val="TableParagraph"/>
              <w:ind w:left="103" w:right="627"/>
              <w:rPr>
                <w:sz w:val="20"/>
              </w:rPr>
            </w:pPr>
            <w:r>
              <w:rPr>
                <w:sz w:val="20"/>
              </w:rPr>
              <w:t>Kilómetros</w:t>
            </w:r>
          </w:p>
        </w:tc>
        <w:tc>
          <w:tcPr>
            <w:tcW w:w="1814" w:type="dxa"/>
            <w:tcBorders>
              <w:right w:val="nil"/>
            </w:tcBorders>
            <w:shd w:val="clear" w:color="auto" w:fill="D9D9D9"/>
          </w:tcPr>
          <w:p>
            <w:pPr>
              <w:pStyle w:val="TableParagraph"/>
              <w:rPr>
                <w:b/>
                <w:sz w:val="20"/>
              </w:rPr>
            </w:pPr>
          </w:p>
          <w:p>
            <w:pPr>
              <w:pStyle w:val="TableParagraph"/>
              <w:spacing w:before="4"/>
              <w:rPr>
                <w:b/>
                <w:sz w:val="19"/>
              </w:rPr>
            </w:pPr>
          </w:p>
          <w:p>
            <w:pPr>
              <w:pStyle w:val="TableParagraph"/>
              <w:ind w:left="103" w:right="408"/>
              <w:rPr>
                <w:sz w:val="20"/>
              </w:rPr>
            </w:pPr>
            <w:r>
              <w:rPr>
                <w:sz w:val="20"/>
              </w:rPr>
              <w:t>De interacción espacial internacional</w:t>
            </w:r>
          </w:p>
        </w:tc>
      </w:tr>
    </w:tbl>
    <w:p>
      <w:pPr>
        <w:spacing w:line="237" w:lineRule="auto" w:before="0"/>
        <w:ind w:left="122" w:right="4543" w:firstLine="0"/>
        <w:jc w:val="left"/>
        <w:rPr>
          <w:sz w:val="16"/>
        </w:rPr>
      </w:pPr>
      <w:r>
        <w:rPr>
          <w:sz w:val="16"/>
        </w:rPr>
        <w:t>* Porcentaje respecto al área destinada para tal infraestructura. Fuente: Elaboración propia con base en SIMPPI, 2015.</w:t>
      </w:r>
    </w:p>
    <w:p>
      <w:pPr>
        <w:pStyle w:val="BodyText"/>
        <w:rPr>
          <w:sz w:val="16"/>
        </w:rPr>
      </w:pPr>
    </w:p>
    <w:p>
      <w:pPr>
        <w:pStyle w:val="BodyText"/>
        <w:rPr>
          <w:sz w:val="16"/>
        </w:rPr>
      </w:pPr>
    </w:p>
    <w:p>
      <w:pPr>
        <w:pStyle w:val="BodyText"/>
        <w:rPr>
          <w:sz w:val="16"/>
        </w:rPr>
      </w:pPr>
    </w:p>
    <w:p>
      <w:pPr>
        <w:pStyle w:val="BodyText"/>
        <w:spacing w:line="480" w:lineRule="auto" w:before="116"/>
        <w:ind w:left="122" w:right="718"/>
        <w:jc w:val="both"/>
      </w:pPr>
      <w:r>
        <w:rPr/>
        <w:t>Cabe resaltar que cada uno de los indicadores referidos, tiene un rango definido por la Norma</w:t>
      </w:r>
      <w:r>
        <w:rPr>
          <w:spacing w:val="-9"/>
        </w:rPr>
        <w:t> </w:t>
      </w:r>
      <w:r>
        <w:rPr/>
        <w:t>Oficial</w:t>
      </w:r>
      <w:r>
        <w:rPr>
          <w:spacing w:val="-7"/>
        </w:rPr>
        <w:t> </w:t>
      </w:r>
      <w:r>
        <w:rPr/>
        <w:t>Mexicana</w:t>
      </w:r>
      <w:r>
        <w:rPr>
          <w:spacing w:val="-6"/>
        </w:rPr>
        <w:t> </w:t>
      </w:r>
      <w:r>
        <w:rPr/>
        <w:t>de</w:t>
      </w:r>
      <w:r>
        <w:rPr>
          <w:spacing w:val="-7"/>
        </w:rPr>
        <w:t> </w:t>
      </w:r>
      <w:r>
        <w:rPr/>
        <w:t>Parques</w:t>
      </w:r>
      <w:r>
        <w:rPr>
          <w:spacing w:val="-8"/>
        </w:rPr>
        <w:t> </w:t>
      </w:r>
      <w:r>
        <w:rPr/>
        <w:t>Industriales,</w:t>
      </w:r>
      <w:r>
        <w:rPr>
          <w:spacing w:val="-8"/>
        </w:rPr>
        <w:t> </w:t>
      </w:r>
      <w:r>
        <w:rPr/>
        <w:t>coherente</w:t>
      </w:r>
      <w:r>
        <w:rPr>
          <w:spacing w:val="-9"/>
        </w:rPr>
        <w:t> </w:t>
      </w:r>
      <w:r>
        <w:rPr/>
        <w:t>con</w:t>
      </w:r>
      <w:r>
        <w:rPr>
          <w:spacing w:val="-7"/>
        </w:rPr>
        <w:t> </w:t>
      </w:r>
      <w:r>
        <w:rPr/>
        <w:t>lo</w:t>
      </w:r>
      <w:r>
        <w:rPr>
          <w:spacing w:val="-6"/>
        </w:rPr>
        <w:t> </w:t>
      </w:r>
      <w:r>
        <w:rPr/>
        <w:t>estipulado</w:t>
      </w:r>
      <w:r>
        <w:rPr>
          <w:spacing w:val="-6"/>
        </w:rPr>
        <w:t> </w:t>
      </w:r>
      <w:r>
        <w:rPr/>
        <w:t>en</w:t>
      </w:r>
      <w:r>
        <w:rPr>
          <w:spacing w:val="-7"/>
        </w:rPr>
        <w:t> </w:t>
      </w:r>
      <w:r>
        <w:rPr/>
        <w:t>las</w:t>
      </w:r>
      <w:r>
        <w:rPr>
          <w:spacing w:val="-6"/>
        </w:rPr>
        <w:t> </w:t>
      </w:r>
      <w:r>
        <w:rPr/>
        <w:t>pautas para el funcionamiento de los parques industriales de la Organización de las Naciones Unidas para el Desarrollo Industrial, mismas que se toma como referencia para obtener el índice correspondiente para cada una de</w:t>
      </w:r>
      <w:r>
        <w:rPr>
          <w:spacing w:val="-9"/>
        </w:rPr>
        <w:t> </w:t>
      </w:r>
      <w:r>
        <w:rPr/>
        <w:t>estas.</w:t>
      </w:r>
    </w:p>
    <w:p>
      <w:pPr>
        <w:pStyle w:val="BodyText"/>
        <w:spacing w:line="480" w:lineRule="auto" w:before="166"/>
        <w:ind w:left="122" w:right="717"/>
        <w:jc w:val="both"/>
      </w:pPr>
      <w:r>
        <w:rPr/>
        <w:t>Los índices correspondientes, se determina para cada una de las variables, a fin de identificar</w:t>
      </w:r>
      <w:r>
        <w:rPr>
          <w:spacing w:val="-5"/>
        </w:rPr>
        <w:t> </w:t>
      </w:r>
      <w:r>
        <w:rPr/>
        <w:t>las</w:t>
      </w:r>
      <w:r>
        <w:rPr>
          <w:spacing w:val="-6"/>
        </w:rPr>
        <w:t> </w:t>
      </w:r>
      <w:r>
        <w:rPr/>
        <w:t>condiciones</w:t>
      </w:r>
      <w:r>
        <w:rPr>
          <w:spacing w:val="-4"/>
        </w:rPr>
        <w:t> </w:t>
      </w:r>
      <w:r>
        <w:rPr/>
        <w:t>de</w:t>
      </w:r>
      <w:r>
        <w:rPr>
          <w:spacing w:val="-7"/>
        </w:rPr>
        <w:t> </w:t>
      </w:r>
      <w:r>
        <w:rPr/>
        <w:t>cada</w:t>
      </w:r>
      <w:r>
        <w:rPr>
          <w:spacing w:val="-9"/>
        </w:rPr>
        <w:t> </w:t>
      </w:r>
      <w:r>
        <w:rPr/>
        <w:t>requerimiento.</w:t>
      </w:r>
      <w:r>
        <w:rPr>
          <w:spacing w:val="-5"/>
        </w:rPr>
        <w:t> </w:t>
      </w:r>
      <w:r>
        <w:rPr/>
        <w:t>Con</w:t>
      </w:r>
      <w:r>
        <w:rPr>
          <w:spacing w:val="-7"/>
        </w:rPr>
        <w:t> </w:t>
      </w:r>
      <w:r>
        <w:rPr/>
        <w:t>la</w:t>
      </w:r>
      <w:r>
        <w:rPr>
          <w:spacing w:val="-4"/>
        </w:rPr>
        <w:t> </w:t>
      </w:r>
      <w:r>
        <w:rPr/>
        <w:t>agregación</w:t>
      </w:r>
      <w:r>
        <w:rPr>
          <w:spacing w:val="-7"/>
        </w:rPr>
        <w:t> </w:t>
      </w:r>
      <w:r>
        <w:rPr/>
        <w:t>de</w:t>
      </w:r>
      <w:r>
        <w:rPr>
          <w:spacing w:val="-7"/>
        </w:rPr>
        <w:t> </w:t>
      </w:r>
      <w:r>
        <w:rPr/>
        <w:t>los</w:t>
      </w:r>
      <w:r>
        <w:rPr>
          <w:spacing w:val="-4"/>
        </w:rPr>
        <w:t> </w:t>
      </w:r>
      <w:r>
        <w:rPr/>
        <w:t>datos</w:t>
      </w:r>
      <w:r>
        <w:rPr>
          <w:spacing w:val="-6"/>
        </w:rPr>
        <w:t> </w:t>
      </w:r>
      <w:r>
        <w:rPr/>
        <w:t>refinados de manera segmentada, se obtiene un valor medio, que refleja puntual y concretamente la condición de cada categoría, misma que se toma como referencia para conocer el nivel de cambio de cada variable. A partir del conocimiento de estos comportamientos, es posible determinar</w:t>
      </w:r>
      <w:r>
        <w:rPr>
          <w:spacing w:val="-15"/>
        </w:rPr>
        <w:t> </w:t>
      </w:r>
      <w:r>
        <w:rPr/>
        <w:t>y</w:t>
      </w:r>
      <w:r>
        <w:rPr>
          <w:spacing w:val="-18"/>
        </w:rPr>
        <w:t> </w:t>
      </w:r>
      <w:r>
        <w:rPr/>
        <w:t>saber</w:t>
      </w:r>
      <w:r>
        <w:rPr>
          <w:spacing w:val="-15"/>
        </w:rPr>
        <w:t> </w:t>
      </w:r>
      <w:r>
        <w:rPr/>
        <w:t>las</w:t>
      </w:r>
      <w:r>
        <w:rPr>
          <w:spacing w:val="-16"/>
        </w:rPr>
        <w:t> </w:t>
      </w:r>
      <w:r>
        <w:rPr/>
        <w:t>condiciones</w:t>
      </w:r>
      <w:r>
        <w:rPr>
          <w:spacing w:val="-15"/>
        </w:rPr>
        <w:t> </w:t>
      </w:r>
      <w:r>
        <w:rPr/>
        <w:t>de</w:t>
      </w:r>
      <w:r>
        <w:rPr>
          <w:spacing w:val="-16"/>
        </w:rPr>
        <w:t> </w:t>
      </w:r>
      <w:r>
        <w:rPr/>
        <w:t>la</w:t>
      </w:r>
      <w:r>
        <w:rPr>
          <w:spacing w:val="-16"/>
        </w:rPr>
        <w:t> </w:t>
      </w:r>
      <w:r>
        <w:rPr/>
        <w:t>producción</w:t>
      </w:r>
      <w:r>
        <w:rPr>
          <w:spacing w:val="-16"/>
        </w:rPr>
        <w:t> </w:t>
      </w:r>
      <w:r>
        <w:rPr/>
        <w:t>sustentable</w:t>
      </w:r>
      <w:r>
        <w:rPr>
          <w:spacing w:val="-16"/>
        </w:rPr>
        <w:t> </w:t>
      </w:r>
      <w:r>
        <w:rPr/>
        <w:t>en</w:t>
      </w:r>
      <w:r>
        <w:rPr>
          <w:spacing w:val="-16"/>
        </w:rPr>
        <w:t> </w:t>
      </w:r>
      <w:r>
        <w:rPr/>
        <w:t>los</w:t>
      </w:r>
      <w:r>
        <w:rPr>
          <w:spacing w:val="-16"/>
        </w:rPr>
        <w:t> </w:t>
      </w:r>
      <w:r>
        <w:rPr/>
        <w:t>parques</w:t>
      </w:r>
      <w:r>
        <w:rPr>
          <w:spacing w:val="-16"/>
        </w:rPr>
        <w:t> </w:t>
      </w:r>
      <w:r>
        <w:rPr/>
        <w:t>industriales. A modo de ejemplo, se enuncia cada una de las expresiones empleadas para determinar los índices y grados correspondientes (Iglesias,</w:t>
      </w:r>
      <w:r>
        <w:rPr>
          <w:spacing w:val="-14"/>
        </w:rPr>
        <w:t> </w:t>
      </w:r>
      <w:r>
        <w:rPr/>
        <w:t>2013).</w:t>
      </w:r>
    </w:p>
    <w:p>
      <w:pPr>
        <w:tabs>
          <w:tab w:pos="8691" w:val="left" w:leader="none"/>
        </w:tabs>
        <w:spacing w:before="166"/>
        <w:ind w:left="3566" w:right="0" w:firstLine="0"/>
        <w:jc w:val="left"/>
        <w:rPr>
          <w:i/>
          <w:sz w:val="22"/>
        </w:rPr>
      </w:pPr>
      <w:r>
        <w:rPr>
          <w:i/>
          <w:sz w:val="22"/>
        </w:rPr>
        <w:t>Índice</w:t>
      </w:r>
      <w:r>
        <w:rPr>
          <w:i/>
          <w:spacing w:val="-2"/>
          <w:sz w:val="22"/>
        </w:rPr>
        <w:t> </w:t>
      </w:r>
      <w:r>
        <w:rPr>
          <w:i/>
          <w:sz w:val="22"/>
        </w:rPr>
        <w:t>de</w:t>
      </w:r>
      <w:r>
        <w:rPr>
          <w:i/>
          <w:spacing w:val="-2"/>
          <w:sz w:val="22"/>
        </w:rPr>
        <w:t> </w:t>
      </w:r>
      <w:r>
        <w:rPr>
          <w:i/>
          <w:sz w:val="22"/>
        </w:rPr>
        <w:t>distribución</w:t>
        <w:tab/>
        <w:t>(1)</w:t>
      </w:r>
    </w:p>
    <w:p>
      <w:pPr>
        <w:pStyle w:val="BodyText"/>
        <w:spacing w:before="4"/>
        <w:rPr>
          <w:i/>
          <w:sz w:val="27"/>
        </w:rPr>
      </w:pPr>
    </w:p>
    <w:p>
      <w:pPr>
        <w:spacing w:after="0"/>
        <w:rPr>
          <w:sz w:val="27"/>
        </w:rPr>
        <w:sectPr>
          <w:pgSz w:w="12240" w:h="15840"/>
          <w:pgMar w:top="1420" w:bottom="280" w:left="1580" w:right="980"/>
        </w:sectPr>
      </w:pPr>
    </w:p>
    <w:p>
      <w:pPr>
        <w:pStyle w:val="BodyText"/>
        <w:spacing w:before="10"/>
        <w:rPr>
          <w:i/>
          <w:sz w:val="19"/>
        </w:rPr>
      </w:pPr>
    </w:p>
    <w:p>
      <w:pPr>
        <w:pStyle w:val="BodyText"/>
        <w:jc w:val="right"/>
        <w:rPr>
          <w:rFonts w:ascii="Cambria Math" w:eastAsia="Cambria Math"/>
        </w:rPr>
      </w:pPr>
      <w:r>
        <w:rPr>
          <w:rFonts w:ascii="Cambria Math" w:eastAsia="Cambria Math"/>
          <w:spacing w:val="-2"/>
          <w:w w:val="57"/>
        </w:rPr>
        <w:t>�</w:t>
      </w:r>
      <w:r>
        <w:rPr>
          <w:rFonts w:ascii="Cambria Math" w:eastAsia="Cambria Math"/>
          <w:spacing w:val="1"/>
          <w:w w:val="105"/>
        </w:rPr>
        <w:t>�</w:t>
      </w:r>
      <w:r>
        <w:rPr>
          <w:rFonts w:ascii="Cambria Math" w:eastAsia="Cambria Math"/>
          <w:spacing w:val="-2"/>
          <w:w w:val="48"/>
        </w:rPr>
        <w:t>�</w:t>
      </w:r>
      <w:r>
        <w:rPr>
          <w:rFonts w:ascii="Cambria Math" w:eastAsia="Cambria Math"/>
          <w:w w:val="54"/>
        </w:rPr>
        <w:t>�</w:t>
      </w:r>
      <w:r>
        <w:rPr>
          <w:rFonts w:ascii="Cambria Math" w:eastAsia="Cambria Math"/>
          <w:spacing w:val="17"/>
        </w:rPr>
        <w:t> </w:t>
      </w:r>
      <w:r>
        <w:rPr>
          <w:rFonts w:ascii="Cambria Math" w:eastAsia="Cambria Math"/>
          <w:w w:val="100"/>
        </w:rPr>
        <w:t>=</w:t>
      </w:r>
      <w:r>
        <w:rPr>
          <w:rFonts w:ascii="Cambria Math" w:eastAsia="Cambria Math"/>
          <w:spacing w:val="9"/>
        </w:rPr>
        <w:t> </w:t>
      </w:r>
      <w:r>
        <w:rPr>
          <w:rFonts w:ascii="Cambria Math" w:eastAsia="Cambria Math"/>
          <w:w w:val="225"/>
        </w:rPr>
        <w:t> </w:t>
      </w:r>
    </w:p>
    <w:p>
      <w:pPr>
        <w:spacing w:before="62"/>
        <w:ind w:left="-13" w:right="0" w:firstLine="0"/>
        <w:jc w:val="left"/>
        <w:rPr>
          <w:rFonts w:ascii="Cambria Math" w:eastAsia="Cambria Math"/>
          <w:sz w:val="22"/>
        </w:rPr>
      </w:pPr>
      <w:r>
        <w:rPr/>
        <w:br w:type="column"/>
      </w:r>
      <w:r>
        <w:rPr>
          <w:rFonts w:ascii="Cambria Math" w:eastAsia="Cambria Math"/>
          <w:w w:val="65"/>
          <w:sz w:val="22"/>
        </w:rPr>
        <w:t>���</w:t>
      </w:r>
    </w:p>
    <w:p>
      <w:pPr>
        <w:pStyle w:val="BodyText"/>
        <w:spacing w:before="57"/>
        <w:ind w:left="-40"/>
        <w:rPr>
          <w:rFonts w:ascii="Cambria Math" w:eastAsia="Cambria Math"/>
        </w:rPr>
      </w:pPr>
      <w:r>
        <w:rPr/>
        <w:pict>
          <v:line style="position:absolute;mso-position-horizontal-relative:page;mso-position-vertical-relative:paragraph;z-index:1384" from="315.475067pt,2.784313pt" to="330.070545pt,2.784313pt" stroked="true" strokeweight=".71388pt" strokecolor="#000000">
            <w10:wrap type="none"/>
          </v:line>
        </w:pict>
      </w:r>
      <w:r>
        <w:rPr>
          <w:rFonts w:ascii="Cambria Math" w:eastAsia="Cambria Math"/>
          <w:spacing w:val="-3"/>
          <w:w w:val="100"/>
        </w:rPr>
        <w:t>𝐴</w:t>
      </w:r>
      <w:r>
        <w:rPr>
          <w:rFonts w:ascii="Cambria Math" w:eastAsia="Cambria Math"/>
          <w:spacing w:val="-2"/>
          <w:w w:val="48"/>
        </w:rPr>
        <w:t>�</w:t>
      </w:r>
      <w:r>
        <w:rPr>
          <w:rFonts w:ascii="Cambria Math" w:eastAsia="Cambria Math"/>
          <w:w w:val="54"/>
        </w:rPr>
        <w:t>�</w:t>
      </w:r>
    </w:p>
    <w:p>
      <w:pPr>
        <w:spacing w:after="0"/>
        <w:rPr>
          <w:rFonts w:ascii="Cambria Math" w:eastAsia="Cambria Math"/>
        </w:rPr>
        <w:sectPr>
          <w:type w:val="continuous"/>
          <w:pgSz w:w="12240" w:h="15840"/>
          <w:pgMar w:top="1420" w:bottom="280" w:left="1580" w:right="980"/>
          <w:cols w:num="2" w:equalWidth="0">
            <w:col w:w="4729" w:space="40"/>
            <w:col w:w="4911"/>
          </w:cols>
        </w:sectPr>
      </w:pPr>
    </w:p>
    <w:p>
      <w:pPr>
        <w:pStyle w:val="BodyText"/>
        <w:rPr>
          <w:rFonts w:ascii="Cambria Math"/>
          <w:sz w:val="20"/>
        </w:rPr>
      </w:pPr>
    </w:p>
    <w:p>
      <w:pPr>
        <w:pStyle w:val="BodyText"/>
        <w:spacing w:before="8"/>
        <w:rPr>
          <w:rFonts w:ascii="Cambria Math"/>
          <w:sz w:val="24"/>
        </w:rPr>
      </w:pPr>
    </w:p>
    <w:p>
      <w:pPr>
        <w:pStyle w:val="BodyText"/>
        <w:spacing w:before="73"/>
        <w:ind w:left="122"/>
      </w:pPr>
      <w:r>
        <w:rPr/>
        <w:t>Donde:</w:t>
      </w:r>
    </w:p>
    <w:p>
      <w:pPr>
        <w:spacing w:after="0"/>
        <w:sectPr>
          <w:type w:val="continuous"/>
          <w:pgSz w:w="12240" w:h="15840"/>
          <w:pgMar w:top="1420" w:bottom="280" w:left="1580" w:right="980"/>
        </w:sectPr>
      </w:pPr>
    </w:p>
    <w:p>
      <w:pPr>
        <w:pStyle w:val="BodyText"/>
        <w:spacing w:line="633" w:lineRule="auto" w:before="54"/>
        <w:ind w:left="102" w:right="3862"/>
      </w:pPr>
      <w:r>
        <w:rPr/>
        <w:t>J: superficie destinada a la variable i en el espacio j. A: superficie total del espacio j.</w:t>
      </w:r>
    </w:p>
    <w:p>
      <w:pPr>
        <w:pStyle w:val="BodyText"/>
        <w:spacing w:before="8"/>
        <w:ind w:left="102" w:right="18"/>
      </w:pPr>
      <w:r>
        <w:rPr/>
        <w:t>Cuyos valores de los índices obtenidos da pauta a la definición de los siguientes rangos:</w:t>
      </w:r>
    </w:p>
    <w:p>
      <w:pPr>
        <w:pStyle w:val="BodyText"/>
      </w:pPr>
    </w:p>
    <w:p>
      <w:pPr>
        <w:pStyle w:val="BodyText"/>
        <w:spacing w:before="160"/>
        <w:ind w:left="102" w:right="18"/>
      </w:pPr>
      <w:r>
        <w:rPr>
          <w:i/>
          <w:position w:val="2"/>
        </w:rPr>
        <w:t>ID</w:t>
      </w:r>
      <w:r>
        <w:rPr>
          <w:i/>
          <w:sz w:val="14"/>
        </w:rPr>
        <w:t>ij</w:t>
      </w:r>
      <w:r>
        <w:rPr>
          <w:position w:val="2"/>
        </w:rPr>
        <w:t>=1. La superficie objetivo está ocupado “uniformemente”.</w:t>
      </w:r>
    </w:p>
    <w:p>
      <w:pPr>
        <w:pStyle w:val="BodyText"/>
      </w:pPr>
    </w:p>
    <w:p>
      <w:pPr>
        <w:pStyle w:val="BodyText"/>
        <w:spacing w:line="477" w:lineRule="auto" w:before="155"/>
        <w:ind w:left="102" w:right="18"/>
      </w:pPr>
      <w:r>
        <w:rPr>
          <w:i/>
          <w:position w:val="2"/>
        </w:rPr>
        <w:t>ID</w:t>
      </w:r>
      <w:r>
        <w:rPr>
          <w:i/>
          <w:sz w:val="14"/>
        </w:rPr>
        <w:t>ij</w:t>
      </w:r>
      <w:r>
        <w:rPr>
          <w:i/>
          <w:position w:val="2"/>
        </w:rPr>
        <w:t>&gt;</w:t>
      </w:r>
      <w:r>
        <w:rPr>
          <w:position w:val="2"/>
        </w:rPr>
        <w:t>1. Algún espacio de la superficie objetivo tiene mayor dimensión de ocupación que lo </w:t>
      </w:r>
      <w:r>
        <w:rPr/>
        <w:t>definido.</w:t>
      </w:r>
    </w:p>
    <w:p>
      <w:pPr>
        <w:pStyle w:val="BodyText"/>
        <w:spacing w:line="475" w:lineRule="auto" w:before="170"/>
        <w:ind w:left="102" w:right="18"/>
      </w:pPr>
      <w:r>
        <w:rPr>
          <w:i/>
          <w:position w:val="2"/>
        </w:rPr>
        <w:t>ID</w:t>
      </w:r>
      <w:r>
        <w:rPr>
          <w:i/>
          <w:sz w:val="14"/>
        </w:rPr>
        <w:t>ij</w:t>
      </w:r>
      <w:r>
        <w:rPr>
          <w:position w:val="2"/>
        </w:rPr>
        <w:t>&lt;1. Algún espacio de la superficie objetivo tiene menor dimensión o no está ocupado </w:t>
      </w:r>
      <w:r>
        <w:rPr/>
        <w:t>totalmente.</w:t>
      </w:r>
    </w:p>
    <w:p>
      <w:pPr>
        <w:tabs>
          <w:tab w:pos="8669" w:val="left" w:leader="none"/>
        </w:tabs>
        <w:spacing w:before="173"/>
        <w:ind w:left="3570" w:right="18" w:firstLine="0"/>
        <w:jc w:val="left"/>
        <w:rPr>
          <w:i/>
          <w:sz w:val="22"/>
        </w:rPr>
      </w:pPr>
      <w:r>
        <w:rPr>
          <w:i/>
          <w:sz w:val="22"/>
        </w:rPr>
        <w:t>Índice</w:t>
      </w:r>
      <w:r>
        <w:rPr>
          <w:i/>
          <w:spacing w:val="-2"/>
          <w:sz w:val="22"/>
        </w:rPr>
        <w:t> </w:t>
      </w:r>
      <w:r>
        <w:rPr>
          <w:i/>
          <w:sz w:val="22"/>
        </w:rPr>
        <w:t>de</w:t>
      </w:r>
      <w:r>
        <w:rPr>
          <w:i/>
          <w:spacing w:val="-2"/>
          <w:sz w:val="22"/>
        </w:rPr>
        <w:t> </w:t>
      </w:r>
      <w:r>
        <w:rPr>
          <w:i/>
          <w:sz w:val="22"/>
        </w:rPr>
        <w:t>disponibilidad</w:t>
        <w:tab/>
        <w:t>(2)</w:t>
      </w:r>
    </w:p>
    <w:p>
      <w:pPr>
        <w:pStyle w:val="BodyText"/>
        <w:spacing w:before="2"/>
        <w:rPr>
          <w:i/>
          <w:sz w:val="27"/>
        </w:rPr>
      </w:pPr>
    </w:p>
    <w:p>
      <w:pPr>
        <w:pStyle w:val="BodyText"/>
        <w:spacing w:line="212" w:lineRule="exact" w:before="62"/>
        <w:ind w:left="3434" w:right="2809"/>
        <w:jc w:val="center"/>
        <w:rPr>
          <w:rFonts w:ascii="Cambria Math" w:eastAsia="Cambria Math"/>
        </w:rPr>
      </w:pPr>
      <w:r>
        <w:rPr>
          <w:rFonts w:ascii="Cambria Math" w:eastAsia="Cambria Math"/>
          <w:spacing w:val="-4"/>
          <w:w w:val="98"/>
        </w:rPr>
        <w:t>�</w:t>
      </w:r>
      <w:r>
        <w:rPr>
          <w:rFonts w:ascii="Cambria Math" w:eastAsia="Cambria Math"/>
          <w:spacing w:val="-2"/>
          <w:w w:val="48"/>
        </w:rPr>
        <w:t>�</w:t>
      </w:r>
      <w:r>
        <w:rPr>
          <w:rFonts w:ascii="Cambria Math" w:eastAsia="Cambria Math"/>
          <w:w w:val="54"/>
        </w:rPr>
        <w:t>�</w:t>
      </w:r>
    </w:p>
    <w:p>
      <w:pPr>
        <w:pStyle w:val="BodyText"/>
        <w:spacing w:line="158" w:lineRule="exact"/>
        <w:ind w:left="3030" w:right="3452"/>
        <w:jc w:val="center"/>
        <w:rPr>
          <w:rFonts w:ascii="Cambria Math" w:eastAsia="Cambria Math"/>
        </w:rPr>
      </w:pPr>
      <w:r>
        <w:rPr/>
        <w:pict>
          <v:line style="position:absolute;mso-position-horizontal-relative:page;mso-position-vertical-relative:paragraph;z-index:-19288" from="314.969177pt,5.086882pt" to="329.668886pt,5.086882pt" stroked="true" strokeweight=".713885pt" strokecolor="#000000">
            <w10:wrap type="none"/>
          </v:line>
        </w:pict>
      </w:r>
      <w:r>
        <w:rPr>
          <w:rFonts w:ascii="Cambria Math" w:eastAsia="Cambria Math"/>
          <w:w w:val="70"/>
        </w:rPr>
        <w:t>���� =</w:t>
      </w:r>
      <w:r>
        <w:rPr>
          <w:rFonts w:ascii="Cambria Math" w:eastAsia="Cambria Math"/>
        </w:rPr>
        <w:t> </w:t>
      </w:r>
      <w:r>
        <w:rPr>
          <w:rFonts w:ascii="Cambria Math" w:eastAsia="Cambria Math"/>
          <w:w w:val="224"/>
        </w:rPr>
        <w:t> </w:t>
      </w:r>
    </w:p>
    <w:p>
      <w:pPr>
        <w:pStyle w:val="BodyText"/>
        <w:spacing w:line="203" w:lineRule="exact"/>
        <w:ind w:left="3434" w:right="2809"/>
        <w:jc w:val="center"/>
        <w:rPr>
          <w:rFonts w:ascii="Cambria Math" w:eastAsia="Cambria Math"/>
        </w:rPr>
      </w:pPr>
      <w:r>
        <w:rPr>
          <w:rFonts w:ascii="Cambria Math" w:eastAsia="Cambria Math"/>
          <w:w w:val="75"/>
        </w:rPr>
        <w:t>���</w:t>
      </w:r>
    </w:p>
    <w:p>
      <w:pPr>
        <w:pStyle w:val="BodyText"/>
        <w:rPr>
          <w:rFonts w:ascii="Cambria Math"/>
          <w:sz w:val="20"/>
        </w:rPr>
      </w:pPr>
    </w:p>
    <w:p>
      <w:pPr>
        <w:pStyle w:val="BodyText"/>
        <w:spacing w:before="8"/>
        <w:rPr>
          <w:rFonts w:ascii="Cambria Math"/>
          <w:sz w:val="24"/>
        </w:rPr>
      </w:pPr>
    </w:p>
    <w:p>
      <w:pPr>
        <w:pStyle w:val="BodyText"/>
        <w:spacing w:before="72"/>
        <w:ind w:left="102" w:right="18"/>
      </w:pPr>
      <w:r>
        <w:rPr/>
        <w:t>Donde:</w:t>
      </w:r>
    </w:p>
    <w:p>
      <w:pPr>
        <w:pStyle w:val="BodyText"/>
      </w:pPr>
    </w:p>
    <w:p>
      <w:pPr>
        <w:pStyle w:val="BodyText"/>
        <w:spacing w:before="161"/>
        <w:ind w:left="102" w:right="18"/>
      </w:pPr>
      <w:r>
        <w:rPr/>
        <w:t>X: disponibilidad real del equipamiento i en el lote o hectárea j.</w:t>
      </w:r>
    </w:p>
    <w:p>
      <w:pPr>
        <w:pStyle w:val="BodyText"/>
      </w:pPr>
    </w:p>
    <w:p>
      <w:pPr>
        <w:pStyle w:val="BodyText"/>
        <w:spacing w:line="633" w:lineRule="auto" w:before="159"/>
        <w:ind w:left="102" w:right="1856"/>
      </w:pPr>
      <w:r>
        <w:rPr/>
        <w:t>Y: disponibilidad recomendada del equipamiento i en el lote o hectárea j. Los rangos son:</w:t>
      </w:r>
    </w:p>
    <w:p>
      <w:pPr>
        <w:pStyle w:val="BodyText"/>
        <w:spacing w:line="631" w:lineRule="auto" w:before="8"/>
        <w:ind w:left="102" w:right="18"/>
      </w:pPr>
      <w:r>
        <w:rPr>
          <w:i/>
          <w:position w:val="2"/>
        </w:rPr>
        <w:t>IE</w:t>
      </w:r>
      <w:r>
        <w:rPr>
          <w:i/>
          <w:sz w:val="14"/>
        </w:rPr>
        <w:t>ij</w:t>
      </w:r>
      <w:r>
        <w:rPr>
          <w:position w:val="2"/>
        </w:rPr>
        <w:t>&lt;0.5. La disponibilidad del equipamiento i en el parque industrial j es insuficiente. 0.6&gt;</w:t>
      </w:r>
      <w:r>
        <w:rPr>
          <w:i/>
          <w:position w:val="2"/>
        </w:rPr>
        <w:t>IE</w:t>
      </w:r>
      <w:r>
        <w:rPr>
          <w:i/>
          <w:sz w:val="14"/>
        </w:rPr>
        <w:t>ij</w:t>
      </w:r>
      <w:r>
        <w:rPr>
          <w:i/>
          <w:position w:val="2"/>
        </w:rPr>
        <w:t>&lt;</w:t>
      </w:r>
      <w:r>
        <w:rPr>
          <w:position w:val="2"/>
        </w:rPr>
        <w:t>1. La disponibilidad del equipamiento i en el parque industrial j es suficiente.</w:t>
      </w:r>
    </w:p>
    <w:p>
      <w:pPr>
        <w:pStyle w:val="BodyText"/>
        <w:spacing w:line="477" w:lineRule="auto" w:before="3"/>
        <w:ind w:left="102" w:right="18"/>
      </w:pPr>
      <w:r>
        <w:rPr>
          <w:i/>
          <w:position w:val="2"/>
        </w:rPr>
        <w:t>ID</w:t>
      </w:r>
      <w:r>
        <w:rPr>
          <w:i/>
          <w:sz w:val="14"/>
        </w:rPr>
        <w:t>ij</w:t>
      </w:r>
      <w:r>
        <w:rPr>
          <w:position w:val="2"/>
        </w:rPr>
        <w:t>&gt;1. La disponibilidad del equipamiento i en el parque industrial j es más que suficiente, </w:t>
      </w:r>
      <w:r>
        <w:rPr/>
        <w:t>se rebasa el requerimiento especificado.</w:t>
      </w:r>
    </w:p>
    <w:p>
      <w:pPr>
        <w:pStyle w:val="BodyText"/>
        <w:spacing w:line="477" w:lineRule="auto" w:before="171"/>
        <w:ind w:left="102" w:right="18"/>
      </w:pPr>
      <w:r>
        <w:rPr/>
        <w:t>Cabe aclarar que la nominación de los rangos puede cambiar de acuerdo a las especificaciones de cada variable. Dicho valor es la que previamente han establecido   las</w:t>
      </w:r>
    </w:p>
    <w:p>
      <w:pPr>
        <w:spacing w:after="0" w:line="477" w:lineRule="auto"/>
        <w:sectPr>
          <w:pgSz w:w="12240" w:h="15840"/>
          <w:pgMar w:top="1360" w:bottom="280" w:left="1600" w:right="1580"/>
        </w:sectPr>
      </w:pPr>
    </w:p>
    <w:p>
      <w:pPr>
        <w:pStyle w:val="BodyText"/>
        <w:spacing w:line="480" w:lineRule="auto" w:before="54"/>
        <w:ind w:left="102" w:right="98"/>
        <w:jc w:val="both"/>
      </w:pPr>
      <w:r>
        <w:rPr/>
        <w:t>instancias correspondientes (a nivel internacional la Organización de las Naciones Unidades para el Desarrollo Industrial y en México la Secretaría de Economía), como estándares mínimos para garantizar el funcionamiento y crecimiento de las empresas que se asientan en los parques industriales.</w:t>
      </w:r>
    </w:p>
    <w:p>
      <w:pPr>
        <w:tabs>
          <w:tab w:pos="8668" w:val="left" w:leader="none"/>
        </w:tabs>
        <w:spacing w:before="166"/>
        <w:ind w:left="3779" w:right="0" w:firstLine="0"/>
        <w:jc w:val="left"/>
        <w:rPr>
          <w:i/>
          <w:sz w:val="22"/>
        </w:rPr>
      </w:pPr>
      <w:r>
        <w:rPr>
          <w:i/>
          <w:sz w:val="22"/>
        </w:rPr>
        <w:t>Grado</w:t>
      </w:r>
      <w:r>
        <w:rPr>
          <w:i/>
          <w:spacing w:val="-3"/>
          <w:sz w:val="22"/>
        </w:rPr>
        <w:t> </w:t>
      </w:r>
      <w:r>
        <w:rPr>
          <w:i/>
          <w:sz w:val="22"/>
        </w:rPr>
        <w:t>de</w:t>
      </w:r>
      <w:r>
        <w:rPr>
          <w:i/>
          <w:spacing w:val="-1"/>
          <w:sz w:val="22"/>
        </w:rPr>
        <w:t> </w:t>
      </w:r>
      <w:r>
        <w:rPr>
          <w:i/>
          <w:sz w:val="22"/>
        </w:rPr>
        <w:t>conectividad</w:t>
        <w:tab/>
        <w:t>(3)</w:t>
      </w:r>
    </w:p>
    <w:p>
      <w:pPr>
        <w:pStyle w:val="BodyText"/>
        <w:spacing w:before="1"/>
        <w:rPr>
          <w:i/>
          <w:sz w:val="24"/>
        </w:rPr>
      </w:pPr>
    </w:p>
    <w:p>
      <w:pPr>
        <w:pStyle w:val="BodyText"/>
        <w:spacing w:line="213" w:lineRule="exact" w:before="63"/>
        <w:ind w:left="3807" w:right="2825"/>
        <w:jc w:val="center"/>
        <w:rPr>
          <w:rFonts w:ascii="Cambria Math" w:eastAsia="Cambria Math"/>
        </w:rPr>
      </w:pPr>
      <w:r>
        <w:rPr>
          <w:rFonts w:ascii="Cambria Math" w:eastAsia="Cambria Math"/>
          <w:w w:val="90"/>
        </w:rPr>
        <w:t>��</w:t>
      </w:r>
    </w:p>
    <w:p>
      <w:pPr>
        <w:pStyle w:val="BodyText"/>
        <w:spacing w:line="158" w:lineRule="exact"/>
        <w:ind w:left="3492" w:right="3800"/>
        <w:jc w:val="center"/>
        <w:rPr>
          <w:rFonts w:ascii="Cambria Math" w:eastAsia="Cambria Math"/>
        </w:rPr>
      </w:pPr>
      <w:r>
        <w:rPr/>
        <w:pict>
          <v:line style="position:absolute;mso-position-horizontal-relative:page;mso-position-vertical-relative:paragraph;z-index:1432" from="324.48761pt,5.089504pt" to="336.796162pt,5.089504pt" stroked="true" strokeweight=".715607pt" strokecolor="#000000">
            <w10:wrap type="none"/>
          </v:line>
        </w:pict>
      </w:r>
      <w:r>
        <w:rPr>
          <w:rFonts w:ascii="Cambria Math" w:eastAsia="Cambria Math"/>
          <w:w w:val="95"/>
        </w:rPr>
        <w:t>𝐺� = 𝛽 =</w:t>
      </w:r>
    </w:p>
    <w:p>
      <w:pPr>
        <w:pStyle w:val="BodyText"/>
        <w:spacing w:line="203" w:lineRule="exact"/>
        <w:ind w:left="3807" w:right="2826"/>
        <w:jc w:val="center"/>
        <w:rPr>
          <w:rFonts w:ascii="Cambria Math" w:eastAsia="Cambria Math"/>
        </w:rPr>
      </w:pPr>
      <w:r>
        <w:rPr>
          <w:rFonts w:ascii="Cambria Math" w:eastAsia="Cambria Math"/>
          <w:w w:val="95"/>
        </w:rPr>
        <w:t>��</w:t>
      </w:r>
    </w:p>
    <w:p>
      <w:pPr>
        <w:pStyle w:val="BodyText"/>
        <w:rPr>
          <w:rFonts w:ascii="Cambria Math"/>
          <w:sz w:val="20"/>
        </w:rPr>
      </w:pPr>
    </w:p>
    <w:p>
      <w:pPr>
        <w:pStyle w:val="BodyText"/>
        <w:rPr>
          <w:rFonts w:ascii="Cambria Math"/>
          <w:sz w:val="24"/>
        </w:rPr>
      </w:pPr>
    </w:p>
    <w:p>
      <w:pPr>
        <w:pStyle w:val="BodyText"/>
        <w:spacing w:before="72"/>
        <w:ind w:left="102"/>
      </w:pPr>
      <w:r>
        <w:rPr/>
        <w:t>Donde:</w:t>
      </w:r>
    </w:p>
    <w:p>
      <w:pPr>
        <w:pStyle w:val="BodyText"/>
      </w:pPr>
    </w:p>
    <w:p>
      <w:pPr>
        <w:pStyle w:val="BodyText"/>
        <w:spacing w:line="475" w:lineRule="auto" w:before="160"/>
        <w:ind w:left="102" w:right="560"/>
      </w:pPr>
      <w:r>
        <w:rPr>
          <w:position w:val="2"/>
        </w:rPr>
        <w:t>r</w:t>
      </w:r>
      <w:r>
        <w:rPr>
          <w:sz w:val="14"/>
        </w:rPr>
        <w:t>a</w:t>
      </w:r>
      <w:r>
        <w:rPr>
          <w:position w:val="2"/>
        </w:rPr>
        <w:t>: cantidad de veces que una empresa se relaciona con un agente o institución en un </w:t>
      </w:r>
      <w:r>
        <w:rPr/>
        <w:t>determinado periodo (arco).</w:t>
      </w:r>
    </w:p>
    <w:p>
      <w:pPr>
        <w:pStyle w:val="BodyText"/>
        <w:spacing w:line="477" w:lineRule="auto" w:before="172"/>
        <w:ind w:left="102" w:right="254"/>
      </w:pPr>
      <w:r>
        <w:rPr>
          <w:position w:val="2"/>
        </w:rPr>
        <w:t>q</w:t>
      </w:r>
      <w:r>
        <w:rPr>
          <w:sz w:val="14"/>
        </w:rPr>
        <w:t>a</w:t>
      </w:r>
      <w:r>
        <w:rPr>
          <w:position w:val="2"/>
        </w:rPr>
        <w:t>: número de agentes o instituciones con que se mantienen vínculos en un determinado </w:t>
      </w:r>
      <w:r>
        <w:rPr/>
        <w:t>periodo (nodo).</w:t>
      </w:r>
    </w:p>
    <w:p>
      <w:pPr>
        <w:pStyle w:val="BodyText"/>
        <w:spacing w:line="633" w:lineRule="auto" w:before="169"/>
        <w:ind w:left="102" w:right="5958"/>
      </w:pPr>
      <w:r>
        <w:rPr/>
        <w:t>Los rangos especificados son: β=1. La conectividad es débil.</w:t>
      </w:r>
    </w:p>
    <w:p>
      <w:pPr>
        <w:pStyle w:val="BodyText"/>
        <w:spacing w:before="8"/>
        <w:ind w:left="102"/>
      </w:pPr>
      <w:r>
        <w:rPr/>
        <w:t>β&lt;1. La conectividad es la necesaria.</w:t>
      </w:r>
    </w:p>
    <w:p>
      <w:pPr>
        <w:pStyle w:val="BodyText"/>
      </w:pPr>
    </w:p>
    <w:p>
      <w:pPr>
        <w:pStyle w:val="BodyText"/>
        <w:spacing w:line="477" w:lineRule="auto" w:before="161"/>
        <w:ind w:left="102"/>
      </w:pPr>
      <w:r>
        <w:rPr/>
        <w:t>β&gt;1. La conectividad es fuerte o alta, que también puede interpretarse como exagerada o innecesaria.</w:t>
      </w:r>
    </w:p>
    <w:p>
      <w:pPr>
        <w:tabs>
          <w:tab w:pos="8670" w:val="left" w:leader="none"/>
        </w:tabs>
        <w:spacing w:before="171"/>
        <w:ind w:left="3203" w:right="0" w:firstLine="0"/>
        <w:jc w:val="left"/>
        <w:rPr>
          <w:i/>
          <w:sz w:val="22"/>
        </w:rPr>
      </w:pPr>
      <w:r>
        <w:rPr>
          <w:i/>
          <w:sz w:val="22"/>
        </w:rPr>
        <w:t>Grado de</w:t>
      </w:r>
      <w:r>
        <w:rPr>
          <w:i/>
          <w:spacing w:val="-5"/>
          <w:sz w:val="22"/>
        </w:rPr>
        <w:t> </w:t>
      </w:r>
      <w:r>
        <w:rPr>
          <w:i/>
          <w:sz w:val="22"/>
        </w:rPr>
        <w:t>accesibilidad</w:t>
      </w:r>
      <w:r>
        <w:rPr>
          <w:i/>
          <w:spacing w:val="-2"/>
          <w:sz w:val="22"/>
        </w:rPr>
        <w:t> </w:t>
      </w:r>
      <w:r>
        <w:rPr>
          <w:i/>
          <w:sz w:val="22"/>
        </w:rPr>
        <w:t>regional</w:t>
        <w:tab/>
        <w:t>(4)</w:t>
      </w:r>
    </w:p>
    <w:p>
      <w:pPr>
        <w:pStyle w:val="BodyText"/>
        <w:spacing w:before="4"/>
        <w:rPr>
          <w:i/>
          <w:sz w:val="27"/>
        </w:rPr>
      </w:pPr>
    </w:p>
    <w:p>
      <w:pPr>
        <w:pStyle w:val="BodyText"/>
        <w:spacing w:line="212" w:lineRule="exact" w:before="62"/>
        <w:ind w:left="3807" w:right="3107"/>
        <w:jc w:val="center"/>
        <w:rPr>
          <w:rFonts w:ascii="Cambria Math" w:eastAsia="Cambria Math"/>
        </w:rPr>
      </w:pPr>
      <w:r>
        <w:rPr>
          <w:rFonts w:ascii="Cambria Math" w:eastAsia="Cambria Math"/>
          <w:spacing w:val="-3"/>
          <w:w w:val="100"/>
        </w:rPr>
        <w:t>𝐴</w:t>
      </w:r>
      <w:r>
        <w:rPr>
          <w:rFonts w:ascii="Cambria Math" w:eastAsia="Cambria Math"/>
          <w:spacing w:val="-2"/>
          <w:w w:val="48"/>
        </w:rPr>
        <w:t>�</w:t>
      </w:r>
      <w:r>
        <w:rPr>
          <w:rFonts w:ascii="Cambria Math" w:eastAsia="Cambria Math"/>
          <w:w w:val="54"/>
        </w:rPr>
        <w:t>�</w:t>
      </w:r>
    </w:p>
    <w:p>
      <w:pPr>
        <w:pStyle w:val="BodyText"/>
        <w:spacing w:line="158" w:lineRule="exact"/>
        <w:ind w:left="3402" w:right="3800"/>
        <w:jc w:val="center"/>
        <w:rPr>
          <w:rFonts w:ascii="Cambria Math" w:eastAsia="Cambria Math"/>
        </w:rPr>
      </w:pPr>
      <w:r>
        <w:rPr/>
        <w:pict>
          <v:line style="position:absolute;mso-position-horizontal-relative:page;mso-position-vertical-relative:paragraph;z-index:-19240" from="316.403625pt,5.08687pt" to="330.995506pt,5.08687pt" stroked="true" strokeweight=".71388pt" strokecolor="#000000">
            <w10:wrap type="none"/>
          </v:line>
        </w:pict>
      </w:r>
      <w:r>
        <w:rPr>
          <w:rFonts w:ascii="Cambria Math" w:eastAsia="Cambria Math"/>
          <w:spacing w:val="-67"/>
          <w:w w:val="95"/>
        </w:rPr>
        <w:t>𝐺𝐴�</w:t>
      </w:r>
      <w:r>
        <w:rPr>
          <w:rFonts w:ascii="Cambria Math" w:eastAsia="Cambria Math"/>
          <w:spacing w:val="38"/>
          <w:w w:val="95"/>
        </w:rPr>
        <w:t> </w:t>
      </w:r>
      <w:r>
        <w:rPr>
          <w:rFonts w:ascii="Cambria Math" w:eastAsia="Cambria Math"/>
          <w:spacing w:val="-66"/>
          <w:w w:val="95"/>
        </w:rPr>
        <w:t>=</w:t>
      </w:r>
      <w:r>
        <w:rPr>
          <w:rFonts w:ascii="Cambria Math" w:eastAsia="Cambria Math"/>
          <w:spacing w:val="11"/>
        </w:rPr>
        <w:t> </w:t>
      </w:r>
      <w:r>
        <w:rPr>
          <w:rFonts w:ascii="Cambria Math" w:eastAsia="Cambria Math"/>
          <w:w w:val="225"/>
        </w:rPr>
        <w:t> </w:t>
      </w:r>
    </w:p>
    <w:p>
      <w:pPr>
        <w:pStyle w:val="BodyText"/>
        <w:spacing w:line="203" w:lineRule="exact"/>
        <w:ind w:left="3807" w:right="3105"/>
        <w:jc w:val="center"/>
        <w:rPr>
          <w:rFonts w:ascii="Cambria Math" w:eastAsia="Cambria Math"/>
        </w:rPr>
      </w:pPr>
      <w:r>
        <w:rPr>
          <w:rFonts w:ascii="Cambria Math" w:eastAsia="Cambria Math"/>
          <w:w w:val="65"/>
        </w:rPr>
        <w:t>���</w:t>
      </w:r>
    </w:p>
    <w:p>
      <w:pPr>
        <w:pStyle w:val="BodyText"/>
        <w:rPr>
          <w:rFonts w:ascii="Cambria Math"/>
          <w:sz w:val="20"/>
        </w:rPr>
      </w:pPr>
    </w:p>
    <w:p>
      <w:pPr>
        <w:pStyle w:val="BodyText"/>
        <w:spacing w:before="6"/>
        <w:rPr>
          <w:rFonts w:ascii="Cambria Math"/>
          <w:sz w:val="24"/>
        </w:rPr>
      </w:pPr>
    </w:p>
    <w:p>
      <w:pPr>
        <w:pStyle w:val="BodyText"/>
        <w:spacing w:before="72"/>
        <w:ind w:left="102"/>
      </w:pPr>
      <w:r>
        <w:rPr/>
        <w:t>Donde:</w:t>
      </w:r>
    </w:p>
    <w:p>
      <w:pPr>
        <w:pStyle w:val="BodyText"/>
      </w:pPr>
    </w:p>
    <w:p>
      <w:pPr>
        <w:pStyle w:val="BodyText"/>
        <w:spacing w:before="161"/>
        <w:ind w:left="102"/>
      </w:pPr>
      <w:r>
        <w:rPr/>
        <w:t>A: Disponibilidad del servicio i en el lugar j donde está asentado el parque industrial.</w:t>
      </w:r>
    </w:p>
    <w:p>
      <w:pPr>
        <w:spacing w:after="0"/>
        <w:sectPr>
          <w:pgSz w:w="12240" w:h="15840"/>
          <w:pgMar w:top="1360" w:bottom="280" w:left="1600" w:right="1600"/>
        </w:sectPr>
      </w:pPr>
    </w:p>
    <w:p>
      <w:pPr>
        <w:pStyle w:val="BodyText"/>
        <w:spacing w:line="633" w:lineRule="auto" w:before="54"/>
        <w:ind w:left="102" w:right="173"/>
      </w:pPr>
      <w:r>
        <w:rPr/>
        <w:t>I: Cobertura o longitud del servicio i en el lugar j donde está asentado el parque industrial. Con los siguientes rangos:</w:t>
      </w:r>
    </w:p>
    <w:p>
      <w:pPr>
        <w:pStyle w:val="BodyText"/>
        <w:spacing w:line="631" w:lineRule="auto" w:before="8"/>
        <w:ind w:left="102" w:right="5236"/>
      </w:pPr>
      <w:r>
        <w:rPr/>
        <w:t>GAR&lt;1. La accesibilidad es baja. 1&gt;GAR&lt;2. La accesibilidad es media. GAR&gt;2. La accesibilidad es alta.</w:t>
      </w:r>
    </w:p>
    <w:p>
      <w:pPr>
        <w:tabs>
          <w:tab w:pos="8670" w:val="left" w:leader="none"/>
        </w:tabs>
        <w:spacing w:before="14"/>
        <w:ind w:left="2862" w:right="0" w:firstLine="0"/>
        <w:jc w:val="left"/>
        <w:rPr>
          <w:i/>
          <w:sz w:val="22"/>
        </w:rPr>
      </w:pPr>
      <w:r>
        <w:rPr>
          <w:i/>
          <w:sz w:val="22"/>
        </w:rPr>
        <w:t>Grado de interacción</w:t>
      </w:r>
      <w:r>
        <w:rPr>
          <w:i/>
          <w:spacing w:val="-8"/>
          <w:sz w:val="22"/>
        </w:rPr>
        <w:t> </w:t>
      </w:r>
      <w:r>
        <w:rPr>
          <w:i/>
          <w:sz w:val="22"/>
        </w:rPr>
        <w:t>espacial</w:t>
      </w:r>
      <w:r>
        <w:rPr>
          <w:i/>
          <w:spacing w:val="-3"/>
          <w:sz w:val="22"/>
        </w:rPr>
        <w:t> </w:t>
      </w:r>
      <w:r>
        <w:rPr>
          <w:i/>
          <w:sz w:val="22"/>
        </w:rPr>
        <w:t>internacional</w:t>
        <w:tab/>
        <w:t>(5)</w:t>
      </w:r>
    </w:p>
    <w:p>
      <w:pPr>
        <w:pStyle w:val="BodyText"/>
        <w:rPr>
          <w:i/>
          <w:sz w:val="28"/>
        </w:rPr>
      </w:pPr>
    </w:p>
    <w:p>
      <w:pPr>
        <w:spacing w:after="0"/>
        <w:rPr>
          <w:sz w:val="28"/>
        </w:rPr>
        <w:sectPr>
          <w:pgSz w:w="12240" w:h="15840"/>
          <w:pgMar w:top="1360" w:bottom="280" w:left="1600" w:right="1600"/>
        </w:sectPr>
      </w:pPr>
    </w:p>
    <w:p>
      <w:pPr>
        <w:pStyle w:val="BodyText"/>
        <w:spacing w:before="2"/>
        <w:rPr>
          <w:i/>
          <w:sz w:val="20"/>
        </w:rPr>
      </w:pPr>
    </w:p>
    <w:p>
      <w:pPr>
        <w:pStyle w:val="BodyText"/>
        <w:spacing w:line="186" w:lineRule="exact"/>
        <w:jc w:val="right"/>
        <w:rPr>
          <w:rFonts w:ascii="Cambria Math" w:eastAsia="Cambria Math"/>
        </w:rPr>
      </w:pPr>
      <w:r>
        <w:rPr/>
        <w:pict>
          <v:line style="position:absolute;mso-position-horizontal-relative:page;mso-position-vertical-relative:paragraph;z-index:-19216" from="294.577148pt,7.333813pt" to="314.332364pt,7.333813pt" stroked="true" strokeweight=".719629pt" strokecolor="#000000">
            <w10:wrap type="none"/>
          </v:line>
        </w:pict>
      </w:r>
      <w:r>
        <w:rPr>
          <w:rFonts w:ascii="Cambria Math" w:eastAsia="Cambria Math"/>
          <w:w w:val="90"/>
        </w:rPr>
        <w:t>���, � =</w:t>
      </w:r>
      <w:r>
        <w:rPr>
          <w:rFonts w:ascii="Cambria Math" w:eastAsia="Cambria Math"/>
        </w:rPr>
        <w:t> </w:t>
      </w:r>
      <w:r>
        <w:rPr>
          <w:rFonts w:ascii="Cambria Math" w:eastAsia="Cambria Math"/>
          <w:w w:val="224"/>
        </w:rPr>
        <w:t> </w:t>
      </w:r>
    </w:p>
    <w:p>
      <w:pPr>
        <w:spacing w:before="63"/>
        <w:ind w:left="23" w:right="-166" w:firstLine="0"/>
        <w:jc w:val="left"/>
        <w:rPr>
          <w:rFonts w:ascii="Cambria Math" w:eastAsia="Cambria Math"/>
          <w:sz w:val="22"/>
        </w:rPr>
      </w:pPr>
      <w:r>
        <w:rPr/>
        <w:br w:type="column"/>
      </w:r>
      <w:r>
        <w:rPr>
          <w:rFonts w:ascii="Cambria Math" w:eastAsia="Cambria Math"/>
          <w:spacing w:val="-3"/>
          <w:w w:val="100"/>
          <w:sz w:val="22"/>
        </w:rPr>
        <w:t>𝑃</w:t>
      </w:r>
      <w:r>
        <w:rPr>
          <w:rFonts w:ascii="Cambria Math" w:eastAsia="Cambria Math"/>
          <w:w w:val="84"/>
          <w:sz w:val="22"/>
        </w:rPr>
        <w:t>�</w:t>
      </w:r>
    </w:p>
    <w:p>
      <w:pPr>
        <w:pStyle w:val="BodyText"/>
        <w:spacing w:before="9"/>
        <w:rPr>
          <w:rFonts w:ascii="Cambria Math"/>
          <w:sz w:val="19"/>
        </w:rPr>
      </w:pPr>
      <w:r>
        <w:rPr/>
        <w:br w:type="column"/>
      </w:r>
      <w:r>
        <w:rPr>
          <w:rFonts w:ascii="Cambria Math"/>
          <w:sz w:val="19"/>
        </w:rPr>
      </w:r>
    </w:p>
    <w:p>
      <w:pPr>
        <w:pStyle w:val="BodyText"/>
        <w:spacing w:line="186" w:lineRule="exact"/>
        <w:ind w:left="35"/>
        <w:rPr>
          <w:rFonts w:ascii="Cambria Math"/>
        </w:rPr>
      </w:pPr>
      <w:r>
        <w:rPr/>
        <w:pict>
          <v:line style="position:absolute;mso-position-horizontal-relative:page;mso-position-vertical-relative:paragraph;z-index:-19192" from="339.472839pt,7.333797pt" to="359.108471pt,7.333797pt" stroked="true" strokeweight=".719629pt" strokecolor="#000000">
            <w10:wrap type="none"/>
          </v:line>
        </w:pict>
      </w:r>
      <w:r>
        <w:rPr>
          <w:rFonts w:ascii="Cambria Math"/>
          <w:w w:val="224"/>
        </w:rPr>
        <w:t> </w:t>
      </w:r>
      <w:r>
        <w:rPr>
          <w:rFonts w:ascii="Cambria Math"/>
        </w:rPr>
        <w:t> = </w:t>
      </w:r>
      <w:r>
        <w:rPr>
          <w:rFonts w:ascii="Cambria Math"/>
          <w:w w:val="224"/>
        </w:rPr>
        <w:t> </w:t>
      </w:r>
    </w:p>
    <w:p>
      <w:pPr>
        <w:spacing w:before="63"/>
        <w:ind w:left="25" w:right="0" w:firstLine="0"/>
        <w:jc w:val="left"/>
        <w:rPr>
          <w:rFonts w:ascii="Cambria Math" w:eastAsia="Cambria Math"/>
          <w:sz w:val="22"/>
        </w:rPr>
      </w:pPr>
      <w:r>
        <w:rPr/>
        <w:br w:type="column"/>
      </w:r>
      <w:r>
        <w:rPr>
          <w:rFonts w:ascii="Cambria Math" w:eastAsia="Cambria Math"/>
          <w:sz w:val="22"/>
        </w:rPr>
        <w:t>𝑃�</w:t>
      </w:r>
    </w:p>
    <w:p>
      <w:pPr>
        <w:spacing w:after="0"/>
        <w:jc w:val="left"/>
        <w:rPr>
          <w:rFonts w:ascii="Cambria Math" w:eastAsia="Cambria Math"/>
          <w:sz w:val="22"/>
        </w:rPr>
        <w:sectPr>
          <w:type w:val="continuous"/>
          <w:pgSz w:w="12240" w:h="15840"/>
          <w:pgMar w:top="1420" w:bottom="280" w:left="1600" w:right="1600"/>
          <w:cols w:num="4" w:equalWidth="0">
            <w:col w:w="4293" w:space="40"/>
            <w:col w:w="282" w:space="40"/>
            <w:col w:w="537" w:space="40"/>
            <w:col w:w="3808"/>
          </w:cols>
        </w:sectPr>
      </w:pPr>
    </w:p>
    <w:p>
      <w:pPr>
        <w:pStyle w:val="BodyText"/>
        <w:tabs>
          <w:tab w:pos="1733" w:val="left" w:leader="none"/>
        </w:tabs>
        <w:spacing w:line="221" w:lineRule="exact"/>
        <w:ind w:left="836"/>
        <w:jc w:val="center"/>
        <w:rPr>
          <w:rFonts w:ascii="Cambria Math" w:eastAsia="Cambria Math"/>
        </w:rPr>
      </w:pPr>
      <w:r>
        <w:rPr>
          <w:rFonts w:ascii="Cambria Math" w:eastAsia="Cambria Math"/>
        </w:rPr>
        <w:t>��2</w:t>
        <w:tab/>
        <w:t>��2</w:t>
      </w:r>
    </w:p>
    <w:p>
      <w:pPr>
        <w:pStyle w:val="BodyText"/>
        <w:rPr>
          <w:rFonts w:ascii="Cambria Math"/>
          <w:sz w:val="20"/>
        </w:rPr>
      </w:pPr>
    </w:p>
    <w:p>
      <w:pPr>
        <w:pStyle w:val="BodyText"/>
        <w:spacing w:before="8"/>
        <w:rPr>
          <w:rFonts w:ascii="Cambria Math"/>
          <w:sz w:val="19"/>
        </w:rPr>
      </w:pPr>
    </w:p>
    <w:p>
      <w:pPr>
        <w:pStyle w:val="BodyText"/>
        <w:tabs>
          <w:tab w:pos="1180" w:val="left" w:leader="none"/>
        </w:tabs>
        <w:spacing w:line="213" w:lineRule="exact" w:before="63"/>
        <w:ind w:left="664"/>
        <w:jc w:val="center"/>
        <w:rPr>
          <w:rFonts w:ascii="Cambria Math" w:eastAsia="Cambria Math"/>
        </w:rPr>
      </w:pPr>
      <w:r>
        <w:rPr>
          <w:rFonts w:ascii="Cambria Math" w:eastAsia="Cambria Math"/>
          <w:spacing w:val="-50"/>
          <w:w w:val="95"/>
        </w:rPr>
        <w:t>𝑃�</w:t>
        <w:tab/>
      </w:r>
      <w:r>
        <w:rPr>
          <w:rFonts w:ascii="Cambria Math" w:eastAsia="Cambria Math"/>
        </w:rPr>
        <w:t>��</w:t>
      </w:r>
    </w:p>
    <w:p>
      <w:pPr>
        <w:pStyle w:val="BodyText"/>
        <w:tabs>
          <w:tab w:pos="1207" w:val="left" w:leader="none"/>
          <w:tab w:pos="1716" w:val="left" w:leader="none"/>
        </w:tabs>
        <w:spacing w:line="159" w:lineRule="exact"/>
        <w:ind w:right="1"/>
        <w:jc w:val="center"/>
        <w:rPr>
          <w:rFonts w:ascii="Cambria Math" w:eastAsia="Cambria Math"/>
        </w:rPr>
      </w:pPr>
      <w:r>
        <w:rPr/>
        <w:pict>
          <v:line style="position:absolute;mso-position-horizontal-relative:page;mso-position-vertical-relative:paragraph;z-index:-19168" from="303.582336pt,5.095584pt" to="316.721373pt,5.095584pt" stroked="true" strokeweight=".719625pt" strokecolor="#000000">
            <w10:wrap type="none"/>
          </v:line>
        </w:pict>
      </w:r>
      <w:r>
        <w:rPr/>
        <w:pict>
          <v:line style="position:absolute;mso-position-horizontal-relative:page;mso-position-vertical-relative:paragraph;z-index:-19144" from="329.406525pt,5.095589pt" to="342.067778pt,5.095589pt" stroked="true" strokeweight=".719625pt" strokecolor="#000000">
            <w10:wrap type="none"/>
          </v:line>
        </w:pict>
      </w:r>
      <w:r>
        <w:rPr>
          <w:rFonts w:ascii="Cambria Math" w:eastAsia="Cambria Math"/>
        </w:rPr>
        <w:t>���,</w:t>
      </w:r>
      <w:r>
        <w:rPr>
          <w:rFonts w:ascii="Cambria Math" w:eastAsia="Cambria Math"/>
          <w:spacing w:val="-19"/>
        </w:rPr>
        <w:t> </w:t>
      </w:r>
      <w:r>
        <w:rPr>
          <w:rFonts w:ascii="Cambria Math" w:eastAsia="Cambria Math"/>
        </w:rPr>
        <w:t>�</w:t>
      </w:r>
      <w:r>
        <w:rPr>
          <w:rFonts w:ascii="Cambria Math" w:eastAsia="Cambria Math"/>
          <w:spacing w:val="4"/>
        </w:rPr>
        <w:t> </w:t>
      </w:r>
      <w:r>
        <w:rPr>
          <w:rFonts w:ascii="Cambria Math" w:eastAsia="Cambria Math"/>
        </w:rPr>
        <w:t>=</w:t>
        <w:tab/>
        <w:tab/>
        <w:t>2</w:t>
      </w:r>
    </w:p>
    <w:p>
      <w:pPr>
        <w:pStyle w:val="BodyText"/>
        <w:tabs>
          <w:tab w:pos="1184" w:val="left" w:leader="none"/>
        </w:tabs>
        <w:spacing w:line="204" w:lineRule="exact"/>
        <w:ind w:left="670"/>
        <w:jc w:val="center"/>
        <w:rPr>
          <w:rFonts w:ascii="Cambria Math" w:eastAsia="Cambria Math"/>
        </w:rPr>
      </w:pPr>
      <w:r>
        <w:rPr>
          <w:rFonts w:ascii="Cambria Math" w:eastAsia="Cambria Math"/>
          <w:spacing w:val="-49"/>
          <w:w w:val="90"/>
        </w:rPr>
        <w:t>𝑃�</w:t>
        <w:tab/>
      </w:r>
      <w:r>
        <w:rPr>
          <w:rFonts w:ascii="Cambria Math" w:eastAsia="Cambria Math"/>
        </w:rPr>
        <w:t>��</w:t>
      </w:r>
    </w:p>
    <w:p>
      <w:pPr>
        <w:pStyle w:val="BodyText"/>
        <w:rPr>
          <w:rFonts w:ascii="Cambria Math"/>
          <w:sz w:val="20"/>
        </w:rPr>
      </w:pPr>
    </w:p>
    <w:p>
      <w:pPr>
        <w:pStyle w:val="BodyText"/>
        <w:spacing w:before="10"/>
        <w:rPr>
          <w:rFonts w:ascii="Cambria Math"/>
          <w:sz w:val="20"/>
        </w:rPr>
      </w:pPr>
    </w:p>
    <w:p>
      <w:pPr>
        <w:pStyle w:val="BodyText"/>
        <w:spacing w:before="73"/>
        <w:ind w:left="102"/>
        <w:jc w:val="both"/>
      </w:pPr>
      <w:r>
        <w:rPr/>
        <w:t>Donde:</w:t>
      </w:r>
    </w:p>
    <w:p>
      <w:pPr>
        <w:pStyle w:val="BodyText"/>
      </w:pPr>
    </w:p>
    <w:p>
      <w:pPr>
        <w:pStyle w:val="BodyText"/>
        <w:spacing w:before="161"/>
        <w:ind w:left="102"/>
        <w:jc w:val="both"/>
      </w:pPr>
      <w:r>
        <w:rPr/>
        <w:t>a: Parque industrial.</w:t>
      </w:r>
    </w:p>
    <w:p>
      <w:pPr>
        <w:pStyle w:val="BodyText"/>
      </w:pPr>
    </w:p>
    <w:p>
      <w:pPr>
        <w:pStyle w:val="BodyText"/>
        <w:spacing w:before="159"/>
        <w:ind w:left="102"/>
        <w:jc w:val="both"/>
      </w:pPr>
      <w:r>
        <w:rPr/>
        <w:t>b: Espacio (que puede ser un mercado o país).</w:t>
      </w:r>
    </w:p>
    <w:p>
      <w:pPr>
        <w:pStyle w:val="BodyText"/>
      </w:pPr>
    </w:p>
    <w:p>
      <w:pPr>
        <w:pStyle w:val="BodyText"/>
        <w:spacing w:line="631" w:lineRule="auto" w:before="161"/>
        <w:ind w:left="102" w:right="288"/>
      </w:pPr>
      <w:r>
        <w:rPr/>
        <w:t>P: Unidades del servicio o infraestructura (puertos, aeropuertos) existente en el país b. D: Distancia entre a y b.</w:t>
      </w:r>
    </w:p>
    <w:p>
      <w:pPr>
        <w:pStyle w:val="BodyText"/>
        <w:spacing w:before="13"/>
        <w:ind w:left="102"/>
        <w:jc w:val="both"/>
      </w:pPr>
      <w:r>
        <w:rPr/>
        <w:t>Con los siguientes rangos:</w:t>
      </w:r>
    </w:p>
    <w:p>
      <w:pPr>
        <w:pStyle w:val="BodyText"/>
      </w:pPr>
    </w:p>
    <w:p>
      <w:pPr>
        <w:pStyle w:val="BodyText"/>
        <w:spacing w:line="631" w:lineRule="auto" w:before="159"/>
        <w:ind w:left="102" w:right="4842"/>
        <w:jc w:val="both"/>
      </w:pPr>
      <w:r>
        <w:rPr/>
        <w:t>IE=1. Interacción internacional necesaria. IE&lt;1. La interacción internacional es baja. IE&gt;1. La interacción internacional es alta.</w:t>
      </w:r>
    </w:p>
    <w:p>
      <w:pPr>
        <w:spacing w:after="0" w:line="631" w:lineRule="auto"/>
        <w:jc w:val="both"/>
        <w:sectPr>
          <w:type w:val="continuous"/>
          <w:pgSz w:w="12240" w:h="15840"/>
          <w:pgMar w:top="1420" w:bottom="280" w:left="1600" w:right="1600"/>
        </w:sectPr>
      </w:pPr>
    </w:p>
    <w:p>
      <w:pPr>
        <w:pStyle w:val="BodyText"/>
        <w:spacing w:line="480" w:lineRule="auto" w:before="54"/>
        <w:ind w:left="102" w:right="119"/>
        <w:jc w:val="both"/>
      </w:pPr>
      <w:r>
        <w:rPr/>
        <w:t>Una vez conocido el comportamiento de cada una de las variables a través de su índice respectivo, es posible determinar la presencia y nivel de sustentabilidad de la producción de los parques industriales a través de la siguiente expresión:</w:t>
      </w:r>
    </w:p>
    <w:p>
      <w:pPr>
        <w:pStyle w:val="BodyText"/>
      </w:pPr>
    </w:p>
    <w:p>
      <w:pPr>
        <w:pStyle w:val="BodyText"/>
      </w:pPr>
    </w:p>
    <w:p>
      <w:pPr>
        <w:pStyle w:val="BodyText"/>
        <w:spacing w:before="2"/>
        <w:rPr>
          <w:sz w:val="28"/>
        </w:rPr>
      </w:pPr>
    </w:p>
    <w:p>
      <w:pPr>
        <w:pStyle w:val="BodyText"/>
        <w:ind w:left="202" w:right="235"/>
        <w:jc w:val="center"/>
        <w:rPr>
          <w:rFonts w:ascii="Cambria Math" w:hAnsi="Cambria Math" w:eastAsia="Cambria Math"/>
        </w:rPr>
      </w:pPr>
      <w:r>
        <w:rPr>
          <w:rFonts w:ascii="Cambria Math" w:hAnsi="Cambria Math" w:eastAsia="Cambria Math"/>
          <w:w w:val="92"/>
        </w:rPr>
        <w:t>�</w:t>
      </w:r>
      <w:r>
        <w:rPr>
          <w:rFonts w:ascii="Cambria Math" w:hAnsi="Cambria Math" w:eastAsia="Cambria Math"/>
          <w:w w:val="81"/>
        </w:rPr>
        <w:t>�</w:t>
      </w:r>
      <w:r>
        <w:rPr>
          <w:rFonts w:ascii="Cambria Math" w:hAnsi="Cambria Math" w:eastAsia="Cambria Math"/>
          <w:w w:val="48"/>
        </w:rPr>
        <w:t>�</w:t>
      </w:r>
      <w:r>
        <w:rPr>
          <w:rFonts w:ascii="Cambria Math" w:hAnsi="Cambria Math" w:eastAsia="Cambria Math"/>
          <w:w w:val="55"/>
        </w:rPr>
        <w:t>�</w:t>
      </w:r>
      <w:r>
        <w:rPr>
          <w:rFonts w:ascii="Cambria Math" w:hAnsi="Cambria Math" w:eastAsia="Cambria Math"/>
        </w:rPr>
        <w:t> </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0+</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1</w:t>
      </w:r>
      <w:r>
        <w:rPr>
          <w:rFonts w:ascii="Cambria Math" w:hAnsi="Cambria Math" w:eastAsia="Cambria Math"/>
          <w:w w:val="91"/>
        </w:rPr>
        <w:t>�</w:t>
      </w:r>
      <w:r>
        <w:rPr>
          <w:rFonts w:ascii="Cambria Math" w:hAnsi="Cambria Math" w:eastAsia="Cambria Math"/>
          <w:w w:val="101"/>
        </w:rPr>
        <w:t>𝐺</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2</w:t>
      </w:r>
      <w:r>
        <w:rPr>
          <w:rFonts w:ascii="Cambria Math" w:hAnsi="Cambria Math" w:eastAsia="Cambria Math"/>
          <w:w w:val="95"/>
        </w:rPr>
        <w:t>�</w:t>
      </w:r>
      <w:r>
        <w:rPr>
          <w:rFonts w:ascii="Cambria Math" w:hAnsi="Cambria Math" w:eastAsia="Cambria Math"/>
          <w:w w:val="58"/>
        </w:rPr>
        <w:t>�</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3</w:t>
      </w:r>
      <w:r>
        <w:rPr>
          <w:rFonts w:ascii="Cambria Math" w:hAnsi="Cambria Math" w:eastAsia="Cambria Math"/>
          <w:w w:val="58"/>
        </w:rPr>
        <w:t>�</w:t>
      </w:r>
      <w:r>
        <w:rPr>
          <w:rFonts w:ascii="Cambria Math" w:hAnsi="Cambria Math" w:eastAsia="Cambria Math"/>
          <w:w w:val="100"/>
        </w:rPr>
        <w:t>𝐴</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4</w:t>
      </w:r>
      <w:r>
        <w:rPr>
          <w:rFonts w:ascii="Cambria Math" w:hAnsi="Cambria Math" w:eastAsia="Cambria Math"/>
          <w:w w:val="91"/>
        </w:rPr>
        <w:t>�</w:t>
      </w:r>
      <w:r>
        <w:rPr>
          <w:rFonts w:ascii="Cambria Math" w:hAnsi="Cambria Math" w:eastAsia="Cambria Math"/>
          <w:w w:val="91"/>
        </w:rPr>
        <w:t>�</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5</w:t>
      </w:r>
      <w:r>
        <w:rPr>
          <w:rFonts w:ascii="Cambria Math" w:hAnsi="Cambria Math" w:eastAsia="Cambria Math"/>
          <w:w w:val="81"/>
        </w:rPr>
        <w:t>�</w:t>
      </w:r>
      <w:r>
        <w:rPr>
          <w:rFonts w:ascii="Cambria Math" w:hAnsi="Cambria Math" w:eastAsia="Cambria Math"/>
          <w:w w:val="100"/>
        </w:rPr>
        <w:t>𝑃</w:t>
      </w:r>
      <w:r>
        <w:rPr>
          <w:rFonts w:ascii="Cambria Math" w:hAnsi="Cambria Math" w:eastAsia="Cambria Math"/>
          <w:w w:val="58"/>
        </w:rPr>
        <w:t>�</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6</w:t>
      </w:r>
      <w:r>
        <w:rPr>
          <w:rFonts w:ascii="Cambria Math" w:hAnsi="Cambria Math" w:eastAsia="Cambria Math"/>
          <w:w w:val="58"/>
        </w:rPr>
        <w:t>�</w:t>
      </w:r>
      <w:r>
        <w:rPr>
          <w:rFonts w:ascii="Cambria Math" w:hAnsi="Cambria Math" w:eastAsia="Cambria Math"/>
          <w:w w:val="95"/>
        </w:rPr>
        <w:t>�</w:t>
      </w:r>
      <w:r>
        <w:rPr>
          <w:rFonts w:ascii="Cambria Math" w:hAnsi="Cambria Math" w:eastAsia="Cambria Math"/>
          <w:w w:val="128"/>
        </w:rPr>
        <w:t>�</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7</w:t>
      </w:r>
      <w:r>
        <w:rPr>
          <w:rFonts w:ascii="Cambria Math" w:hAnsi="Cambria Math" w:eastAsia="Cambria Math"/>
          <w:w w:val="58"/>
        </w:rPr>
        <w:t>�</w:t>
      </w:r>
      <w:r>
        <w:rPr>
          <w:rFonts w:ascii="Cambria Math" w:hAnsi="Cambria Math" w:eastAsia="Cambria Math"/>
          <w:w w:val="97"/>
        </w:rPr>
        <w:t>�</w:t>
      </w:r>
      <w:r>
        <w:rPr>
          <w:rFonts w:ascii="Cambria Math" w:hAnsi="Cambria Math" w:eastAsia="Cambria Math"/>
          <w:w w:val="101"/>
        </w:rPr>
        <w:t>+</w:t>
      </w:r>
      <w:r>
        <w:rPr>
          <w:rFonts w:ascii="Cambria Math" w:hAnsi="Cambria Math" w:eastAsia="Cambria Math"/>
          <w:w w:val="101"/>
        </w:rPr>
        <w:t>∝</w:t>
      </w:r>
      <w:r>
        <w:rPr>
          <w:rFonts w:ascii="Cambria Math" w:hAnsi="Cambria Math" w:eastAsia="Cambria Math"/>
        </w:rPr>
        <w:t> </w:t>
      </w:r>
      <w:r>
        <w:rPr>
          <w:rFonts w:ascii="Cambria Math" w:hAnsi="Cambria Math" w:eastAsia="Cambria Math"/>
          <w:w w:val="101"/>
        </w:rPr>
        <w:t>8</w:t>
      </w:r>
      <w:r>
        <w:rPr>
          <w:rFonts w:ascii="Cambria Math" w:hAnsi="Cambria Math" w:eastAsia="Cambria Math"/>
          <w:w w:val="58"/>
        </w:rPr>
        <w:t>��</w:t>
      </w:r>
      <w:r>
        <w:rPr>
          <w:rFonts w:ascii="Cambria Math" w:hAnsi="Cambria Math" w:eastAsia="Cambria Math"/>
        </w:rPr>
        <w:t> </w:t>
      </w:r>
      <w:r>
        <w:rPr>
          <w:rFonts w:ascii="Cambria Math" w:hAnsi="Cambria Math" w:eastAsia="Cambria Math"/>
          <w:w w:val="101"/>
        </w:rPr>
        <w:t>+</w:t>
      </w:r>
      <w:r>
        <w:rPr>
          <w:rFonts w:ascii="Cambria Math" w:hAnsi="Cambria Math" w:eastAsia="Cambria Math"/>
        </w:rPr>
        <w:t> ��</w:t>
      </w:r>
    </w:p>
    <w:p>
      <w:pPr>
        <w:pStyle w:val="BodyText"/>
        <w:rPr>
          <w:rFonts w:ascii="Cambria Math"/>
        </w:rPr>
      </w:pPr>
    </w:p>
    <w:p>
      <w:pPr>
        <w:spacing w:before="176"/>
        <w:ind w:left="3434" w:right="3448" w:firstLine="0"/>
        <w:jc w:val="center"/>
        <w:rPr>
          <w:i/>
          <w:sz w:val="22"/>
        </w:rPr>
      </w:pPr>
      <w:r>
        <w:rPr>
          <w:i/>
          <w:sz w:val="22"/>
        </w:rPr>
        <w:t>(6)</w:t>
      </w:r>
    </w:p>
    <w:p>
      <w:pPr>
        <w:pStyle w:val="BodyText"/>
        <w:spacing w:before="8"/>
        <w:rPr>
          <w:i/>
          <w:sz w:val="27"/>
        </w:rPr>
      </w:pPr>
    </w:p>
    <w:p>
      <w:pPr>
        <w:spacing w:before="74"/>
        <w:ind w:left="36" w:right="0" w:firstLine="0"/>
        <w:jc w:val="center"/>
        <w:rPr>
          <w:rFonts w:ascii="Cambria Math"/>
          <w:sz w:val="16"/>
        </w:rPr>
      </w:pPr>
      <w:r>
        <w:rPr>
          <w:rFonts w:ascii="Cambria Math"/>
          <w:w w:val="105"/>
          <w:sz w:val="16"/>
        </w:rPr>
        <w:t>7</w:t>
      </w:r>
    </w:p>
    <w:p>
      <w:pPr>
        <w:pStyle w:val="BodyText"/>
        <w:spacing w:before="82"/>
        <w:ind w:left="3434" w:right="3452"/>
        <w:jc w:val="center"/>
        <w:rPr>
          <w:rFonts w:ascii="Cambria Math" w:hAnsi="Cambria Math" w:eastAsia="Cambria Math"/>
        </w:rPr>
      </w:pPr>
      <w:r>
        <w:rPr>
          <w:rFonts w:ascii="Cambria Math" w:hAnsi="Cambria Math" w:eastAsia="Cambria Math"/>
          <w:w w:val="90"/>
        </w:rPr>
        <w:t>���� </w:t>
      </w:r>
      <w:r>
        <w:rPr>
          <w:rFonts w:ascii="Cambria Math" w:hAnsi="Cambria Math" w:eastAsia="Cambria Math"/>
          <w:w w:val="110"/>
        </w:rPr>
        <w:t>= </w:t>
      </w:r>
      <w:r>
        <w:rPr>
          <w:rFonts w:ascii="Cambria Math" w:hAnsi="Cambria Math" w:eastAsia="Cambria Math"/>
          <w:w w:val="120"/>
        </w:rPr>
        <w:t>∑ </w:t>
      </w:r>
      <w:r>
        <w:rPr>
          <w:rFonts w:ascii="Cambria Math" w:hAnsi="Cambria Math" w:eastAsia="Cambria Math"/>
          <w:w w:val="110"/>
        </w:rPr>
        <w:t>∝ </w:t>
      </w:r>
      <w:r>
        <w:rPr>
          <w:rFonts w:ascii="Cambria Math" w:hAnsi="Cambria Math" w:eastAsia="Cambria Math"/>
          <w:w w:val="90"/>
        </w:rPr>
        <w:t>���</w:t>
      </w:r>
    </w:p>
    <w:p>
      <w:pPr>
        <w:spacing w:before="82"/>
        <w:ind w:left="3434" w:right="3395" w:firstLine="0"/>
        <w:jc w:val="center"/>
        <w:rPr>
          <w:rFonts w:ascii="Cambria Math" w:eastAsia="Cambria Math"/>
          <w:sz w:val="16"/>
        </w:rPr>
      </w:pPr>
      <w:r>
        <w:rPr>
          <w:rFonts w:ascii="Cambria Math" w:eastAsia="Cambria Math"/>
          <w:w w:val="110"/>
          <w:sz w:val="16"/>
        </w:rPr>
        <w:t>𝑛=1</w:t>
      </w:r>
    </w:p>
    <w:p>
      <w:pPr>
        <w:pStyle w:val="BodyText"/>
        <w:rPr>
          <w:rFonts w:ascii="Cambria Math"/>
          <w:sz w:val="16"/>
        </w:rPr>
      </w:pPr>
    </w:p>
    <w:p>
      <w:pPr>
        <w:pStyle w:val="BodyText"/>
        <w:spacing w:before="6"/>
        <w:rPr>
          <w:rFonts w:ascii="Cambria Math"/>
          <w:sz w:val="16"/>
        </w:rPr>
      </w:pPr>
    </w:p>
    <w:p>
      <w:pPr>
        <w:pStyle w:val="BodyText"/>
        <w:spacing w:line="480" w:lineRule="auto" w:before="1"/>
        <w:ind w:left="102" w:right="116"/>
        <w:jc w:val="both"/>
      </w:pPr>
      <w:r>
        <w:rPr/>
        <w:t>A</w:t>
      </w:r>
      <w:r>
        <w:rPr>
          <w:spacing w:val="-14"/>
        </w:rPr>
        <w:t> </w:t>
      </w:r>
      <w:r>
        <w:rPr/>
        <w:t>partir</w:t>
      </w:r>
      <w:r>
        <w:rPr>
          <w:spacing w:val="-15"/>
        </w:rPr>
        <w:t> </w:t>
      </w:r>
      <w:r>
        <w:rPr/>
        <w:t>de</w:t>
      </w:r>
      <w:r>
        <w:rPr>
          <w:spacing w:val="-14"/>
        </w:rPr>
        <w:t> </w:t>
      </w:r>
      <w:r>
        <w:rPr/>
        <w:t>la</w:t>
      </w:r>
      <w:r>
        <w:rPr>
          <w:spacing w:val="-16"/>
        </w:rPr>
        <w:t> </w:t>
      </w:r>
      <w:r>
        <w:rPr/>
        <w:t>resultante,</w:t>
      </w:r>
      <w:r>
        <w:rPr>
          <w:spacing w:val="-15"/>
        </w:rPr>
        <w:t> </w:t>
      </w:r>
      <w:r>
        <w:rPr/>
        <w:t>si</w:t>
      </w:r>
      <w:r>
        <w:rPr>
          <w:spacing w:val="-14"/>
        </w:rPr>
        <w:t> </w:t>
      </w:r>
      <w:r>
        <w:rPr/>
        <w:t>el</w:t>
      </w:r>
      <w:r>
        <w:rPr>
          <w:spacing w:val="-15"/>
        </w:rPr>
        <w:t> </w:t>
      </w:r>
      <w:r>
        <w:rPr/>
        <w:t>índice</w:t>
      </w:r>
      <w:r>
        <w:rPr>
          <w:spacing w:val="-13"/>
        </w:rPr>
        <w:t> </w:t>
      </w:r>
      <w:r>
        <w:rPr/>
        <w:t>es</w:t>
      </w:r>
      <w:r>
        <w:rPr>
          <w:spacing w:val="-13"/>
        </w:rPr>
        <w:t> </w:t>
      </w:r>
      <w:r>
        <w:rPr/>
        <w:t>igual</w:t>
      </w:r>
      <w:r>
        <w:rPr>
          <w:spacing w:val="-14"/>
        </w:rPr>
        <w:t> </w:t>
      </w:r>
      <w:r>
        <w:rPr/>
        <w:t>o</w:t>
      </w:r>
      <w:r>
        <w:rPr>
          <w:spacing w:val="-16"/>
        </w:rPr>
        <w:t> </w:t>
      </w:r>
      <w:r>
        <w:rPr/>
        <w:t>mayor</w:t>
      </w:r>
      <w:r>
        <w:rPr>
          <w:spacing w:val="-13"/>
        </w:rPr>
        <w:t> </w:t>
      </w:r>
      <w:r>
        <w:rPr/>
        <w:t>a</w:t>
      </w:r>
      <w:r>
        <w:rPr>
          <w:spacing w:val="-13"/>
        </w:rPr>
        <w:t> </w:t>
      </w:r>
      <w:r>
        <w:rPr/>
        <w:t>la</w:t>
      </w:r>
      <w:r>
        <w:rPr>
          <w:spacing w:val="-13"/>
        </w:rPr>
        <w:t> </w:t>
      </w:r>
      <w:r>
        <w:rPr/>
        <w:t>unidad,</w:t>
      </w:r>
      <w:r>
        <w:rPr>
          <w:spacing w:val="-12"/>
        </w:rPr>
        <w:t> </w:t>
      </w:r>
      <w:r>
        <w:rPr/>
        <w:t>implica</w:t>
      </w:r>
      <w:r>
        <w:rPr>
          <w:spacing w:val="-16"/>
        </w:rPr>
        <w:t> </w:t>
      </w:r>
      <w:r>
        <w:rPr/>
        <w:t>que</w:t>
      </w:r>
      <w:r>
        <w:rPr>
          <w:spacing w:val="-13"/>
        </w:rPr>
        <w:t> </w:t>
      </w:r>
      <w:r>
        <w:rPr/>
        <w:t>las</w:t>
      </w:r>
      <w:r>
        <w:rPr>
          <w:spacing w:val="-13"/>
        </w:rPr>
        <w:t> </w:t>
      </w:r>
      <w:r>
        <w:rPr/>
        <w:t>condiciones internas y externas existentes en los parques industriales son las adecuadas, no sólo para propiciar el funcionamiento de las empresas en dichos espacios, sino que sus condiciones favorecen una menor presión al ambiente. En caso contrario, un índice menor, infiere que algunos de los requerimientos no cumplen con las características que demandan las empresas para operar</w:t>
      </w:r>
      <w:r>
        <w:rPr>
          <w:spacing w:val="-10"/>
        </w:rPr>
        <w:t> </w:t>
      </w:r>
      <w:r>
        <w:rPr/>
        <w:t>eficientemente.</w:t>
      </w:r>
    </w:p>
    <w:p>
      <w:pPr>
        <w:pStyle w:val="Heading2"/>
        <w:spacing w:before="163"/>
      </w:pPr>
      <w:r>
        <w:rPr/>
        <w:t>CONCLUSIONES</w:t>
      </w:r>
    </w:p>
    <w:p>
      <w:pPr>
        <w:pStyle w:val="BodyText"/>
        <w:rPr>
          <w:b/>
        </w:rPr>
      </w:pPr>
    </w:p>
    <w:p>
      <w:pPr>
        <w:pStyle w:val="BodyText"/>
        <w:spacing w:line="480" w:lineRule="auto" w:before="163"/>
        <w:ind w:left="102" w:right="115"/>
        <w:jc w:val="both"/>
      </w:pPr>
      <w:r>
        <w:rPr/>
        <w:t>La agrupación de empresas en forma de parques industriales, no sólo contribuyen a disminuir la presión ambiental, sino incide favorablemente en el desarrollo de la localidad</w:t>
      </w:r>
      <w:r>
        <w:rPr>
          <w:spacing w:val="-40"/>
        </w:rPr>
        <w:t> </w:t>
      </w:r>
      <w:r>
        <w:rPr/>
        <w:t>y región donde están establecidas. Desde esta perspectiva, dicha agrupación empresarial, sigue considerándose como uno de los principales instrumentos, en términos de costos y efectividad</w:t>
      </w:r>
      <w:r>
        <w:rPr>
          <w:spacing w:val="-4"/>
        </w:rPr>
        <w:t> </w:t>
      </w:r>
      <w:r>
        <w:rPr/>
        <w:t>para</w:t>
      </w:r>
      <w:r>
        <w:rPr>
          <w:spacing w:val="-4"/>
        </w:rPr>
        <w:t> </w:t>
      </w:r>
      <w:r>
        <w:rPr/>
        <w:t>promover</w:t>
      </w:r>
      <w:r>
        <w:rPr>
          <w:spacing w:val="-3"/>
        </w:rPr>
        <w:t> </w:t>
      </w:r>
      <w:r>
        <w:rPr/>
        <w:t>la</w:t>
      </w:r>
      <w:r>
        <w:rPr>
          <w:spacing w:val="-4"/>
        </w:rPr>
        <w:t> </w:t>
      </w:r>
      <w:r>
        <w:rPr/>
        <w:t>producción</w:t>
      </w:r>
      <w:r>
        <w:rPr>
          <w:spacing w:val="-4"/>
        </w:rPr>
        <w:t> </w:t>
      </w:r>
      <w:r>
        <w:rPr/>
        <w:t>sustentable</w:t>
      </w:r>
      <w:r>
        <w:rPr>
          <w:spacing w:val="-4"/>
        </w:rPr>
        <w:t> </w:t>
      </w:r>
      <w:r>
        <w:rPr/>
        <w:t>de</w:t>
      </w:r>
      <w:r>
        <w:rPr>
          <w:spacing w:val="-4"/>
        </w:rPr>
        <w:t> </w:t>
      </w:r>
      <w:r>
        <w:rPr/>
        <w:t>las</w:t>
      </w:r>
      <w:r>
        <w:rPr>
          <w:spacing w:val="-4"/>
        </w:rPr>
        <w:t> </w:t>
      </w:r>
      <w:r>
        <w:rPr/>
        <w:t>empresas</w:t>
      </w:r>
      <w:r>
        <w:rPr>
          <w:spacing w:val="-4"/>
        </w:rPr>
        <w:t> </w:t>
      </w:r>
      <w:r>
        <w:rPr/>
        <w:t>e</w:t>
      </w:r>
      <w:r>
        <w:rPr>
          <w:spacing w:val="-6"/>
        </w:rPr>
        <w:t> </w:t>
      </w:r>
      <w:r>
        <w:rPr/>
        <w:t>industria</w:t>
      </w:r>
      <w:r>
        <w:rPr>
          <w:spacing w:val="-4"/>
        </w:rPr>
        <w:t> </w:t>
      </w:r>
      <w:r>
        <w:rPr/>
        <w:t>en</w:t>
      </w:r>
      <w:r>
        <w:rPr>
          <w:spacing w:val="-7"/>
        </w:rPr>
        <w:t> </w:t>
      </w:r>
      <w:r>
        <w:rPr/>
        <w:t>países en proceso de industrialización, así como para fomentar la interacción económica de las regiones. Es claro que la funcionalidad de estos desarrollos empresariales depende de un conjunto</w:t>
      </w:r>
      <w:r>
        <w:rPr>
          <w:spacing w:val="-10"/>
        </w:rPr>
        <w:t> </w:t>
      </w:r>
      <w:r>
        <w:rPr/>
        <w:t>de</w:t>
      </w:r>
      <w:r>
        <w:rPr>
          <w:spacing w:val="-13"/>
        </w:rPr>
        <w:t> </w:t>
      </w:r>
      <w:r>
        <w:rPr/>
        <w:t>factores</w:t>
      </w:r>
      <w:r>
        <w:rPr>
          <w:spacing w:val="-10"/>
        </w:rPr>
        <w:t> </w:t>
      </w:r>
      <w:r>
        <w:rPr/>
        <w:t>internos</w:t>
      </w:r>
      <w:r>
        <w:rPr>
          <w:spacing w:val="-7"/>
        </w:rPr>
        <w:t> </w:t>
      </w:r>
      <w:r>
        <w:rPr/>
        <w:t>y</w:t>
      </w:r>
      <w:r>
        <w:rPr>
          <w:spacing w:val="-10"/>
        </w:rPr>
        <w:t> </w:t>
      </w:r>
      <w:r>
        <w:rPr/>
        <w:t>externos</w:t>
      </w:r>
      <w:r>
        <w:rPr>
          <w:spacing w:val="-12"/>
        </w:rPr>
        <w:t> </w:t>
      </w:r>
      <w:r>
        <w:rPr/>
        <w:t>que</w:t>
      </w:r>
      <w:r>
        <w:rPr>
          <w:spacing w:val="-10"/>
        </w:rPr>
        <w:t> </w:t>
      </w:r>
      <w:r>
        <w:rPr/>
        <w:t>determinan</w:t>
      </w:r>
      <w:r>
        <w:rPr>
          <w:spacing w:val="-8"/>
        </w:rPr>
        <w:t> </w:t>
      </w:r>
      <w:r>
        <w:rPr/>
        <w:t>su</w:t>
      </w:r>
      <w:r>
        <w:rPr>
          <w:spacing w:val="-10"/>
        </w:rPr>
        <w:t> </w:t>
      </w:r>
      <w:r>
        <w:rPr/>
        <w:t>desenvolvimiento,</w:t>
      </w:r>
      <w:r>
        <w:rPr>
          <w:spacing w:val="-9"/>
        </w:rPr>
        <w:t> </w:t>
      </w:r>
      <w:r>
        <w:rPr/>
        <w:t>por</w:t>
      </w:r>
      <w:r>
        <w:rPr>
          <w:spacing w:val="-9"/>
        </w:rPr>
        <w:t> </w:t>
      </w:r>
      <w:r>
        <w:rPr/>
        <w:t>lo</w:t>
      </w:r>
      <w:r>
        <w:rPr>
          <w:spacing w:val="-13"/>
        </w:rPr>
        <w:t> </w:t>
      </w:r>
      <w:r>
        <w:rPr/>
        <w:t>que</w:t>
      </w:r>
      <w:r>
        <w:rPr>
          <w:spacing w:val="-10"/>
        </w:rPr>
        <w:t> </w:t>
      </w:r>
      <w:r>
        <w:rPr/>
        <w:t>es</w:t>
      </w:r>
    </w:p>
    <w:p>
      <w:pPr>
        <w:spacing w:after="0" w:line="480" w:lineRule="auto"/>
        <w:jc w:val="both"/>
        <w:sectPr>
          <w:pgSz w:w="12240" w:h="15840"/>
          <w:pgMar w:top="1360" w:bottom="280" w:left="1600" w:right="1580"/>
        </w:sectPr>
      </w:pPr>
    </w:p>
    <w:p>
      <w:pPr>
        <w:pStyle w:val="BodyText"/>
        <w:spacing w:line="480" w:lineRule="auto" w:before="54"/>
        <w:ind w:left="102" w:right="115"/>
        <w:jc w:val="both"/>
      </w:pPr>
      <w:r>
        <w:rPr/>
        <w:t>de esperar que cuando algunos de estos no están disponibles en las condiciones necesarias, los logros serán mínimos frente a los altos niveles de inversión realizados, incluso</w:t>
      </w:r>
      <w:r>
        <w:rPr>
          <w:spacing w:val="-12"/>
        </w:rPr>
        <w:t> </w:t>
      </w:r>
      <w:r>
        <w:rPr/>
        <w:t>su</w:t>
      </w:r>
      <w:r>
        <w:rPr>
          <w:spacing w:val="-14"/>
        </w:rPr>
        <w:t> </w:t>
      </w:r>
      <w:r>
        <w:rPr/>
        <w:t>dinámica</w:t>
      </w:r>
      <w:r>
        <w:rPr>
          <w:spacing w:val="-14"/>
        </w:rPr>
        <w:t> </w:t>
      </w:r>
      <w:r>
        <w:rPr/>
        <w:t>contribuye</w:t>
      </w:r>
      <w:r>
        <w:rPr>
          <w:spacing w:val="-12"/>
        </w:rPr>
        <w:t> </w:t>
      </w:r>
      <w:r>
        <w:rPr/>
        <w:t>al</w:t>
      </w:r>
      <w:r>
        <w:rPr>
          <w:spacing w:val="-13"/>
        </w:rPr>
        <w:t> </w:t>
      </w:r>
      <w:r>
        <w:rPr/>
        <w:t>rápido</w:t>
      </w:r>
      <w:r>
        <w:rPr>
          <w:spacing w:val="-12"/>
        </w:rPr>
        <w:t> </w:t>
      </w:r>
      <w:r>
        <w:rPr/>
        <w:t>deterioro</w:t>
      </w:r>
      <w:r>
        <w:rPr>
          <w:spacing w:val="-13"/>
        </w:rPr>
        <w:t> </w:t>
      </w:r>
      <w:r>
        <w:rPr/>
        <w:t>ambiental,</w:t>
      </w:r>
      <w:r>
        <w:rPr>
          <w:spacing w:val="-13"/>
        </w:rPr>
        <w:t> </w:t>
      </w:r>
      <w:r>
        <w:rPr/>
        <w:t>al</w:t>
      </w:r>
      <w:r>
        <w:rPr>
          <w:spacing w:val="-15"/>
        </w:rPr>
        <w:t> </w:t>
      </w:r>
      <w:r>
        <w:rPr/>
        <w:t>agotamiento</w:t>
      </w:r>
      <w:r>
        <w:rPr>
          <w:spacing w:val="-9"/>
        </w:rPr>
        <w:t> </w:t>
      </w:r>
      <w:r>
        <w:rPr/>
        <w:t>de</w:t>
      </w:r>
      <w:r>
        <w:rPr>
          <w:spacing w:val="-14"/>
        </w:rPr>
        <w:t> </w:t>
      </w:r>
      <w:r>
        <w:rPr/>
        <w:t>los</w:t>
      </w:r>
      <w:r>
        <w:rPr>
          <w:spacing w:val="-14"/>
        </w:rPr>
        <w:t> </w:t>
      </w:r>
      <w:r>
        <w:rPr/>
        <w:t>recursos productivos y a la generación de desechos con diferentes grados de peligrosidad en volúmenes que van más allá de la capacidad de asimilación de la naturaleza. Por lo tanto, las condiciones referidas deben cubrir los requerimientos que demandan las empresas, no sólo para atraerlas, sino retenerlas y propiciar su pleno desenvolvimiento, buscando la generación de economías de escala, de aglomeración, de urbanización y sobre todo que puedan influir en mejorar la estructura productiva local y</w:t>
      </w:r>
      <w:r>
        <w:rPr>
          <w:spacing w:val="-18"/>
        </w:rPr>
        <w:t> </w:t>
      </w:r>
      <w:r>
        <w:rPr/>
        <w:t>regional.</w:t>
      </w:r>
    </w:p>
    <w:p>
      <w:pPr>
        <w:pStyle w:val="BodyText"/>
        <w:spacing w:line="480" w:lineRule="auto" w:before="166"/>
        <w:ind w:left="102" w:right="116"/>
        <w:jc w:val="both"/>
      </w:pPr>
      <w:r>
        <w:rPr/>
        <w:t>Para lograr este cometido, es fundamental la participación de las diferentes industrias y el conjunto de agentes económicos, para conformar eco-parques o parques eco-industriales, los cuales a diferencia de los parques industriales tradicionales, buscan promover la colaboración entre firmas para un mejor manejo de los subproductos o residuos medioambientales y energéticos con el fin de minimizar los impactos ambientales. Estos ambientes productivos, además de privilegiar el desempeño sustentable de las empresas, también incentivan la conformación de redes de cooperativas inter-firmas basados en la trasferencia de los diversos desechos materiales y energéticos para su reincorporación a diversos sistemas productivos, dando cabida a las oportunidades de intercambio con otras empresas para generar beneficios colectivos.</w:t>
      </w:r>
    </w:p>
    <w:p>
      <w:pPr>
        <w:pStyle w:val="BodyText"/>
        <w:spacing w:line="480" w:lineRule="auto" w:before="166"/>
        <w:ind w:left="102" w:right="119"/>
        <w:jc w:val="both"/>
      </w:pPr>
      <w:r>
        <w:rPr/>
        <w:t>El conjunto de variables e indicadores presentados, dan cuenta de la posibilidad no sólo para conocer las condiciones referidas, sino para determinar su influencia en la existencia de ambientes de producción sustentables, como alternativa para reducir la presión ambiental, buscando la estancia del ambiente en lo temporal para que las diversas generaciones puedan seguir disfrutando de los bienes y servicios que les proporciona.</w:t>
      </w:r>
    </w:p>
    <w:p>
      <w:pPr>
        <w:spacing w:after="0" w:line="480" w:lineRule="auto"/>
        <w:jc w:val="both"/>
        <w:sectPr>
          <w:pgSz w:w="12240" w:h="15840"/>
          <w:pgMar w:top="1360" w:bottom="280" w:left="1600" w:right="1580"/>
        </w:sectPr>
      </w:pPr>
    </w:p>
    <w:p>
      <w:pPr>
        <w:pStyle w:val="Heading2"/>
        <w:spacing w:line="633" w:lineRule="auto" w:before="51"/>
        <w:ind w:right="5405"/>
        <w:jc w:val="left"/>
      </w:pPr>
      <w:r>
        <w:rPr/>
        <w:t>REFERENCIAS BIBLIOGRÁFICAS LIBRO</w:t>
      </w:r>
    </w:p>
    <w:p>
      <w:pPr>
        <w:pStyle w:val="ListParagraph"/>
        <w:numPr>
          <w:ilvl w:val="0"/>
          <w:numId w:val="5"/>
        </w:numPr>
        <w:tabs>
          <w:tab w:pos="462" w:val="left" w:leader="none"/>
        </w:tabs>
        <w:spacing w:line="482" w:lineRule="auto" w:before="8" w:after="0"/>
        <w:ind w:left="462" w:right="118" w:hanging="360"/>
        <w:jc w:val="both"/>
        <w:rPr>
          <w:sz w:val="22"/>
        </w:rPr>
      </w:pPr>
      <w:r>
        <w:rPr>
          <w:b/>
          <w:sz w:val="22"/>
        </w:rPr>
        <w:t>Alvarado, R. </w:t>
      </w:r>
      <w:r>
        <w:rPr>
          <w:sz w:val="22"/>
        </w:rPr>
        <w:t>(2009) </w:t>
      </w:r>
      <w:r>
        <w:rPr>
          <w:i/>
          <w:sz w:val="22"/>
        </w:rPr>
        <w:t>Cooperación entre Firmas y Ecología Industrial. Un estudio de </w:t>
      </w:r>
      <w:r>
        <w:rPr>
          <w:i/>
          <w:sz w:val="22"/>
        </w:rPr>
        <w:t>caso: Industria Mexicana de Reciclaje. </w:t>
      </w:r>
      <w:r>
        <w:rPr>
          <w:sz w:val="22"/>
        </w:rPr>
        <w:t>UAM-X.</w:t>
      </w:r>
      <w:r>
        <w:rPr>
          <w:spacing w:val="-16"/>
          <w:sz w:val="22"/>
        </w:rPr>
        <w:t> </w:t>
      </w:r>
      <w:r>
        <w:rPr>
          <w:sz w:val="22"/>
        </w:rPr>
        <w:t>México.</w:t>
      </w:r>
    </w:p>
    <w:p>
      <w:pPr>
        <w:pStyle w:val="ListParagraph"/>
        <w:numPr>
          <w:ilvl w:val="0"/>
          <w:numId w:val="5"/>
        </w:numPr>
        <w:tabs>
          <w:tab w:pos="462" w:val="left" w:leader="none"/>
        </w:tabs>
        <w:spacing w:line="240" w:lineRule="auto" w:before="2" w:after="0"/>
        <w:ind w:left="462" w:right="0" w:hanging="360"/>
        <w:jc w:val="left"/>
        <w:rPr>
          <w:sz w:val="22"/>
        </w:rPr>
      </w:pPr>
      <w:r>
        <w:rPr>
          <w:b/>
          <w:sz w:val="22"/>
        </w:rPr>
        <w:t>Capello, R. </w:t>
      </w:r>
      <w:r>
        <w:rPr>
          <w:sz w:val="22"/>
        </w:rPr>
        <w:t>(2009) </w:t>
      </w:r>
      <w:r>
        <w:rPr>
          <w:i/>
          <w:sz w:val="22"/>
        </w:rPr>
        <w:t>Regional economics. </w:t>
      </w:r>
      <w:r>
        <w:rPr>
          <w:sz w:val="22"/>
        </w:rPr>
        <w:t>Routledge. New</w:t>
      </w:r>
      <w:r>
        <w:rPr>
          <w:spacing w:val="-17"/>
          <w:sz w:val="22"/>
        </w:rPr>
        <w:t> </w:t>
      </w:r>
      <w:r>
        <w:rPr>
          <w:sz w:val="22"/>
        </w:rPr>
        <w:t>York.</w:t>
      </w:r>
    </w:p>
    <w:p>
      <w:pPr>
        <w:pStyle w:val="BodyText"/>
      </w:pPr>
    </w:p>
    <w:p>
      <w:pPr>
        <w:pStyle w:val="ListParagraph"/>
        <w:numPr>
          <w:ilvl w:val="0"/>
          <w:numId w:val="5"/>
        </w:numPr>
        <w:tabs>
          <w:tab w:pos="462" w:val="left" w:leader="none"/>
        </w:tabs>
        <w:spacing w:line="482" w:lineRule="auto" w:before="0" w:after="0"/>
        <w:ind w:left="462" w:right="116" w:hanging="360"/>
        <w:jc w:val="both"/>
        <w:rPr>
          <w:sz w:val="22"/>
        </w:rPr>
      </w:pPr>
      <w:r>
        <w:rPr>
          <w:b/>
          <w:sz w:val="22"/>
        </w:rPr>
        <w:t>Cotorruelo, R. </w:t>
      </w:r>
      <w:r>
        <w:rPr>
          <w:sz w:val="22"/>
        </w:rPr>
        <w:t>(1996) </w:t>
      </w:r>
      <w:r>
        <w:rPr>
          <w:i/>
          <w:sz w:val="22"/>
        </w:rPr>
        <w:t>Competitividad de las empresas y de los territorios. </w:t>
      </w:r>
      <w:r>
        <w:rPr>
          <w:sz w:val="22"/>
        </w:rPr>
        <w:t>Inmark, Madrid.</w:t>
      </w:r>
    </w:p>
    <w:p>
      <w:pPr>
        <w:pStyle w:val="ListParagraph"/>
        <w:numPr>
          <w:ilvl w:val="0"/>
          <w:numId w:val="5"/>
        </w:numPr>
        <w:tabs>
          <w:tab w:pos="462" w:val="left" w:leader="none"/>
        </w:tabs>
        <w:spacing w:line="482" w:lineRule="auto" w:before="0" w:after="0"/>
        <w:ind w:left="462" w:right="116" w:hanging="360"/>
        <w:jc w:val="both"/>
        <w:rPr>
          <w:sz w:val="22"/>
        </w:rPr>
      </w:pPr>
      <w:r>
        <w:rPr>
          <w:b/>
          <w:sz w:val="22"/>
        </w:rPr>
        <w:t>Fundación</w:t>
      </w:r>
      <w:r>
        <w:rPr>
          <w:b/>
          <w:spacing w:val="-14"/>
          <w:sz w:val="22"/>
        </w:rPr>
        <w:t> </w:t>
      </w:r>
      <w:r>
        <w:rPr>
          <w:b/>
          <w:sz w:val="22"/>
        </w:rPr>
        <w:t>Friedrich</w:t>
      </w:r>
      <w:r>
        <w:rPr>
          <w:b/>
          <w:spacing w:val="-14"/>
          <w:sz w:val="22"/>
        </w:rPr>
        <w:t> </w:t>
      </w:r>
      <w:r>
        <w:rPr>
          <w:b/>
          <w:sz w:val="22"/>
        </w:rPr>
        <w:t>Ebert</w:t>
      </w:r>
      <w:r>
        <w:rPr>
          <w:b/>
          <w:spacing w:val="-13"/>
          <w:sz w:val="22"/>
        </w:rPr>
        <w:t> </w:t>
      </w:r>
      <w:r>
        <w:rPr>
          <w:sz w:val="22"/>
        </w:rPr>
        <w:t>(2001)</w:t>
      </w:r>
      <w:r>
        <w:rPr>
          <w:spacing w:val="-15"/>
          <w:sz w:val="22"/>
        </w:rPr>
        <w:t> </w:t>
      </w:r>
      <w:r>
        <w:rPr>
          <w:i/>
          <w:sz w:val="22"/>
        </w:rPr>
        <w:t>La</w:t>
      </w:r>
      <w:r>
        <w:rPr>
          <w:i/>
          <w:spacing w:val="-14"/>
          <w:sz w:val="22"/>
        </w:rPr>
        <w:t> </w:t>
      </w:r>
      <w:r>
        <w:rPr>
          <w:i/>
          <w:sz w:val="22"/>
        </w:rPr>
        <w:t>planificación</w:t>
      </w:r>
      <w:r>
        <w:rPr>
          <w:i/>
          <w:spacing w:val="-13"/>
          <w:sz w:val="22"/>
        </w:rPr>
        <w:t> </w:t>
      </w:r>
      <w:r>
        <w:rPr>
          <w:i/>
          <w:sz w:val="22"/>
        </w:rPr>
        <w:t>del</w:t>
      </w:r>
      <w:r>
        <w:rPr>
          <w:i/>
          <w:spacing w:val="-14"/>
          <w:sz w:val="22"/>
        </w:rPr>
        <w:t> </w:t>
      </w:r>
      <w:r>
        <w:rPr>
          <w:i/>
          <w:sz w:val="22"/>
        </w:rPr>
        <w:t>desarrollo</w:t>
      </w:r>
      <w:r>
        <w:rPr>
          <w:i/>
          <w:spacing w:val="-13"/>
          <w:sz w:val="22"/>
        </w:rPr>
        <w:t> </w:t>
      </w:r>
      <w:r>
        <w:rPr>
          <w:i/>
          <w:sz w:val="22"/>
        </w:rPr>
        <w:t>económico</w:t>
      </w:r>
      <w:r>
        <w:rPr>
          <w:i/>
          <w:spacing w:val="-13"/>
          <w:sz w:val="22"/>
        </w:rPr>
        <w:t> </w:t>
      </w:r>
      <w:r>
        <w:rPr>
          <w:i/>
          <w:sz w:val="22"/>
        </w:rPr>
        <w:t>local</w:t>
      </w:r>
      <w:r>
        <w:rPr>
          <w:i/>
          <w:spacing w:val="-14"/>
          <w:sz w:val="22"/>
        </w:rPr>
        <w:t> </w:t>
      </w:r>
      <w:r>
        <w:rPr>
          <w:i/>
          <w:sz w:val="22"/>
        </w:rPr>
        <w:t>y</w:t>
      </w:r>
      <w:r>
        <w:rPr>
          <w:i/>
          <w:spacing w:val="-13"/>
          <w:sz w:val="22"/>
        </w:rPr>
        <w:t> </w:t>
      </w:r>
      <w:r>
        <w:rPr>
          <w:i/>
          <w:sz w:val="22"/>
        </w:rPr>
        <w:t>sus </w:t>
      </w:r>
      <w:r>
        <w:rPr>
          <w:i/>
          <w:sz w:val="22"/>
        </w:rPr>
        <w:t>elementos. </w:t>
      </w:r>
      <w:r>
        <w:rPr>
          <w:sz w:val="22"/>
        </w:rPr>
        <w:t>Documento de trabajo (s/n).</w:t>
      </w:r>
      <w:r>
        <w:rPr>
          <w:spacing w:val="-18"/>
          <w:sz w:val="22"/>
        </w:rPr>
        <w:t> </w:t>
      </w:r>
      <w:r>
        <w:rPr>
          <w:sz w:val="22"/>
        </w:rPr>
        <w:t>Argentina.</w:t>
      </w:r>
    </w:p>
    <w:p>
      <w:pPr>
        <w:pStyle w:val="ListParagraph"/>
        <w:numPr>
          <w:ilvl w:val="0"/>
          <w:numId w:val="5"/>
        </w:numPr>
        <w:tabs>
          <w:tab w:pos="462" w:val="left" w:leader="none"/>
        </w:tabs>
        <w:spacing w:line="482" w:lineRule="auto" w:before="2" w:after="0"/>
        <w:ind w:left="462" w:right="114" w:hanging="360"/>
        <w:jc w:val="both"/>
        <w:rPr>
          <w:sz w:val="22"/>
        </w:rPr>
      </w:pPr>
      <w:r>
        <w:rPr>
          <w:b/>
          <w:sz w:val="22"/>
        </w:rPr>
        <w:t>Golf, E. y Molinero, M. </w:t>
      </w:r>
      <w:r>
        <w:rPr>
          <w:sz w:val="22"/>
        </w:rPr>
        <w:t>(2009) Propuesta de un modelo de gestión del conocimiento para el parque ecoindustrial de L´Orxa, </w:t>
      </w:r>
      <w:r>
        <w:rPr>
          <w:i/>
          <w:sz w:val="22"/>
        </w:rPr>
        <w:t>Avances en técnicas de reducción del impacto </w:t>
      </w:r>
      <w:r>
        <w:rPr>
          <w:i/>
          <w:sz w:val="22"/>
        </w:rPr>
        <w:t>ambiental. </w:t>
      </w:r>
      <w:r>
        <w:rPr>
          <w:sz w:val="22"/>
        </w:rPr>
        <w:t>Marfil.</w:t>
      </w:r>
      <w:r>
        <w:rPr>
          <w:spacing w:val="-8"/>
          <w:sz w:val="22"/>
        </w:rPr>
        <w:t> </w:t>
      </w:r>
      <w:r>
        <w:rPr>
          <w:sz w:val="22"/>
        </w:rPr>
        <w:t>España.</w:t>
      </w:r>
    </w:p>
    <w:p>
      <w:pPr>
        <w:pStyle w:val="ListParagraph"/>
        <w:numPr>
          <w:ilvl w:val="0"/>
          <w:numId w:val="5"/>
        </w:numPr>
        <w:tabs>
          <w:tab w:pos="462" w:val="left" w:leader="none"/>
        </w:tabs>
        <w:spacing w:line="480" w:lineRule="auto" w:before="2" w:after="0"/>
        <w:ind w:left="462" w:right="116" w:hanging="360"/>
        <w:jc w:val="both"/>
        <w:rPr>
          <w:sz w:val="22"/>
        </w:rPr>
      </w:pPr>
      <w:r>
        <w:rPr>
          <w:b/>
          <w:sz w:val="22"/>
        </w:rPr>
        <w:t>Iglesias, D. </w:t>
      </w:r>
      <w:r>
        <w:rPr>
          <w:sz w:val="22"/>
        </w:rPr>
        <w:t>(2013) </w:t>
      </w:r>
      <w:r>
        <w:rPr>
          <w:i/>
          <w:sz w:val="22"/>
        </w:rPr>
        <w:t>La infraestructura y las posibilidades de formar un sistema </w:t>
      </w:r>
      <w:r>
        <w:rPr>
          <w:i/>
          <w:sz w:val="22"/>
        </w:rPr>
        <w:t>productivo local en los parques industriales de México. Caso del parque industrial Ixtlahuaca. </w:t>
      </w:r>
      <w:r>
        <w:rPr>
          <w:sz w:val="22"/>
        </w:rPr>
        <w:t>Tesis doctoral. UNAM.</w:t>
      </w:r>
      <w:r>
        <w:rPr>
          <w:spacing w:val="-15"/>
          <w:sz w:val="22"/>
        </w:rPr>
        <w:t> </w:t>
      </w:r>
      <w:r>
        <w:rPr>
          <w:sz w:val="22"/>
        </w:rPr>
        <w:t>México.</w:t>
      </w:r>
    </w:p>
    <w:p>
      <w:pPr>
        <w:pStyle w:val="ListParagraph"/>
        <w:numPr>
          <w:ilvl w:val="0"/>
          <w:numId w:val="5"/>
        </w:numPr>
        <w:tabs>
          <w:tab w:pos="462" w:val="left" w:leader="none"/>
        </w:tabs>
        <w:spacing w:line="482" w:lineRule="auto" w:before="5" w:after="0"/>
        <w:ind w:left="462" w:right="113" w:hanging="360"/>
        <w:jc w:val="both"/>
        <w:rPr>
          <w:sz w:val="22"/>
        </w:rPr>
      </w:pPr>
      <w:r>
        <w:rPr>
          <w:b/>
          <w:sz w:val="22"/>
        </w:rPr>
        <w:t>Leal, J. </w:t>
      </w:r>
      <w:r>
        <w:rPr>
          <w:sz w:val="22"/>
        </w:rPr>
        <w:t>(2005) </w:t>
      </w:r>
      <w:r>
        <w:rPr>
          <w:i/>
          <w:sz w:val="22"/>
        </w:rPr>
        <w:t>Ecoeficiencia: marco de análisis, indicadores y experiencias. </w:t>
      </w:r>
      <w:r>
        <w:rPr>
          <w:sz w:val="22"/>
        </w:rPr>
        <w:t>ONU- CEPAL. Santiago de</w:t>
      </w:r>
      <w:r>
        <w:rPr>
          <w:spacing w:val="-10"/>
          <w:sz w:val="22"/>
        </w:rPr>
        <w:t> </w:t>
      </w:r>
      <w:r>
        <w:rPr>
          <w:sz w:val="22"/>
        </w:rPr>
        <w:t>Chile.</w:t>
      </w:r>
    </w:p>
    <w:p>
      <w:pPr>
        <w:pStyle w:val="ListParagraph"/>
        <w:numPr>
          <w:ilvl w:val="0"/>
          <w:numId w:val="5"/>
        </w:numPr>
        <w:tabs>
          <w:tab w:pos="462" w:val="left" w:leader="none"/>
        </w:tabs>
        <w:spacing w:line="480" w:lineRule="auto" w:before="2" w:after="0"/>
        <w:ind w:left="462" w:right="115" w:hanging="360"/>
        <w:jc w:val="both"/>
        <w:rPr>
          <w:sz w:val="22"/>
        </w:rPr>
      </w:pPr>
      <w:r>
        <w:rPr>
          <w:b/>
          <w:sz w:val="22"/>
        </w:rPr>
        <w:t>Livert,</w:t>
      </w:r>
      <w:r>
        <w:rPr>
          <w:b/>
          <w:spacing w:val="-8"/>
          <w:sz w:val="22"/>
        </w:rPr>
        <w:t> </w:t>
      </w:r>
      <w:r>
        <w:rPr>
          <w:b/>
          <w:sz w:val="22"/>
        </w:rPr>
        <w:t>F.</w:t>
      </w:r>
      <w:r>
        <w:rPr>
          <w:b/>
          <w:spacing w:val="-9"/>
          <w:sz w:val="22"/>
        </w:rPr>
        <w:t> </w:t>
      </w:r>
      <w:r>
        <w:rPr>
          <w:sz w:val="22"/>
        </w:rPr>
        <w:t>(2011)</w:t>
      </w:r>
      <w:r>
        <w:rPr>
          <w:spacing w:val="-8"/>
          <w:sz w:val="22"/>
        </w:rPr>
        <w:t> </w:t>
      </w:r>
      <w:r>
        <w:rPr>
          <w:i/>
          <w:sz w:val="22"/>
        </w:rPr>
        <w:t>Ecoeficiencia</w:t>
      </w:r>
      <w:r>
        <w:rPr>
          <w:i/>
          <w:spacing w:val="-7"/>
          <w:sz w:val="22"/>
        </w:rPr>
        <w:t> </w:t>
      </w:r>
      <w:r>
        <w:rPr>
          <w:i/>
          <w:sz w:val="22"/>
        </w:rPr>
        <w:t>y</w:t>
      </w:r>
      <w:r>
        <w:rPr>
          <w:i/>
          <w:spacing w:val="-7"/>
          <w:sz w:val="22"/>
        </w:rPr>
        <w:t> </w:t>
      </w:r>
      <w:r>
        <w:rPr>
          <w:i/>
          <w:sz w:val="22"/>
        </w:rPr>
        <w:t>desarrollo</w:t>
      </w:r>
      <w:r>
        <w:rPr>
          <w:i/>
          <w:spacing w:val="-7"/>
          <w:sz w:val="22"/>
        </w:rPr>
        <w:t> </w:t>
      </w:r>
      <w:r>
        <w:rPr>
          <w:i/>
          <w:sz w:val="22"/>
        </w:rPr>
        <w:t>de</w:t>
      </w:r>
      <w:r>
        <w:rPr>
          <w:i/>
          <w:spacing w:val="-8"/>
          <w:sz w:val="22"/>
        </w:rPr>
        <w:t> </w:t>
      </w:r>
      <w:r>
        <w:rPr>
          <w:i/>
          <w:sz w:val="22"/>
        </w:rPr>
        <w:t>infraestructura</w:t>
      </w:r>
      <w:r>
        <w:rPr>
          <w:i/>
          <w:spacing w:val="-9"/>
          <w:sz w:val="22"/>
        </w:rPr>
        <w:t> </w:t>
      </w:r>
      <w:r>
        <w:rPr>
          <w:i/>
          <w:sz w:val="22"/>
        </w:rPr>
        <w:t>urbana</w:t>
      </w:r>
      <w:r>
        <w:rPr>
          <w:i/>
          <w:spacing w:val="-8"/>
          <w:sz w:val="22"/>
        </w:rPr>
        <w:t> </w:t>
      </w:r>
      <w:r>
        <w:rPr>
          <w:i/>
          <w:sz w:val="22"/>
        </w:rPr>
        <w:t>sostenible</w:t>
      </w:r>
      <w:r>
        <w:rPr>
          <w:i/>
          <w:spacing w:val="-7"/>
          <w:sz w:val="22"/>
        </w:rPr>
        <w:t> </w:t>
      </w:r>
      <w:r>
        <w:rPr>
          <w:i/>
          <w:sz w:val="22"/>
        </w:rPr>
        <w:t>en</w:t>
      </w:r>
      <w:r>
        <w:rPr>
          <w:i/>
          <w:spacing w:val="-8"/>
          <w:sz w:val="22"/>
        </w:rPr>
        <w:t> </w:t>
      </w:r>
      <w:r>
        <w:rPr>
          <w:i/>
          <w:sz w:val="22"/>
        </w:rPr>
        <w:t>Asia </w:t>
      </w:r>
      <w:r>
        <w:rPr>
          <w:i/>
          <w:sz w:val="22"/>
        </w:rPr>
        <w:t>y América Latina. </w:t>
      </w:r>
      <w:r>
        <w:rPr>
          <w:sz w:val="22"/>
        </w:rPr>
        <w:t>ONU-CEPAL. Santiago de</w:t>
      </w:r>
      <w:r>
        <w:rPr>
          <w:spacing w:val="-17"/>
          <w:sz w:val="22"/>
        </w:rPr>
        <w:t> </w:t>
      </w:r>
      <w:r>
        <w:rPr>
          <w:sz w:val="22"/>
        </w:rPr>
        <w:t>Chile.</w:t>
      </w:r>
    </w:p>
    <w:p>
      <w:pPr>
        <w:pStyle w:val="ListParagraph"/>
        <w:numPr>
          <w:ilvl w:val="0"/>
          <w:numId w:val="5"/>
        </w:numPr>
        <w:tabs>
          <w:tab w:pos="462" w:val="left" w:leader="none"/>
        </w:tabs>
        <w:spacing w:line="482" w:lineRule="auto" w:before="5" w:after="0"/>
        <w:ind w:left="462" w:right="117" w:hanging="360"/>
        <w:jc w:val="both"/>
        <w:rPr>
          <w:sz w:val="22"/>
        </w:rPr>
      </w:pPr>
      <w:r>
        <w:rPr>
          <w:b/>
          <w:sz w:val="22"/>
        </w:rPr>
        <w:t>Lowe, E.A., </w:t>
      </w:r>
      <w:r>
        <w:rPr>
          <w:b/>
          <w:i/>
          <w:sz w:val="22"/>
        </w:rPr>
        <w:t>et al.</w:t>
      </w:r>
      <w:r>
        <w:rPr>
          <w:b/>
          <w:sz w:val="22"/>
        </w:rPr>
        <w:t>, </w:t>
      </w:r>
      <w:r>
        <w:rPr>
          <w:sz w:val="22"/>
        </w:rPr>
        <w:t>(1997) </w:t>
      </w:r>
      <w:r>
        <w:rPr>
          <w:i/>
          <w:sz w:val="22"/>
        </w:rPr>
        <w:t>Discovering Industrial Ecology. </w:t>
      </w:r>
      <w:r>
        <w:rPr>
          <w:sz w:val="22"/>
        </w:rPr>
        <w:t>Battelle Press .Columbus, USA.</w:t>
      </w:r>
    </w:p>
    <w:p>
      <w:pPr>
        <w:pStyle w:val="ListParagraph"/>
        <w:numPr>
          <w:ilvl w:val="0"/>
          <w:numId w:val="5"/>
        </w:numPr>
        <w:tabs>
          <w:tab w:pos="462" w:val="left" w:leader="none"/>
        </w:tabs>
        <w:spacing w:line="240" w:lineRule="auto" w:before="2" w:after="0"/>
        <w:ind w:left="462" w:right="0" w:hanging="360"/>
        <w:jc w:val="left"/>
        <w:rPr>
          <w:sz w:val="22"/>
        </w:rPr>
      </w:pPr>
      <w:r>
        <w:rPr>
          <w:b/>
          <w:sz w:val="22"/>
        </w:rPr>
        <w:t>Méndez, R. y Caravaca I. </w:t>
      </w:r>
      <w:r>
        <w:rPr>
          <w:sz w:val="22"/>
        </w:rPr>
        <w:t>(1996) </w:t>
      </w:r>
      <w:r>
        <w:rPr>
          <w:i/>
          <w:sz w:val="22"/>
        </w:rPr>
        <w:t>Organización industrial y territorio. </w:t>
      </w:r>
      <w:r>
        <w:rPr>
          <w:sz w:val="22"/>
        </w:rPr>
        <w:t>Editorial</w:t>
      </w:r>
      <w:r>
        <w:rPr>
          <w:spacing w:val="41"/>
          <w:sz w:val="22"/>
        </w:rPr>
        <w:t> </w:t>
      </w:r>
      <w:r>
        <w:rPr>
          <w:sz w:val="22"/>
        </w:rPr>
        <w:t>Síntesis.</w:t>
      </w:r>
    </w:p>
    <w:p>
      <w:pPr>
        <w:pStyle w:val="BodyText"/>
        <w:spacing w:before="2"/>
      </w:pPr>
    </w:p>
    <w:p>
      <w:pPr>
        <w:pStyle w:val="BodyText"/>
        <w:spacing w:before="1"/>
        <w:ind w:left="461" w:right="18"/>
      </w:pPr>
      <w:r>
        <w:rPr/>
        <w:t>Madrid.</w:t>
      </w:r>
    </w:p>
    <w:p>
      <w:pPr>
        <w:pStyle w:val="BodyText"/>
        <w:spacing w:before="9"/>
        <w:rPr>
          <w:sz w:val="21"/>
        </w:rPr>
      </w:pPr>
    </w:p>
    <w:p>
      <w:pPr>
        <w:pStyle w:val="ListParagraph"/>
        <w:numPr>
          <w:ilvl w:val="0"/>
          <w:numId w:val="5"/>
        </w:numPr>
        <w:tabs>
          <w:tab w:pos="462" w:val="left" w:leader="none"/>
        </w:tabs>
        <w:spacing w:line="480" w:lineRule="auto" w:before="0" w:after="0"/>
        <w:ind w:left="462" w:right="119" w:hanging="360"/>
        <w:jc w:val="both"/>
        <w:rPr>
          <w:sz w:val="22"/>
        </w:rPr>
      </w:pPr>
      <w:r>
        <w:rPr>
          <w:b/>
          <w:sz w:val="22"/>
        </w:rPr>
        <w:t>Messner, D. </w:t>
      </w:r>
      <w:r>
        <w:rPr>
          <w:sz w:val="22"/>
        </w:rPr>
        <w:t>(2002) </w:t>
      </w:r>
      <w:r>
        <w:rPr>
          <w:i/>
          <w:sz w:val="22"/>
        </w:rPr>
        <w:t>The concept of the “world economic triangule”: global governance </w:t>
      </w:r>
      <w:r>
        <w:rPr>
          <w:i/>
          <w:sz w:val="22"/>
        </w:rPr>
        <w:t>and options for regions. </w:t>
      </w:r>
      <w:r>
        <w:rPr>
          <w:sz w:val="22"/>
        </w:rPr>
        <w:t>Institute of Developments Studies.</w:t>
      </w:r>
      <w:r>
        <w:rPr>
          <w:spacing w:val="-18"/>
          <w:sz w:val="22"/>
        </w:rPr>
        <w:t> </w:t>
      </w:r>
      <w:r>
        <w:rPr>
          <w:sz w:val="22"/>
        </w:rPr>
        <w:t>England.</w:t>
      </w:r>
    </w:p>
    <w:p>
      <w:pPr>
        <w:spacing w:after="0" w:line="480" w:lineRule="auto"/>
        <w:jc w:val="both"/>
        <w:rPr>
          <w:sz w:val="22"/>
        </w:rPr>
        <w:sectPr>
          <w:pgSz w:w="12240" w:h="15840"/>
          <w:pgMar w:top="1360" w:bottom="280" w:left="1600" w:right="1580"/>
        </w:sectPr>
      </w:pPr>
    </w:p>
    <w:p>
      <w:pPr>
        <w:pStyle w:val="ListParagraph"/>
        <w:numPr>
          <w:ilvl w:val="0"/>
          <w:numId w:val="5"/>
        </w:numPr>
        <w:tabs>
          <w:tab w:pos="462" w:val="left" w:leader="none"/>
        </w:tabs>
        <w:spacing w:line="482" w:lineRule="auto" w:before="51" w:after="0"/>
        <w:ind w:left="462" w:right="118" w:hanging="360"/>
        <w:jc w:val="both"/>
        <w:rPr>
          <w:sz w:val="22"/>
        </w:rPr>
      </w:pPr>
      <w:r>
        <w:rPr>
          <w:b/>
          <w:sz w:val="22"/>
        </w:rPr>
        <w:t>ONUDI </w:t>
      </w:r>
      <w:r>
        <w:rPr>
          <w:sz w:val="22"/>
        </w:rPr>
        <w:t>(1979) </w:t>
      </w:r>
      <w:r>
        <w:rPr>
          <w:i/>
          <w:sz w:val="22"/>
        </w:rPr>
        <w:t>Pautas para el establecimiento de parques industriales en los países en </w:t>
      </w:r>
      <w:r>
        <w:rPr>
          <w:i/>
          <w:sz w:val="22"/>
        </w:rPr>
        <w:t>desarrollo. </w:t>
      </w:r>
      <w:r>
        <w:rPr>
          <w:sz w:val="22"/>
        </w:rPr>
        <w:t>Naciones Unidas. New</w:t>
      </w:r>
      <w:r>
        <w:rPr>
          <w:spacing w:val="-6"/>
          <w:sz w:val="22"/>
        </w:rPr>
        <w:t> </w:t>
      </w:r>
      <w:r>
        <w:rPr>
          <w:sz w:val="22"/>
        </w:rPr>
        <w:t>York.</w:t>
      </w:r>
    </w:p>
    <w:p>
      <w:pPr>
        <w:pStyle w:val="ListParagraph"/>
        <w:numPr>
          <w:ilvl w:val="0"/>
          <w:numId w:val="5"/>
        </w:numPr>
        <w:tabs>
          <w:tab w:pos="462" w:val="left" w:leader="none"/>
        </w:tabs>
        <w:spacing w:line="482" w:lineRule="auto" w:before="2" w:after="0"/>
        <w:ind w:left="462" w:right="115" w:hanging="360"/>
        <w:jc w:val="both"/>
        <w:rPr>
          <w:sz w:val="22"/>
        </w:rPr>
      </w:pPr>
      <w:r>
        <w:rPr>
          <w:b/>
          <w:sz w:val="22"/>
        </w:rPr>
        <w:t>ONU-CEPAL </w:t>
      </w:r>
      <w:r>
        <w:rPr>
          <w:sz w:val="22"/>
        </w:rPr>
        <w:t>(2009) </w:t>
      </w:r>
      <w:r>
        <w:rPr>
          <w:i/>
          <w:sz w:val="22"/>
        </w:rPr>
        <w:t>Industria y medio ambiente en México y Centroamérica. Un reto </w:t>
      </w:r>
      <w:r>
        <w:rPr>
          <w:i/>
          <w:sz w:val="22"/>
        </w:rPr>
        <w:t>de supervivencia. </w:t>
      </w:r>
      <w:r>
        <w:rPr>
          <w:sz w:val="22"/>
        </w:rPr>
        <w:t>Naciones Unidas, Comisión Económica para América Latina y el Caribe (CEPAL). Santiago de</w:t>
      </w:r>
      <w:r>
        <w:rPr>
          <w:spacing w:val="-9"/>
          <w:sz w:val="22"/>
        </w:rPr>
        <w:t> </w:t>
      </w:r>
      <w:r>
        <w:rPr>
          <w:sz w:val="22"/>
        </w:rPr>
        <w:t>Chile.</w:t>
      </w:r>
    </w:p>
    <w:p>
      <w:pPr>
        <w:pStyle w:val="ListParagraph"/>
        <w:numPr>
          <w:ilvl w:val="0"/>
          <w:numId w:val="5"/>
        </w:numPr>
        <w:tabs>
          <w:tab w:pos="462" w:val="left" w:leader="none"/>
        </w:tabs>
        <w:spacing w:line="240" w:lineRule="auto" w:before="0" w:after="0"/>
        <w:ind w:left="462" w:right="0" w:hanging="360"/>
        <w:jc w:val="left"/>
        <w:rPr>
          <w:sz w:val="22"/>
        </w:rPr>
      </w:pPr>
      <w:r>
        <w:rPr>
          <w:b/>
          <w:sz w:val="22"/>
        </w:rPr>
        <w:t>Precedo, </w:t>
      </w:r>
      <w:r>
        <w:rPr>
          <w:b/>
          <w:spacing w:val="-5"/>
          <w:sz w:val="22"/>
        </w:rPr>
        <w:t>A. </w:t>
      </w:r>
      <w:r>
        <w:rPr>
          <w:b/>
          <w:sz w:val="22"/>
        </w:rPr>
        <w:t>y Villarino, M. </w:t>
      </w:r>
      <w:r>
        <w:rPr>
          <w:sz w:val="22"/>
        </w:rPr>
        <w:t>(1992) </w:t>
      </w:r>
      <w:r>
        <w:rPr>
          <w:i/>
          <w:sz w:val="22"/>
        </w:rPr>
        <w:t>La localización industrial. </w:t>
      </w:r>
      <w:r>
        <w:rPr>
          <w:sz w:val="22"/>
        </w:rPr>
        <w:t>Editorial síntesis.</w:t>
      </w:r>
      <w:r>
        <w:rPr>
          <w:spacing w:val="-7"/>
          <w:sz w:val="22"/>
        </w:rPr>
        <w:t> </w:t>
      </w:r>
      <w:r>
        <w:rPr>
          <w:sz w:val="22"/>
        </w:rPr>
        <w:t>Madrid.</w:t>
      </w:r>
    </w:p>
    <w:p>
      <w:pPr>
        <w:pStyle w:val="BodyText"/>
      </w:pPr>
    </w:p>
    <w:p>
      <w:pPr>
        <w:pStyle w:val="ListParagraph"/>
        <w:numPr>
          <w:ilvl w:val="0"/>
          <w:numId w:val="5"/>
        </w:numPr>
        <w:tabs>
          <w:tab w:pos="462" w:val="left" w:leader="none"/>
        </w:tabs>
        <w:spacing w:line="482" w:lineRule="auto" w:before="0" w:after="0"/>
        <w:ind w:left="462" w:right="119" w:hanging="360"/>
        <w:jc w:val="both"/>
        <w:rPr>
          <w:sz w:val="22"/>
        </w:rPr>
      </w:pPr>
      <w:r>
        <w:rPr>
          <w:b/>
          <w:sz w:val="22"/>
        </w:rPr>
        <w:t>Seoánez, M. </w:t>
      </w:r>
      <w:r>
        <w:rPr>
          <w:sz w:val="22"/>
        </w:rPr>
        <w:t>(1998) Ecología industrial: Ingeniería medioambiental aplicada a la industria y a la empresa; 2ª edición, Ediciones Mundi-Prensa;</w:t>
      </w:r>
      <w:r>
        <w:rPr>
          <w:spacing w:val="-12"/>
          <w:sz w:val="22"/>
        </w:rPr>
        <w:t> </w:t>
      </w:r>
      <w:r>
        <w:rPr>
          <w:sz w:val="22"/>
        </w:rPr>
        <w:t>España.</w:t>
      </w:r>
    </w:p>
    <w:p>
      <w:pPr>
        <w:pStyle w:val="ListParagraph"/>
        <w:numPr>
          <w:ilvl w:val="0"/>
          <w:numId w:val="5"/>
        </w:numPr>
        <w:tabs>
          <w:tab w:pos="462" w:val="left" w:leader="none"/>
        </w:tabs>
        <w:spacing w:line="482" w:lineRule="auto" w:before="2" w:after="0"/>
        <w:ind w:left="462" w:right="118" w:hanging="360"/>
        <w:jc w:val="both"/>
        <w:rPr>
          <w:sz w:val="22"/>
        </w:rPr>
      </w:pPr>
      <w:r>
        <w:rPr>
          <w:b/>
          <w:sz w:val="22"/>
        </w:rPr>
        <w:t>Stimson, R. J., </w:t>
      </w:r>
      <w:r>
        <w:rPr>
          <w:b/>
          <w:i/>
          <w:sz w:val="22"/>
        </w:rPr>
        <w:t>et al. </w:t>
      </w:r>
      <w:r>
        <w:rPr>
          <w:sz w:val="22"/>
        </w:rPr>
        <w:t>(2006) </w:t>
      </w:r>
      <w:r>
        <w:rPr>
          <w:i/>
          <w:sz w:val="22"/>
        </w:rPr>
        <w:t>Regional economic development. Analysis and planning </w:t>
      </w:r>
      <w:r>
        <w:rPr>
          <w:i/>
          <w:sz w:val="22"/>
        </w:rPr>
        <w:t>strategy. </w:t>
      </w:r>
      <w:r>
        <w:rPr>
          <w:sz w:val="22"/>
        </w:rPr>
        <w:t>Springer editor.</w:t>
      </w:r>
      <w:r>
        <w:rPr>
          <w:spacing w:val="-13"/>
          <w:sz w:val="22"/>
        </w:rPr>
        <w:t> </w:t>
      </w:r>
      <w:r>
        <w:rPr>
          <w:sz w:val="22"/>
        </w:rPr>
        <w:t>Germani.</w:t>
      </w:r>
    </w:p>
    <w:p>
      <w:pPr>
        <w:pStyle w:val="ListParagraph"/>
        <w:numPr>
          <w:ilvl w:val="0"/>
          <w:numId w:val="5"/>
        </w:numPr>
        <w:tabs>
          <w:tab w:pos="462" w:val="left" w:leader="none"/>
        </w:tabs>
        <w:spacing w:line="480" w:lineRule="auto" w:before="2" w:after="0"/>
        <w:ind w:left="462" w:right="117" w:hanging="360"/>
        <w:jc w:val="both"/>
        <w:rPr>
          <w:sz w:val="22"/>
        </w:rPr>
      </w:pPr>
      <w:r>
        <w:rPr>
          <w:b/>
          <w:sz w:val="22"/>
        </w:rPr>
        <w:t>Vázquez,</w:t>
      </w:r>
      <w:r>
        <w:rPr>
          <w:b/>
          <w:spacing w:val="-12"/>
          <w:sz w:val="22"/>
        </w:rPr>
        <w:t> </w:t>
      </w:r>
      <w:r>
        <w:rPr>
          <w:b/>
          <w:spacing w:val="-5"/>
          <w:sz w:val="22"/>
        </w:rPr>
        <w:t>A.</w:t>
      </w:r>
      <w:r>
        <w:rPr>
          <w:b/>
          <w:spacing w:val="-14"/>
          <w:sz w:val="22"/>
        </w:rPr>
        <w:t> </w:t>
      </w:r>
      <w:r>
        <w:rPr>
          <w:sz w:val="22"/>
        </w:rPr>
        <w:t>(1993)</w:t>
      </w:r>
      <w:r>
        <w:rPr>
          <w:spacing w:val="-16"/>
          <w:sz w:val="22"/>
        </w:rPr>
        <w:t> </w:t>
      </w:r>
      <w:r>
        <w:rPr>
          <w:i/>
          <w:sz w:val="22"/>
        </w:rPr>
        <w:t>Política</w:t>
      </w:r>
      <w:r>
        <w:rPr>
          <w:i/>
          <w:spacing w:val="-16"/>
          <w:sz w:val="22"/>
        </w:rPr>
        <w:t> </w:t>
      </w:r>
      <w:r>
        <w:rPr>
          <w:i/>
          <w:sz w:val="22"/>
        </w:rPr>
        <w:t>económica</w:t>
      </w:r>
      <w:r>
        <w:rPr>
          <w:i/>
          <w:spacing w:val="-16"/>
          <w:sz w:val="22"/>
        </w:rPr>
        <w:t> </w:t>
      </w:r>
      <w:r>
        <w:rPr>
          <w:i/>
          <w:sz w:val="22"/>
        </w:rPr>
        <w:t>local,</w:t>
      </w:r>
      <w:r>
        <w:rPr>
          <w:i/>
          <w:spacing w:val="-17"/>
          <w:sz w:val="22"/>
        </w:rPr>
        <w:t> </w:t>
      </w:r>
      <w:r>
        <w:rPr>
          <w:i/>
          <w:sz w:val="22"/>
        </w:rPr>
        <w:t>la</w:t>
      </w:r>
      <w:r>
        <w:rPr>
          <w:i/>
          <w:spacing w:val="-18"/>
          <w:sz w:val="22"/>
        </w:rPr>
        <w:t> </w:t>
      </w:r>
      <w:r>
        <w:rPr>
          <w:i/>
          <w:sz w:val="22"/>
        </w:rPr>
        <w:t>respuesta</w:t>
      </w:r>
      <w:r>
        <w:rPr>
          <w:i/>
          <w:spacing w:val="-18"/>
          <w:sz w:val="22"/>
        </w:rPr>
        <w:t> </w:t>
      </w:r>
      <w:r>
        <w:rPr>
          <w:i/>
          <w:sz w:val="22"/>
        </w:rPr>
        <w:t>de</w:t>
      </w:r>
      <w:r>
        <w:rPr>
          <w:i/>
          <w:spacing w:val="-16"/>
          <w:sz w:val="22"/>
        </w:rPr>
        <w:t> </w:t>
      </w:r>
      <w:r>
        <w:rPr>
          <w:i/>
          <w:sz w:val="22"/>
        </w:rPr>
        <w:t>las</w:t>
      </w:r>
      <w:r>
        <w:rPr>
          <w:i/>
          <w:spacing w:val="-19"/>
          <w:sz w:val="22"/>
        </w:rPr>
        <w:t> </w:t>
      </w:r>
      <w:r>
        <w:rPr>
          <w:i/>
          <w:sz w:val="22"/>
        </w:rPr>
        <w:t>ciudades</w:t>
      </w:r>
      <w:r>
        <w:rPr>
          <w:i/>
          <w:spacing w:val="-21"/>
          <w:sz w:val="22"/>
        </w:rPr>
        <w:t> </w:t>
      </w:r>
      <w:r>
        <w:rPr>
          <w:i/>
          <w:sz w:val="22"/>
        </w:rPr>
        <w:t>a</w:t>
      </w:r>
      <w:r>
        <w:rPr>
          <w:i/>
          <w:spacing w:val="-16"/>
          <w:sz w:val="22"/>
        </w:rPr>
        <w:t> </w:t>
      </w:r>
      <w:r>
        <w:rPr>
          <w:i/>
          <w:sz w:val="22"/>
        </w:rPr>
        <w:t>los</w:t>
      </w:r>
      <w:r>
        <w:rPr>
          <w:i/>
          <w:spacing w:val="-16"/>
          <w:sz w:val="22"/>
        </w:rPr>
        <w:t> </w:t>
      </w:r>
      <w:r>
        <w:rPr>
          <w:i/>
          <w:sz w:val="22"/>
        </w:rPr>
        <w:t>desafíos </w:t>
      </w:r>
      <w:r>
        <w:rPr>
          <w:i/>
          <w:sz w:val="22"/>
        </w:rPr>
        <w:t>del ajuste productivo. </w:t>
      </w:r>
      <w:r>
        <w:rPr>
          <w:sz w:val="22"/>
        </w:rPr>
        <w:t>Pirámide.</w:t>
      </w:r>
      <w:r>
        <w:rPr>
          <w:spacing w:val="-7"/>
          <w:sz w:val="22"/>
        </w:rPr>
        <w:t> </w:t>
      </w:r>
      <w:r>
        <w:rPr>
          <w:sz w:val="22"/>
        </w:rPr>
        <w:t>Madrid.</w:t>
      </w:r>
    </w:p>
    <w:p>
      <w:pPr>
        <w:pStyle w:val="BodyText"/>
      </w:pPr>
    </w:p>
    <w:p>
      <w:pPr>
        <w:pStyle w:val="BodyText"/>
      </w:pPr>
    </w:p>
    <w:p>
      <w:pPr>
        <w:pStyle w:val="Heading2"/>
        <w:spacing w:before="167"/>
        <w:ind w:right="18"/>
        <w:jc w:val="left"/>
      </w:pPr>
      <w:r>
        <w:rPr/>
        <w:t>CAPÍTULO DE LIBRO</w:t>
      </w:r>
    </w:p>
    <w:p>
      <w:pPr>
        <w:pStyle w:val="BodyText"/>
        <w:rPr>
          <w:b/>
        </w:rPr>
      </w:pPr>
    </w:p>
    <w:p>
      <w:pPr>
        <w:pStyle w:val="ListParagraph"/>
        <w:numPr>
          <w:ilvl w:val="0"/>
          <w:numId w:val="5"/>
        </w:numPr>
        <w:tabs>
          <w:tab w:pos="462" w:val="left" w:leader="none"/>
        </w:tabs>
        <w:spacing w:line="482" w:lineRule="auto" w:before="159" w:after="0"/>
        <w:ind w:left="462" w:right="117" w:hanging="360"/>
        <w:jc w:val="both"/>
        <w:rPr>
          <w:sz w:val="22"/>
        </w:rPr>
      </w:pPr>
      <w:r>
        <w:rPr>
          <w:b/>
          <w:sz w:val="22"/>
        </w:rPr>
        <w:t>Garofoli, G. </w:t>
      </w:r>
      <w:r>
        <w:rPr>
          <w:sz w:val="22"/>
        </w:rPr>
        <w:t>(1992) “Les systemes de peties entreprises; un cas paradigmatique de developpment endogene” en G. Benko y A. Lipietz. </w:t>
      </w:r>
      <w:r>
        <w:rPr>
          <w:i/>
          <w:sz w:val="22"/>
        </w:rPr>
        <w:t>Les regiones qui gagnent. Districts </w:t>
      </w:r>
      <w:r>
        <w:rPr>
          <w:i/>
          <w:sz w:val="22"/>
        </w:rPr>
        <w:t>et reseaux: les nouveaux paradigmes de la geographie economique. </w:t>
      </w:r>
      <w:r>
        <w:rPr>
          <w:sz w:val="22"/>
        </w:rPr>
        <w:t>PUF.</w:t>
      </w:r>
      <w:r>
        <w:rPr>
          <w:spacing w:val="-11"/>
          <w:sz w:val="22"/>
        </w:rPr>
        <w:t> </w:t>
      </w:r>
      <w:r>
        <w:rPr>
          <w:sz w:val="22"/>
        </w:rPr>
        <w:t>Paris.</w:t>
      </w:r>
    </w:p>
    <w:p>
      <w:pPr>
        <w:pStyle w:val="BodyText"/>
      </w:pPr>
    </w:p>
    <w:p>
      <w:pPr>
        <w:pStyle w:val="BodyText"/>
      </w:pPr>
    </w:p>
    <w:p>
      <w:pPr>
        <w:pStyle w:val="Heading2"/>
        <w:spacing w:before="161"/>
        <w:ind w:right="18"/>
        <w:jc w:val="left"/>
      </w:pPr>
      <w:r>
        <w:rPr/>
        <w:t>ARTÍCULO</w:t>
      </w:r>
    </w:p>
    <w:p>
      <w:pPr>
        <w:pStyle w:val="BodyText"/>
        <w:rPr>
          <w:b/>
        </w:rPr>
      </w:pPr>
    </w:p>
    <w:p>
      <w:pPr>
        <w:pStyle w:val="ListParagraph"/>
        <w:numPr>
          <w:ilvl w:val="0"/>
          <w:numId w:val="5"/>
        </w:numPr>
        <w:tabs>
          <w:tab w:pos="462" w:val="left" w:leader="none"/>
        </w:tabs>
        <w:spacing w:line="480" w:lineRule="auto" w:before="162" w:after="0"/>
        <w:ind w:left="462" w:right="118" w:hanging="360"/>
        <w:jc w:val="both"/>
        <w:rPr>
          <w:sz w:val="22"/>
        </w:rPr>
      </w:pPr>
      <w:r>
        <w:rPr>
          <w:b/>
          <w:sz w:val="22"/>
        </w:rPr>
        <w:t>Carrillo,</w:t>
      </w:r>
      <w:r>
        <w:rPr>
          <w:b/>
          <w:spacing w:val="-8"/>
          <w:sz w:val="22"/>
        </w:rPr>
        <w:t> </w:t>
      </w:r>
      <w:r>
        <w:rPr>
          <w:b/>
          <w:sz w:val="22"/>
        </w:rPr>
        <w:t>G.</w:t>
      </w:r>
      <w:r>
        <w:rPr>
          <w:b/>
          <w:spacing w:val="-7"/>
          <w:sz w:val="22"/>
        </w:rPr>
        <w:t> </w:t>
      </w:r>
      <w:r>
        <w:rPr>
          <w:b/>
          <w:sz w:val="22"/>
        </w:rPr>
        <w:t>y</w:t>
      </w:r>
      <w:r>
        <w:rPr>
          <w:b/>
          <w:spacing w:val="-11"/>
          <w:sz w:val="22"/>
        </w:rPr>
        <w:t> </w:t>
      </w:r>
      <w:r>
        <w:rPr>
          <w:b/>
          <w:sz w:val="22"/>
        </w:rPr>
        <w:t>Hernández,</w:t>
      </w:r>
      <w:r>
        <w:rPr>
          <w:b/>
          <w:spacing w:val="-5"/>
          <w:sz w:val="22"/>
        </w:rPr>
        <w:t> </w:t>
      </w:r>
      <w:r>
        <w:rPr>
          <w:b/>
          <w:sz w:val="22"/>
        </w:rPr>
        <w:t>R.</w:t>
      </w:r>
      <w:r>
        <w:rPr>
          <w:b/>
          <w:spacing w:val="-4"/>
          <w:sz w:val="22"/>
        </w:rPr>
        <w:t> </w:t>
      </w:r>
      <w:r>
        <w:rPr>
          <w:sz w:val="22"/>
        </w:rPr>
        <w:t>(2011)</w:t>
      </w:r>
      <w:r>
        <w:rPr>
          <w:spacing w:val="-8"/>
          <w:sz w:val="22"/>
        </w:rPr>
        <w:t> </w:t>
      </w:r>
      <w:r>
        <w:rPr>
          <w:sz w:val="22"/>
        </w:rPr>
        <w:t>“Adaptación</w:t>
      </w:r>
      <w:r>
        <w:rPr>
          <w:spacing w:val="-9"/>
          <w:sz w:val="22"/>
        </w:rPr>
        <w:t> </w:t>
      </w:r>
      <w:r>
        <w:rPr>
          <w:sz w:val="22"/>
        </w:rPr>
        <w:t>al</w:t>
      </w:r>
      <w:r>
        <w:rPr>
          <w:spacing w:val="-7"/>
          <w:sz w:val="22"/>
        </w:rPr>
        <w:t> </w:t>
      </w:r>
      <w:r>
        <w:rPr>
          <w:sz w:val="22"/>
        </w:rPr>
        <w:t>cambio</w:t>
      </w:r>
      <w:r>
        <w:rPr>
          <w:spacing w:val="-6"/>
          <w:sz w:val="22"/>
        </w:rPr>
        <w:t> </w:t>
      </w:r>
      <w:r>
        <w:rPr>
          <w:sz w:val="22"/>
        </w:rPr>
        <w:t>climático</w:t>
      </w:r>
      <w:r>
        <w:rPr>
          <w:spacing w:val="-6"/>
          <w:sz w:val="22"/>
        </w:rPr>
        <w:t> </w:t>
      </w:r>
      <w:r>
        <w:rPr>
          <w:sz w:val="22"/>
        </w:rPr>
        <w:t>desde</w:t>
      </w:r>
      <w:r>
        <w:rPr>
          <w:spacing w:val="-6"/>
          <w:sz w:val="22"/>
        </w:rPr>
        <w:t> </w:t>
      </w:r>
      <w:r>
        <w:rPr>
          <w:sz w:val="22"/>
        </w:rPr>
        <w:t>la</w:t>
      </w:r>
      <w:r>
        <w:rPr>
          <w:spacing w:val="-6"/>
          <w:sz w:val="22"/>
        </w:rPr>
        <w:t> </w:t>
      </w:r>
      <w:r>
        <w:rPr>
          <w:sz w:val="22"/>
        </w:rPr>
        <w:t>industria: una visión integral”, </w:t>
      </w:r>
      <w:r>
        <w:rPr>
          <w:i/>
          <w:sz w:val="22"/>
        </w:rPr>
        <w:t>Política y Cultura. </w:t>
      </w:r>
      <w:r>
        <w:rPr>
          <w:sz w:val="22"/>
        </w:rPr>
        <w:t>Otoño 2011. No. 36. Pp.</w:t>
      </w:r>
      <w:r>
        <w:rPr>
          <w:spacing w:val="-16"/>
          <w:sz w:val="22"/>
        </w:rPr>
        <w:t> </w:t>
      </w:r>
      <w:r>
        <w:rPr>
          <w:sz w:val="22"/>
        </w:rPr>
        <w:t>99-123.</w:t>
      </w:r>
    </w:p>
    <w:p>
      <w:pPr>
        <w:pStyle w:val="ListParagraph"/>
        <w:numPr>
          <w:ilvl w:val="0"/>
          <w:numId w:val="5"/>
        </w:numPr>
        <w:tabs>
          <w:tab w:pos="462" w:val="left" w:leader="none"/>
        </w:tabs>
        <w:spacing w:line="240" w:lineRule="auto" w:before="5" w:after="0"/>
        <w:ind w:left="462" w:right="0" w:hanging="360"/>
        <w:jc w:val="left"/>
        <w:rPr>
          <w:sz w:val="22"/>
        </w:rPr>
      </w:pPr>
      <w:r>
        <w:rPr>
          <w:b/>
          <w:sz w:val="22"/>
        </w:rPr>
        <w:t>Chertow,</w:t>
      </w:r>
      <w:r>
        <w:rPr>
          <w:b/>
          <w:spacing w:val="-19"/>
          <w:sz w:val="22"/>
        </w:rPr>
        <w:t> </w:t>
      </w:r>
      <w:r>
        <w:rPr>
          <w:b/>
          <w:sz w:val="22"/>
        </w:rPr>
        <w:t>M.</w:t>
      </w:r>
      <w:r>
        <w:rPr>
          <w:b/>
          <w:spacing w:val="-16"/>
          <w:sz w:val="22"/>
        </w:rPr>
        <w:t> </w:t>
      </w:r>
      <w:r>
        <w:rPr>
          <w:sz w:val="22"/>
        </w:rPr>
        <w:t>(2007)</w:t>
      </w:r>
      <w:r>
        <w:rPr>
          <w:spacing w:val="-17"/>
          <w:sz w:val="22"/>
        </w:rPr>
        <w:t> </w:t>
      </w:r>
      <w:r>
        <w:rPr>
          <w:sz w:val="22"/>
        </w:rPr>
        <w:t>“Uncovering</w:t>
      </w:r>
      <w:r>
        <w:rPr>
          <w:spacing w:val="-14"/>
          <w:sz w:val="22"/>
        </w:rPr>
        <w:t> </w:t>
      </w:r>
      <w:r>
        <w:rPr>
          <w:sz w:val="22"/>
        </w:rPr>
        <w:t>industrial</w:t>
      </w:r>
      <w:r>
        <w:rPr>
          <w:spacing w:val="-17"/>
          <w:sz w:val="22"/>
        </w:rPr>
        <w:t> </w:t>
      </w:r>
      <w:r>
        <w:rPr>
          <w:sz w:val="22"/>
        </w:rPr>
        <w:t>symbiosis”,</w:t>
      </w:r>
      <w:r>
        <w:rPr>
          <w:spacing w:val="-14"/>
          <w:sz w:val="22"/>
        </w:rPr>
        <w:t> </w:t>
      </w:r>
      <w:r>
        <w:rPr>
          <w:i/>
          <w:sz w:val="22"/>
        </w:rPr>
        <w:t>Journal</w:t>
      </w:r>
      <w:r>
        <w:rPr>
          <w:i/>
          <w:spacing w:val="-17"/>
          <w:sz w:val="22"/>
        </w:rPr>
        <w:t> </w:t>
      </w:r>
      <w:r>
        <w:rPr>
          <w:i/>
          <w:sz w:val="22"/>
        </w:rPr>
        <w:t>of</w:t>
      </w:r>
      <w:r>
        <w:rPr>
          <w:i/>
          <w:spacing w:val="-17"/>
          <w:sz w:val="22"/>
        </w:rPr>
        <w:t> </w:t>
      </w:r>
      <w:r>
        <w:rPr>
          <w:i/>
          <w:sz w:val="22"/>
        </w:rPr>
        <w:t>Industrial</w:t>
      </w:r>
      <w:r>
        <w:rPr>
          <w:i/>
          <w:spacing w:val="-19"/>
          <w:sz w:val="22"/>
        </w:rPr>
        <w:t> </w:t>
      </w:r>
      <w:r>
        <w:rPr>
          <w:i/>
          <w:sz w:val="22"/>
        </w:rPr>
        <w:t>Ecology.</w:t>
      </w:r>
      <w:r>
        <w:rPr>
          <w:i/>
          <w:spacing w:val="-13"/>
          <w:sz w:val="22"/>
        </w:rPr>
        <w:t> </w:t>
      </w:r>
      <w:r>
        <w:rPr>
          <w:sz w:val="22"/>
        </w:rPr>
        <w:t>Vol.</w:t>
      </w:r>
    </w:p>
    <w:p>
      <w:pPr>
        <w:pStyle w:val="BodyText"/>
        <w:spacing w:before="2"/>
      </w:pPr>
    </w:p>
    <w:p>
      <w:pPr>
        <w:pStyle w:val="BodyText"/>
        <w:spacing w:before="1"/>
        <w:ind w:left="461" w:right="18"/>
      </w:pPr>
      <w:r>
        <w:rPr/>
        <w:t>11. No. 1.</w:t>
      </w:r>
    </w:p>
    <w:p>
      <w:pPr>
        <w:spacing w:after="0"/>
        <w:sectPr>
          <w:pgSz w:w="12240" w:h="15840"/>
          <w:pgMar w:top="1360" w:bottom="280" w:left="1600" w:right="1580"/>
        </w:sectPr>
      </w:pPr>
    </w:p>
    <w:p>
      <w:pPr>
        <w:pStyle w:val="BodyText"/>
        <w:rPr>
          <w:sz w:val="20"/>
        </w:rPr>
      </w:pPr>
    </w:p>
    <w:p>
      <w:pPr>
        <w:pStyle w:val="BodyText"/>
        <w:rPr>
          <w:sz w:val="20"/>
        </w:rPr>
      </w:pPr>
    </w:p>
    <w:p>
      <w:pPr>
        <w:pStyle w:val="BodyText"/>
        <w:rPr>
          <w:sz w:val="20"/>
        </w:rPr>
      </w:pPr>
    </w:p>
    <w:p>
      <w:pPr>
        <w:pStyle w:val="BodyText"/>
        <w:spacing w:before="4"/>
        <w:rPr>
          <w:sz w:val="20"/>
        </w:rPr>
      </w:pPr>
    </w:p>
    <w:p>
      <w:pPr>
        <w:pStyle w:val="Heading2"/>
        <w:ind w:right="18"/>
        <w:jc w:val="left"/>
      </w:pPr>
      <w:r>
        <w:rPr/>
        <w:t>PÁGINA ELECTRÓNICA</w:t>
      </w:r>
    </w:p>
    <w:p>
      <w:pPr>
        <w:pStyle w:val="BodyText"/>
        <w:rPr>
          <w:b/>
        </w:rPr>
      </w:pPr>
    </w:p>
    <w:p>
      <w:pPr>
        <w:pStyle w:val="ListParagraph"/>
        <w:numPr>
          <w:ilvl w:val="0"/>
          <w:numId w:val="5"/>
        </w:numPr>
        <w:tabs>
          <w:tab w:pos="462" w:val="left" w:leader="none"/>
          <w:tab w:pos="1421" w:val="left" w:leader="none"/>
          <w:tab w:pos="2220" w:val="left" w:leader="none"/>
          <w:tab w:pos="4828" w:val="left" w:leader="none"/>
          <w:tab w:pos="5982" w:val="left" w:leader="none"/>
          <w:tab w:pos="6476" w:val="left" w:leader="none"/>
          <w:tab w:pos="6896" w:val="left" w:leader="none"/>
          <w:tab w:pos="8182" w:val="left" w:leader="none"/>
        </w:tabs>
        <w:spacing w:line="480" w:lineRule="auto" w:before="161" w:after="0"/>
        <w:ind w:left="462" w:right="118" w:hanging="360"/>
        <w:jc w:val="left"/>
        <w:rPr>
          <w:sz w:val="22"/>
        </w:rPr>
      </w:pPr>
      <w:r>
        <w:rPr>
          <w:b/>
          <w:sz w:val="22"/>
        </w:rPr>
        <w:t>Secretaría</w:t>
      </w:r>
      <w:r>
        <w:rPr>
          <w:b/>
          <w:spacing w:val="-12"/>
          <w:sz w:val="22"/>
        </w:rPr>
        <w:t> </w:t>
      </w:r>
      <w:r>
        <w:rPr>
          <w:b/>
          <w:sz w:val="22"/>
        </w:rPr>
        <w:t>de</w:t>
      </w:r>
      <w:r>
        <w:rPr>
          <w:b/>
          <w:spacing w:val="-10"/>
          <w:sz w:val="22"/>
        </w:rPr>
        <w:t> </w:t>
      </w:r>
      <w:r>
        <w:rPr>
          <w:b/>
          <w:sz w:val="22"/>
        </w:rPr>
        <w:t>Economía</w:t>
      </w:r>
      <w:r>
        <w:rPr>
          <w:b/>
          <w:spacing w:val="-10"/>
          <w:sz w:val="22"/>
        </w:rPr>
        <w:t> </w:t>
      </w:r>
      <w:r>
        <w:rPr>
          <w:b/>
          <w:sz w:val="22"/>
        </w:rPr>
        <w:t>(SE),</w:t>
      </w:r>
      <w:r>
        <w:rPr>
          <w:b/>
          <w:spacing w:val="-13"/>
          <w:sz w:val="22"/>
        </w:rPr>
        <w:t> </w:t>
      </w:r>
      <w:r>
        <w:rPr>
          <w:sz w:val="22"/>
        </w:rPr>
        <w:t>(2011),</w:t>
      </w:r>
      <w:r>
        <w:rPr>
          <w:spacing w:val="-8"/>
          <w:sz w:val="22"/>
        </w:rPr>
        <w:t> </w:t>
      </w:r>
      <w:r>
        <w:rPr>
          <w:i/>
          <w:sz w:val="22"/>
        </w:rPr>
        <w:t>Norma</w:t>
      </w:r>
      <w:r>
        <w:rPr>
          <w:i/>
          <w:spacing w:val="-12"/>
          <w:sz w:val="22"/>
        </w:rPr>
        <w:t> </w:t>
      </w:r>
      <w:r>
        <w:rPr>
          <w:i/>
          <w:sz w:val="22"/>
        </w:rPr>
        <w:t>oficial</w:t>
      </w:r>
      <w:r>
        <w:rPr>
          <w:i/>
          <w:spacing w:val="-11"/>
          <w:sz w:val="22"/>
        </w:rPr>
        <w:t> </w:t>
      </w:r>
      <w:r>
        <w:rPr>
          <w:i/>
          <w:sz w:val="22"/>
        </w:rPr>
        <w:t>mexicana</w:t>
      </w:r>
      <w:r>
        <w:rPr>
          <w:i/>
          <w:spacing w:val="-12"/>
          <w:sz w:val="22"/>
        </w:rPr>
        <w:t> </w:t>
      </w:r>
      <w:r>
        <w:rPr>
          <w:i/>
          <w:sz w:val="22"/>
        </w:rPr>
        <w:t>de</w:t>
      </w:r>
      <w:r>
        <w:rPr>
          <w:i/>
          <w:spacing w:val="-12"/>
          <w:sz w:val="22"/>
        </w:rPr>
        <w:t> </w:t>
      </w:r>
      <w:r>
        <w:rPr>
          <w:i/>
          <w:sz w:val="22"/>
        </w:rPr>
        <w:t>parques</w:t>
      </w:r>
      <w:r>
        <w:rPr>
          <w:i/>
          <w:spacing w:val="-9"/>
          <w:sz w:val="22"/>
        </w:rPr>
        <w:t> </w:t>
      </w:r>
      <w:r>
        <w:rPr>
          <w:i/>
          <w:sz w:val="22"/>
        </w:rPr>
        <w:t>industriales, </w:t>
      </w:r>
      <w:r>
        <w:rPr>
          <w:i/>
          <w:sz w:val="22"/>
        </w:rPr>
        <w:t>versión</w:t>
        <w:tab/>
        <w:t>2011.</w:t>
        <w:tab/>
        <w:t>NMX-R-046-SCFI-2011.</w:t>
        <w:tab/>
      </w:r>
      <w:r>
        <w:rPr>
          <w:sz w:val="22"/>
        </w:rPr>
        <w:t>Gobierno</w:t>
        <w:tab/>
        <w:t>de</w:t>
        <w:tab/>
        <w:t>la</w:t>
        <w:tab/>
        <w:t>República.</w:t>
        <w:tab/>
      </w:r>
      <w:r>
        <w:rPr>
          <w:spacing w:val="-1"/>
          <w:sz w:val="22"/>
        </w:rPr>
        <w:t>México. </w:t>
      </w:r>
      <w:hyperlink r:id="rId19">
        <w:r>
          <w:rPr>
            <w:sz w:val="22"/>
          </w:rPr>
          <w:t>http://www.economia-nmx.gob.mx/normas/nmx/2010/proy-nmx-r-046-scfi-2015.pdf.</w:t>
        </w:r>
      </w:hyperlink>
      <w:r>
        <w:rPr>
          <w:sz w:val="22"/>
        </w:rPr>
        <w:t> Consultado en noviembre de</w:t>
      </w:r>
      <w:r>
        <w:rPr>
          <w:spacing w:val="-9"/>
          <w:sz w:val="22"/>
        </w:rPr>
        <w:t> </w:t>
      </w:r>
      <w:r>
        <w:rPr>
          <w:sz w:val="22"/>
        </w:rPr>
        <w:t>2015.</w:t>
      </w:r>
    </w:p>
    <w:p>
      <w:pPr>
        <w:spacing w:line="480" w:lineRule="auto" w:before="8"/>
        <w:ind w:left="461" w:right="116" w:hanging="360"/>
        <w:jc w:val="both"/>
        <w:rPr>
          <w:sz w:val="22"/>
        </w:rPr>
      </w:pPr>
      <w:r>
        <w:rPr>
          <w:rFonts w:ascii="Wingdings" w:hAnsi="Wingdings"/>
          <w:sz w:val="22"/>
        </w:rPr>
        <w:t></w:t>
      </w:r>
      <w:r>
        <w:rPr>
          <w:rFonts w:ascii="Times New Roman" w:hAnsi="Times New Roman"/>
          <w:sz w:val="22"/>
        </w:rPr>
        <w:t> </w:t>
      </w:r>
      <w:r>
        <w:rPr>
          <w:sz w:val="22"/>
        </w:rPr>
        <w:t>--------------------------------------------, (2005), </w:t>
      </w:r>
      <w:r>
        <w:rPr>
          <w:i/>
          <w:sz w:val="22"/>
        </w:rPr>
        <w:t>Norma oficial mexicana de parques </w:t>
      </w:r>
      <w:r>
        <w:rPr>
          <w:i/>
          <w:sz w:val="22"/>
        </w:rPr>
        <w:t>industriales, versión 2005. NMX-R-046-SCFI-2005. </w:t>
      </w:r>
      <w:r>
        <w:rPr>
          <w:sz w:val="22"/>
        </w:rPr>
        <w:t>Gobierno de la República. México. </w:t>
      </w:r>
      <w:hyperlink r:id="rId20">
        <w:r>
          <w:rPr>
            <w:color w:val="0000FF"/>
            <w:sz w:val="22"/>
            <w:u w:val="single" w:color="0000FF"/>
          </w:rPr>
          <w:t>http://www.economia-nmx.gob.mx/normas/nmx/20105/proy-nmx-r-046-scfi-2005.pdf</w:t>
        </w:r>
      </w:hyperlink>
      <w:r>
        <w:rPr>
          <w:sz w:val="22"/>
        </w:rPr>
        <w:t>.</w:t>
      </w:r>
    </w:p>
    <w:p>
      <w:pPr>
        <w:pStyle w:val="BodyText"/>
        <w:spacing w:before="7"/>
        <w:ind w:left="461" w:right="18"/>
      </w:pPr>
      <w:r>
        <w:rPr/>
        <w:t>Consultado en noviembre de 2015.</w:t>
      </w:r>
    </w:p>
    <w:p>
      <w:pPr>
        <w:pStyle w:val="BodyText"/>
        <w:spacing w:before="9"/>
        <w:rPr>
          <w:sz w:val="21"/>
        </w:rPr>
      </w:pPr>
    </w:p>
    <w:p>
      <w:pPr>
        <w:spacing w:line="261" w:lineRule="auto" w:before="0"/>
        <w:ind w:left="102" w:right="647" w:firstLine="0"/>
        <w:jc w:val="left"/>
        <w:rPr>
          <w:sz w:val="22"/>
        </w:rPr>
      </w:pPr>
      <w:r>
        <w:rPr>
          <w:b/>
          <w:sz w:val="22"/>
        </w:rPr>
        <w:t>SIMPPI, </w:t>
      </w:r>
      <w:r>
        <w:rPr>
          <w:sz w:val="22"/>
        </w:rPr>
        <w:t>(2015), </w:t>
      </w:r>
      <w:r>
        <w:rPr>
          <w:i/>
          <w:sz w:val="22"/>
        </w:rPr>
        <w:t>Localización e infraestructura de los parques industriales en México. </w:t>
      </w:r>
      <w:r>
        <w:rPr>
          <w:sz w:val="22"/>
        </w:rPr>
        <w:t>Sistema Mexicano de Promoción de Parques Industriales. Disponible en </w:t>
      </w:r>
      <w:hyperlink r:id="rId21">
        <w:r>
          <w:rPr>
            <w:color w:val="0000FF"/>
            <w:sz w:val="22"/>
            <w:u w:val="single" w:color="0000FF"/>
          </w:rPr>
          <w:t>http://www.contactopyme.gob.mx/parques/intranets.asp</w:t>
        </w:r>
      </w:hyperlink>
    </w:p>
    <w:sectPr>
      <w:pgSz w:w="12240" w:h="15840"/>
      <w:pgMar w:top="150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Math">
    <w:altName w:val="Cambria Math"/>
    <w:charset w:val="0"/>
    <w:family w:val="roman"/>
    <w:pitch w:val="variable"/>
  </w:font>
  <w:font w:name="Wingdings">
    <w:altName w:val="Wingdings"/>
    <w:charset w:val="2"/>
    <w:family w:val="auto"/>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bullet"/>
      <w:lvlText w:val=""/>
      <w:lvlJc w:val="left"/>
      <w:pPr>
        <w:ind w:left="462" w:hanging="360"/>
      </w:pPr>
      <w:rPr>
        <w:rFonts w:hint="default" w:ascii="Wingdings" w:hAnsi="Wingdings" w:eastAsia="Wingdings" w:cs="Wingdings"/>
        <w:w w:val="100"/>
        <w:sz w:val="22"/>
        <w:szCs w:val="22"/>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
    <w:multiLevelType w:val="hybridMultilevel"/>
    <w:lvl w:ilvl="0">
      <w:start w:val="1"/>
      <w:numFmt w:val="decimal"/>
      <w:lvlText w:val="%1)"/>
      <w:lvlJc w:val="left"/>
      <w:pPr>
        <w:ind w:left="102" w:hanging="259"/>
        <w:jc w:val="left"/>
      </w:pPr>
      <w:rPr>
        <w:rFonts w:hint="default" w:ascii="Arial" w:hAnsi="Arial" w:eastAsia="Arial" w:cs="Arial"/>
        <w:w w:val="100"/>
        <w:sz w:val="22"/>
        <w:szCs w:val="22"/>
      </w:rPr>
    </w:lvl>
    <w:lvl w:ilvl="1">
      <w:start w:val="1"/>
      <w:numFmt w:val="bullet"/>
      <w:lvlText w:val="•"/>
      <w:lvlJc w:val="left"/>
      <w:pPr>
        <w:ind w:left="996" w:hanging="259"/>
      </w:pPr>
      <w:rPr>
        <w:rFonts w:hint="default"/>
      </w:rPr>
    </w:lvl>
    <w:lvl w:ilvl="2">
      <w:start w:val="1"/>
      <w:numFmt w:val="bullet"/>
      <w:lvlText w:val="•"/>
      <w:lvlJc w:val="left"/>
      <w:pPr>
        <w:ind w:left="1892" w:hanging="259"/>
      </w:pPr>
      <w:rPr>
        <w:rFonts w:hint="default"/>
      </w:rPr>
    </w:lvl>
    <w:lvl w:ilvl="3">
      <w:start w:val="1"/>
      <w:numFmt w:val="bullet"/>
      <w:lvlText w:val="•"/>
      <w:lvlJc w:val="left"/>
      <w:pPr>
        <w:ind w:left="2788" w:hanging="259"/>
      </w:pPr>
      <w:rPr>
        <w:rFonts w:hint="default"/>
      </w:rPr>
    </w:lvl>
    <w:lvl w:ilvl="4">
      <w:start w:val="1"/>
      <w:numFmt w:val="bullet"/>
      <w:lvlText w:val="•"/>
      <w:lvlJc w:val="left"/>
      <w:pPr>
        <w:ind w:left="3684" w:hanging="259"/>
      </w:pPr>
      <w:rPr>
        <w:rFonts w:hint="default"/>
      </w:rPr>
    </w:lvl>
    <w:lvl w:ilvl="5">
      <w:start w:val="1"/>
      <w:numFmt w:val="bullet"/>
      <w:lvlText w:val="•"/>
      <w:lvlJc w:val="left"/>
      <w:pPr>
        <w:ind w:left="4580" w:hanging="259"/>
      </w:pPr>
      <w:rPr>
        <w:rFonts w:hint="default"/>
      </w:rPr>
    </w:lvl>
    <w:lvl w:ilvl="6">
      <w:start w:val="1"/>
      <w:numFmt w:val="bullet"/>
      <w:lvlText w:val="•"/>
      <w:lvlJc w:val="left"/>
      <w:pPr>
        <w:ind w:left="5476" w:hanging="259"/>
      </w:pPr>
      <w:rPr>
        <w:rFonts w:hint="default"/>
      </w:rPr>
    </w:lvl>
    <w:lvl w:ilvl="7">
      <w:start w:val="1"/>
      <w:numFmt w:val="bullet"/>
      <w:lvlText w:val="•"/>
      <w:lvlJc w:val="left"/>
      <w:pPr>
        <w:ind w:left="6372" w:hanging="259"/>
      </w:pPr>
      <w:rPr>
        <w:rFonts w:hint="default"/>
      </w:rPr>
    </w:lvl>
    <w:lvl w:ilvl="8">
      <w:start w:val="1"/>
      <w:numFmt w:val="bullet"/>
      <w:lvlText w:val="•"/>
      <w:lvlJc w:val="left"/>
      <w:pPr>
        <w:ind w:left="7268" w:hanging="259"/>
      </w:pPr>
      <w:rPr>
        <w:rFonts w:hint="default"/>
      </w:rPr>
    </w:lvl>
  </w:abstractNum>
  <w:abstractNum w:abstractNumId="2">
    <w:multiLevelType w:val="hybridMultilevel"/>
    <w:lvl w:ilvl="0">
      <w:start w:val="1"/>
      <w:numFmt w:val="decimal"/>
      <w:lvlText w:val="%1)"/>
      <w:lvlJc w:val="left"/>
      <w:pPr>
        <w:ind w:left="462" w:hanging="360"/>
        <w:jc w:val="left"/>
      </w:pPr>
      <w:rPr>
        <w:rFonts w:hint="default" w:ascii="Arial" w:hAnsi="Arial" w:eastAsia="Arial" w:cs="Arial"/>
        <w:spacing w:val="-1"/>
        <w:w w:val="100"/>
        <w:sz w:val="22"/>
        <w:szCs w:val="22"/>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
    <w:multiLevelType w:val="hybridMultilevel"/>
    <w:lvl w:ilvl="0">
      <w:start w:val="1"/>
      <w:numFmt w:val="bullet"/>
      <w:lvlText w:val="-"/>
      <w:lvlJc w:val="left"/>
      <w:pPr>
        <w:ind w:left="102" w:hanging="137"/>
      </w:pPr>
      <w:rPr>
        <w:rFonts w:hint="default" w:ascii="Arial" w:hAnsi="Arial" w:eastAsia="Arial" w:cs="Arial"/>
        <w:w w:val="100"/>
        <w:sz w:val="22"/>
        <w:szCs w:val="22"/>
      </w:rPr>
    </w:lvl>
    <w:lvl w:ilvl="1">
      <w:start w:val="1"/>
      <w:numFmt w:val="bullet"/>
      <w:lvlText w:val="•"/>
      <w:lvlJc w:val="left"/>
      <w:pPr>
        <w:ind w:left="996" w:hanging="137"/>
      </w:pPr>
      <w:rPr>
        <w:rFonts w:hint="default"/>
      </w:rPr>
    </w:lvl>
    <w:lvl w:ilvl="2">
      <w:start w:val="1"/>
      <w:numFmt w:val="bullet"/>
      <w:lvlText w:val="•"/>
      <w:lvlJc w:val="left"/>
      <w:pPr>
        <w:ind w:left="1892" w:hanging="137"/>
      </w:pPr>
      <w:rPr>
        <w:rFonts w:hint="default"/>
      </w:rPr>
    </w:lvl>
    <w:lvl w:ilvl="3">
      <w:start w:val="1"/>
      <w:numFmt w:val="bullet"/>
      <w:lvlText w:val="•"/>
      <w:lvlJc w:val="left"/>
      <w:pPr>
        <w:ind w:left="2788" w:hanging="137"/>
      </w:pPr>
      <w:rPr>
        <w:rFonts w:hint="default"/>
      </w:rPr>
    </w:lvl>
    <w:lvl w:ilvl="4">
      <w:start w:val="1"/>
      <w:numFmt w:val="bullet"/>
      <w:lvlText w:val="•"/>
      <w:lvlJc w:val="left"/>
      <w:pPr>
        <w:ind w:left="3684" w:hanging="137"/>
      </w:pPr>
      <w:rPr>
        <w:rFonts w:hint="default"/>
      </w:rPr>
    </w:lvl>
    <w:lvl w:ilvl="5">
      <w:start w:val="1"/>
      <w:numFmt w:val="bullet"/>
      <w:lvlText w:val="•"/>
      <w:lvlJc w:val="left"/>
      <w:pPr>
        <w:ind w:left="4580" w:hanging="137"/>
      </w:pPr>
      <w:rPr>
        <w:rFonts w:hint="default"/>
      </w:rPr>
    </w:lvl>
    <w:lvl w:ilvl="6">
      <w:start w:val="1"/>
      <w:numFmt w:val="bullet"/>
      <w:lvlText w:val="•"/>
      <w:lvlJc w:val="left"/>
      <w:pPr>
        <w:ind w:left="5476" w:hanging="137"/>
      </w:pPr>
      <w:rPr>
        <w:rFonts w:hint="default"/>
      </w:rPr>
    </w:lvl>
    <w:lvl w:ilvl="7">
      <w:start w:val="1"/>
      <w:numFmt w:val="bullet"/>
      <w:lvlText w:val="•"/>
      <w:lvlJc w:val="left"/>
      <w:pPr>
        <w:ind w:left="6372" w:hanging="137"/>
      </w:pPr>
      <w:rPr>
        <w:rFonts w:hint="default"/>
      </w:rPr>
    </w:lvl>
    <w:lvl w:ilvl="8">
      <w:start w:val="1"/>
      <w:numFmt w:val="bullet"/>
      <w:lvlText w:val="•"/>
      <w:lvlJc w:val="left"/>
      <w:pPr>
        <w:ind w:left="7268" w:hanging="137"/>
      </w:pPr>
      <w:rPr>
        <w:rFonts w:hint="default"/>
      </w:rPr>
    </w:lvl>
  </w:abstractNum>
  <w:abstractNum w:abstractNumId="0">
    <w:multiLevelType w:val="hybridMultilevel"/>
    <w:lvl w:ilvl="0">
      <w:start w:val="1"/>
      <w:numFmt w:val="decimal"/>
      <w:lvlText w:val="%1."/>
      <w:lvlJc w:val="left"/>
      <w:pPr>
        <w:ind w:left="349" w:hanging="248"/>
        <w:jc w:val="left"/>
      </w:pPr>
      <w:rPr>
        <w:rFonts w:hint="default" w:ascii="Arial" w:hAnsi="Arial" w:eastAsia="Arial" w:cs="Arial"/>
        <w:spacing w:val="-1"/>
        <w:w w:val="100"/>
        <w:sz w:val="22"/>
        <w:szCs w:val="22"/>
      </w:rPr>
    </w:lvl>
    <w:lvl w:ilvl="1">
      <w:start w:val="1"/>
      <w:numFmt w:val="bullet"/>
      <w:lvlText w:val="•"/>
      <w:lvlJc w:val="left"/>
      <w:pPr>
        <w:ind w:left="1212" w:hanging="248"/>
      </w:pPr>
      <w:rPr>
        <w:rFonts w:hint="default"/>
      </w:rPr>
    </w:lvl>
    <w:lvl w:ilvl="2">
      <w:start w:val="1"/>
      <w:numFmt w:val="bullet"/>
      <w:lvlText w:val="•"/>
      <w:lvlJc w:val="left"/>
      <w:pPr>
        <w:ind w:left="2084" w:hanging="248"/>
      </w:pPr>
      <w:rPr>
        <w:rFonts w:hint="default"/>
      </w:rPr>
    </w:lvl>
    <w:lvl w:ilvl="3">
      <w:start w:val="1"/>
      <w:numFmt w:val="bullet"/>
      <w:lvlText w:val="•"/>
      <w:lvlJc w:val="left"/>
      <w:pPr>
        <w:ind w:left="2956" w:hanging="248"/>
      </w:pPr>
      <w:rPr>
        <w:rFonts w:hint="default"/>
      </w:rPr>
    </w:lvl>
    <w:lvl w:ilvl="4">
      <w:start w:val="1"/>
      <w:numFmt w:val="bullet"/>
      <w:lvlText w:val="•"/>
      <w:lvlJc w:val="left"/>
      <w:pPr>
        <w:ind w:left="3828" w:hanging="248"/>
      </w:pPr>
      <w:rPr>
        <w:rFonts w:hint="default"/>
      </w:rPr>
    </w:lvl>
    <w:lvl w:ilvl="5">
      <w:start w:val="1"/>
      <w:numFmt w:val="bullet"/>
      <w:lvlText w:val="•"/>
      <w:lvlJc w:val="left"/>
      <w:pPr>
        <w:ind w:left="4700" w:hanging="248"/>
      </w:pPr>
      <w:rPr>
        <w:rFonts w:hint="default"/>
      </w:rPr>
    </w:lvl>
    <w:lvl w:ilvl="6">
      <w:start w:val="1"/>
      <w:numFmt w:val="bullet"/>
      <w:lvlText w:val="•"/>
      <w:lvlJc w:val="left"/>
      <w:pPr>
        <w:ind w:left="5572" w:hanging="248"/>
      </w:pPr>
      <w:rPr>
        <w:rFonts w:hint="default"/>
      </w:rPr>
    </w:lvl>
    <w:lvl w:ilvl="7">
      <w:start w:val="1"/>
      <w:numFmt w:val="bullet"/>
      <w:lvlText w:val="•"/>
      <w:lvlJc w:val="left"/>
      <w:pPr>
        <w:ind w:left="6444" w:hanging="248"/>
      </w:pPr>
      <w:rPr>
        <w:rFonts w:hint="default"/>
      </w:rPr>
    </w:lvl>
    <w:lvl w:ilvl="8">
      <w:start w:val="1"/>
      <w:numFmt w:val="bullet"/>
      <w:lvlText w:val="•"/>
      <w:lvlJc w:val="left"/>
      <w:pPr>
        <w:ind w:left="7316" w:hanging="248"/>
      </w:pPr>
      <w:rPr>
        <w:rFonts w:hint="default"/>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60"/>
      <w:jc w:val="center"/>
      <w:outlineLvl w:val="1"/>
    </w:pPr>
    <w:rPr>
      <w:rFonts w:ascii="Arial" w:hAnsi="Arial" w:eastAsia="Arial" w:cs="Arial"/>
      <w:b/>
      <w:bCs/>
      <w:sz w:val="24"/>
      <w:szCs w:val="24"/>
    </w:rPr>
  </w:style>
  <w:style w:styleId="Heading2" w:type="paragraph">
    <w:name w:val="Heading 2"/>
    <w:basedOn w:val="Normal"/>
    <w:uiPriority w:val="1"/>
    <w:qFormat/>
    <w:pPr>
      <w:ind w:left="102"/>
      <w:jc w:val="both"/>
      <w:outlineLvl w:val="2"/>
    </w:pPr>
    <w:rPr>
      <w:rFonts w:ascii="Arial" w:hAnsi="Arial" w:eastAsia="Arial" w:cs="Arial"/>
      <w:b/>
      <w:bCs/>
      <w:sz w:val="22"/>
      <w:szCs w:val="22"/>
    </w:rPr>
  </w:style>
  <w:style w:styleId="ListParagraph" w:type="paragraph">
    <w:name w:val="List Paragraph"/>
    <w:basedOn w:val="Normal"/>
    <w:uiPriority w:val="1"/>
    <w:qFormat/>
    <w:pPr>
      <w:spacing w:before="159"/>
      <w:ind w:left="46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hyperlink" Target="mailto:iglesiaspdavid@gmail.com" TargetMode="External"/><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hyperlink" Target="http://www.economia-nmx.gob.mx/normas/nmx/2010/proy-nmx-r-046-scfi-2015.pdf" TargetMode="External"/><Relationship Id="rId20" Type="http://schemas.openxmlformats.org/officeDocument/2006/relationships/hyperlink" Target="http://www.economia-nmx.gob.mx/normas/nmx/20105/proy-nmx-r-046-scfi-2005.pdf" TargetMode="External"/><Relationship Id="rId21" Type="http://schemas.openxmlformats.org/officeDocument/2006/relationships/hyperlink" Target="http://www.contactopyme.gob.mx/parques/intranets.asp" TargetMode="External"/><Relationship Id="rId2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Iglesias Piña</dc:creator>
  <dcterms:created xsi:type="dcterms:W3CDTF">2017-06-05T18:06:34Z</dcterms:created>
  <dcterms:modified xsi:type="dcterms:W3CDTF">2017-06-05T18:06:34Z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2017-01-17T00:00:00Z</vt:filetime>
  </property>
  <property fmtid="{D5CDD505-2E9C-101B-9397-08002B2CF9AE}" pid="3" name="Creator">
    <vt:lpwstr>Microsoft® Word 2013</vt:lpwstr>
  </property>
  <property fmtid="{D5CDD505-2E9C-101B-9397-08002B2CF9AE}" pid="4" name="LastSaved">
    <vt:filetime>2017-06-05T00:00:00Z</vt:filetime>
  </property>
</Properties>
</file>