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31"/>
        <w:ind w:left="117" w:right="175" w:firstLine="0"/>
        <w:jc w:val="center"/>
        <w:rPr>
          <w:rFonts w:ascii="Times New Roman" w:hAnsi="Times New Roman"/>
          <w:sz w:val="40"/>
        </w:rPr>
      </w:pPr>
      <w:r>
        <w:rPr>
          <w:rFonts w:ascii="Times New Roman" w:hAnsi="Times New Roman"/>
          <w:sz w:val="40"/>
        </w:rPr>
        <w:t>UNIVERSIDAD AUTÓNOMA DEL ESTADO DE MÉXICO</w:t>
      </w:r>
    </w:p>
    <w:p>
      <w:pPr>
        <w:spacing w:before="38"/>
        <w:ind w:left="117" w:right="173" w:firstLine="0"/>
        <w:jc w:val="center"/>
        <w:rPr>
          <w:rFonts w:ascii="Times New Roman" w:hAnsi="Times New Roman"/>
          <w:sz w:val="28"/>
        </w:rPr>
      </w:pPr>
      <w:r>
        <w:rPr>
          <w:rFonts w:ascii="Times New Roman" w:hAnsi="Times New Roman"/>
          <w:sz w:val="28"/>
        </w:rPr>
        <w:t>FACULTAD DE CONTADURÍA Y ADMINISTRACIÓN</w:t>
      </w:r>
    </w:p>
    <w:p>
      <w:pPr>
        <w:pStyle w:val="BodyText"/>
        <w:rPr>
          <w:rFonts w:ascii="Times New Roman"/>
          <w:sz w:val="20"/>
        </w:rPr>
      </w:pPr>
    </w:p>
    <w:p>
      <w:pPr>
        <w:pStyle w:val="BodyText"/>
        <w:rPr>
          <w:rFonts w:ascii="Times New Roman"/>
          <w:sz w:val="20"/>
        </w:rPr>
      </w:pPr>
    </w:p>
    <w:p>
      <w:pPr>
        <w:pStyle w:val="BodyText"/>
        <w:rPr>
          <w:rFonts w:ascii="Times New Roman"/>
          <w:sz w:val="18"/>
        </w:rPr>
      </w:pPr>
      <w:r>
        <w:rPr/>
        <w:drawing>
          <wp:anchor distT="0" distB="0" distL="0" distR="0" allowOverlap="1" layoutInCell="1" locked="0" behindDoc="0" simplePos="0" relativeHeight="0">
            <wp:simplePos x="0" y="0"/>
            <wp:positionH relativeFrom="page">
              <wp:posOffset>3138297</wp:posOffset>
            </wp:positionH>
            <wp:positionV relativeFrom="paragraph">
              <wp:posOffset>156715</wp:posOffset>
            </wp:positionV>
            <wp:extent cx="1611124" cy="1420177"/>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611124" cy="1420177"/>
                    </a:xfrm>
                    <a:prstGeom prst="rect">
                      <a:avLst/>
                    </a:prstGeom>
                  </pic:spPr>
                </pic:pic>
              </a:graphicData>
            </a:graphic>
          </wp:anchor>
        </w:drawing>
      </w:r>
    </w:p>
    <w:p>
      <w:pPr>
        <w:pStyle w:val="BodyText"/>
        <w:rPr>
          <w:rFonts w:ascii="Times New Roman"/>
          <w:sz w:val="28"/>
        </w:rPr>
      </w:pPr>
    </w:p>
    <w:p>
      <w:pPr>
        <w:pStyle w:val="BodyText"/>
        <w:rPr>
          <w:rFonts w:ascii="Times New Roman"/>
          <w:sz w:val="28"/>
        </w:rPr>
      </w:pPr>
    </w:p>
    <w:p>
      <w:pPr>
        <w:pStyle w:val="BodyText"/>
        <w:spacing w:before="7"/>
        <w:rPr>
          <w:rFonts w:ascii="Times New Roman"/>
          <w:sz w:val="31"/>
        </w:rPr>
      </w:pPr>
    </w:p>
    <w:p>
      <w:pPr>
        <w:spacing w:before="0"/>
        <w:ind w:left="117" w:right="175" w:firstLine="0"/>
        <w:jc w:val="center"/>
        <w:rPr>
          <w:rFonts w:ascii="Tahoma" w:hAnsi="Tahoma"/>
          <w:sz w:val="40"/>
        </w:rPr>
      </w:pPr>
      <w:r>
        <w:rPr>
          <w:rFonts w:ascii="Tahoma" w:hAnsi="Tahoma"/>
          <w:sz w:val="40"/>
        </w:rPr>
        <w:t>Impacto en los costos de sobrellenado de producto terminado en la elaboración de caldos extruidos de una empresa de giro alimenticio.</w:t>
      </w:r>
    </w:p>
    <w:p>
      <w:pPr>
        <w:spacing w:before="2"/>
        <w:ind w:left="116" w:right="175" w:firstLine="0"/>
        <w:jc w:val="center"/>
        <w:rPr>
          <w:rFonts w:ascii="Tahoma"/>
          <w:sz w:val="40"/>
        </w:rPr>
      </w:pPr>
      <w:r>
        <w:rPr>
          <w:rFonts w:ascii="Tahoma"/>
          <w:sz w:val="40"/>
        </w:rPr>
        <w:t>Propuesta de control de las variables de proceso. (2015)</w:t>
      </w:r>
    </w:p>
    <w:p>
      <w:pPr>
        <w:pStyle w:val="BodyText"/>
        <w:rPr>
          <w:rFonts w:ascii="Tahoma"/>
          <w:sz w:val="40"/>
        </w:rPr>
      </w:pPr>
    </w:p>
    <w:p>
      <w:pPr>
        <w:pStyle w:val="BodyText"/>
        <w:spacing w:before="6"/>
        <w:rPr>
          <w:rFonts w:ascii="Tahoma"/>
          <w:sz w:val="37"/>
        </w:rPr>
      </w:pPr>
    </w:p>
    <w:p>
      <w:pPr>
        <w:spacing w:before="0"/>
        <w:ind w:left="117" w:right="174" w:firstLine="0"/>
        <w:jc w:val="center"/>
        <w:rPr>
          <w:rFonts w:ascii="Times New Roman"/>
          <w:sz w:val="40"/>
        </w:rPr>
      </w:pPr>
      <w:r>
        <w:rPr>
          <w:rFonts w:ascii="Times New Roman"/>
          <w:sz w:val="40"/>
        </w:rPr>
        <w:t>TRABAJO TERMINAL DE GRADO</w:t>
      </w:r>
    </w:p>
    <w:p>
      <w:pPr>
        <w:spacing w:line="320" w:lineRule="exact" w:before="36"/>
        <w:ind w:left="113" w:right="175" w:firstLine="0"/>
        <w:jc w:val="center"/>
        <w:rPr>
          <w:rFonts w:ascii="Times New Roman"/>
          <w:sz w:val="28"/>
        </w:rPr>
      </w:pPr>
      <w:r>
        <w:rPr>
          <w:rFonts w:ascii="Times New Roman"/>
          <w:sz w:val="28"/>
        </w:rPr>
        <w:t>QUE PARA OBTENER EL GRADO DE</w:t>
      </w:r>
    </w:p>
    <w:p>
      <w:pPr>
        <w:spacing w:before="0"/>
        <w:ind w:left="117" w:right="174" w:firstLine="0"/>
        <w:jc w:val="center"/>
        <w:rPr>
          <w:rFonts w:ascii="Times New Roman" w:hAnsi="Times New Roman"/>
          <w:sz w:val="36"/>
        </w:rPr>
      </w:pPr>
      <w:r>
        <w:rPr>
          <w:rFonts w:ascii="Times New Roman" w:hAnsi="Times New Roman"/>
          <w:sz w:val="36"/>
        </w:rPr>
        <w:t>MAESTRO EN ADMINISTRACIÓN DE LA CADENA DE SUMINISTRO</w:t>
      </w:r>
    </w:p>
    <w:p>
      <w:pPr>
        <w:pStyle w:val="BodyText"/>
        <w:rPr>
          <w:rFonts w:ascii="Times New Roman"/>
          <w:sz w:val="36"/>
        </w:rPr>
      </w:pPr>
    </w:p>
    <w:p>
      <w:pPr>
        <w:pStyle w:val="BodyText"/>
        <w:spacing w:before="5"/>
        <w:rPr>
          <w:rFonts w:ascii="Times New Roman"/>
          <w:sz w:val="39"/>
        </w:rPr>
      </w:pPr>
    </w:p>
    <w:p>
      <w:pPr>
        <w:spacing w:before="0"/>
        <w:ind w:left="116" w:right="175" w:firstLine="0"/>
        <w:jc w:val="center"/>
        <w:rPr>
          <w:rFonts w:ascii="Times New Roman"/>
          <w:sz w:val="28"/>
        </w:rPr>
      </w:pPr>
      <w:r>
        <w:rPr>
          <w:rFonts w:ascii="Times New Roman"/>
          <w:sz w:val="28"/>
        </w:rPr>
        <w:t>PRESENTA</w:t>
      </w:r>
    </w:p>
    <w:p>
      <w:pPr>
        <w:pStyle w:val="BodyText"/>
        <w:spacing w:before="9"/>
        <w:rPr>
          <w:rFonts w:ascii="Times New Roman"/>
          <w:sz w:val="31"/>
        </w:rPr>
      </w:pPr>
    </w:p>
    <w:p>
      <w:pPr>
        <w:spacing w:before="0"/>
        <w:ind w:left="111" w:right="175" w:firstLine="0"/>
        <w:jc w:val="center"/>
        <w:rPr>
          <w:rFonts w:ascii="Times New Roman" w:hAnsi="Times New Roman"/>
          <w:b/>
          <w:sz w:val="32"/>
        </w:rPr>
      </w:pPr>
      <w:r>
        <w:rPr>
          <w:rFonts w:ascii="Times New Roman" w:hAnsi="Times New Roman"/>
          <w:b/>
          <w:sz w:val="32"/>
        </w:rPr>
        <w:t>L en QA. MIRIAM XÓCHITL BRINGAS LÓPEZ</w:t>
      </w:r>
    </w:p>
    <w:p>
      <w:pPr>
        <w:pStyle w:val="BodyText"/>
        <w:rPr>
          <w:rFonts w:ascii="Times New Roman"/>
          <w:b/>
          <w:sz w:val="20"/>
        </w:rPr>
      </w:pPr>
    </w:p>
    <w:p>
      <w:pPr>
        <w:pStyle w:val="BodyText"/>
        <w:rPr>
          <w:rFonts w:ascii="Times New Roman"/>
          <w:b/>
          <w:sz w:val="20"/>
        </w:rPr>
      </w:pPr>
    </w:p>
    <w:p>
      <w:pPr>
        <w:pStyle w:val="BodyText"/>
        <w:spacing w:before="11"/>
        <w:rPr>
          <w:rFonts w:ascii="Times New Roman"/>
          <w:b/>
          <w:sz w:val="27"/>
        </w:rPr>
      </w:pPr>
    </w:p>
    <w:p>
      <w:pPr>
        <w:spacing w:line="376" w:lineRule="auto" w:before="74"/>
        <w:ind w:left="3350" w:right="2340" w:hanging="1054"/>
        <w:jc w:val="left"/>
        <w:rPr>
          <w:rFonts w:ascii="Times New Roman" w:hAnsi="Times New Roman"/>
          <w:sz w:val="20"/>
        </w:rPr>
      </w:pPr>
      <w:r>
        <w:rPr>
          <w:rFonts w:ascii="Times New Roman" w:hAnsi="Times New Roman"/>
          <w:sz w:val="20"/>
        </w:rPr>
        <w:t>DRA. EN C.E.A. ROSA MARÍA NAVA ROGEL TUTOR ACADÉMICO</w:t>
      </w:r>
    </w:p>
    <w:p>
      <w:pPr>
        <w:spacing w:before="3"/>
        <w:ind w:left="0" w:right="117" w:firstLine="0"/>
        <w:jc w:val="right"/>
        <w:rPr>
          <w:rFonts w:ascii="Times New Roman"/>
          <w:sz w:val="20"/>
        </w:rPr>
      </w:pPr>
      <w:r>
        <w:rPr>
          <w:rFonts w:ascii="Times New Roman"/>
          <w:sz w:val="20"/>
        </w:rPr>
        <w:t>DICIEMBRE, 2016</w:t>
      </w:r>
    </w:p>
    <w:p>
      <w:pPr>
        <w:spacing w:after="0"/>
        <w:jc w:val="right"/>
        <w:rPr>
          <w:rFonts w:ascii="Times New Roman"/>
          <w:sz w:val="20"/>
        </w:rPr>
        <w:sectPr>
          <w:footerReference w:type="default" r:id="rId5"/>
          <w:type w:val="continuous"/>
          <w:pgSz w:w="11910" w:h="16840"/>
          <w:pgMar w:footer="983" w:top="1360" w:bottom="1180" w:left="1640" w:right="1580"/>
          <w:pgNumType w:start="1"/>
        </w:sectPr>
      </w:pPr>
    </w:p>
    <w:p>
      <w:pPr>
        <w:pStyle w:val="BodyText"/>
        <w:ind w:left="102"/>
        <w:rPr>
          <w:rFonts w:ascii="Times New Roman"/>
          <w:sz w:val="20"/>
        </w:rPr>
      </w:pPr>
      <w:r>
        <w:rPr>
          <w:rFonts w:ascii="Times New Roman"/>
          <w:sz w:val="20"/>
        </w:rPr>
        <w:drawing>
          <wp:inline distT="0" distB="0" distL="0" distR="0">
            <wp:extent cx="5540049" cy="8791956"/>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5540049" cy="8791956"/>
                    </a:xfrm>
                    <a:prstGeom prst="rect">
                      <a:avLst/>
                    </a:prstGeom>
                  </pic:spPr>
                </pic:pic>
              </a:graphicData>
            </a:graphic>
          </wp:inline>
        </w:drawing>
      </w:r>
      <w:r>
        <w:rPr>
          <w:rFonts w:ascii="Times New Roman"/>
          <w:sz w:val="20"/>
        </w:rPr>
      </w:r>
    </w:p>
    <w:p>
      <w:pPr>
        <w:spacing w:after="0"/>
        <w:rPr>
          <w:rFonts w:ascii="Times New Roman"/>
          <w:sz w:val="20"/>
        </w:rPr>
        <w:sectPr>
          <w:pgSz w:w="11910" w:h="16840"/>
          <w:pgMar w:header="0" w:footer="983" w:top="1400" w:bottom="1180" w:left="1600" w:right="1360"/>
        </w:sectPr>
      </w:pPr>
    </w:p>
    <w:p>
      <w:pPr>
        <w:pStyle w:val="BodyText"/>
        <w:ind w:left="102"/>
        <w:rPr>
          <w:rFonts w:ascii="Times New Roman"/>
          <w:sz w:val="20"/>
        </w:rPr>
      </w:pPr>
      <w:r>
        <w:rPr>
          <w:rFonts w:ascii="Times New Roman"/>
          <w:sz w:val="20"/>
        </w:rPr>
        <w:drawing>
          <wp:inline distT="0" distB="0" distL="0" distR="0">
            <wp:extent cx="5518856" cy="8744426"/>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5518856" cy="8744426"/>
                    </a:xfrm>
                    <a:prstGeom prst="rect">
                      <a:avLst/>
                    </a:prstGeom>
                  </pic:spPr>
                </pic:pic>
              </a:graphicData>
            </a:graphic>
          </wp:inline>
        </w:drawing>
      </w:r>
      <w:r>
        <w:rPr>
          <w:rFonts w:ascii="Times New Roman"/>
          <w:sz w:val="20"/>
        </w:rPr>
      </w:r>
    </w:p>
    <w:p>
      <w:pPr>
        <w:spacing w:after="0"/>
        <w:rPr>
          <w:rFonts w:ascii="Times New Roman"/>
          <w:sz w:val="20"/>
        </w:rPr>
        <w:sectPr>
          <w:pgSz w:w="11910" w:h="16840"/>
          <w:pgMar w:header="0" w:footer="983" w:top="1400" w:bottom="1180" w:left="1600" w:right="1400"/>
        </w:sectPr>
      </w:pPr>
    </w:p>
    <w:p>
      <w:pPr>
        <w:pStyle w:val="BodyText"/>
        <w:ind w:left="102"/>
        <w:rPr>
          <w:rFonts w:ascii="Times New Roman"/>
          <w:sz w:val="20"/>
        </w:rPr>
      </w:pPr>
      <w:r>
        <w:rPr>
          <w:rFonts w:ascii="Times New Roman"/>
          <w:sz w:val="20"/>
        </w:rPr>
        <w:drawing>
          <wp:inline distT="0" distB="0" distL="0" distR="0">
            <wp:extent cx="5548467" cy="8654796"/>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9" cstate="print"/>
                    <a:stretch>
                      <a:fillRect/>
                    </a:stretch>
                  </pic:blipFill>
                  <pic:spPr>
                    <a:xfrm>
                      <a:off x="0" y="0"/>
                      <a:ext cx="5548467" cy="8654796"/>
                    </a:xfrm>
                    <a:prstGeom prst="rect">
                      <a:avLst/>
                    </a:prstGeom>
                  </pic:spPr>
                </pic:pic>
              </a:graphicData>
            </a:graphic>
          </wp:inline>
        </w:drawing>
      </w:r>
      <w:r>
        <w:rPr>
          <w:rFonts w:ascii="Times New Roman"/>
          <w:sz w:val="20"/>
        </w:rPr>
      </w:r>
    </w:p>
    <w:p>
      <w:pPr>
        <w:spacing w:after="0"/>
        <w:rPr>
          <w:rFonts w:ascii="Times New Roman"/>
          <w:sz w:val="20"/>
        </w:rPr>
        <w:sectPr>
          <w:pgSz w:w="11910" w:h="16840"/>
          <w:pgMar w:header="0" w:footer="983" w:top="1400" w:bottom="1180" w:left="1600" w:right="1360"/>
        </w:sectPr>
      </w:pPr>
    </w:p>
    <w:p>
      <w:pPr>
        <w:pStyle w:val="Heading1"/>
        <w:ind w:right="696"/>
        <w:jc w:val="center"/>
      </w:pPr>
      <w:bookmarkStart w:name="_TOC_250027" w:id="1"/>
      <w:bookmarkEnd w:id="1"/>
      <w:r>
        <w:rPr/>
        <w:t>RESUMEN</w:t>
      </w:r>
    </w:p>
    <w:p>
      <w:pPr>
        <w:pStyle w:val="BodyText"/>
        <w:spacing w:before="1"/>
        <w:rPr>
          <w:b/>
          <w:sz w:val="56"/>
        </w:rPr>
      </w:pPr>
    </w:p>
    <w:p>
      <w:pPr>
        <w:pStyle w:val="BodyText"/>
        <w:spacing w:line="360" w:lineRule="auto"/>
        <w:ind w:left="102" w:right="117"/>
        <w:jc w:val="both"/>
      </w:pPr>
      <w:r>
        <w:rPr/>
        <w:t>De acuerdo con la FAO (Organización de las Naciones Unidas para la Alimentación y la Agricultura) en la cumbre de alimentos del 2010, un problema que enfrentan la mayoría de las empresas de giro alimenticio, principalmente  en México, es el manejo adecuado de los procesos de envasado de sus productos, principalmente en cuanto se refiere al control del contenido neto,  que permita cumplir con los requerimientos legales del país de venta, al mismo tiempo que se minimicen tanto como sea posible los costos por</w:t>
      </w:r>
      <w:r>
        <w:rPr>
          <w:spacing w:val="-27"/>
        </w:rPr>
        <w:t> </w:t>
      </w:r>
      <w:r>
        <w:rPr/>
        <w:t>sobrellenado.</w:t>
      </w:r>
    </w:p>
    <w:p>
      <w:pPr>
        <w:pStyle w:val="BodyText"/>
      </w:pPr>
    </w:p>
    <w:p>
      <w:pPr>
        <w:pStyle w:val="BodyText"/>
        <w:spacing w:line="360" w:lineRule="auto" w:before="142"/>
        <w:ind w:left="102" w:right="125"/>
        <w:jc w:val="both"/>
      </w:pPr>
      <w:r>
        <w:rPr/>
        <w:t>Esta investigación se realizó en una empresa de giro alimenticio, donde uno de los principales productos que elabora es el caldo extruido, mejor conocido  como caldo de pollo, el cual ocupa el mayor volumen de producción de la compañía en cuanto a productos alimenticios se refiere, otorgando al negocio  el mayor margen de venta.(Reporte de ventas de UL México,</w:t>
      </w:r>
      <w:r>
        <w:rPr>
          <w:spacing w:val="-24"/>
        </w:rPr>
        <w:t> </w:t>
      </w:r>
      <w:r>
        <w:rPr/>
        <w:t>2015)</w:t>
      </w:r>
    </w:p>
    <w:p>
      <w:pPr>
        <w:pStyle w:val="BodyText"/>
      </w:pPr>
    </w:p>
    <w:p>
      <w:pPr>
        <w:pStyle w:val="BodyText"/>
        <w:spacing w:line="360" w:lineRule="auto" w:before="142"/>
        <w:ind w:left="102" w:right="115"/>
        <w:jc w:val="both"/>
      </w:pPr>
      <w:r>
        <w:rPr/>
        <w:t>El objetivo de este trabajo fue presentar una propuesta de control de las variables de proceso que tienen mayor impacto en los parámetros de llenado y control de peso en las líneas que elaboran caldo mediante la tecnología de extrusión, que permita reducir los costos de sobrellenado del producto.  Derivado de la investigación que se presenta, se detectó que las variables que más afectan a los costos de sobrellenado, son </w:t>
      </w:r>
      <w:r>
        <w:rPr>
          <w:spacing w:val="2"/>
        </w:rPr>
        <w:t>la </w:t>
      </w:r>
      <w:r>
        <w:rPr/>
        <w:t>variación de temperaturas y el descentrado de la media de proceso. Los datos que se necesitaron para realizar el análisis estadístico, se recolectaron a través de una lista de verificación, la cual contuvo las mediciones de cada variable así como el porcentaje de sobrellenado diario, durante un periodo de cinco meses, tiempo que la empresa consideró suficiente para tener el histórico necesario para dar una solución al</w:t>
      </w:r>
      <w:r>
        <w:rPr>
          <w:spacing w:val="-8"/>
        </w:rPr>
        <w:t> </w:t>
      </w:r>
      <w:r>
        <w:rPr/>
        <w:t>problema.</w:t>
      </w:r>
    </w:p>
    <w:p>
      <w:pPr>
        <w:pStyle w:val="BodyText"/>
      </w:pPr>
    </w:p>
    <w:p>
      <w:pPr>
        <w:pStyle w:val="BodyText"/>
        <w:spacing w:line="360" w:lineRule="auto" w:before="139"/>
        <w:ind w:left="102" w:right="117"/>
        <w:jc w:val="both"/>
      </w:pPr>
      <w:r>
        <w:rPr/>
        <w:t>Los principales hallazgos consistieron en que fue posible determinar la relación de las variables de proceso que al no controlarse, tienen mayor influencia en el sobrellenado y que a través de dicho análisis, se pudieron establecer los parámetros bajo los cuales se tendrían que controlar dichas variables.</w:t>
      </w:r>
    </w:p>
    <w:p>
      <w:pPr>
        <w:spacing w:after="0" w:line="360" w:lineRule="auto"/>
        <w:jc w:val="both"/>
        <w:sectPr>
          <w:footerReference w:type="default" r:id="rId10"/>
          <w:pgSz w:w="11910" w:h="16840"/>
          <w:pgMar w:footer="983" w:header="0" w:top="1360" w:bottom="1180" w:left="1600" w:right="1580"/>
          <w:pgNumType w:start="6"/>
        </w:sectPr>
      </w:pPr>
    </w:p>
    <w:p>
      <w:pPr>
        <w:pStyle w:val="Heading1"/>
        <w:ind w:right="695"/>
        <w:jc w:val="center"/>
      </w:pPr>
      <w:r>
        <w:rPr/>
        <w:t>ÍNDICE</w:t>
      </w:r>
    </w:p>
    <w:sdt>
      <w:sdtPr>
        <w:docPartObj>
          <w:docPartGallery w:val="Table of Contents"/>
          <w:docPartUnique/>
        </w:docPartObj>
      </w:sdtPr>
      <w:sdtEndPr/>
      <w:sdtContent>
        <w:p>
          <w:pPr>
            <w:pStyle w:val="TOC2"/>
            <w:tabs>
              <w:tab w:pos="8596" w:val="right" w:leader="dot"/>
            </w:tabs>
            <w:spacing w:before="453"/>
          </w:pPr>
          <w:hyperlink w:history="true" w:anchor="_TOC_250027">
            <w:r>
              <w:rPr/>
              <w:t>RESUMEN</w:t>
            </w:r>
            <w:r>
              <w:rPr>
                <w:rFonts w:ascii="Times New Roman"/>
              </w:rPr>
              <w:tab/>
            </w:r>
            <w:r>
              <w:rPr/>
              <w:t>6</w:t>
            </w:r>
          </w:hyperlink>
        </w:p>
        <w:p>
          <w:pPr>
            <w:pStyle w:val="TOC2"/>
            <w:tabs>
              <w:tab w:pos="8583" w:val="right" w:leader="dot"/>
            </w:tabs>
          </w:pPr>
          <w:r>
            <w:rPr/>
            <w:t>INDICE DE FIGURAS</w:t>
          </w:r>
          <w:r>
            <w:rPr>
              <w:rFonts w:ascii="Times New Roman"/>
            </w:rPr>
            <w:tab/>
          </w:r>
          <w:r>
            <w:rPr/>
            <w:t>9</w:t>
          </w:r>
        </w:p>
        <w:p>
          <w:pPr>
            <w:pStyle w:val="TOC2"/>
            <w:tabs>
              <w:tab w:pos="8599" w:val="right" w:leader="dot"/>
            </w:tabs>
          </w:pPr>
          <w:hyperlink w:history="true" w:anchor="_TOC_250026">
            <w:r>
              <w:rPr/>
              <w:t>INTRODUCCIÓN</w:t>
              <w:tab/>
              <w:t>10</w:t>
            </w:r>
          </w:hyperlink>
        </w:p>
        <w:p>
          <w:pPr>
            <w:pStyle w:val="TOC1"/>
            <w:tabs>
              <w:tab w:pos="8599" w:val="right" w:leader="dot"/>
            </w:tabs>
            <w:rPr>
              <w:b w:val="0"/>
            </w:rPr>
          </w:pPr>
          <w:hyperlink w:history="true" w:anchor="_TOC_250025">
            <w:r>
              <w:rPr/>
              <w:t>CAPÍTULO 1. EL CONTROL DE</w:t>
            </w:r>
            <w:r>
              <w:rPr>
                <w:spacing w:val="-1"/>
              </w:rPr>
              <w:t> </w:t>
            </w:r>
            <w:r>
              <w:rPr/>
              <w:t>LA</w:t>
            </w:r>
            <w:r>
              <w:rPr>
                <w:spacing w:val="-7"/>
              </w:rPr>
              <w:t> </w:t>
            </w:r>
            <w:r>
              <w:rPr/>
              <w:t>CALIDAD</w:t>
            </w:r>
            <w:r>
              <w:rPr>
                <w:b w:val="0"/>
              </w:rPr>
              <w:tab/>
              <w:t>12</w:t>
            </w:r>
          </w:hyperlink>
        </w:p>
        <w:p>
          <w:pPr>
            <w:pStyle w:val="TOC3"/>
            <w:tabs>
              <w:tab w:pos="8599" w:val="right" w:leader="dot"/>
            </w:tabs>
          </w:pPr>
          <w:hyperlink w:history="true" w:anchor="_TOC_250024">
            <w:r>
              <w:rPr/>
              <w:t>1.1 El Control como parte del</w:t>
            </w:r>
            <w:r>
              <w:rPr>
                <w:spacing w:val="-5"/>
              </w:rPr>
              <w:t> </w:t>
            </w:r>
            <w:r>
              <w:rPr/>
              <w:t>proceso</w:t>
            </w:r>
            <w:r>
              <w:rPr>
                <w:spacing w:val="-3"/>
              </w:rPr>
              <w:t> </w:t>
            </w:r>
            <w:r>
              <w:rPr/>
              <w:t>administrativo</w:t>
              <w:tab/>
              <w:t>12</w:t>
            </w:r>
          </w:hyperlink>
        </w:p>
        <w:p>
          <w:pPr>
            <w:pStyle w:val="TOC3"/>
            <w:tabs>
              <w:tab w:pos="8599" w:val="right" w:leader="dot"/>
            </w:tabs>
          </w:pPr>
          <w:hyperlink w:history="true" w:anchor="_TOC_250023">
            <w:r>
              <w:rPr/>
              <w:t>1.1.2 Proceso</w:t>
            </w:r>
            <w:r>
              <w:rPr>
                <w:spacing w:val="-3"/>
              </w:rPr>
              <w:t> </w:t>
            </w:r>
            <w:r>
              <w:rPr/>
              <w:t>de</w:t>
            </w:r>
            <w:r>
              <w:rPr>
                <w:spacing w:val="-1"/>
              </w:rPr>
              <w:t> </w:t>
            </w:r>
            <w:r>
              <w:rPr/>
              <w:t>control</w:t>
              <w:tab/>
              <w:t>13</w:t>
            </w:r>
          </w:hyperlink>
        </w:p>
        <w:p>
          <w:pPr>
            <w:pStyle w:val="TOC3"/>
            <w:numPr>
              <w:ilvl w:val="1"/>
              <w:numId w:val="1"/>
            </w:numPr>
            <w:tabs>
              <w:tab w:pos="745" w:val="left" w:leader="none"/>
              <w:tab w:pos="8599" w:val="right" w:leader="dot"/>
            </w:tabs>
            <w:spacing w:line="240" w:lineRule="auto" w:before="84" w:after="0"/>
            <w:ind w:left="744" w:right="0" w:hanging="402"/>
            <w:jc w:val="left"/>
          </w:pPr>
          <w:hyperlink w:history="true" w:anchor="_TOC_250022">
            <w:r>
              <w:rPr/>
              <w:t>Introducción a la calidad en los</w:t>
            </w:r>
            <w:r>
              <w:rPr>
                <w:spacing w:val="-10"/>
              </w:rPr>
              <w:t> </w:t>
            </w:r>
            <w:r>
              <w:rPr/>
              <w:t>procesos</w:t>
            </w:r>
            <w:r>
              <w:rPr>
                <w:spacing w:val="-3"/>
              </w:rPr>
              <w:t> </w:t>
            </w:r>
            <w:r>
              <w:rPr/>
              <w:t>productivos</w:t>
              <w:tab/>
              <w:t>14</w:t>
            </w:r>
          </w:hyperlink>
        </w:p>
        <w:p>
          <w:pPr>
            <w:pStyle w:val="TOC3"/>
            <w:numPr>
              <w:ilvl w:val="1"/>
              <w:numId w:val="1"/>
            </w:numPr>
            <w:tabs>
              <w:tab w:pos="745" w:val="left" w:leader="none"/>
              <w:tab w:pos="8599" w:val="right" w:leader="dot"/>
            </w:tabs>
            <w:spacing w:line="240" w:lineRule="auto" w:before="84" w:after="0"/>
            <w:ind w:left="744" w:right="0" w:hanging="402"/>
            <w:jc w:val="left"/>
          </w:pPr>
          <w:hyperlink w:history="true" w:anchor="_TOC_250021">
            <w:r>
              <w:rPr/>
              <w:t>Importancia de la calidad en</w:t>
            </w:r>
            <w:r>
              <w:rPr>
                <w:spacing w:val="-4"/>
              </w:rPr>
              <w:t> </w:t>
            </w:r>
            <w:r>
              <w:rPr/>
              <w:t>las</w:t>
            </w:r>
            <w:r>
              <w:rPr>
                <w:spacing w:val="-4"/>
              </w:rPr>
              <w:t> </w:t>
            </w:r>
            <w:r>
              <w:rPr/>
              <w:t>organizaciones</w:t>
              <w:tab/>
              <w:t>15</w:t>
            </w:r>
          </w:hyperlink>
        </w:p>
        <w:p>
          <w:pPr>
            <w:pStyle w:val="TOC3"/>
            <w:numPr>
              <w:ilvl w:val="1"/>
              <w:numId w:val="1"/>
            </w:numPr>
            <w:tabs>
              <w:tab w:pos="745" w:val="left" w:leader="none"/>
              <w:tab w:pos="8599" w:val="right" w:leader="dot"/>
            </w:tabs>
            <w:spacing w:line="240" w:lineRule="auto" w:before="84" w:after="0"/>
            <w:ind w:left="744" w:right="0" w:hanging="402"/>
            <w:jc w:val="left"/>
          </w:pPr>
          <w:hyperlink w:history="true" w:anchor="_TOC_250020">
            <w:r>
              <w:rPr/>
              <w:t>El control de la calidad en</w:t>
            </w:r>
            <w:r>
              <w:rPr>
                <w:spacing w:val="-1"/>
              </w:rPr>
              <w:t> </w:t>
            </w:r>
            <w:r>
              <w:rPr/>
              <w:t>las</w:t>
            </w:r>
            <w:r>
              <w:rPr>
                <w:spacing w:val="-3"/>
              </w:rPr>
              <w:t> </w:t>
            </w:r>
            <w:r>
              <w:rPr/>
              <w:t>organizaciones</w:t>
              <w:tab/>
              <w:t>15</w:t>
            </w:r>
          </w:hyperlink>
        </w:p>
        <w:p>
          <w:pPr>
            <w:pStyle w:val="TOC3"/>
            <w:numPr>
              <w:ilvl w:val="1"/>
              <w:numId w:val="1"/>
            </w:numPr>
            <w:tabs>
              <w:tab w:pos="745" w:val="left" w:leader="none"/>
              <w:tab w:pos="8599" w:val="right" w:leader="dot"/>
            </w:tabs>
            <w:spacing w:line="240" w:lineRule="auto" w:before="84" w:after="0"/>
            <w:ind w:left="744" w:right="0" w:hanging="402"/>
            <w:jc w:val="left"/>
          </w:pPr>
          <w:hyperlink w:history="true" w:anchor="_TOC_250019">
            <w:r>
              <w:rPr/>
              <w:t>Control de la calidad enfocada</w:t>
            </w:r>
            <w:r>
              <w:rPr>
                <w:spacing w:val="-4"/>
              </w:rPr>
              <w:t> </w:t>
            </w:r>
            <w:r>
              <w:rPr/>
              <w:t>a</w:t>
            </w:r>
            <w:r>
              <w:rPr>
                <w:spacing w:val="-1"/>
              </w:rPr>
              <w:t> </w:t>
            </w:r>
            <w:r>
              <w:rPr/>
              <w:t>procesos</w:t>
              <w:tab/>
              <w:t>18</w:t>
            </w:r>
          </w:hyperlink>
        </w:p>
        <w:p>
          <w:pPr>
            <w:pStyle w:val="TOC1"/>
            <w:tabs>
              <w:tab w:pos="8599" w:val="right" w:leader="dot"/>
            </w:tabs>
            <w:rPr>
              <w:b w:val="0"/>
            </w:rPr>
          </w:pPr>
          <w:hyperlink w:history="true" w:anchor="_TOC_250018">
            <w:r>
              <w:rPr/>
              <w:t>CAPÍTULO 2. COSTOS DE</w:t>
            </w:r>
            <w:r>
              <w:rPr>
                <w:spacing w:val="-1"/>
              </w:rPr>
              <w:t> </w:t>
            </w:r>
            <w:r>
              <w:rPr/>
              <w:t>LA</w:t>
            </w:r>
            <w:r>
              <w:rPr>
                <w:spacing w:val="-6"/>
              </w:rPr>
              <w:t> </w:t>
            </w:r>
            <w:r>
              <w:rPr/>
              <w:t>CALIDAD</w:t>
            </w:r>
            <w:r>
              <w:rPr>
                <w:b w:val="0"/>
              </w:rPr>
              <w:tab/>
              <w:t>21</w:t>
            </w:r>
          </w:hyperlink>
        </w:p>
        <w:p>
          <w:pPr>
            <w:pStyle w:val="TOC3"/>
            <w:numPr>
              <w:ilvl w:val="1"/>
              <w:numId w:val="2"/>
            </w:numPr>
            <w:tabs>
              <w:tab w:pos="746" w:val="left" w:leader="none"/>
              <w:tab w:pos="8596" w:val="right" w:leader="dot"/>
            </w:tabs>
            <w:spacing w:line="240" w:lineRule="auto" w:before="84" w:after="0"/>
            <w:ind w:left="745" w:right="0" w:hanging="403"/>
            <w:jc w:val="left"/>
          </w:pPr>
          <w:hyperlink w:history="true" w:anchor="_TOC_250017">
            <w:r>
              <w:rPr/>
              <w:t>Introducción a los costos</w:t>
            </w:r>
            <w:r>
              <w:rPr>
                <w:spacing w:val="-8"/>
              </w:rPr>
              <w:t> </w:t>
            </w:r>
            <w:r>
              <w:rPr/>
              <w:t>de</w:t>
            </w:r>
            <w:r>
              <w:rPr>
                <w:spacing w:val="-1"/>
              </w:rPr>
              <w:t> </w:t>
            </w:r>
            <w:r>
              <w:rPr/>
              <w:t>Calidad</w:t>
              <w:tab/>
              <w:t>21</w:t>
            </w:r>
          </w:hyperlink>
        </w:p>
        <w:p>
          <w:pPr>
            <w:pStyle w:val="TOC3"/>
            <w:numPr>
              <w:ilvl w:val="1"/>
              <w:numId w:val="2"/>
            </w:numPr>
            <w:tabs>
              <w:tab w:pos="746" w:val="left" w:leader="none"/>
              <w:tab w:pos="8599" w:val="right" w:leader="dot"/>
            </w:tabs>
            <w:spacing w:line="240" w:lineRule="auto" w:before="84" w:after="0"/>
            <w:ind w:left="745" w:right="0" w:hanging="403"/>
            <w:jc w:val="left"/>
          </w:pPr>
          <w:hyperlink w:history="true" w:anchor="_TOC_250016">
            <w:r>
              <w:rPr/>
              <w:t>Clasificación de los costos</w:t>
            </w:r>
            <w:r>
              <w:rPr>
                <w:spacing w:val="-6"/>
              </w:rPr>
              <w:t> </w:t>
            </w:r>
            <w:r>
              <w:rPr/>
              <w:t>de</w:t>
            </w:r>
            <w:r>
              <w:rPr>
                <w:spacing w:val="-1"/>
              </w:rPr>
              <w:t> </w:t>
            </w:r>
            <w:r>
              <w:rPr/>
              <w:t>calidad</w:t>
              <w:tab/>
              <w:t>22</w:t>
            </w:r>
          </w:hyperlink>
        </w:p>
        <w:p>
          <w:pPr>
            <w:pStyle w:val="TOC3"/>
            <w:tabs>
              <w:tab w:pos="8599" w:val="right" w:leader="dot"/>
            </w:tabs>
            <w:spacing w:line="312" w:lineRule="auto"/>
            <w:ind w:right="124"/>
          </w:pPr>
          <w:r>
            <w:rPr/>
            <w:t>2.2 Relación del control de la calidad y los costos de calidad: la calidad y su afección en los proceso</w:t>
          </w:r>
          <w:r>
            <w:rPr>
              <w:spacing w:val="-3"/>
            </w:rPr>
            <w:t> </w:t>
          </w:r>
          <w:r>
            <w:rPr/>
            <w:t>de</w:t>
          </w:r>
          <w:r>
            <w:rPr>
              <w:spacing w:val="-3"/>
            </w:rPr>
            <w:t> </w:t>
          </w:r>
          <w:r>
            <w:rPr/>
            <w:t>sobrellenado</w:t>
            <w:tab/>
            <w:t>26</w:t>
          </w:r>
        </w:p>
        <w:p>
          <w:pPr>
            <w:pStyle w:val="TOC1"/>
            <w:tabs>
              <w:tab w:pos="1553" w:val="left" w:leader="none"/>
              <w:tab w:pos="8599" w:val="right" w:leader="dot"/>
            </w:tabs>
            <w:spacing w:line="314" w:lineRule="auto" w:before="3"/>
            <w:ind w:right="114"/>
            <w:rPr>
              <w:b w:val="0"/>
            </w:rPr>
          </w:pPr>
          <w:hyperlink w:history="true" w:anchor="_TOC_250015">
            <w:r>
              <w:rPr/>
              <w:t>CAPÍTULO</w:t>
              <w:tab/>
              <w:t>3.   LA   CALIDAD   Y   SUS   COSTOS   EN    </w:t>
            </w:r>
            <w:r>
              <w:rPr>
                <w:spacing w:val="64"/>
              </w:rPr>
              <w:t> </w:t>
            </w:r>
            <w:r>
              <w:rPr/>
              <w:t>LA  </w:t>
            </w:r>
            <w:r>
              <w:rPr>
                <w:spacing w:val="20"/>
              </w:rPr>
              <w:t> </w:t>
            </w:r>
            <w:r>
              <w:rPr/>
              <w:t>INDUSTRIA</w:t>
            </w:r>
            <w:r>
              <w:rPr>
                <w:w w:val="99"/>
              </w:rPr>
              <w:t> </w:t>
            </w:r>
            <w:r>
              <w:rPr/>
              <w:t>ALIMENTARIA</w:t>
            </w:r>
            <w:r>
              <w:rPr>
                <w:b w:val="0"/>
              </w:rPr>
              <w:tab/>
              <w:t>28</w:t>
            </w:r>
          </w:hyperlink>
        </w:p>
        <w:p>
          <w:pPr>
            <w:pStyle w:val="TOC3"/>
            <w:numPr>
              <w:ilvl w:val="1"/>
              <w:numId w:val="3"/>
            </w:numPr>
            <w:tabs>
              <w:tab w:pos="743" w:val="left" w:leader="none"/>
              <w:tab w:pos="8599" w:val="right" w:leader="dot"/>
            </w:tabs>
            <w:spacing w:line="240" w:lineRule="auto" w:before="1" w:after="0"/>
            <w:ind w:left="342" w:right="0" w:firstLine="0"/>
            <w:jc w:val="left"/>
          </w:pPr>
          <w:hyperlink w:history="true" w:anchor="_TOC_250014">
            <w:r>
              <w:rPr/>
              <w:t>La industria de alimentos</w:t>
            </w:r>
            <w:r>
              <w:rPr>
                <w:spacing w:val="-7"/>
              </w:rPr>
              <w:t> </w:t>
            </w:r>
            <w:r>
              <w:rPr/>
              <w:t>en</w:t>
            </w:r>
            <w:r>
              <w:rPr>
                <w:spacing w:val="-1"/>
              </w:rPr>
              <w:t> </w:t>
            </w:r>
            <w:r>
              <w:rPr/>
              <w:t>México</w:t>
              <w:tab/>
              <w:t>28</w:t>
            </w:r>
          </w:hyperlink>
        </w:p>
        <w:p>
          <w:pPr>
            <w:pStyle w:val="TOC3"/>
            <w:numPr>
              <w:ilvl w:val="1"/>
              <w:numId w:val="3"/>
            </w:numPr>
            <w:tabs>
              <w:tab w:pos="810" w:val="left" w:leader="none"/>
              <w:tab w:pos="8599" w:val="right" w:leader="dot"/>
            </w:tabs>
            <w:spacing w:line="312" w:lineRule="auto" w:before="84" w:after="0"/>
            <w:ind w:left="342" w:right="122" w:firstLine="0"/>
            <w:jc w:val="left"/>
          </w:pPr>
          <w:hyperlink w:history="true" w:anchor="_TOC_250013">
            <w:r>
              <w:rPr/>
              <w:t>El sistema administrativo de control de la calidad en la industria de Alimentos</w:t>
            </w:r>
            <w:r>
              <w:rPr>
                <w:spacing w:val="-1"/>
              </w:rPr>
              <w:t> </w:t>
            </w:r>
            <w:r>
              <w:rPr/>
              <w:t>en</w:t>
            </w:r>
            <w:r>
              <w:rPr>
                <w:spacing w:val="-1"/>
              </w:rPr>
              <w:t> </w:t>
            </w:r>
            <w:r>
              <w:rPr/>
              <w:t>México</w:t>
              <w:tab/>
              <w:t>29</w:t>
            </w:r>
          </w:hyperlink>
        </w:p>
        <w:p>
          <w:pPr>
            <w:pStyle w:val="TOC3"/>
            <w:numPr>
              <w:ilvl w:val="1"/>
              <w:numId w:val="3"/>
            </w:numPr>
            <w:tabs>
              <w:tab w:pos="745" w:val="left" w:leader="none"/>
              <w:tab w:pos="8599" w:val="right" w:leader="dot"/>
            </w:tabs>
            <w:spacing w:line="240" w:lineRule="auto" w:before="3" w:after="0"/>
            <w:ind w:left="744" w:right="0" w:hanging="402"/>
            <w:jc w:val="left"/>
          </w:pPr>
          <w:hyperlink w:history="true" w:anchor="_TOC_250012">
            <w:r>
              <w:rPr/>
              <w:t>Descripción de la empresa</w:t>
            </w:r>
            <w:r>
              <w:rPr>
                <w:spacing w:val="-3"/>
              </w:rPr>
              <w:t> </w:t>
            </w:r>
            <w:r>
              <w:rPr/>
              <w:t>de</w:t>
            </w:r>
            <w:r>
              <w:rPr>
                <w:spacing w:val="-1"/>
              </w:rPr>
              <w:t> </w:t>
            </w:r>
            <w:r>
              <w:rPr/>
              <w:t>estudio</w:t>
              <w:tab/>
              <w:t>30</w:t>
            </w:r>
          </w:hyperlink>
        </w:p>
        <w:p>
          <w:pPr>
            <w:pStyle w:val="TOC3"/>
            <w:numPr>
              <w:ilvl w:val="2"/>
              <w:numId w:val="3"/>
            </w:numPr>
            <w:tabs>
              <w:tab w:pos="944" w:val="left" w:leader="none"/>
              <w:tab w:pos="8599" w:val="right" w:leader="dot"/>
            </w:tabs>
            <w:spacing w:line="240" w:lineRule="auto" w:before="84" w:after="0"/>
            <w:ind w:left="943" w:right="0" w:hanging="601"/>
            <w:jc w:val="left"/>
          </w:pPr>
          <w:hyperlink w:history="true" w:anchor="_TOC_250011">
            <w:r>
              <w:rPr/>
              <w:t>Producto de estudio: Caldo</w:t>
            </w:r>
            <w:r>
              <w:rPr>
                <w:spacing w:val="-3"/>
              </w:rPr>
              <w:t> </w:t>
            </w:r>
            <w:r>
              <w:rPr/>
              <w:t>de</w:t>
            </w:r>
            <w:r>
              <w:rPr>
                <w:spacing w:val="-1"/>
              </w:rPr>
              <w:t> </w:t>
            </w:r>
            <w:r>
              <w:rPr/>
              <w:t>pollo</w:t>
              <w:tab/>
              <w:t>32</w:t>
            </w:r>
          </w:hyperlink>
        </w:p>
        <w:p>
          <w:pPr>
            <w:pStyle w:val="TOC3"/>
            <w:numPr>
              <w:ilvl w:val="2"/>
              <w:numId w:val="3"/>
            </w:numPr>
            <w:tabs>
              <w:tab w:pos="944" w:val="left" w:leader="none"/>
              <w:tab w:pos="8599" w:val="right" w:leader="dot"/>
            </w:tabs>
            <w:spacing w:line="240" w:lineRule="auto" w:before="84" w:after="0"/>
            <w:ind w:left="943" w:right="0" w:hanging="601"/>
            <w:jc w:val="left"/>
          </w:pPr>
          <w:hyperlink w:history="true" w:anchor="_TOC_250010">
            <w:r>
              <w:rPr/>
              <w:t>Descripción del proceso de fabricación del caldo</w:t>
            </w:r>
            <w:r>
              <w:rPr>
                <w:spacing w:val="-12"/>
              </w:rPr>
              <w:t> </w:t>
            </w:r>
            <w:r>
              <w:rPr/>
              <w:t>de</w:t>
            </w:r>
            <w:r>
              <w:rPr>
                <w:spacing w:val="-1"/>
              </w:rPr>
              <w:t> </w:t>
            </w:r>
            <w:r>
              <w:rPr/>
              <w:t>pollo</w:t>
              <w:tab/>
              <w:t>32</w:t>
            </w:r>
          </w:hyperlink>
        </w:p>
        <w:p>
          <w:pPr>
            <w:pStyle w:val="TOC3"/>
          </w:pPr>
          <w:hyperlink w:history="true" w:anchor="_TOC_250009">
            <w:r>
              <w:rPr/>
              <w:t>3.4 El sobrellenado como situación indeseable para la compañía de  </w:t>
            </w:r>
            <w:r>
              <w:rPr>
                <w:spacing w:val="64"/>
              </w:rPr>
              <w:t> </w:t>
            </w:r>
            <w:r>
              <w:rPr/>
              <w:t>estudio</w:t>
            </w:r>
          </w:hyperlink>
        </w:p>
        <w:p>
          <w:pPr>
            <w:pStyle w:val="TOC3"/>
            <w:ind w:left="349"/>
          </w:pPr>
          <w:r>
            <w:rPr/>
            <w:t>...................................................................................................................... 35</w:t>
          </w:r>
        </w:p>
        <w:p>
          <w:pPr>
            <w:pStyle w:val="TOC1"/>
            <w:tabs>
              <w:tab w:pos="8599" w:val="right" w:leader="dot"/>
            </w:tabs>
            <w:rPr>
              <w:b w:val="0"/>
            </w:rPr>
          </w:pPr>
          <w:hyperlink w:history="true" w:anchor="_TOC_250008">
            <w:r>
              <w:rPr/>
              <w:t>CAPÍTULO 4. MÉTODO</w:t>
            </w:r>
            <w:r>
              <w:rPr>
                <w:spacing w:val="-1"/>
              </w:rPr>
              <w:t> </w:t>
            </w:r>
            <w:r>
              <w:rPr/>
              <w:t>DE</w:t>
            </w:r>
            <w:r>
              <w:rPr>
                <w:spacing w:val="-1"/>
              </w:rPr>
              <w:t> </w:t>
            </w:r>
            <w:r>
              <w:rPr/>
              <w:t>TRABAJO</w:t>
            </w:r>
            <w:r>
              <w:rPr>
                <w:b w:val="0"/>
              </w:rPr>
              <w:tab/>
              <w:t>37</w:t>
            </w:r>
          </w:hyperlink>
        </w:p>
        <w:p>
          <w:pPr>
            <w:pStyle w:val="TOC3"/>
            <w:numPr>
              <w:ilvl w:val="1"/>
              <w:numId w:val="4"/>
            </w:numPr>
            <w:tabs>
              <w:tab w:pos="745" w:val="left" w:leader="none"/>
              <w:tab w:pos="8599" w:val="right" w:leader="dot"/>
            </w:tabs>
            <w:spacing w:line="240" w:lineRule="auto" w:before="84" w:after="0"/>
            <w:ind w:left="744" w:right="0" w:hanging="402"/>
            <w:jc w:val="left"/>
          </w:pPr>
          <w:hyperlink w:history="true" w:anchor="_TOC_250007">
            <w:r>
              <w:rPr/>
              <w:t>Planteamiento</w:t>
            </w:r>
            <w:r>
              <w:rPr>
                <w:spacing w:val="-1"/>
              </w:rPr>
              <w:t> </w:t>
            </w:r>
            <w:r>
              <w:rPr/>
              <w:t>del</w:t>
            </w:r>
            <w:r>
              <w:rPr>
                <w:spacing w:val="-4"/>
              </w:rPr>
              <w:t> </w:t>
            </w:r>
            <w:r>
              <w:rPr/>
              <w:t>problema</w:t>
              <w:tab/>
              <w:t>37</w:t>
            </w:r>
          </w:hyperlink>
        </w:p>
        <w:p>
          <w:pPr>
            <w:pStyle w:val="TOC3"/>
            <w:numPr>
              <w:ilvl w:val="1"/>
              <w:numId w:val="4"/>
            </w:numPr>
            <w:tabs>
              <w:tab w:pos="745" w:val="left" w:leader="none"/>
              <w:tab w:pos="8599" w:val="right" w:leader="dot"/>
            </w:tabs>
            <w:spacing w:line="240" w:lineRule="auto" w:before="84" w:after="0"/>
            <w:ind w:left="744" w:right="0" w:hanging="402"/>
            <w:jc w:val="left"/>
          </w:pPr>
          <w:hyperlink w:history="true" w:anchor="_TOC_250006">
            <w:r>
              <w:rPr/>
              <w:t>Justificación</w:t>
              <w:tab/>
              <w:t>40</w:t>
            </w:r>
          </w:hyperlink>
        </w:p>
        <w:p>
          <w:pPr>
            <w:pStyle w:val="TOC3"/>
            <w:numPr>
              <w:ilvl w:val="1"/>
              <w:numId w:val="4"/>
            </w:numPr>
            <w:tabs>
              <w:tab w:pos="745" w:val="left" w:leader="none"/>
              <w:tab w:pos="8599" w:val="right" w:leader="dot"/>
            </w:tabs>
            <w:spacing w:line="240" w:lineRule="auto" w:before="84" w:after="0"/>
            <w:ind w:left="744" w:right="0" w:hanging="402"/>
            <w:jc w:val="left"/>
          </w:pPr>
          <w:hyperlink w:history="true" w:anchor="_TOC_250005">
            <w:r>
              <w:rPr/>
              <w:t>Objetivos</w:t>
              <w:tab/>
              <w:t>42</w:t>
            </w:r>
          </w:hyperlink>
        </w:p>
        <w:p>
          <w:pPr>
            <w:pStyle w:val="TOC3"/>
            <w:numPr>
              <w:ilvl w:val="2"/>
              <w:numId w:val="4"/>
            </w:numPr>
            <w:tabs>
              <w:tab w:pos="944" w:val="left" w:leader="none"/>
              <w:tab w:pos="8599" w:val="right" w:leader="dot"/>
            </w:tabs>
            <w:spacing w:line="240" w:lineRule="auto" w:before="84" w:after="0"/>
            <w:ind w:left="943" w:right="0" w:hanging="601"/>
            <w:jc w:val="left"/>
          </w:pPr>
          <w:hyperlink w:history="true" w:anchor="_TOC_250004">
            <w:r>
              <w:rPr/>
              <w:t>Objetivo</w:t>
            </w:r>
            <w:r>
              <w:rPr>
                <w:spacing w:val="-1"/>
              </w:rPr>
              <w:t> </w:t>
            </w:r>
            <w:r>
              <w:rPr/>
              <w:t>General</w:t>
              <w:tab/>
              <w:t>42</w:t>
            </w:r>
          </w:hyperlink>
        </w:p>
        <w:p>
          <w:pPr>
            <w:pStyle w:val="TOC3"/>
            <w:numPr>
              <w:ilvl w:val="2"/>
              <w:numId w:val="4"/>
            </w:numPr>
            <w:tabs>
              <w:tab w:pos="944" w:val="left" w:leader="none"/>
              <w:tab w:pos="8599" w:val="right" w:leader="dot"/>
            </w:tabs>
            <w:spacing w:line="240" w:lineRule="auto" w:before="84" w:after="0"/>
            <w:ind w:left="943" w:right="0" w:hanging="601"/>
            <w:jc w:val="left"/>
          </w:pPr>
          <w:hyperlink w:history="true" w:anchor="_TOC_250003">
            <w:r>
              <w:rPr/>
              <w:t>Objetivos</w:t>
            </w:r>
            <w:r>
              <w:rPr>
                <w:spacing w:val="-1"/>
              </w:rPr>
              <w:t> </w:t>
            </w:r>
            <w:r>
              <w:rPr/>
              <w:t>específicos</w:t>
              <w:tab/>
              <w:t>42</w:t>
            </w:r>
          </w:hyperlink>
        </w:p>
        <w:p>
          <w:pPr>
            <w:pStyle w:val="TOC3"/>
            <w:tabs>
              <w:tab w:pos="8599" w:val="right" w:leader="dot"/>
            </w:tabs>
          </w:pPr>
          <w:hyperlink w:history="true" w:anchor="_TOC_250002">
            <w:r>
              <w:rPr/>
              <w:t>4.4. Preguntas</w:t>
            </w:r>
            <w:r>
              <w:rPr>
                <w:spacing w:val="-3"/>
              </w:rPr>
              <w:t> </w:t>
            </w:r>
            <w:r>
              <w:rPr/>
              <w:t>de</w:t>
            </w:r>
            <w:r>
              <w:rPr>
                <w:spacing w:val="-3"/>
              </w:rPr>
              <w:t> </w:t>
            </w:r>
            <w:r>
              <w:rPr/>
              <w:t>Investigación</w:t>
              <w:tab/>
              <w:t>43</w:t>
            </w:r>
          </w:hyperlink>
        </w:p>
        <w:p>
          <w:pPr>
            <w:pStyle w:val="TOC3"/>
            <w:tabs>
              <w:tab w:pos="8599" w:val="right" w:leader="dot"/>
            </w:tabs>
          </w:pPr>
          <w:hyperlink w:history="true" w:anchor="_TOC_250001">
            <w:r>
              <w:rPr/>
              <w:t>4.5 Descripción de las variables de proceso</w:t>
            </w:r>
            <w:r>
              <w:rPr>
                <w:spacing w:val="-6"/>
              </w:rPr>
              <w:t> </w:t>
            </w:r>
            <w:r>
              <w:rPr/>
              <w:t>de</w:t>
            </w:r>
            <w:r>
              <w:rPr>
                <w:spacing w:val="-1"/>
              </w:rPr>
              <w:t> </w:t>
            </w:r>
            <w:r>
              <w:rPr/>
              <w:t>estudio</w:t>
              <w:tab/>
              <w:t>43</w:t>
            </w:r>
          </w:hyperlink>
        </w:p>
        <w:p>
          <w:pPr>
            <w:pStyle w:val="TOC3"/>
            <w:tabs>
              <w:tab w:pos="8599" w:val="right" w:leader="dot"/>
            </w:tabs>
          </w:pPr>
          <w:hyperlink w:history="true" w:anchor="_TOC_250000">
            <w:r>
              <w:rPr/>
              <w:t>4.5 Descripción de la población</w:t>
            </w:r>
            <w:r>
              <w:rPr>
                <w:spacing w:val="-4"/>
              </w:rPr>
              <w:t> </w:t>
            </w:r>
            <w:r>
              <w:rPr/>
              <w:t>y</w:t>
            </w:r>
            <w:r>
              <w:rPr>
                <w:spacing w:val="-3"/>
              </w:rPr>
              <w:t> </w:t>
            </w:r>
            <w:r>
              <w:rPr/>
              <w:t>muestra</w:t>
              <w:tab/>
              <w:t>44</w:t>
            </w:r>
          </w:hyperlink>
        </w:p>
      </w:sdtContent>
    </w:sdt>
    <w:p>
      <w:pPr>
        <w:spacing w:after="0"/>
        <w:sectPr>
          <w:pgSz w:w="11910" w:h="16840"/>
          <w:pgMar w:header="0" w:footer="983" w:top="1360" w:bottom="1240" w:left="1600" w:right="1580"/>
        </w:sectPr>
      </w:pPr>
    </w:p>
    <w:p>
      <w:pPr>
        <w:pStyle w:val="Heading2"/>
        <w:tabs>
          <w:tab w:pos="8599" w:val="right" w:leader="dot"/>
        </w:tabs>
        <w:spacing w:before="40"/>
        <w:rPr>
          <w:b w:val="0"/>
        </w:rPr>
      </w:pPr>
      <w:r>
        <w:rPr/>
        <w:t>CAPÍTULO 5. ANÁLISIS Y DISCUSIÓN</w:t>
      </w:r>
      <w:r>
        <w:rPr>
          <w:spacing w:val="-1"/>
        </w:rPr>
        <w:t> </w:t>
      </w:r>
      <w:r>
        <w:rPr/>
        <w:t>DE</w:t>
      </w:r>
      <w:r>
        <w:rPr>
          <w:spacing w:val="-3"/>
        </w:rPr>
        <w:t> </w:t>
      </w:r>
      <w:r>
        <w:rPr/>
        <w:t>RESULTADOS</w:t>
      </w:r>
      <w:r>
        <w:rPr>
          <w:b w:val="0"/>
        </w:rPr>
        <w:tab/>
        <w:t>48</w:t>
      </w:r>
    </w:p>
    <w:p>
      <w:pPr>
        <w:pStyle w:val="ListParagraph"/>
        <w:numPr>
          <w:ilvl w:val="1"/>
          <w:numId w:val="5"/>
        </w:numPr>
        <w:tabs>
          <w:tab w:pos="746" w:val="left" w:leader="none"/>
          <w:tab w:pos="8599" w:val="right" w:leader="dot"/>
        </w:tabs>
        <w:spacing w:line="240" w:lineRule="auto" w:before="84" w:after="0"/>
        <w:ind w:left="745" w:right="0" w:hanging="403"/>
        <w:jc w:val="left"/>
        <w:rPr>
          <w:sz w:val="24"/>
        </w:rPr>
      </w:pPr>
      <w:r>
        <w:rPr>
          <w:sz w:val="24"/>
        </w:rPr>
        <w:t>Análisis</w:t>
      </w:r>
      <w:r>
        <w:rPr>
          <w:spacing w:val="-1"/>
          <w:sz w:val="24"/>
        </w:rPr>
        <w:t> </w:t>
      </w:r>
      <w:r>
        <w:rPr>
          <w:sz w:val="24"/>
        </w:rPr>
        <w:t>de</w:t>
      </w:r>
      <w:r>
        <w:rPr>
          <w:spacing w:val="-1"/>
          <w:sz w:val="24"/>
        </w:rPr>
        <w:t> </w:t>
      </w:r>
      <w:r>
        <w:rPr>
          <w:sz w:val="24"/>
        </w:rPr>
        <w:t>resultados</w:t>
        <w:tab/>
        <w:t>48</w:t>
      </w:r>
    </w:p>
    <w:p>
      <w:pPr>
        <w:pStyle w:val="ListParagraph"/>
        <w:numPr>
          <w:ilvl w:val="1"/>
          <w:numId w:val="5"/>
        </w:numPr>
        <w:tabs>
          <w:tab w:pos="746" w:val="left" w:leader="none"/>
          <w:tab w:pos="8599" w:val="right" w:leader="dot"/>
        </w:tabs>
        <w:spacing w:line="240" w:lineRule="auto" w:before="84" w:after="0"/>
        <w:ind w:left="745" w:right="0" w:hanging="403"/>
        <w:jc w:val="left"/>
        <w:rPr>
          <w:sz w:val="24"/>
        </w:rPr>
      </w:pPr>
      <w:r>
        <w:rPr>
          <w:sz w:val="24"/>
        </w:rPr>
        <w:t>Discusión</w:t>
      </w:r>
      <w:r>
        <w:rPr>
          <w:spacing w:val="-1"/>
          <w:sz w:val="24"/>
        </w:rPr>
        <w:t> </w:t>
      </w:r>
      <w:r>
        <w:rPr>
          <w:sz w:val="24"/>
        </w:rPr>
        <w:t>de</w:t>
      </w:r>
      <w:r>
        <w:rPr>
          <w:spacing w:val="-1"/>
          <w:sz w:val="24"/>
        </w:rPr>
        <w:t> </w:t>
      </w:r>
      <w:r>
        <w:rPr>
          <w:sz w:val="24"/>
        </w:rPr>
        <w:t>resultados</w:t>
        <w:tab/>
        <w:t>55</w:t>
      </w:r>
    </w:p>
    <w:p>
      <w:pPr>
        <w:pStyle w:val="Heading2"/>
        <w:tabs>
          <w:tab w:pos="8599" w:val="right" w:leader="dot"/>
        </w:tabs>
        <w:spacing w:before="84"/>
        <w:rPr>
          <w:b w:val="0"/>
        </w:rPr>
      </w:pPr>
      <w:r>
        <w:rPr/>
        <w:t>CAPÍTULO 6.</w:t>
      </w:r>
      <w:r>
        <w:rPr>
          <w:spacing w:val="-1"/>
        </w:rPr>
        <w:t> </w:t>
      </w:r>
      <w:r>
        <w:rPr/>
        <w:t>PROPUESTA</w:t>
      </w:r>
      <w:r>
        <w:rPr>
          <w:spacing w:val="-7"/>
        </w:rPr>
        <w:t> </w:t>
      </w:r>
      <w:r>
        <w:rPr/>
        <w:t>INNOVADORA</w:t>
      </w:r>
      <w:r>
        <w:rPr>
          <w:b w:val="0"/>
        </w:rPr>
        <w:tab/>
        <w:t>60</w:t>
      </w:r>
    </w:p>
    <w:p>
      <w:pPr>
        <w:pStyle w:val="BodyText"/>
        <w:tabs>
          <w:tab w:pos="8599" w:val="right" w:leader="dot"/>
        </w:tabs>
        <w:spacing w:before="84"/>
        <w:ind w:left="102"/>
      </w:pPr>
      <w:r>
        <w:rPr/>
        <w:t>CONCLUSIONES</w:t>
        <w:tab/>
        <w:t>67</w:t>
      </w:r>
    </w:p>
    <w:p>
      <w:pPr>
        <w:pStyle w:val="BodyText"/>
        <w:tabs>
          <w:tab w:pos="8599" w:val="right" w:leader="dot"/>
        </w:tabs>
        <w:spacing w:before="84"/>
        <w:ind w:left="102"/>
      </w:pPr>
      <w:r>
        <w:rPr/>
        <w:t>BIBLIOGRAFÍA</w:t>
        <w:tab/>
        <w:t>69</w:t>
      </w:r>
    </w:p>
    <w:p>
      <w:pPr>
        <w:pStyle w:val="BodyText"/>
        <w:tabs>
          <w:tab w:pos="8599" w:val="right" w:leader="dot"/>
        </w:tabs>
        <w:spacing w:before="84"/>
        <w:ind w:left="102"/>
      </w:pPr>
      <w:r>
        <w:rPr/>
        <w:t>ANEXOS</w:t>
        <w:tab/>
        <w:t>72</w:t>
      </w:r>
    </w:p>
    <w:p>
      <w:pPr>
        <w:pStyle w:val="BodyText"/>
        <w:tabs>
          <w:tab w:pos="8599" w:val="right" w:leader="dot"/>
        </w:tabs>
        <w:spacing w:before="84"/>
        <w:ind w:left="342"/>
      </w:pPr>
      <w:r>
        <w:rPr/>
        <w:t>Anexo 1. Norma oficial para el control</w:t>
      </w:r>
      <w:r>
        <w:rPr>
          <w:spacing w:val="-9"/>
        </w:rPr>
        <w:t> </w:t>
      </w:r>
      <w:r>
        <w:rPr/>
        <w:t>de</w:t>
      </w:r>
      <w:r>
        <w:rPr>
          <w:spacing w:val="-3"/>
        </w:rPr>
        <w:t> </w:t>
      </w:r>
      <w:r>
        <w:rPr/>
        <w:t>peso</w:t>
        <w:tab/>
        <w:t>72</w:t>
      </w:r>
    </w:p>
    <w:p>
      <w:pPr>
        <w:pStyle w:val="BodyText"/>
        <w:tabs>
          <w:tab w:pos="8599" w:val="right" w:leader="dot"/>
        </w:tabs>
        <w:spacing w:before="84"/>
        <w:ind w:left="342"/>
      </w:pPr>
      <w:r>
        <w:rPr/>
        <w:t>Anexo 2. Curvas de</w:t>
      </w:r>
      <w:r>
        <w:rPr>
          <w:spacing w:val="-1"/>
        </w:rPr>
        <w:t> </w:t>
      </w:r>
      <w:r>
        <w:rPr/>
        <w:t>regresión</w:t>
      </w:r>
      <w:r>
        <w:rPr>
          <w:spacing w:val="-1"/>
        </w:rPr>
        <w:t> </w:t>
      </w:r>
      <w:r>
        <w:rPr/>
        <w:t>ajustadas</w:t>
        <w:tab/>
        <w:t>81</w:t>
      </w:r>
    </w:p>
    <w:p>
      <w:pPr>
        <w:pStyle w:val="BodyText"/>
        <w:tabs>
          <w:tab w:pos="8599" w:val="right" w:leader="dot"/>
        </w:tabs>
        <w:spacing w:line="312" w:lineRule="auto" w:before="84"/>
        <w:ind w:left="342" w:right="104"/>
      </w:pPr>
      <w:r>
        <w:rPr/>
        <w:t>Anexo 3. Variación entre báscula estática y dinámica detectada durante la implementación</w:t>
      </w:r>
      <w:r>
        <w:rPr>
          <w:spacing w:val="-1"/>
        </w:rPr>
        <w:t> </w:t>
      </w:r>
      <w:r>
        <w:rPr/>
        <w:t>del</w:t>
      </w:r>
      <w:r>
        <w:rPr>
          <w:spacing w:val="-1"/>
        </w:rPr>
        <w:t> </w:t>
      </w:r>
      <w:r>
        <w:rPr/>
        <w:t>trabajo</w:t>
        <w:tab/>
        <w:t>82</w:t>
      </w:r>
    </w:p>
    <w:p>
      <w:pPr>
        <w:pStyle w:val="BodyText"/>
        <w:tabs>
          <w:tab w:pos="8599" w:val="right" w:leader="dot"/>
        </w:tabs>
        <w:spacing w:before="3"/>
        <w:ind w:left="342"/>
      </w:pPr>
      <w:r>
        <w:rPr/>
        <w:t>Anexo 4. Control charts del antes y despues de lograr</w:t>
      </w:r>
      <w:r>
        <w:rPr>
          <w:spacing w:val="-13"/>
        </w:rPr>
        <w:t> </w:t>
      </w:r>
      <w:r>
        <w:rPr/>
        <w:t>los</w:t>
      </w:r>
      <w:r>
        <w:rPr>
          <w:spacing w:val="-1"/>
        </w:rPr>
        <w:t> </w:t>
      </w:r>
      <w:r>
        <w:rPr/>
        <w:t>resultados</w:t>
        <w:tab/>
        <w:t>87</w:t>
      </w:r>
    </w:p>
    <w:p>
      <w:pPr>
        <w:spacing w:after="0"/>
        <w:sectPr>
          <w:pgSz w:w="11910" w:h="16840"/>
          <w:pgMar w:header="0" w:footer="983" w:top="1440" w:bottom="1240" w:left="1600" w:right="1600"/>
        </w:sectPr>
      </w:pPr>
    </w:p>
    <w:p>
      <w:pPr>
        <w:pStyle w:val="BodyText"/>
        <w:spacing w:before="10"/>
        <w:rPr>
          <w:sz w:val="36"/>
        </w:rPr>
      </w:pPr>
    </w:p>
    <w:p>
      <w:pPr>
        <w:spacing w:before="0"/>
        <w:ind w:left="97" w:right="93" w:firstLine="0"/>
        <w:jc w:val="center"/>
        <w:rPr>
          <w:b/>
          <w:sz w:val="40"/>
        </w:rPr>
      </w:pPr>
      <w:r>
        <w:rPr>
          <w:b/>
          <w:sz w:val="40"/>
        </w:rPr>
        <w:t>ÍNDICE DE FIGURAS</w:t>
      </w:r>
    </w:p>
    <w:p>
      <w:pPr>
        <w:pStyle w:val="BodyText"/>
        <w:spacing w:before="9"/>
        <w:rPr>
          <w:b/>
          <w:sz w:val="43"/>
        </w:rPr>
      </w:pPr>
    </w:p>
    <w:p>
      <w:pPr>
        <w:pStyle w:val="BodyText"/>
        <w:tabs>
          <w:tab w:pos="8330" w:val="left" w:leader="dot"/>
        </w:tabs>
        <w:ind w:left="102"/>
      </w:pPr>
      <w:r>
        <w:rPr/>
        <w:t>Figura 1. Costos de</w:t>
      </w:r>
      <w:r>
        <w:rPr>
          <w:spacing w:val="-9"/>
        </w:rPr>
        <w:t> </w:t>
      </w:r>
      <w:r>
        <w:rPr/>
        <w:t>mala</w:t>
      </w:r>
      <w:r>
        <w:rPr>
          <w:spacing w:val="-1"/>
        </w:rPr>
        <w:t> </w:t>
      </w:r>
      <w:r>
        <w:rPr/>
        <w:t>calidad</w:t>
        <w:tab/>
        <w:t>24</w:t>
      </w:r>
    </w:p>
    <w:p>
      <w:pPr>
        <w:pStyle w:val="BodyText"/>
        <w:tabs>
          <w:tab w:pos="8330" w:val="left" w:leader="dot"/>
        </w:tabs>
        <w:spacing w:before="84"/>
        <w:ind w:left="102"/>
      </w:pPr>
      <w:r>
        <w:rPr/>
        <w:t>Figura 2. Procedimiento de elaboración del caldo</w:t>
      </w:r>
      <w:r>
        <w:rPr>
          <w:spacing w:val="-14"/>
        </w:rPr>
        <w:t> </w:t>
      </w:r>
      <w:r>
        <w:rPr/>
        <w:t>de</w:t>
      </w:r>
      <w:r>
        <w:rPr>
          <w:spacing w:val="-2"/>
        </w:rPr>
        <w:t> </w:t>
      </w:r>
      <w:r>
        <w:rPr/>
        <w:t>pollo</w:t>
        <w:tab/>
        <w:t>33</w:t>
      </w:r>
    </w:p>
    <w:p>
      <w:pPr>
        <w:pStyle w:val="BodyText"/>
        <w:tabs>
          <w:tab w:pos="8330" w:val="left" w:leader="dot"/>
        </w:tabs>
        <w:spacing w:before="84"/>
        <w:ind w:left="102"/>
      </w:pPr>
      <w:r>
        <w:rPr/>
        <w:t>Figura 3. Descripción de las etapas de elaboración del</w:t>
      </w:r>
      <w:r>
        <w:rPr>
          <w:spacing w:val="-17"/>
        </w:rPr>
        <w:t> </w:t>
      </w:r>
      <w:r>
        <w:rPr/>
        <w:t>caldo</w:t>
      </w:r>
      <w:r>
        <w:rPr>
          <w:spacing w:val="-2"/>
        </w:rPr>
        <w:t> </w:t>
      </w:r>
      <w:r>
        <w:rPr/>
        <w:t>excluido</w:t>
        <w:tab/>
        <w:t>34</w:t>
      </w:r>
    </w:p>
    <w:p>
      <w:pPr>
        <w:pStyle w:val="BodyText"/>
        <w:tabs>
          <w:tab w:pos="8330" w:val="left" w:leader="dot"/>
        </w:tabs>
        <w:spacing w:before="84"/>
        <w:ind w:left="102"/>
      </w:pPr>
      <w:r>
        <w:rPr/>
        <w:t>Figura 4.Costos por sobrellenado de la empresa de estudio</w:t>
      </w:r>
      <w:r>
        <w:rPr>
          <w:spacing w:val="-23"/>
        </w:rPr>
        <w:t> </w:t>
      </w:r>
      <w:r>
        <w:rPr/>
        <w:t>durante</w:t>
      </w:r>
      <w:r>
        <w:rPr>
          <w:spacing w:val="-3"/>
        </w:rPr>
        <w:t> </w:t>
      </w:r>
      <w:r>
        <w:rPr/>
        <w:t>2015</w:t>
        <w:tab/>
        <w:t>45</w:t>
      </w:r>
    </w:p>
    <w:p>
      <w:pPr>
        <w:pStyle w:val="BodyText"/>
        <w:tabs>
          <w:tab w:pos="8330" w:val="left" w:leader="dot"/>
        </w:tabs>
        <w:spacing w:before="84"/>
        <w:ind w:left="102"/>
      </w:pPr>
      <w:r>
        <w:rPr/>
        <w:t>Figura 5. Instrumento de</w:t>
      </w:r>
      <w:r>
        <w:rPr>
          <w:spacing w:val="-12"/>
        </w:rPr>
        <w:t> </w:t>
      </w:r>
      <w:r>
        <w:rPr/>
        <w:t>medición</w:t>
      </w:r>
      <w:r>
        <w:rPr>
          <w:spacing w:val="-2"/>
        </w:rPr>
        <w:t> </w:t>
      </w:r>
      <w:r>
        <w:rPr/>
        <w:t>utilizado</w:t>
        <w:tab/>
        <w:t>46</w:t>
      </w:r>
    </w:p>
    <w:p>
      <w:pPr>
        <w:pStyle w:val="BodyText"/>
        <w:tabs>
          <w:tab w:pos="8330" w:val="left" w:leader="dot"/>
        </w:tabs>
        <w:spacing w:before="84"/>
        <w:ind w:left="102"/>
      </w:pPr>
      <w:r>
        <w:rPr/>
        <w:t>Figura 6. Coeficiente de correlación entre las</w:t>
      </w:r>
      <w:r>
        <w:rPr>
          <w:spacing w:val="-20"/>
        </w:rPr>
        <w:t> </w:t>
      </w:r>
      <w:r>
        <w:rPr/>
        <w:t>variables</w:t>
      </w:r>
      <w:r>
        <w:rPr>
          <w:spacing w:val="-3"/>
        </w:rPr>
        <w:t> </w:t>
      </w:r>
      <w:r>
        <w:rPr/>
        <w:t>independientes</w:t>
        <w:tab/>
        <w:t>49</w:t>
      </w:r>
    </w:p>
    <w:p>
      <w:pPr>
        <w:pStyle w:val="BodyText"/>
        <w:tabs>
          <w:tab w:pos="8330" w:val="left" w:leader="dot"/>
        </w:tabs>
        <w:spacing w:before="84"/>
        <w:ind w:left="102"/>
      </w:pPr>
      <w:r>
        <w:rPr/>
        <w:t>Figura</w:t>
      </w:r>
      <w:r>
        <w:rPr>
          <w:spacing w:val="-1"/>
        </w:rPr>
        <w:t> </w:t>
      </w:r>
      <w:r>
        <w:rPr/>
        <w:t>7.</w:t>
      </w:r>
      <w:r>
        <w:rPr>
          <w:spacing w:val="-1"/>
        </w:rPr>
        <w:t> </w:t>
      </w:r>
      <w:r>
        <w:rPr/>
        <w:t>ANOVA</w:t>
        <w:tab/>
        <w:t>50</w:t>
      </w:r>
    </w:p>
    <w:p>
      <w:pPr>
        <w:pStyle w:val="BodyText"/>
        <w:tabs>
          <w:tab w:pos="8330" w:val="left" w:leader="dot"/>
        </w:tabs>
        <w:spacing w:before="84"/>
        <w:ind w:left="102"/>
      </w:pPr>
      <w:r>
        <w:rPr/>
        <w:t>Figura 8. Estadísticos de la regresión para el fenómeno</w:t>
      </w:r>
      <w:r>
        <w:rPr>
          <w:spacing w:val="-22"/>
        </w:rPr>
        <w:t> </w:t>
      </w:r>
      <w:r>
        <w:rPr/>
        <w:t>de</w:t>
      </w:r>
      <w:r>
        <w:rPr>
          <w:spacing w:val="-2"/>
        </w:rPr>
        <w:t> </w:t>
      </w:r>
      <w:r>
        <w:rPr/>
        <w:t>sobrellenado</w:t>
        <w:tab/>
        <w:t>50</w:t>
      </w:r>
    </w:p>
    <w:p>
      <w:pPr>
        <w:pStyle w:val="BodyText"/>
        <w:spacing w:before="84"/>
        <w:ind w:left="97" w:right="100"/>
        <w:jc w:val="center"/>
      </w:pPr>
      <w:r>
        <w:rPr/>
        <w:t>Figura 9. Efecto de la temperatura del ingrediente principal en el    sobrellenado</w:t>
      </w:r>
    </w:p>
    <w:p>
      <w:pPr>
        <w:pStyle w:val="BodyText"/>
        <w:spacing w:before="84"/>
        <w:ind w:left="97" w:right="57"/>
        <w:jc w:val="center"/>
      </w:pPr>
      <w:r>
        <w:rPr/>
        <w:t>......................................................................................................................... 51</w:t>
      </w:r>
    </w:p>
    <w:p>
      <w:pPr>
        <w:pStyle w:val="BodyText"/>
        <w:tabs>
          <w:tab w:pos="8330" w:val="left" w:leader="dot"/>
        </w:tabs>
        <w:spacing w:before="84"/>
        <w:ind w:left="102"/>
      </w:pPr>
      <w:r>
        <w:rPr/>
        <w:t>Figura 10. Efecto del tiempo de mezclado en</w:t>
      </w:r>
      <w:r>
        <w:rPr>
          <w:spacing w:val="-18"/>
        </w:rPr>
        <w:t> </w:t>
      </w:r>
      <w:r>
        <w:rPr/>
        <w:t>el</w:t>
      </w:r>
      <w:r>
        <w:rPr>
          <w:spacing w:val="-1"/>
        </w:rPr>
        <w:t> </w:t>
      </w:r>
      <w:r>
        <w:rPr/>
        <w:t>sobrellenado</w:t>
        <w:tab/>
        <w:t>52</w:t>
      </w:r>
    </w:p>
    <w:p>
      <w:pPr>
        <w:pStyle w:val="BodyText"/>
        <w:tabs>
          <w:tab w:pos="8330" w:val="left" w:leader="dot"/>
        </w:tabs>
        <w:spacing w:before="84"/>
        <w:ind w:left="102"/>
      </w:pPr>
      <w:r>
        <w:rPr/>
        <w:t>Figura 11. Efecto de la temperatura del semielaborado en</w:t>
      </w:r>
      <w:r>
        <w:rPr>
          <w:spacing w:val="-21"/>
        </w:rPr>
        <w:t> </w:t>
      </w:r>
      <w:r>
        <w:rPr/>
        <w:t>el</w:t>
      </w:r>
      <w:r>
        <w:rPr>
          <w:spacing w:val="-2"/>
        </w:rPr>
        <w:t> </w:t>
      </w:r>
      <w:r>
        <w:rPr/>
        <w:t>sobrellenado</w:t>
        <w:tab/>
        <w:t>52</w:t>
      </w:r>
    </w:p>
    <w:p>
      <w:pPr>
        <w:pStyle w:val="BodyText"/>
        <w:tabs>
          <w:tab w:pos="8330" w:val="left" w:leader="dot"/>
        </w:tabs>
        <w:spacing w:before="84"/>
        <w:ind w:left="102"/>
      </w:pPr>
      <w:r>
        <w:rPr/>
        <w:t>Figura 12. Estadísticos de la</w:t>
      </w:r>
      <w:r>
        <w:rPr>
          <w:spacing w:val="-11"/>
        </w:rPr>
        <w:t> </w:t>
      </w:r>
      <w:r>
        <w:rPr/>
        <w:t>regresión</w:t>
      </w:r>
      <w:r>
        <w:rPr>
          <w:spacing w:val="-2"/>
        </w:rPr>
        <w:t> </w:t>
      </w:r>
      <w:r>
        <w:rPr/>
        <w:t>lineal</w:t>
        <w:tab/>
        <w:t>53</w:t>
      </w:r>
    </w:p>
    <w:p>
      <w:pPr>
        <w:pStyle w:val="BodyText"/>
        <w:tabs>
          <w:tab w:pos="8330" w:val="left" w:leader="dot"/>
        </w:tabs>
        <w:spacing w:line="314" w:lineRule="auto" w:before="84"/>
        <w:ind w:left="102" w:right="103"/>
      </w:pPr>
      <w:r>
        <w:rPr/>
        <w:t>Figura 13. Comparación entre los gráficos de dispersión antes y después de los resultados logrados con este</w:t>
      </w:r>
      <w:r>
        <w:rPr>
          <w:spacing w:val="-9"/>
        </w:rPr>
        <w:t> </w:t>
      </w:r>
      <w:r>
        <w:rPr/>
        <w:t>trabajo</w:t>
      </w:r>
      <w:r>
        <w:rPr>
          <w:spacing w:val="-3"/>
        </w:rPr>
        <w:t> </w:t>
      </w:r>
      <w:r>
        <w:rPr/>
        <w:t>terminal</w:t>
        <w:tab/>
        <w:t>58</w:t>
      </w:r>
    </w:p>
    <w:p>
      <w:pPr>
        <w:pStyle w:val="BodyText"/>
        <w:tabs>
          <w:tab w:pos="8330" w:val="left" w:leader="dot"/>
        </w:tabs>
        <w:spacing w:line="312" w:lineRule="auto" w:before="1"/>
        <w:ind w:left="102" w:right="104"/>
      </w:pPr>
      <w:r>
        <w:rPr/>
        <w:t>Figura 14. Comparación de los gráficos de capacidad de proceso antes y después de los resultados logrados.</w:t>
      </w:r>
      <w:r>
        <w:rPr>
          <w:spacing w:val="-12"/>
        </w:rPr>
        <w:t> </w:t>
      </w:r>
      <w:r>
        <w:rPr/>
        <w:t>Turno</w:t>
      </w:r>
      <w:r>
        <w:rPr>
          <w:spacing w:val="-2"/>
        </w:rPr>
        <w:t> </w:t>
      </w:r>
      <w:r>
        <w:rPr/>
        <w:t>A</w:t>
        <w:tab/>
        <w:t>58</w:t>
      </w:r>
    </w:p>
    <w:p>
      <w:pPr>
        <w:pStyle w:val="BodyText"/>
        <w:tabs>
          <w:tab w:pos="8330" w:val="left" w:leader="dot"/>
        </w:tabs>
        <w:spacing w:line="312" w:lineRule="auto" w:before="3"/>
        <w:ind w:left="102" w:right="104"/>
      </w:pPr>
      <w:r>
        <w:rPr/>
        <w:t>Figura 15. Comparación de los gráficos de capacidad de proceso antes y después de los resultados logrados.</w:t>
      </w:r>
      <w:r>
        <w:rPr>
          <w:spacing w:val="-12"/>
        </w:rPr>
        <w:t> </w:t>
      </w:r>
      <w:r>
        <w:rPr/>
        <w:t>Turno</w:t>
      </w:r>
      <w:r>
        <w:rPr>
          <w:spacing w:val="-2"/>
        </w:rPr>
        <w:t> </w:t>
      </w:r>
      <w:r>
        <w:rPr/>
        <w:t>B</w:t>
        <w:tab/>
        <w:t>59</w:t>
      </w:r>
    </w:p>
    <w:p>
      <w:pPr>
        <w:pStyle w:val="BodyText"/>
        <w:tabs>
          <w:tab w:pos="8330" w:val="left" w:leader="dot"/>
        </w:tabs>
        <w:spacing w:line="312" w:lineRule="auto" w:before="3"/>
        <w:ind w:left="102" w:right="104"/>
      </w:pPr>
      <w:r>
        <w:rPr/>
        <w:t>Figura 16. Comparación de los gráficos de capacidad de proceso antes y después de los resultados logrados.</w:t>
      </w:r>
      <w:r>
        <w:rPr>
          <w:spacing w:val="-9"/>
        </w:rPr>
        <w:t> </w:t>
      </w:r>
      <w:r>
        <w:rPr/>
        <w:t>Turno</w:t>
      </w:r>
      <w:r>
        <w:rPr>
          <w:spacing w:val="-2"/>
        </w:rPr>
        <w:t> </w:t>
      </w:r>
      <w:r>
        <w:rPr/>
        <w:t>C</w:t>
        <w:tab/>
        <w:t>59</w:t>
      </w:r>
    </w:p>
    <w:p>
      <w:pPr>
        <w:pStyle w:val="BodyText"/>
        <w:tabs>
          <w:tab w:pos="8330" w:val="left" w:leader="dot"/>
        </w:tabs>
        <w:spacing w:line="312" w:lineRule="auto" w:before="3"/>
        <w:ind w:left="102" w:right="104"/>
      </w:pPr>
      <w:r>
        <w:rPr/>
        <w:t>Figura 17. . Sobrellenado actual después de la implementación de la propuesta innovadora</w:t>
        <w:tab/>
        <w:t>62</w:t>
      </w:r>
    </w:p>
    <w:p>
      <w:pPr>
        <w:pStyle w:val="BodyText"/>
        <w:spacing w:before="4"/>
        <w:ind w:left="97" w:right="100"/>
        <w:jc w:val="center"/>
      </w:pPr>
      <w:r>
        <w:rPr/>
        <w:t>Figura 18. . Ayuda visual operacional con los tiempos de mezclado    por receta</w:t>
      </w:r>
    </w:p>
    <w:p>
      <w:pPr>
        <w:pStyle w:val="BodyText"/>
        <w:spacing w:before="84"/>
        <w:ind w:left="97" w:right="57"/>
        <w:jc w:val="center"/>
      </w:pPr>
      <w:r>
        <w:rPr/>
        <w:t>......................................................................................................................... 62</w:t>
      </w:r>
    </w:p>
    <w:p>
      <w:pPr>
        <w:pStyle w:val="BodyText"/>
        <w:tabs>
          <w:tab w:pos="8330" w:val="left" w:leader="dot"/>
        </w:tabs>
        <w:spacing w:before="84"/>
        <w:ind w:left="102"/>
      </w:pPr>
      <w:r>
        <w:rPr/>
        <w:t>Figura 19. . Instrucción de trabajo para el control de peso de</w:t>
      </w:r>
      <w:r>
        <w:rPr>
          <w:spacing w:val="-16"/>
        </w:rPr>
        <w:t> </w:t>
      </w:r>
      <w:r>
        <w:rPr/>
        <w:t>la</w:t>
      </w:r>
      <w:r>
        <w:rPr>
          <w:spacing w:val="-1"/>
        </w:rPr>
        <w:t> </w:t>
      </w:r>
      <w:r>
        <w:rPr/>
        <w:t>línea</w:t>
        <w:tab/>
        <w:t>64</w:t>
      </w:r>
    </w:p>
    <w:p>
      <w:pPr>
        <w:pStyle w:val="BodyText"/>
        <w:tabs>
          <w:tab w:pos="8330" w:val="left" w:leader="dot"/>
        </w:tabs>
        <w:spacing w:before="84"/>
        <w:ind w:left="102"/>
      </w:pPr>
      <w:r>
        <w:rPr/>
        <w:t>Figura 20. . LUTI de la línea 4 para el control</w:t>
      </w:r>
      <w:r>
        <w:rPr>
          <w:spacing w:val="-17"/>
        </w:rPr>
        <w:t> </w:t>
      </w:r>
      <w:r>
        <w:rPr/>
        <w:t>de</w:t>
      </w:r>
      <w:r>
        <w:rPr>
          <w:spacing w:val="-1"/>
        </w:rPr>
        <w:t> </w:t>
      </w:r>
      <w:r>
        <w:rPr/>
        <w:t>peso</w:t>
        <w:tab/>
        <w:t>65</w:t>
      </w:r>
    </w:p>
    <w:p>
      <w:pPr>
        <w:spacing w:after="0"/>
        <w:sectPr>
          <w:pgSz w:w="11910" w:h="16840"/>
          <w:pgMar w:header="0" w:footer="983" w:top="1580" w:bottom="1240" w:left="1600" w:right="1600"/>
        </w:sectPr>
      </w:pPr>
    </w:p>
    <w:p>
      <w:pPr>
        <w:pStyle w:val="Heading1"/>
        <w:ind w:left="2797"/>
      </w:pPr>
      <w:bookmarkStart w:name="_TOC_250026" w:id="2"/>
      <w:bookmarkEnd w:id="2"/>
      <w:r>
        <w:rPr/>
        <w:t>INTRODUCCIÓN</w:t>
      </w:r>
    </w:p>
    <w:p>
      <w:pPr>
        <w:pStyle w:val="BodyText"/>
        <w:spacing w:before="3"/>
        <w:rPr>
          <w:b/>
          <w:sz w:val="36"/>
        </w:rPr>
      </w:pPr>
    </w:p>
    <w:p>
      <w:pPr>
        <w:pStyle w:val="BodyText"/>
        <w:spacing w:line="360" w:lineRule="auto"/>
        <w:ind w:left="102" w:right="118"/>
        <w:jc w:val="both"/>
      </w:pPr>
      <w:r>
        <w:rPr/>
        <w:t>El presente trabajo terminal de grado estudia uno de los fenómenos  más común de lo que se piensa dentro de las industrias nacionales y trasnacionales de alimentos procesados: el sobrellenado de producto terminado. Si bien es cierto que todas las empresas trabajan con cierto porcentaje de merma por sobrellenado, al trabajar de esta manera, se acepta trabajar con un proceso  mal planeado (Gutiérrez, 2015) sobre el cual no se puede tener un control adecuado de la calidad, haciendo que esta sea más costosa porque se invierte más en la detección que en la</w:t>
      </w:r>
      <w:r>
        <w:rPr>
          <w:spacing w:val="-12"/>
        </w:rPr>
        <w:t> </w:t>
      </w:r>
      <w:r>
        <w:rPr/>
        <w:t>prevención.</w:t>
      </w:r>
    </w:p>
    <w:p>
      <w:pPr>
        <w:pStyle w:val="BodyText"/>
      </w:pPr>
    </w:p>
    <w:p>
      <w:pPr>
        <w:pStyle w:val="BodyText"/>
        <w:spacing w:line="360" w:lineRule="auto" w:before="142"/>
        <w:ind w:left="102" w:right="116"/>
        <w:jc w:val="both"/>
      </w:pPr>
      <w:r>
        <w:rPr/>
        <w:t>Este trabajo responde a la pregunta ¿Cuáles son las variables de proceso que tienen un mayor impacto en el sobrellenado de las líneas de elaboración de caldos extruidos? Una vez identificadas las variables de mayor afección es posible establecer parámetros operacionales para tener un control adecuado del problema y alcanzar un nivel mejor de desempeño del proceso </w:t>
      </w:r>
      <w:r>
        <w:rPr>
          <w:spacing w:val="2"/>
        </w:rPr>
        <w:t>que </w:t>
      </w:r>
      <w:r>
        <w:rPr/>
        <w:t>trae como consecuencia una mayor calidad a un menor</w:t>
      </w:r>
      <w:r>
        <w:rPr>
          <w:spacing w:val="-22"/>
        </w:rPr>
        <w:t> </w:t>
      </w:r>
      <w:r>
        <w:rPr/>
        <w:t>costo.</w:t>
      </w:r>
    </w:p>
    <w:p>
      <w:pPr>
        <w:pStyle w:val="BodyText"/>
      </w:pPr>
    </w:p>
    <w:p>
      <w:pPr>
        <w:pStyle w:val="BodyText"/>
        <w:spacing w:line="360" w:lineRule="auto" w:before="142"/>
        <w:ind w:left="102" w:right="117"/>
        <w:jc w:val="both"/>
      </w:pPr>
      <w:r>
        <w:rPr/>
        <w:t>En el capítulo 1 y 2 se ponen los fundamentos teóricos sobre los cuales está basado este trabajo: el control de la calidad y los costos de la mala calidad. La calidad en las organizaciones está vista como la entrega de producto que satisfaga las expectativas del consumidor pero no se piensa en los clientes internos, que son parte de la cadena de suministro antes de que el producto llegue a las manos del consumidor, por lo que la calidad debe estar presente  en todas áreas de la organización que intervienen en el proceso productivo (Pulido, 2014). Por otro lado, los estudios previamente realizados por los gurús de la calidad como Crosby y Jurán mencionan que la calidad no cuesta, lo que cuesta es el resultado de hacer mal las cosas y no tener un adecuado control de los procesos, lo cual repercute una inversión en la detección de fallas de hasta un 25% de las ventas. El costo de prevenir siempre será menor que al de detectar y</w:t>
      </w:r>
      <w:r>
        <w:rPr>
          <w:spacing w:val="-10"/>
        </w:rPr>
        <w:t> </w:t>
      </w:r>
      <w:r>
        <w:rPr/>
        <w:t>corregir.</w:t>
      </w:r>
    </w:p>
    <w:p>
      <w:pPr>
        <w:spacing w:after="0" w:line="360" w:lineRule="auto"/>
        <w:jc w:val="both"/>
        <w:sectPr>
          <w:footerReference w:type="default" r:id="rId11"/>
          <w:pgSz w:w="11910" w:h="16840"/>
          <w:pgMar w:footer="1043" w:header="0" w:top="1360" w:bottom="1240" w:left="1600" w:right="1580"/>
        </w:sectPr>
      </w:pPr>
    </w:p>
    <w:p>
      <w:pPr>
        <w:pStyle w:val="BodyText"/>
        <w:spacing w:line="360" w:lineRule="auto" w:before="56"/>
        <w:ind w:left="102" w:right="121"/>
        <w:jc w:val="both"/>
      </w:pPr>
      <w:r>
        <w:rPr/>
        <w:t>El capítulo 3 corresponde al marco contextual. En él se habla de la situación de la industria de alimentos en México, se da un panorama general de la empresa de estudio: su misión, visión y cómo se encuentra conformada y posteriormente se habla del producto sobre el cual se realizó el trabajo terminal de grado: el caldo extruido, mejor conocido como caldo de pollo; se explica el proceso de elaboración que sigue y se explica la situación de la empresa en cuanto al sobrellenado.</w:t>
      </w:r>
    </w:p>
    <w:p>
      <w:pPr>
        <w:pStyle w:val="BodyText"/>
      </w:pPr>
    </w:p>
    <w:p>
      <w:pPr>
        <w:pStyle w:val="BodyText"/>
        <w:spacing w:line="360" w:lineRule="auto" w:before="142"/>
        <w:ind w:left="102" w:right="115"/>
        <w:jc w:val="both"/>
      </w:pPr>
      <w:r>
        <w:rPr/>
        <w:t>En el capítulo 4 se habla sobre el método de trabajo que se siguió para obtener los resultados, primero se realiza el planteamiento del problema, se explica el por qué fue importante la realización de este trabajo, se establecen los objetivos, se describe la población y la muestra de estudio así como el instrumento de medición para por último presentar los resultados que mediante el análisis estadístico permite establecer las variables de mayor afección en el sobrellenado.</w:t>
      </w:r>
    </w:p>
    <w:p>
      <w:pPr>
        <w:pStyle w:val="BodyText"/>
      </w:pPr>
    </w:p>
    <w:p>
      <w:pPr>
        <w:pStyle w:val="BodyText"/>
        <w:spacing w:line="360" w:lineRule="auto" w:before="142"/>
        <w:ind w:left="102" w:right="116"/>
        <w:jc w:val="both"/>
      </w:pPr>
      <w:r>
        <w:rPr/>
        <w:t>El capítulo 5 contiene el análisis de los resultados, cómo se relaciona lo obtenido con lo teórico, se discuten las posturas de algunos pioneros de la administración de la calidad y se apoya la teoría de algunos autores sobre que la calidad corresponde a toda la organización. Al final del capítulo se presentan los resultados logrados una vez establecidos los parámetros de operación de las variables.</w:t>
      </w:r>
    </w:p>
    <w:p>
      <w:pPr>
        <w:pStyle w:val="BodyText"/>
      </w:pPr>
    </w:p>
    <w:p>
      <w:pPr>
        <w:pStyle w:val="BodyText"/>
        <w:spacing w:line="360" w:lineRule="auto" w:before="142"/>
        <w:ind w:left="102" w:right="115"/>
        <w:jc w:val="both"/>
      </w:pPr>
      <w:r>
        <w:rPr/>
        <w:t>Por último, el capítulo 6 presenta la propuesta innovadora, que para  este trabajo terminal de grado, no solo quedó en propuesta sino que fue posible implementar, dando resultados tangibles en cuanto a la reducción de sobrellenado y un ahorro significativo para la compañía, superando las expectativas de la empresa de estudio, quien ha pedido presentar los resultados de este trabajo a otras plantas de Latinoamérica y Caribe para establecer una metodología que permita hacer la réplica hacía otras líneas y otras</w:t>
      </w:r>
      <w:r>
        <w:rPr>
          <w:spacing w:val="-7"/>
        </w:rPr>
        <w:t> </w:t>
      </w:r>
      <w:r>
        <w:rPr/>
        <w:t>tecnologías.</w:t>
      </w:r>
    </w:p>
    <w:p>
      <w:pPr>
        <w:spacing w:after="0" w:line="360" w:lineRule="auto"/>
        <w:jc w:val="both"/>
        <w:sectPr>
          <w:footerReference w:type="default" r:id="rId12"/>
          <w:pgSz w:w="11910" w:h="16840"/>
          <w:pgMar w:footer="1043" w:header="0" w:top="1340" w:bottom="1240" w:left="1600" w:right="1580"/>
          <w:pgNumType w:start="11"/>
        </w:sectPr>
      </w:pPr>
    </w:p>
    <w:p>
      <w:pPr>
        <w:pStyle w:val="Heading1"/>
        <w:ind w:left="142"/>
        <w:jc w:val="both"/>
      </w:pPr>
      <w:bookmarkStart w:name="_TOC_250025" w:id="3"/>
      <w:bookmarkEnd w:id="3"/>
      <w:r>
        <w:rPr/>
        <w:t>CAPÍTULO 1. EL CONTROL DE LA CALIDAD</w:t>
      </w:r>
    </w:p>
    <w:p>
      <w:pPr>
        <w:pStyle w:val="Heading2"/>
        <w:numPr>
          <w:ilvl w:val="1"/>
          <w:numId w:val="6"/>
        </w:numPr>
        <w:tabs>
          <w:tab w:pos="508" w:val="left" w:leader="none"/>
        </w:tabs>
        <w:spacing w:line="240" w:lineRule="auto" w:before="232" w:after="0"/>
        <w:ind w:left="507" w:right="0" w:hanging="405"/>
        <w:jc w:val="both"/>
      </w:pPr>
      <w:bookmarkStart w:name="_TOC_250024" w:id="4"/>
      <w:r>
        <w:rPr/>
        <w:t>El Control como parte del proceso</w:t>
      </w:r>
      <w:r>
        <w:rPr>
          <w:spacing w:val="-18"/>
        </w:rPr>
        <w:t> </w:t>
      </w:r>
      <w:bookmarkEnd w:id="4"/>
      <w:r>
        <w:rPr/>
        <w:t>administrativo.</w:t>
      </w:r>
    </w:p>
    <w:p>
      <w:pPr>
        <w:pStyle w:val="BodyText"/>
        <w:rPr>
          <w:b/>
        </w:rPr>
      </w:pPr>
    </w:p>
    <w:p>
      <w:pPr>
        <w:pStyle w:val="BodyText"/>
        <w:rPr>
          <w:b/>
        </w:rPr>
      </w:pPr>
    </w:p>
    <w:p>
      <w:pPr>
        <w:pStyle w:val="BodyText"/>
        <w:spacing w:line="360" w:lineRule="auto"/>
        <w:ind w:left="102" w:right="117"/>
        <w:jc w:val="both"/>
      </w:pPr>
      <w:r>
        <w:rPr/>
        <w:t>De acuerdo a Chiavenato, las funciones administrativas consideradas como un todo integrado conforman el proceso administrativo; sin embargo, cuando la planeación, la dirección, la organización y el control se consideran de forma aislada entonces son conocidas como funciones administrativas (Chiavenato, 2014) .</w:t>
      </w:r>
    </w:p>
    <w:p>
      <w:pPr>
        <w:pStyle w:val="BodyText"/>
      </w:pPr>
    </w:p>
    <w:p>
      <w:pPr>
        <w:pStyle w:val="BodyText"/>
        <w:spacing w:line="360" w:lineRule="auto" w:before="142"/>
        <w:ind w:left="102" w:right="116"/>
        <w:jc w:val="both"/>
      </w:pPr>
      <w:r>
        <w:rPr/>
        <w:t>En cuanto al orden que siguen las funciones administrativas, este trabajo está enfocado en el control. Para Robbins, el control es “el proceso de regular actividades que aseguren que se están cumpliendo como fueron planificadas y corrigiendo cualquier desviación significativa" (Robbins &amp; Coulter, 2005). Sin embargo, Stoner dice que el control administrativo es el proceso que permite garantizar que las actividades reales se ajusten a las actividades proyectadas (Stoner, 1996)</w:t>
      </w:r>
    </w:p>
    <w:p>
      <w:pPr>
        <w:pStyle w:val="BodyText"/>
      </w:pPr>
    </w:p>
    <w:p>
      <w:pPr>
        <w:pStyle w:val="BodyText"/>
        <w:spacing w:line="360" w:lineRule="auto" w:before="142"/>
        <w:ind w:left="102" w:right="115"/>
        <w:jc w:val="both"/>
      </w:pPr>
      <w:r>
        <w:rPr/>
        <w:t>Por otro lado para Fayol, citado por Melinkoff, el control consiste en verificar si todo se realiza conforme al </w:t>
      </w:r>
      <w:hyperlink r:id="rId13">
        <w:r>
          <w:rPr/>
          <w:t>programa</w:t>
        </w:r>
      </w:hyperlink>
      <w:r>
        <w:rPr/>
        <w:t> adoptado, a las órdenes impartidas y a  los </w:t>
      </w:r>
      <w:hyperlink r:id="rId14">
        <w:r>
          <w:rPr/>
          <w:t>principios</w:t>
        </w:r>
      </w:hyperlink>
      <w:r>
        <w:rPr/>
        <w:t> administrativos y tiene la finalidad de señalar las </w:t>
      </w:r>
      <w:hyperlink r:id="rId15">
        <w:r>
          <w:rPr/>
          <w:t>faltas</w:t>
        </w:r>
      </w:hyperlink>
      <w:r>
        <w:rPr/>
        <w:t> y los errores a fin de que se pueda repararlos y evitar su repetición".  (Melinkoff 1990).</w:t>
      </w:r>
    </w:p>
    <w:p>
      <w:pPr>
        <w:pStyle w:val="BodyText"/>
      </w:pPr>
    </w:p>
    <w:p>
      <w:pPr>
        <w:pStyle w:val="BodyText"/>
        <w:spacing w:line="360" w:lineRule="auto" w:before="142"/>
        <w:ind w:left="102" w:right="120"/>
        <w:jc w:val="both"/>
        <w:rPr>
          <w:sz w:val="18"/>
        </w:rPr>
      </w:pPr>
      <w:r>
        <w:rPr/>
        <w:t>Considero que Robbins y Stoner se enfocan en ver el control como el cumplimiento de las actividades conforme a un plan, sin embargo, es necesario también encontrar los elementos básicos que forman parte de esta función administrativa, por ejemplo, el que es un proceso de supervisión y por lo tanto debe de ser visto no solo como parte final de un proceso si no que debe acompañar todo el proceso, por otro lado para que haya control deben existir estándares o lineamiento establecidos para que a través de ellos se pueda determinar posibles desviaciones de los resultados y por último el control debe permitir la corrección de errores, de posibles desviaciones en los resultados o en las actividades realizadas</w:t>
      </w:r>
      <w:r>
        <w:rPr>
          <w:sz w:val="18"/>
        </w:rPr>
        <w:t>.</w:t>
      </w:r>
    </w:p>
    <w:p>
      <w:pPr>
        <w:spacing w:after="0" w:line="360" w:lineRule="auto"/>
        <w:jc w:val="both"/>
        <w:rPr>
          <w:sz w:val="18"/>
        </w:rPr>
        <w:sectPr>
          <w:pgSz w:w="11910" w:h="16840"/>
          <w:pgMar w:header="0" w:footer="1043" w:top="1360" w:bottom="1240" w:left="1600" w:right="1580"/>
        </w:sectPr>
      </w:pPr>
    </w:p>
    <w:p>
      <w:pPr>
        <w:pStyle w:val="Heading2"/>
        <w:numPr>
          <w:ilvl w:val="2"/>
          <w:numId w:val="6"/>
        </w:numPr>
        <w:tabs>
          <w:tab w:pos="705" w:val="left" w:leader="none"/>
        </w:tabs>
        <w:spacing w:line="240" w:lineRule="auto" w:before="56" w:after="0"/>
        <w:ind w:left="704" w:right="0" w:hanging="602"/>
        <w:jc w:val="both"/>
      </w:pPr>
      <w:bookmarkStart w:name="_TOC_250023" w:id="5"/>
      <w:r>
        <w:rPr/>
        <w:t>Proceso de</w:t>
      </w:r>
      <w:r>
        <w:rPr>
          <w:spacing w:val="-8"/>
        </w:rPr>
        <w:t> </w:t>
      </w:r>
      <w:bookmarkEnd w:id="5"/>
      <w:r>
        <w:rPr/>
        <w:t>control</w:t>
      </w:r>
    </w:p>
    <w:p>
      <w:pPr>
        <w:pStyle w:val="BodyText"/>
        <w:rPr>
          <w:b/>
        </w:rPr>
      </w:pPr>
    </w:p>
    <w:p>
      <w:pPr>
        <w:pStyle w:val="BodyText"/>
        <w:rPr>
          <w:b/>
        </w:rPr>
      </w:pPr>
    </w:p>
    <w:p>
      <w:pPr>
        <w:pStyle w:val="BodyText"/>
        <w:spacing w:line="360" w:lineRule="auto"/>
        <w:ind w:left="102" w:right="117"/>
        <w:jc w:val="both"/>
      </w:pPr>
      <w:r>
        <w:rPr/>
        <w:t>Siendo el control la última de las funciones del proceso administrativo, esta cierra el ciclo del </w:t>
      </w:r>
      <w:hyperlink r:id="rId16">
        <w:r>
          <w:rPr/>
          <w:t>sistema</w:t>
        </w:r>
      </w:hyperlink>
      <w:r>
        <w:rPr/>
        <w:t> al proveer </w:t>
      </w:r>
      <w:hyperlink r:id="rId17">
        <w:r>
          <w:rPr/>
          <w:t>retroalimentación</w:t>
        </w:r>
      </w:hyperlink>
      <w:r>
        <w:rPr/>
        <w:t> respecto a desviaciones significativas    contra    el    desempeño    planeado.    La     retroalimentación de </w:t>
      </w:r>
      <w:hyperlink r:id="rId18">
        <w:r>
          <w:rPr/>
          <w:t>información</w:t>
        </w:r>
      </w:hyperlink>
      <w:r>
        <w:rPr/>
        <w:t> pertinente a partir de la función de control puede afectar el proceso de planeación, por lo tanto con la finalidad de identificar los errores o desvíos para corregirlos y evitar su repetición, el control tiene un proceso o fases a seguir:</w:t>
      </w:r>
    </w:p>
    <w:p>
      <w:pPr>
        <w:pStyle w:val="BodyText"/>
      </w:pPr>
    </w:p>
    <w:p>
      <w:pPr>
        <w:pStyle w:val="ListParagraph"/>
        <w:numPr>
          <w:ilvl w:val="3"/>
          <w:numId w:val="6"/>
        </w:numPr>
        <w:tabs>
          <w:tab w:pos="822" w:val="left" w:leader="none"/>
        </w:tabs>
        <w:spacing w:line="360" w:lineRule="auto" w:before="142" w:after="0"/>
        <w:ind w:left="822" w:right="116" w:hanging="360"/>
        <w:jc w:val="both"/>
        <w:rPr>
          <w:sz w:val="24"/>
        </w:rPr>
      </w:pPr>
      <w:r>
        <w:rPr>
          <w:sz w:val="24"/>
        </w:rPr>
        <w:t>Establecimiento de estándares, es decir los criterios de evaluación o comparación. Desde el punto de vista de una organización u empresa existen cuatro tipos de estándares: los de cantidad que establecen el volumen de producción, cantidad de existencia de materias primas o número de horas de trabajo. Estándares de calidad, que establecen la calidad del producto y sus especificaciones ya sea de producto o de proceso. Estándares de tiempo, como el tiempo estándar para producir un determinado producto o el tiempo medio de elaboración de un producto y los estándares de costos que fijan los costos de producción, administración y costos de ventas, entre</w:t>
      </w:r>
      <w:r>
        <w:rPr>
          <w:spacing w:val="-17"/>
          <w:sz w:val="24"/>
        </w:rPr>
        <w:t> </w:t>
      </w:r>
      <w:r>
        <w:rPr>
          <w:sz w:val="24"/>
        </w:rPr>
        <w:t>otros.</w:t>
      </w:r>
    </w:p>
    <w:p>
      <w:pPr>
        <w:pStyle w:val="BodyText"/>
      </w:pPr>
    </w:p>
    <w:p>
      <w:pPr>
        <w:pStyle w:val="ListParagraph"/>
        <w:numPr>
          <w:ilvl w:val="3"/>
          <w:numId w:val="6"/>
        </w:numPr>
        <w:tabs>
          <w:tab w:pos="822" w:val="left" w:leader="none"/>
        </w:tabs>
        <w:spacing w:line="360" w:lineRule="auto" w:before="142" w:after="0"/>
        <w:ind w:left="822" w:right="125" w:hanging="360"/>
        <w:jc w:val="both"/>
        <w:rPr>
          <w:sz w:val="24"/>
        </w:rPr>
      </w:pPr>
      <w:r>
        <w:rPr>
          <w:sz w:val="24"/>
        </w:rPr>
        <w:t>Evaluación del desempeño, con la finalidad de evaluar lo que se está haciendo.</w:t>
      </w:r>
    </w:p>
    <w:p>
      <w:pPr>
        <w:pStyle w:val="BodyText"/>
      </w:pPr>
    </w:p>
    <w:p>
      <w:pPr>
        <w:pStyle w:val="ListParagraph"/>
        <w:numPr>
          <w:ilvl w:val="3"/>
          <w:numId w:val="6"/>
        </w:numPr>
        <w:tabs>
          <w:tab w:pos="822" w:val="left" w:leader="none"/>
        </w:tabs>
        <w:spacing w:line="360" w:lineRule="auto" w:before="142" w:after="0"/>
        <w:ind w:left="822" w:right="118" w:hanging="360"/>
        <w:jc w:val="both"/>
        <w:rPr>
          <w:sz w:val="24"/>
        </w:rPr>
      </w:pPr>
      <w:r>
        <w:rPr>
          <w:sz w:val="24"/>
        </w:rPr>
        <w:t>Comparación de desempeño con el estándar establecido, en otras palabras, comparar el desempeño de las funciones realizadas con el que fue establecido como estándar, para verificar si hay desvío, variación o alguna falla con relación al desempeño</w:t>
      </w:r>
      <w:r>
        <w:rPr>
          <w:spacing w:val="-17"/>
          <w:sz w:val="24"/>
        </w:rPr>
        <w:t> </w:t>
      </w:r>
      <w:r>
        <w:rPr>
          <w:sz w:val="24"/>
        </w:rPr>
        <w:t>esperado.</w:t>
      </w:r>
    </w:p>
    <w:p>
      <w:pPr>
        <w:pStyle w:val="BodyText"/>
      </w:pPr>
    </w:p>
    <w:p>
      <w:pPr>
        <w:pStyle w:val="ListParagraph"/>
        <w:numPr>
          <w:ilvl w:val="3"/>
          <w:numId w:val="6"/>
        </w:numPr>
        <w:tabs>
          <w:tab w:pos="822" w:val="left" w:leader="none"/>
        </w:tabs>
        <w:spacing w:line="360" w:lineRule="auto" w:before="139" w:after="0"/>
        <w:ind w:left="822" w:right="125" w:hanging="360"/>
        <w:jc w:val="both"/>
        <w:rPr>
          <w:sz w:val="22"/>
        </w:rPr>
      </w:pPr>
      <w:r>
        <w:rPr>
          <w:sz w:val="24"/>
        </w:rPr>
        <w:t>Determinar la acción correctiva, buscando corregir el desempeño para adecuarlo al estándar</w:t>
      </w:r>
      <w:r>
        <w:rPr>
          <w:spacing w:val="-15"/>
          <w:sz w:val="24"/>
        </w:rPr>
        <w:t> </w:t>
      </w:r>
      <w:r>
        <w:rPr>
          <w:sz w:val="24"/>
        </w:rPr>
        <w:t>esperado.</w:t>
      </w:r>
    </w:p>
    <w:p>
      <w:pPr>
        <w:spacing w:after="0" w:line="360" w:lineRule="auto"/>
        <w:jc w:val="both"/>
        <w:rPr>
          <w:sz w:val="22"/>
        </w:rPr>
        <w:sectPr>
          <w:pgSz w:w="11910" w:h="16840"/>
          <w:pgMar w:header="0" w:footer="1043" w:top="1340" w:bottom="1240" w:left="1600" w:right="1580"/>
        </w:sectPr>
      </w:pPr>
    </w:p>
    <w:p>
      <w:pPr>
        <w:pStyle w:val="Heading2"/>
        <w:numPr>
          <w:ilvl w:val="1"/>
          <w:numId w:val="7"/>
        </w:numPr>
        <w:tabs>
          <w:tab w:pos="506" w:val="left" w:leader="none"/>
        </w:tabs>
        <w:spacing w:line="240" w:lineRule="auto" w:before="56" w:after="0"/>
        <w:ind w:left="505" w:right="0" w:hanging="403"/>
        <w:jc w:val="both"/>
      </w:pPr>
      <w:bookmarkStart w:name="_TOC_250022" w:id="6"/>
      <w:r>
        <w:rPr/>
        <w:t>Introducción a la calidad en los procesos</w:t>
      </w:r>
      <w:r>
        <w:rPr>
          <w:spacing w:val="-19"/>
        </w:rPr>
        <w:t> </w:t>
      </w:r>
      <w:bookmarkEnd w:id="6"/>
      <w:r>
        <w:rPr/>
        <w:t>productivos</w:t>
      </w:r>
    </w:p>
    <w:p>
      <w:pPr>
        <w:pStyle w:val="BodyText"/>
        <w:rPr>
          <w:b/>
        </w:rPr>
      </w:pPr>
    </w:p>
    <w:p>
      <w:pPr>
        <w:pStyle w:val="BodyText"/>
        <w:rPr>
          <w:b/>
        </w:rPr>
      </w:pPr>
    </w:p>
    <w:p>
      <w:pPr>
        <w:pStyle w:val="BodyText"/>
        <w:spacing w:line="360" w:lineRule="auto"/>
        <w:ind w:left="102" w:right="122"/>
        <w:jc w:val="both"/>
      </w:pPr>
      <w:r>
        <w:rPr/>
        <w:t>En la actualidad, frecuentemente podemos ver que las empresas coinciden en que la calidad debe ser uno de los principales pilares de la organización puesto que al ofrecer bienes y servicios de la más alta calidad, tanto para consumo nacional como internacional, llevará a la compañía a ser competitivos en el mercado y permanecer en el negocio; sin embargo, en lo que frecuentemente no coinciden es en determinar las expectativas de calidad para administrar las operaciones del giro al que pertenece la empresa.</w:t>
      </w:r>
    </w:p>
    <w:p>
      <w:pPr>
        <w:pStyle w:val="BodyText"/>
      </w:pPr>
    </w:p>
    <w:p>
      <w:pPr>
        <w:pStyle w:val="BodyText"/>
        <w:spacing w:line="360" w:lineRule="auto" w:before="142"/>
        <w:ind w:left="102" w:right="118"/>
        <w:jc w:val="both"/>
      </w:pPr>
      <w:r>
        <w:rPr/>
        <w:t>La calidad impacta a la organización completa, desde el proveedor de los materiales utilizados para producir el bien o servicio hasta el consumidor final, y desde el diseño hasta el mantenimiento del producto bajo ciertas normas, regulaciones y parámetros de producción.</w:t>
      </w:r>
    </w:p>
    <w:p>
      <w:pPr>
        <w:pStyle w:val="BodyText"/>
      </w:pPr>
    </w:p>
    <w:p>
      <w:pPr>
        <w:pStyle w:val="BodyText"/>
        <w:spacing w:line="360" w:lineRule="auto" w:before="142"/>
        <w:ind w:left="102" w:right="116"/>
        <w:jc w:val="both"/>
      </w:pPr>
      <w:r>
        <w:rPr/>
        <w:t>De acuerdo a la American Society for Quality Control se acepta la definición de calidad como “la totalidad de los rasgos y características de un producto o servicio que se sustenta en su habilidad para satisfacer las necesidades establecidas o implícitas”; la cual es muy similar a la que menciona la norma internacional ISO 9000 que indica que la calidad es la totalidad de las características de una entidad (proceso, producto, sistema, organismo o persona) que le confieren aptitud para satisfacer las necesidades establecidas  e implícitas”. (Norma ISO 9000,</w:t>
      </w:r>
      <w:r>
        <w:rPr>
          <w:spacing w:val="-7"/>
        </w:rPr>
        <w:t> </w:t>
      </w:r>
      <w:r>
        <w:rPr/>
        <w:t>2015)</w:t>
      </w:r>
    </w:p>
    <w:p>
      <w:pPr>
        <w:pStyle w:val="BodyText"/>
      </w:pPr>
    </w:p>
    <w:p>
      <w:pPr>
        <w:pStyle w:val="BodyText"/>
        <w:spacing w:line="360" w:lineRule="auto" w:before="142"/>
        <w:ind w:left="102" w:right="119"/>
        <w:jc w:val="both"/>
      </w:pPr>
      <w:r>
        <w:rPr/>
        <w:t>En estos dos conceptos de calidad podemos ver que el común denominador es la satisfacción de una necesidad a través de un producto, sin embargo a mí me gustaría incluir un concepto más que introduce el padre de la manufactura mundial, Yamashina, donde el concluye que la calidad es hacer las cosas bien desde el principio buscando cero defectos y desperdicios que generen un costo extra para la organización pues al final para una empresa lo más importante es la ganancia o pérdida generada para el negocio.</w:t>
      </w:r>
    </w:p>
    <w:p>
      <w:pPr>
        <w:spacing w:after="0" w:line="360" w:lineRule="auto"/>
        <w:jc w:val="both"/>
        <w:sectPr>
          <w:pgSz w:w="11910" w:h="16840"/>
          <w:pgMar w:header="0" w:footer="1043" w:top="1340" w:bottom="1240" w:left="1600" w:right="1580"/>
        </w:sectPr>
      </w:pPr>
    </w:p>
    <w:p>
      <w:pPr>
        <w:pStyle w:val="Heading2"/>
        <w:numPr>
          <w:ilvl w:val="1"/>
          <w:numId w:val="7"/>
        </w:numPr>
        <w:tabs>
          <w:tab w:pos="506" w:val="left" w:leader="none"/>
        </w:tabs>
        <w:spacing w:line="240" w:lineRule="auto" w:before="56" w:after="0"/>
        <w:ind w:left="505" w:right="0" w:hanging="403"/>
        <w:jc w:val="both"/>
      </w:pPr>
      <w:bookmarkStart w:name="_TOC_250021" w:id="7"/>
      <w:r>
        <w:rPr/>
        <w:t>Importancia de la calidad en las</w:t>
      </w:r>
      <w:r>
        <w:rPr>
          <w:spacing w:val="-19"/>
        </w:rPr>
        <w:t> </w:t>
      </w:r>
      <w:bookmarkEnd w:id="7"/>
      <w:r>
        <w:rPr/>
        <w:t>organizaciones</w:t>
      </w:r>
    </w:p>
    <w:p>
      <w:pPr>
        <w:pStyle w:val="BodyText"/>
        <w:rPr>
          <w:b/>
        </w:rPr>
      </w:pPr>
    </w:p>
    <w:p>
      <w:pPr>
        <w:pStyle w:val="BodyText"/>
        <w:rPr>
          <w:b/>
        </w:rPr>
      </w:pPr>
    </w:p>
    <w:p>
      <w:pPr>
        <w:pStyle w:val="BodyText"/>
        <w:ind w:left="102"/>
        <w:jc w:val="both"/>
      </w:pPr>
      <w:r>
        <w:rPr/>
        <w:t>Particularmente, la calidad afecta a las organizaciones de 4 maneras:</w:t>
      </w:r>
    </w:p>
    <w:p>
      <w:pPr>
        <w:pStyle w:val="BodyText"/>
      </w:pPr>
    </w:p>
    <w:p>
      <w:pPr>
        <w:pStyle w:val="BodyText"/>
      </w:pPr>
    </w:p>
    <w:p>
      <w:pPr>
        <w:pStyle w:val="ListParagraph"/>
        <w:numPr>
          <w:ilvl w:val="2"/>
          <w:numId w:val="7"/>
        </w:numPr>
        <w:tabs>
          <w:tab w:pos="810" w:val="left" w:leader="none"/>
        </w:tabs>
        <w:spacing w:line="360" w:lineRule="auto" w:before="0" w:after="0"/>
        <w:ind w:left="822" w:right="125" w:hanging="360"/>
        <w:jc w:val="both"/>
        <w:rPr>
          <w:sz w:val="24"/>
        </w:rPr>
      </w:pPr>
      <w:r>
        <w:rPr>
          <w:sz w:val="24"/>
        </w:rPr>
        <w:t>Costos y participación del mercado: las mejoras en calidad llevan a una mayor participación en el mercado y ahorros en los costos por disminución de fallas, reprocesos y garantías por</w:t>
      </w:r>
      <w:r>
        <w:rPr>
          <w:spacing w:val="-24"/>
          <w:sz w:val="24"/>
        </w:rPr>
        <w:t> </w:t>
      </w:r>
      <w:r>
        <w:rPr>
          <w:sz w:val="24"/>
        </w:rPr>
        <w:t>devoluciones</w:t>
      </w:r>
    </w:p>
    <w:p>
      <w:pPr>
        <w:pStyle w:val="BodyText"/>
      </w:pPr>
    </w:p>
    <w:p>
      <w:pPr>
        <w:pStyle w:val="ListParagraph"/>
        <w:numPr>
          <w:ilvl w:val="2"/>
          <w:numId w:val="7"/>
        </w:numPr>
        <w:tabs>
          <w:tab w:pos="810" w:val="left" w:leader="none"/>
        </w:tabs>
        <w:spacing w:line="360" w:lineRule="auto" w:before="142" w:after="0"/>
        <w:ind w:left="822" w:right="119" w:hanging="360"/>
        <w:jc w:val="both"/>
        <w:rPr>
          <w:sz w:val="24"/>
        </w:rPr>
      </w:pPr>
      <w:r>
        <w:rPr>
          <w:sz w:val="24"/>
        </w:rPr>
        <w:t>Prestigio de la organización: la calidad surgirá por las percepciones que los clientes tengan sobre los nuevos productos de la empresa y también por las prácticas de los empleados y las relaciones con los</w:t>
      </w:r>
      <w:r>
        <w:rPr>
          <w:spacing w:val="-27"/>
          <w:sz w:val="24"/>
        </w:rPr>
        <w:t> </w:t>
      </w:r>
      <w:r>
        <w:rPr>
          <w:sz w:val="24"/>
        </w:rPr>
        <w:t>proveedores.</w:t>
      </w:r>
    </w:p>
    <w:p>
      <w:pPr>
        <w:pStyle w:val="BodyText"/>
      </w:pPr>
    </w:p>
    <w:p>
      <w:pPr>
        <w:pStyle w:val="ListParagraph"/>
        <w:numPr>
          <w:ilvl w:val="2"/>
          <w:numId w:val="7"/>
        </w:numPr>
        <w:tabs>
          <w:tab w:pos="810" w:val="left" w:leader="none"/>
        </w:tabs>
        <w:spacing w:line="360" w:lineRule="auto" w:before="142" w:after="0"/>
        <w:ind w:left="822" w:right="117" w:hanging="360"/>
        <w:jc w:val="both"/>
        <w:rPr>
          <w:sz w:val="24"/>
        </w:rPr>
      </w:pPr>
      <w:r>
        <w:rPr>
          <w:sz w:val="24"/>
        </w:rPr>
        <w:t>Responsabilidad por los productos: las organizaciones que diseñan y elaboran productos o servicios defectuosos pueden ser responsabilizadas por daños o lesiones que resulten de su uso. Esto lleva a grandes gastos</w:t>
      </w:r>
      <w:r>
        <w:rPr>
          <w:spacing w:val="-10"/>
          <w:sz w:val="24"/>
        </w:rPr>
        <w:t> </w:t>
      </w:r>
      <w:r>
        <w:rPr>
          <w:sz w:val="24"/>
        </w:rPr>
        <w:t>legales</w:t>
      </w:r>
    </w:p>
    <w:p>
      <w:pPr>
        <w:pStyle w:val="BodyText"/>
      </w:pPr>
    </w:p>
    <w:p>
      <w:pPr>
        <w:pStyle w:val="BodyText"/>
        <w:spacing w:line="360" w:lineRule="auto" w:before="142"/>
        <w:ind w:left="102" w:right="115"/>
        <w:jc w:val="both"/>
      </w:pPr>
      <w:r>
        <w:rPr/>
        <w:t>Tomando en cuenta lo anterior, las empresas deben implementar en todas sus áreas la cultura de Administración total de la calidad o TQM (Total Quality Management por sus siglas en inglés) donde la principal de sus características es la prevención, de manera que se eliminen los problemas antes de que estos aparezcan. Se trata de crear un medio ambiente en la empresa que responda rápidamente a las necesidades y requerimientos del cliente, es decir se focaliza en las necesidades del cliente y en la mejora continua de los procesos (Carró &amp; González, 2011)</w:t>
      </w:r>
    </w:p>
    <w:p>
      <w:pPr>
        <w:pStyle w:val="BodyText"/>
      </w:pPr>
    </w:p>
    <w:p>
      <w:pPr>
        <w:pStyle w:val="Heading2"/>
        <w:numPr>
          <w:ilvl w:val="1"/>
          <w:numId w:val="7"/>
        </w:numPr>
        <w:tabs>
          <w:tab w:pos="506" w:val="left" w:leader="none"/>
        </w:tabs>
        <w:spacing w:line="240" w:lineRule="auto" w:before="142" w:after="0"/>
        <w:ind w:left="505" w:right="0" w:hanging="403"/>
        <w:jc w:val="both"/>
      </w:pPr>
      <w:bookmarkStart w:name="_TOC_250020" w:id="8"/>
      <w:r>
        <w:rPr/>
        <w:t>El control de la calidad en las</w:t>
      </w:r>
      <w:r>
        <w:rPr>
          <w:spacing w:val="-17"/>
        </w:rPr>
        <w:t> </w:t>
      </w:r>
      <w:bookmarkEnd w:id="8"/>
      <w:r>
        <w:rPr/>
        <w:t>organizaciones</w:t>
      </w:r>
    </w:p>
    <w:p>
      <w:pPr>
        <w:pStyle w:val="BodyText"/>
        <w:rPr>
          <w:b/>
        </w:rPr>
      </w:pPr>
    </w:p>
    <w:p>
      <w:pPr>
        <w:pStyle w:val="BodyText"/>
        <w:rPr>
          <w:b/>
        </w:rPr>
      </w:pPr>
    </w:p>
    <w:p>
      <w:pPr>
        <w:pStyle w:val="BodyText"/>
        <w:spacing w:line="360" w:lineRule="auto"/>
        <w:ind w:left="102" w:right="121"/>
        <w:jc w:val="both"/>
      </w:pPr>
      <w:r>
        <w:rPr/>
        <w:t>El concepto tradicional de control de la calidad proviene de la teoría de la administración realizada por Frederick Taylor. La teoría taylorista del control de la calidad contiene los siguientes puntos:</w:t>
      </w:r>
    </w:p>
    <w:p>
      <w:pPr>
        <w:pStyle w:val="ListParagraph"/>
        <w:numPr>
          <w:ilvl w:val="0"/>
          <w:numId w:val="8"/>
        </w:numPr>
        <w:tabs>
          <w:tab w:pos="810" w:val="left" w:leader="none"/>
        </w:tabs>
        <w:spacing w:line="362" w:lineRule="auto" w:before="2" w:after="0"/>
        <w:ind w:left="822" w:right="125" w:hanging="360"/>
        <w:jc w:val="both"/>
        <w:rPr>
          <w:sz w:val="24"/>
        </w:rPr>
      </w:pPr>
      <w:r>
        <w:rPr>
          <w:sz w:val="24"/>
        </w:rPr>
        <w:t>Un grupo de especialistas diseña el producto y planea el sistema de producción.</w:t>
      </w:r>
    </w:p>
    <w:p>
      <w:pPr>
        <w:spacing w:after="0" w:line="362" w:lineRule="auto"/>
        <w:jc w:val="both"/>
        <w:rPr>
          <w:sz w:val="24"/>
        </w:rPr>
        <w:sectPr>
          <w:pgSz w:w="11910" w:h="16840"/>
          <w:pgMar w:header="0" w:footer="1043" w:top="1340" w:bottom="1240" w:left="1600" w:right="1580"/>
        </w:sectPr>
      </w:pPr>
    </w:p>
    <w:p>
      <w:pPr>
        <w:pStyle w:val="ListParagraph"/>
        <w:numPr>
          <w:ilvl w:val="0"/>
          <w:numId w:val="8"/>
        </w:numPr>
        <w:tabs>
          <w:tab w:pos="810" w:val="left" w:leader="none"/>
        </w:tabs>
        <w:spacing w:line="360" w:lineRule="auto" w:before="56" w:after="0"/>
        <w:ind w:left="822" w:right="124" w:hanging="360"/>
        <w:jc w:val="both"/>
        <w:rPr>
          <w:sz w:val="24"/>
        </w:rPr>
      </w:pPr>
      <w:r>
        <w:rPr>
          <w:sz w:val="24"/>
        </w:rPr>
        <w:t>El producto se diseña de acuerdo con especificaciones primordialmente oficiales y, en algunos casos, con especificaciones que provienen de las políticas de la</w:t>
      </w:r>
      <w:r>
        <w:rPr>
          <w:spacing w:val="-8"/>
          <w:sz w:val="24"/>
        </w:rPr>
        <w:t> </w:t>
      </w:r>
      <w:r>
        <w:rPr>
          <w:sz w:val="24"/>
        </w:rPr>
        <w:t>empresa.</w:t>
      </w:r>
    </w:p>
    <w:p>
      <w:pPr>
        <w:pStyle w:val="ListParagraph"/>
        <w:numPr>
          <w:ilvl w:val="0"/>
          <w:numId w:val="8"/>
        </w:numPr>
        <w:tabs>
          <w:tab w:pos="810" w:val="left" w:leader="none"/>
        </w:tabs>
        <w:spacing w:line="240" w:lineRule="auto" w:before="5" w:after="0"/>
        <w:ind w:left="810" w:right="0" w:hanging="348"/>
        <w:jc w:val="left"/>
        <w:rPr>
          <w:sz w:val="24"/>
        </w:rPr>
      </w:pPr>
      <w:r>
        <w:rPr>
          <w:sz w:val="24"/>
        </w:rPr>
        <w:t>Los obreros se limitan a seguir</w:t>
      </w:r>
      <w:r>
        <w:rPr>
          <w:spacing w:val="-12"/>
          <w:sz w:val="24"/>
        </w:rPr>
        <w:t> </w:t>
      </w:r>
      <w:r>
        <w:rPr>
          <w:sz w:val="24"/>
        </w:rPr>
        <w:t>instrucciones.</w:t>
      </w:r>
    </w:p>
    <w:p>
      <w:pPr>
        <w:pStyle w:val="ListParagraph"/>
        <w:numPr>
          <w:ilvl w:val="0"/>
          <w:numId w:val="8"/>
        </w:numPr>
        <w:tabs>
          <w:tab w:pos="810" w:val="left" w:leader="none"/>
        </w:tabs>
        <w:spacing w:line="360" w:lineRule="auto" w:before="137" w:after="0"/>
        <w:ind w:left="822" w:right="118" w:hanging="360"/>
        <w:jc w:val="both"/>
        <w:rPr>
          <w:sz w:val="24"/>
        </w:rPr>
      </w:pPr>
      <w:r>
        <w:rPr>
          <w:sz w:val="24"/>
        </w:rPr>
        <w:t>Los supervisores cuidan que los operarios se desempeñen de acuerdo con dichas</w:t>
      </w:r>
      <w:r>
        <w:rPr>
          <w:spacing w:val="-7"/>
          <w:sz w:val="24"/>
        </w:rPr>
        <w:t> </w:t>
      </w:r>
      <w:r>
        <w:rPr>
          <w:sz w:val="24"/>
        </w:rPr>
        <w:t>instrucciones.</w:t>
      </w:r>
    </w:p>
    <w:p>
      <w:pPr>
        <w:pStyle w:val="ListParagraph"/>
        <w:numPr>
          <w:ilvl w:val="0"/>
          <w:numId w:val="8"/>
        </w:numPr>
        <w:tabs>
          <w:tab w:pos="810" w:val="left" w:leader="none"/>
        </w:tabs>
        <w:spacing w:line="360" w:lineRule="auto" w:before="2" w:after="0"/>
        <w:ind w:left="822" w:right="120" w:hanging="360"/>
        <w:jc w:val="both"/>
        <w:rPr>
          <w:sz w:val="24"/>
        </w:rPr>
      </w:pPr>
      <w:r>
        <w:rPr>
          <w:sz w:val="24"/>
        </w:rPr>
        <w:t>Al final de la producción y antes de que los productos salgan al mercado, el departamento de control de calidad juzga qué productos cumplen con los requisitos de calidad y cuáles no. Estos últimos se vuelven a procesar, cuándo es el caso, a fin de convertirlos en productos aceptables, o bien, se eliminan. (Gutiérrez,</w:t>
      </w:r>
      <w:r>
        <w:rPr>
          <w:spacing w:val="-12"/>
          <w:sz w:val="24"/>
        </w:rPr>
        <w:t> </w:t>
      </w:r>
      <w:r>
        <w:rPr>
          <w:sz w:val="24"/>
        </w:rPr>
        <w:t>2015)</w:t>
      </w:r>
    </w:p>
    <w:p>
      <w:pPr>
        <w:pStyle w:val="BodyText"/>
      </w:pPr>
    </w:p>
    <w:p>
      <w:pPr>
        <w:pStyle w:val="BodyText"/>
        <w:spacing w:line="360" w:lineRule="auto" w:before="142"/>
        <w:ind w:left="102" w:right="116"/>
        <w:jc w:val="both"/>
      </w:pPr>
      <w:r>
        <w:rPr/>
        <w:t>En otras palabras, el control de calidad consiste en la implantación de programas, mecanismos, herramientas y/o técnicas en una empresa para la mejora de la calidad de sus productos, servicios y productividad. El control de  la calidad es una estrategia para asegurar el cuidado y mejora continua en la calidad</w:t>
      </w:r>
      <w:r>
        <w:rPr>
          <w:spacing w:val="-6"/>
        </w:rPr>
        <w:t> </w:t>
      </w:r>
      <w:r>
        <w:rPr/>
        <w:t>ofrecida.</w:t>
      </w:r>
    </w:p>
    <w:p>
      <w:pPr>
        <w:pStyle w:val="BodyText"/>
      </w:pPr>
    </w:p>
    <w:p>
      <w:pPr>
        <w:pStyle w:val="BodyText"/>
        <w:spacing w:line="360" w:lineRule="auto" w:before="142"/>
        <w:ind w:left="102" w:right="117"/>
        <w:jc w:val="both"/>
      </w:pPr>
      <w:r>
        <w:rPr/>
        <w:t>El control de la calidad tuvo sus comienzos en la producción industrial de principios del siglo XX, mediante el desarrollo de los métodos de producción en cadena, que plantearon el primer problema de calidad, en cuanto que ésta estaba ligada a la conformidad con las especificaciones de los productos y sus componentes: a una más alta conformidad, correspondería un número menor de desechos y reprocesos, por lo que el costo del proceso productivo, y del producto, se reduciría; es entonces cuando surgen los  primeros  procedimientos de control de</w:t>
      </w:r>
      <w:r>
        <w:rPr>
          <w:spacing w:val="-13"/>
        </w:rPr>
        <w:t> </w:t>
      </w:r>
      <w:r>
        <w:rPr/>
        <w:t>calidad.</w:t>
      </w:r>
    </w:p>
    <w:p>
      <w:pPr>
        <w:pStyle w:val="BodyText"/>
      </w:pPr>
    </w:p>
    <w:p>
      <w:pPr>
        <w:pStyle w:val="BodyText"/>
        <w:spacing w:line="360" w:lineRule="auto" w:before="142"/>
        <w:ind w:left="102" w:right="117"/>
        <w:jc w:val="both"/>
      </w:pPr>
      <w:r>
        <w:rPr/>
        <w:t>Bajo esta óptica, la función de la calidad está limitada a la realización de observaciones cuyo objetivo principal es la verificación de la concordancia de los diferentes dispositivos y componentes a su especificación, la cual ya está previamente establecida, por lo que solo se requiere mediante la inspección final del producto terminado, separar el producto que cumple del que no.</w:t>
      </w:r>
    </w:p>
    <w:p>
      <w:pPr>
        <w:spacing w:after="0" w:line="360" w:lineRule="auto"/>
        <w:jc w:val="both"/>
        <w:sectPr>
          <w:pgSz w:w="11910" w:h="16840"/>
          <w:pgMar w:header="0" w:footer="1043" w:top="1340" w:bottom="1240" w:left="1600" w:right="1580"/>
        </w:sectPr>
      </w:pPr>
    </w:p>
    <w:p>
      <w:pPr>
        <w:pStyle w:val="BodyText"/>
        <w:spacing w:line="360" w:lineRule="auto" w:before="56"/>
        <w:ind w:left="102" w:right="123"/>
        <w:jc w:val="both"/>
      </w:pPr>
      <w:r>
        <w:rPr/>
        <w:t>Es cuestionable la filosofía de Taylor desde que la inspección final se vuelve inoperante, es decir que esa inspección no mejora la calidad de los productos, solo descubre cuáles son buenos y cuáles no, ofreciendo al consumidor productos de calidad pero a un alto costo porque se detecta en las últimas etapas del proceso.</w:t>
      </w:r>
    </w:p>
    <w:p>
      <w:pPr>
        <w:pStyle w:val="BodyText"/>
      </w:pPr>
    </w:p>
    <w:p>
      <w:pPr>
        <w:pStyle w:val="BodyText"/>
        <w:spacing w:line="360" w:lineRule="auto" w:before="142"/>
        <w:ind w:left="102" w:right="115"/>
        <w:jc w:val="both"/>
      </w:pPr>
      <w:r>
        <w:rPr/>
        <w:t>Desde los comienzos de la implementación de esta filosofía, se crearon los departamentos de Control y/o aseguramiento de la Calidad, cuya finalidad es separar los productos buenos de los defectuosos para evitar que éstos últimos lleguen al cliente. Es por eso que muchas empresas tienen la idea de que la calidad es materia de los departamentos especializados en la inspección de la calidad; es decir, que dentro del concepto de gestión de la calidad, cada departamento funcional de la organización entrega su producto al siguiente, pero finalmente, quien separa la producción correcta de la incorrecta, debe ser el departamento de calidad, por lo que no se fomenta la calidad alrededor de toda la cadena de suministro.</w:t>
      </w:r>
    </w:p>
    <w:p>
      <w:pPr>
        <w:pStyle w:val="BodyText"/>
      </w:pPr>
    </w:p>
    <w:p>
      <w:pPr>
        <w:pStyle w:val="BodyText"/>
        <w:spacing w:line="360" w:lineRule="auto" w:before="142"/>
        <w:ind w:left="102" w:right="119"/>
        <w:jc w:val="both"/>
      </w:pPr>
      <w:r>
        <w:rPr/>
        <w:t>Para las compañías, cubrir los gastos de un departamento que en realidad no produce y asumir los gastos de los productos defectuosos que hay que desechar o volver a procesar, aumenta el costo de producción del producto y trabajar bajo ese esquema es asumir que tenemos un proceso mal planeado pero que aceptamos trabajar con ese posible número de reprocesos y actividades sin valor en lugar de mejorar el proceso.</w:t>
      </w:r>
    </w:p>
    <w:p>
      <w:pPr>
        <w:pStyle w:val="BodyText"/>
      </w:pPr>
    </w:p>
    <w:p>
      <w:pPr>
        <w:pStyle w:val="BodyText"/>
        <w:spacing w:line="360" w:lineRule="auto" w:before="142"/>
        <w:ind w:left="102" w:right="115"/>
        <w:jc w:val="both"/>
      </w:pPr>
      <w:r>
        <w:rPr/>
        <w:pict>
          <v:line style="position:absolute;mso-position-horizontal-relative:page;mso-position-vertical-relative:paragraph;z-index:-123328" from="506.980011pt,20.095873pt" to="510.340011pt,20.095873pt" stroked="true" strokeweight=".83997pt" strokecolor="#000000">
            <w10:wrap type="none"/>
          </v:line>
        </w:pict>
      </w:r>
      <w:r>
        <w:rPr/>
        <w:t>Dentro de los métodos de control de calidad, los estudios de Walter A. Shewart, introdujeron el muestreo estadístico de los procesos. Shewart definió el control de calidad en términos de la variación provocada por causas asignables y causas aleatorias e introdujo los gráficos de control de proceso como una herramienta para distinguir entre los dos tipos de variaciones. (Pulido, 2014).</w:t>
      </w:r>
    </w:p>
    <w:p>
      <w:pPr>
        <w:pStyle w:val="BodyText"/>
      </w:pPr>
    </w:p>
    <w:p>
      <w:pPr>
        <w:pStyle w:val="BodyText"/>
        <w:spacing w:line="360" w:lineRule="auto" w:before="142"/>
        <w:ind w:left="102" w:right="117" w:firstLine="67"/>
        <w:jc w:val="both"/>
      </w:pPr>
      <w:r>
        <w:rPr/>
        <w:t>El control de calidad se transforma de la mera inspección final del producto, a tener un control estadístico del proceso que permita determinar si un proceso está sometido a variaciones en su comportamiento que permita tener productos defectuosos y prevenir que esto suceda.</w:t>
      </w:r>
    </w:p>
    <w:p>
      <w:pPr>
        <w:spacing w:after="0" w:line="360" w:lineRule="auto"/>
        <w:jc w:val="both"/>
        <w:sectPr>
          <w:pgSz w:w="11910" w:h="16840"/>
          <w:pgMar w:header="0" w:footer="1043" w:top="1340" w:bottom="1240" w:left="1600" w:right="1580"/>
        </w:sectPr>
      </w:pPr>
    </w:p>
    <w:p>
      <w:pPr>
        <w:pStyle w:val="Heading2"/>
        <w:numPr>
          <w:ilvl w:val="1"/>
          <w:numId w:val="7"/>
        </w:numPr>
        <w:tabs>
          <w:tab w:pos="506" w:val="left" w:leader="none"/>
        </w:tabs>
        <w:spacing w:line="240" w:lineRule="auto" w:before="56" w:after="0"/>
        <w:ind w:left="505" w:right="0" w:hanging="403"/>
        <w:jc w:val="both"/>
      </w:pPr>
      <w:bookmarkStart w:name="_TOC_250019" w:id="9"/>
      <w:r>
        <w:rPr/>
        <w:t>Control de la calidad enfocada a</w:t>
      </w:r>
      <w:r>
        <w:rPr>
          <w:spacing w:val="-12"/>
        </w:rPr>
        <w:t> </w:t>
      </w:r>
      <w:bookmarkEnd w:id="9"/>
      <w:r>
        <w:rPr/>
        <w:t>procesos</w:t>
      </w:r>
    </w:p>
    <w:p>
      <w:pPr>
        <w:pStyle w:val="BodyText"/>
        <w:rPr>
          <w:b/>
        </w:rPr>
      </w:pPr>
    </w:p>
    <w:p>
      <w:pPr>
        <w:pStyle w:val="BodyText"/>
        <w:rPr>
          <w:b/>
        </w:rPr>
      </w:pPr>
    </w:p>
    <w:p>
      <w:pPr>
        <w:pStyle w:val="BodyText"/>
        <w:spacing w:line="360" w:lineRule="auto"/>
        <w:ind w:left="102" w:right="119"/>
        <w:jc w:val="both"/>
      </w:pPr>
      <w:r>
        <w:rPr/>
        <w:t>Un proceso se refiere a la actividad de cambiar o refinar las materias primas para lograr un producto final, la materia prima, que puede o no cambiar de estado físico durante el proceso, es transferida, medida, mezclada, calentada, enfriada, filtrada, envasada, almacenada o manipulada de alguna manera para producir el producto final (Vignoni, 2002)</w:t>
      </w:r>
    </w:p>
    <w:p>
      <w:pPr>
        <w:pStyle w:val="BodyText"/>
      </w:pPr>
    </w:p>
    <w:p>
      <w:pPr>
        <w:pStyle w:val="BodyText"/>
        <w:spacing w:line="360" w:lineRule="auto" w:before="142"/>
        <w:ind w:left="102" w:right="117"/>
        <w:jc w:val="both"/>
      </w:pPr>
      <w:r>
        <w:rPr/>
        <w:t>Todo proceso contiene variables de proceso que son la información contextual que se crea con cada instancia de un proceso. No se modelan visualmente, pero nos pueden servir para la identificación de la instancia de un proceso donde debemos efectuar una tarea. Otra definición nos dice que son aquellas que pueden cambiar las condiciones de un proceso, es decir estás deben ser reguladas para no afectar la calidad de producto o servicio final.</w:t>
      </w:r>
    </w:p>
    <w:p>
      <w:pPr>
        <w:pStyle w:val="BodyText"/>
      </w:pPr>
    </w:p>
    <w:p>
      <w:pPr>
        <w:pStyle w:val="BodyText"/>
        <w:spacing w:line="360" w:lineRule="auto" w:before="142"/>
        <w:ind w:left="102" w:right="120"/>
        <w:jc w:val="both"/>
      </w:pPr>
      <w:r>
        <w:rPr/>
        <w:t>Deming citado por Vignoni (2002) define la calidad como cero defectos  o menos variaciones y se basa en el control estadístico del proceso como la técnica esencial para la resolución de problemas, con el fin de distinguir entre las causas que ocasionan una desviación que no satisfaga la necesidad del consumidor.</w:t>
      </w:r>
    </w:p>
    <w:p>
      <w:pPr>
        <w:pStyle w:val="BodyText"/>
      </w:pPr>
    </w:p>
    <w:p>
      <w:pPr>
        <w:pStyle w:val="BodyText"/>
        <w:spacing w:line="360" w:lineRule="auto" w:before="142"/>
        <w:ind w:left="102" w:right="118"/>
        <w:jc w:val="both"/>
      </w:pPr>
      <w:r>
        <w:rPr/>
        <w:t>Existe un concepto que se conoce como control de calidad pero la diferencia con la filosofía de TQM depende en que se fundamenta en la inspección al final del proceso, por lo tanto, cuando se fabricó una cosa mal, el control evita que ese producto llegue al cliente, pero no se puede evitar el desperdicio o merma en que incurrió la organización y por ende en el costo que ya fue pagado por ésta. (Carró &amp; González, 2011)</w:t>
      </w:r>
    </w:p>
    <w:p>
      <w:pPr>
        <w:pStyle w:val="BodyText"/>
      </w:pPr>
    </w:p>
    <w:p>
      <w:pPr>
        <w:pStyle w:val="BodyText"/>
        <w:spacing w:line="360" w:lineRule="auto" w:before="142"/>
        <w:ind w:left="102" w:right="119"/>
        <w:jc w:val="both"/>
      </w:pPr>
      <w:r>
        <w:rPr/>
        <w:t>El propio proceso es el responsable de las fallas de calidad. Si ajustamos el mismo con parámetros establecidos lograremos las salidas esperadas. Por lo tanto, la idea no es controlar el final de proceso para evitar que los productos salgan defectuosos, sino que se trata de ajustar el proceso evitando que éste produzca productos defectuosos, esto quiere decir que la calidad no se puede inspeccionar, es necesario hacer las cosas bien desde la primera vez.</w:t>
      </w:r>
    </w:p>
    <w:p>
      <w:pPr>
        <w:spacing w:after="0" w:line="360" w:lineRule="auto"/>
        <w:jc w:val="both"/>
        <w:sectPr>
          <w:pgSz w:w="11910" w:h="16840"/>
          <w:pgMar w:header="0" w:footer="1043" w:top="1340" w:bottom="1240" w:left="1600" w:right="1580"/>
        </w:sectPr>
      </w:pPr>
    </w:p>
    <w:p>
      <w:pPr>
        <w:pStyle w:val="BodyText"/>
        <w:spacing w:line="360" w:lineRule="auto" w:before="56"/>
        <w:ind w:left="102" w:right="123"/>
        <w:jc w:val="both"/>
      </w:pPr>
      <w:r>
        <w:rPr/>
        <w:t>El concepto de proceso no debe limitarse solo a la producción de la fábrica, sino también al diseño, la compra, la planeación de los insumos y otras actividades</w:t>
      </w:r>
      <w:r>
        <w:rPr>
          <w:spacing w:val="-11"/>
        </w:rPr>
        <w:t> </w:t>
      </w:r>
      <w:r>
        <w:rPr/>
        <w:t>administrativas.</w:t>
      </w:r>
    </w:p>
    <w:p>
      <w:pPr>
        <w:pStyle w:val="BodyText"/>
      </w:pPr>
    </w:p>
    <w:p>
      <w:pPr>
        <w:pStyle w:val="BodyText"/>
        <w:spacing w:line="360" w:lineRule="auto" w:before="142"/>
        <w:ind w:left="102" w:right="123"/>
        <w:jc w:val="both"/>
      </w:pPr>
      <w:r>
        <w:rPr/>
        <w:t>Un proceso está conformado por factores causales y características de calidad, los primeros son los insumos que interactúan entre si y las últimas son el resultado de esa interacción. Los factores causales en un proceso de producción se suelen agrupar en torno a cuatro o cinco rubros conocidos como 4M´s: máquina, materiales, mano de obra y método.(Gutiérrez, 2015)</w:t>
      </w:r>
    </w:p>
    <w:p>
      <w:pPr>
        <w:pStyle w:val="BodyText"/>
      </w:pPr>
    </w:p>
    <w:p>
      <w:pPr>
        <w:pStyle w:val="BodyText"/>
        <w:spacing w:line="360" w:lineRule="auto" w:before="142"/>
        <w:ind w:left="102" w:right="118"/>
        <w:jc w:val="both"/>
      </w:pPr>
      <w:r>
        <w:rPr/>
        <w:t>Un proceso confiable es aquel que produce una salida esperada sin  variaciones no controladas ya que éstas siempre llevan a bajas producciones, baja calidad e incremento en los costos de fabricación (Carró &amp; González, 2011). Pero por otro lado, es bien cierto que no existen dos productos iguales, porque en general, los procesos tienen variaciones las cuales pueden deberse a dos tipos de</w:t>
      </w:r>
      <w:r>
        <w:rPr>
          <w:spacing w:val="-8"/>
        </w:rPr>
        <w:t> </w:t>
      </w:r>
      <w:r>
        <w:rPr/>
        <w:t>causas:</w:t>
      </w:r>
    </w:p>
    <w:p>
      <w:pPr>
        <w:pStyle w:val="BodyText"/>
      </w:pPr>
    </w:p>
    <w:p>
      <w:pPr>
        <w:pStyle w:val="ListParagraph"/>
        <w:numPr>
          <w:ilvl w:val="0"/>
          <w:numId w:val="9"/>
        </w:numPr>
        <w:tabs>
          <w:tab w:pos="810" w:val="left" w:leader="none"/>
        </w:tabs>
        <w:spacing w:line="357" w:lineRule="auto" w:before="143" w:after="0"/>
        <w:ind w:left="822" w:right="116" w:hanging="360"/>
        <w:jc w:val="both"/>
        <w:rPr>
          <w:sz w:val="24"/>
        </w:rPr>
      </w:pPr>
      <w:r>
        <w:rPr>
          <w:sz w:val="24"/>
        </w:rPr>
        <w:t>Causas comunes: son las que intervienen en la variación del proceso, no son fácilmente identificables y son de más difícil eliminación. Realizando un gráfico de distribución de estas causas pueden ser caracterizadas estadísticamente por una media, una dispersión y la forma de simetría que presenta. Estas causas tienen como resultado que nunca salgan productos</w:t>
      </w:r>
      <w:r>
        <w:rPr>
          <w:spacing w:val="-5"/>
          <w:sz w:val="24"/>
        </w:rPr>
        <w:t> </w:t>
      </w:r>
      <w:r>
        <w:rPr>
          <w:sz w:val="24"/>
        </w:rPr>
        <w:t>idénticos</w:t>
      </w:r>
    </w:p>
    <w:p>
      <w:pPr>
        <w:pStyle w:val="ListParagraph"/>
        <w:numPr>
          <w:ilvl w:val="0"/>
          <w:numId w:val="9"/>
        </w:numPr>
        <w:tabs>
          <w:tab w:pos="810" w:val="left" w:leader="none"/>
        </w:tabs>
        <w:spacing w:line="355" w:lineRule="auto" w:before="6" w:after="0"/>
        <w:ind w:left="822" w:right="118" w:hanging="360"/>
        <w:jc w:val="both"/>
        <w:rPr>
          <w:sz w:val="24"/>
        </w:rPr>
      </w:pPr>
      <w:r>
        <w:rPr>
          <w:sz w:val="24"/>
        </w:rPr>
        <w:t>Causas asignables o extraordinarias: pueden ser identificables y por lo tanto eliminables ya que ocurren esporádicamente, por ejemplo las averías en una máquina o una falla</w:t>
      </w:r>
      <w:r>
        <w:rPr>
          <w:spacing w:val="-19"/>
          <w:sz w:val="24"/>
        </w:rPr>
        <w:t> </w:t>
      </w:r>
      <w:r>
        <w:rPr>
          <w:sz w:val="24"/>
        </w:rPr>
        <w:t>eléctrica.</w:t>
      </w:r>
    </w:p>
    <w:p>
      <w:pPr>
        <w:pStyle w:val="BodyText"/>
      </w:pPr>
    </w:p>
    <w:p>
      <w:pPr>
        <w:pStyle w:val="BodyText"/>
        <w:spacing w:line="360" w:lineRule="auto" w:before="147"/>
        <w:ind w:left="102" w:right="120"/>
        <w:jc w:val="both"/>
      </w:pPr>
      <w:r>
        <w:rPr/>
        <w:t>Se dice que el 85% de los problemas de calidad tieien que ver con los materiales y los procesos, y no con el desempeño del empleado. Por lo tanto,  la gestión de la calidad se debe enfocar en diseñar el equipo y los productos que produzcan la calidad</w:t>
      </w:r>
      <w:r>
        <w:rPr>
          <w:spacing w:val="-12"/>
        </w:rPr>
        <w:t> </w:t>
      </w:r>
      <w:r>
        <w:rPr/>
        <w:t>deseada.</w:t>
      </w:r>
    </w:p>
    <w:p>
      <w:pPr>
        <w:spacing w:after="0" w:line="360" w:lineRule="auto"/>
        <w:jc w:val="both"/>
        <w:sectPr>
          <w:pgSz w:w="11910" w:h="16840"/>
          <w:pgMar w:header="0" w:footer="1043" w:top="1340" w:bottom="1240" w:left="1600" w:right="1580"/>
        </w:sectPr>
      </w:pPr>
    </w:p>
    <w:p>
      <w:pPr>
        <w:pStyle w:val="BodyText"/>
        <w:spacing w:line="360" w:lineRule="auto" w:before="56"/>
        <w:ind w:left="102" w:right="122"/>
        <w:jc w:val="both"/>
      </w:pPr>
      <w:r>
        <w:rPr/>
        <w:t>Evans (2008) menciona que actualmente en la industria de procesamiento de alimentos se reconocen diferentes tipos de variabilidad durante el proceso de llenado de los envases o empaques. Las diferentes fuentes de variación individuales están combinadas en una variación global para un lote de producción. Hay 4 fuentes de variación que pueden ser controladas para  reducir  para dicha la variación y 3 fuentes que deben ser</w:t>
      </w:r>
      <w:r>
        <w:rPr>
          <w:spacing w:val="-27"/>
        </w:rPr>
        <w:t> </w:t>
      </w:r>
      <w:r>
        <w:rPr/>
        <w:t>monitoreadas.</w:t>
      </w:r>
    </w:p>
    <w:p>
      <w:pPr>
        <w:pStyle w:val="BodyText"/>
      </w:pPr>
    </w:p>
    <w:p>
      <w:pPr>
        <w:pStyle w:val="BodyText"/>
        <w:spacing w:before="142"/>
        <w:ind w:left="102"/>
        <w:jc w:val="both"/>
      </w:pPr>
      <w:r>
        <w:rPr/>
        <w:t>Las fuentes de variación que pueden ser controladas son:</w:t>
      </w:r>
    </w:p>
    <w:p>
      <w:pPr>
        <w:pStyle w:val="BodyText"/>
      </w:pPr>
    </w:p>
    <w:p>
      <w:pPr>
        <w:pStyle w:val="BodyText"/>
        <w:spacing w:before="1"/>
      </w:pPr>
    </w:p>
    <w:p>
      <w:pPr>
        <w:pStyle w:val="ListParagraph"/>
        <w:numPr>
          <w:ilvl w:val="0"/>
          <w:numId w:val="9"/>
        </w:numPr>
        <w:tabs>
          <w:tab w:pos="810" w:val="left" w:leader="none"/>
        </w:tabs>
        <w:spacing w:line="357" w:lineRule="auto" w:before="0" w:after="0"/>
        <w:ind w:left="822" w:right="117" w:hanging="360"/>
        <w:jc w:val="both"/>
        <w:rPr>
          <w:sz w:val="24"/>
        </w:rPr>
      </w:pPr>
      <w:r>
        <w:rPr>
          <w:sz w:val="24"/>
        </w:rPr>
        <w:t>Variación del producto, la cual depende de la naturaleza (líquido, polvo, sólido), sus características físicas, tamaño de partícula, viscosidad, homogeneidad, densidad, etc. Las características del producto pueden fluctuar (la densidad p.ej. en polvos); en ese caso, son necesarios ajustes operacionales para corregir ducha</w:t>
      </w:r>
      <w:r>
        <w:rPr>
          <w:spacing w:val="-21"/>
          <w:sz w:val="24"/>
        </w:rPr>
        <w:t> </w:t>
      </w:r>
      <w:r>
        <w:rPr>
          <w:sz w:val="24"/>
        </w:rPr>
        <w:t>fluctuación</w:t>
      </w:r>
    </w:p>
    <w:p>
      <w:pPr>
        <w:pStyle w:val="ListParagraph"/>
        <w:numPr>
          <w:ilvl w:val="0"/>
          <w:numId w:val="9"/>
        </w:numPr>
        <w:tabs>
          <w:tab w:pos="809" w:val="left" w:leader="none"/>
          <w:tab w:pos="810" w:val="left" w:leader="none"/>
        </w:tabs>
        <w:spacing w:line="350" w:lineRule="auto" w:before="8" w:after="0"/>
        <w:ind w:left="822" w:right="119" w:hanging="360"/>
        <w:jc w:val="left"/>
        <w:rPr>
          <w:sz w:val="24"/>
        </w:rPr>
      </w:pPr>
      <w:r>
        <w:rPr>
          <w:sz w:val="24"/>
        </w:rPr>
        <w:t>Variación de la máquina llenadora, que se corrije mediante la calibración y mantenimiento apropiado para las partes de</w:t>
      </w:r>
      <w:r>
        <w:rPr>
          <w:spacing w:val="-23"/>
          <w:sz w:val="24"/>
        </w:rPr>
        <w:t> </w:t>
      </w:r>
      <w:r>
        <w:rPr>
          <w:sz w:val="24"/>
        </w:rPr>
        <w:t>equipo</w:t>
      </w:r>
    </w:p>
    <w:p>
      <w:pPr>
        <w:pStyle w:val="ListParagraph"/>
        <w:numPr>
          <w:ilvl w:val="0"/>
          <w:numId w:val="9"/>
        </w:numPr>
        <w:tabs>
          <w:tab w:pos="809" w:val="left" w:leader="none"/>
          <w:tab w:pos="810" w:val="left" w:leader="none"/>
        </w:tabs>
        <w:spacing w:line="240" w:lineRule="auto" w:before="17" w:after="0"/>
        <w:ind w:left="810" w:right="0" w:hanging="348"/>
        <w:jc w:val="left"/>
        <w:rPr>
          <w:sz w:val="24"/>
        </w:rPr>
      </w:pPr>
      <w:r>
        <w:rPr>
          <w:sz w:val="24"/>
        </w:rPr>
        <w:t>Variación de los dispositivos para la verificación o control del</w:t>
      </w:r>
      <w:r>
        <w:rPr>
          <w:spacing w:val="-26"/>
          <w:sz w:val="24"/>
        </w:rPr>
        <w:t> </w:t>
      </w:r>
      <w:r>
        <w:rPr>
          <w:sz w:val="24"/>
        </w:rPr>
        <w:t>pesado</w:t>
      </w:r>
    </w:p>
    <w:p>
      <w:pPr>
        <w:pStyle w:val="ListParagraph"/>
        <w:numPr>
          <w:ilvl w:val="0"/>
          <w:numId w:val="9"/>
        </w:numPr>
        <w:tabs>
          <w:tab w:pos="809" w:val="left" w:leader="none"/>
          <w:tab w:pos="810" w:val="left" w:leader="none"/>
        </w:tabs>
        <w:spacing w:line="240" w:lineRule="auto" w:before="135" w:after="0"/>
        <w:ind w:left="810" w:right="0" w:hanging="348"/>
        <w:jc w:val="left"/>
        <w:rPr>
          <w:sz w:val="24"/>
        </w:rPr>
      </w:pPr>
      <w:r>
        <w:rPr>
          <w:sz w:val="24"/>
        </w:rPr>
        <w:t>Variación debido a las operaciones involucradas en el</w:t>
      </w:r>
      <w:r>
        <w:rPr>
          <w:spacing w:val="-26"/>
          <w:sz w:val="24"/>
        </w:rPr>
        <w:t> </w:t>
      </w:r>
      <w:r>
        <w:rPr>
          <w:sz w:val="24"/>
        </w:rPr>
        <w:t>proceso.</w:t>
      </w:r>
    </w:p>
    <w:p>
      <w:pPr>
        <w:pStyle w:val="BodyText"/>
      </w:pPr>
    </w:p>
    <w:p>
      <w:pPr>
        <w:pStyle w:val="BodyText"/>
        <w:spacing w:before="9"/>
        <w:rPr>
          <w:sz w:val="23"/>
        </w:rPr>
      </w:pPr>
    </w:p>
    <w:p>
      <w:pPr>
        <w:pStyle w:val="BodyText"/>
        <w:ind w:left="102"/>
        <w:jc w:val="both"/>
      </w:pPr>
      <w:r>
        <w:rPr/>
        <w:t>Las fuentes de variación que deben ser monitoreadas son:</w:t>
      </w:r>
    </w:p>
    <w:p>
      <w:pPr>
        <w:pStyle w:val="ListParagraph"/>
        <w:numPr>
          <w:ilvl w:val="0"/>
          <w:numId w:val="9"/>
        </w:numPr>
        <w:tabs>
          <w:tab w:pos="809" w:val="left" w:leader="none"/>
          <w:tab w:pos="810" w:val="left" w:leader="none"/>
        </w:tabs>
        <w:spacing w:line="240" w:lineRule="auto" w:before="137" w:after="0"/>
        <w:ind w:left="810" w:right="0" w:hanging="348"/>
        <w:jc w:val="left"/>
        <w:rPr>
          <w:sz w:val="24"/>
        </w:rPr>
      </w:pPr>
      <w:r>
        <w:rPr>
          <w:sz w:val="24"/>
        </w:rPr>
        <w:t>Variación histórica de los lotes</w:t>
      </w:r>
      <w:r>
        <w:rPr>
          <w:spacing w:val="-12"/>
          <w:sz w:val="24"/>
        </w:rPr>
        <w:t> </w:t>
      </w:r>
      <w:r>
        <w:rPr>
          <w:sz w:val="24"/>
        </w:rPr>
        <w:t>producidos</w:t>
      </w:r>
    </w:p>
    <w:p>
      <w:pPr>
        <w:pStyle w:val="ListParagraph"/>
        <w:numPr>
          <w:ilvl w:val="0"/>
          <w:numId w:val="9"/>
        </w:numPr>
        <w:tabs>
          <w:tab w:pos="809" w:val="left" w:leader="none"/>
          <w:tab w:pos="810" w:val="left" w:leader="none"/>
        </w:tabs>
        <w:spacing w:line="352" w:lineRule="auto" w:before="135" w:after="0"/>
        <w:ind w:left="822" w:right="125" w:hanging="360"/>
        <w:jc w:val="left"/>
        <w:rPr>
          <w:sz w:val="24"/>
        </w:rPr>
      </w:pPr>
      <w:r>
        <w:rPr>
          <w:sz w:val="24"/>
        </w:rPr>
        <w:t>Variación de las condiciones de medio ambiente que rodean a la producción</w:t>
      </w:r>
    </w:p>
    <w:p>
      <w:pPr>
        <w:pStyle w:val="ListParagraph"/>
        <w:numPr>
          <w:ilvl w:val="0"/>
          <w:numId w:val="9"/>
        </w:numPr>
        <w:tabs>
          <w:tab w:pos="809" w:val="left" w:leader="none"/>
          <w:tab w:pos="810" w:val="left" w:leader="none"/>
        </w:tabs>
        <w:spacing w:line="240" w:lineRule="auto" w:before="11" w:after="0"/>
        <w:ind w:left="810" w:right="0" w:hanging="348"/>
        <w:jc w:val="left"/>
        <w:rPr>
          <w:sz w:val="24"/>
        </w:rPr>
      </w:pPr>
      <w:r>
        <w:rPr>
          <w:sz w:val="24"/>
        </w:rPr>
        <w:t>Variación</w:t>
      </w:r>
      <w:r>
        <w:rPr>
          <w:spacing w:val="-8"/>
          <w:sz w:val="24"/>
        </w:rPr>
        <w:t> </w:t>
      </w:r>
      <w:r>
        <w:rPr>
          <w:sz w:val="24"/>
        </w:rPr>
        <w:t>máquina-producto</w:t>
      </w:r>
    </w:p>
    <w:p>
      <w:pPr>
        <w:pStyle w:val="BodyText"/>
      </w:pPr>
    </w:p>
    <w:p>
      <w:pPr>
        <w:pStyle w:val="BodyText"/>
        <w:spacing w:before="10"/>
        <w:rPr>
          <w:sz w:val="23"/>
        </w:rPr>
      </w:pPr>
    </w:p>
    <w:p>
      <w:pPr>
        <w:pStyle w:val="BodyText"/>
        <w:spacing w:line="360" w:lineRule="auto"/>
        <w:ind w:left="102" w:right="119"/>
        <w:jc w:val="both"/>
      </w:pPr>
      <w:r>
        <w:rPr/>
        <w:t>Una máquina llenadora es un equipo utilizado para envasar una vasta variedad de productos. A través de los años desde que los sistemas de llenado han sido desarrollados, compañías alrededor del mundo han observado constantemente sus procesos con la intensión de incrementar las velocidades y la capacidad de utilización de los equipos. En el constante asunto de incrementar las velocidades de llenado se ha identificado (Evans, 2008)</w:t>
      </w:r>
    </w:p>
    <w:p>
      <w:pPr>
        <w:spacing w:after="0" w:line="360" w:lineRule="auto"/>
        <w:jc w:val="both"/>
        <w:sectPr>
          <w:footerReference w:type="default" r:id="rId19"/>
          <w:pgSz w:w="11910" w:h="16840"/>
          <w:pgMar w:footer="1043" w:header="0" w:top="1340" w:bottom="1240" w:left="1600" w:right="1580"/>
        </w:sectPr>
      </w:pPr>
    </w:p>
    <w:p>
      <w:pPr>
        <w:pStyle w:val="Heading1"/>
        <w:ind w:left="596"/>
      </w:pPr>
      <w:bookmarkStart w:name="_TOC_250018" w:id="10"/>
      <w:bookmarkEnd w:id="10"/>
      <w:r>
        <w:rPr/>
        <w:t>CAPÍTULO 2. COSTOS DE LA CALIDAD</w:t>
      </w:r>
    </w:p>
    <w:p>
      <w:pPr>
        <w:pStyle w:val="BodyText"/>
        <w:spacing w:before="1"/>
        <w:rPr>
          <w:b/>
          <w:sz w:val="56"/>
        </w:rPr>
      </w:pPr>
    </w:p>
    <w:p>
      <w:pPr>
        <w:pStyle w:val="Heading2"/>
        <w:numPr>
          <w:ilvl w:val="1"/>
          <w:numId w:val="10"/>
        </w:numPr>
        <w:tabs>
          <w:tab w:pos="570" w:val="left" w:leader="none"/>
        </w:tabs>
        <w:spacing w:line="240" w:lineRule="auto" w:before="0" w:after="0"/>
        <w:ind w:left="102" w:right="0" w:firstLine="67"/>
        <w:jc w:val="both"/>
      </w:pPr>
      <w:bookmarkStart w:name="_TOC_250017" w:id="11"/>
      <w:r>
        <w:rPr/>
        <w:t>Introducción a los costos de</w:t>
      </w:r>
      <w:r>
        <w:rPr>
          <w:spacing w:val="-10"/>
        </w:rPr>
        <w:t> </w:t>
      </w:r>
      <w:bookmarkEnd w:id="11"/>
      <w:r>
        <w:rPr/>
        <w:t>calidad</w:t>
      </w:r>
    </w:p>
    <w:p>
      <w:pPr>
        <w:pStyle w:val="BodyText"/>
        <w:rPr>
          <w:b/>
        </w:rPr>
      </w:pPr>
    </w:p>
    <w:p>
      <w:pPr>
        <w:pStyle w:val="BodyText"/>
        <w:rPr>
          <w:b/>
        </w:rPr>
      </w:pPr>
    </w:p>
    <w:p>
      <w:pPr>
        <w:pStyle w:val="BodyText"/>
        <w:spacing w:line="360" w:lineRule="auto"/>
        <w:ind w:left="102" w:right="118"/>
        <w:jc w:val="both"/>
      </w:pPr>
      <w:r>
        <w:rPr/>
        <w:t>En economía, el costo es el valor monetario de los consumos de factores que supone el ejercicio de una actividad económica destinada a la producción de un bien, servicio o actividad. (Crosby, 2000) Todo proceso de producción de un bien supone el consumo o desgaste de una serie de factores productivos, el concepto de coste está íntimamente ligado al sacrificio incurrido para producir ese bien.</w:t>
      </w:r>
    </w:p>
    <w:p>
      <w:pPr>
        <w:pStyle w:val="BodyText"/>
      </w:pPr>
    </w:p>
    <w:p>
      <w:pPr>
        <w:pStyle w:val="BodyText"/>
        <w:spacing w:line="360" w:lineRule="auto" w:before="142"/>
        <w:ind w:left="102" w:right="118"/>
        <w:jc w:val="both"/>
      </w:pPr>
      <w:r>
        <w:rPr/>
        <w:t>La economía de la calidad no existe, siempre es más barato hacer bien el trabajo desde la primera vez. De acuerdo a Crosby, la calidad no cuesta, lo que cuesta son todas las acciones que implican el no hacer bien las cosas desde el inicio de la actividad productiva, esto quiere decir que la única medida del desempeño de la calidad es el precio del incumplimiento. (Crosby, 2000)</w:t>
      </w:r>
    </w:p>
    <w:p>
      <w:pPr>
        <w:pStyle w:val="BodyText"/>
      </w:pPr>
    </w:p>
    <w:p>
      <w:pPr>
        <w:pStyle w:val="BodyText"/>
        <w:spacing w:line="360" w:lineRule="auto" w:before="142"/>
        <w:ind w:left="102" w:right="114"/>
        <w:jc w:val="both"/>
      </w:pPr>
      <w:r>
        <w:rPr/>
        <w:t>Se dice que la calidad no es el costo de suministrar lo que se produce sino el valor que recibe el cliente de lo que se ha producido, por lo tanto la buena calidad le ahorra dinero a la empresa en términos de que si se hacen las cosas bien desde el principio la empresa podrá abastecer con éxito al mercado actual de una manera más eficiente y con un menor gasto de producción lo cual le dará una ventaja competitiva frente a otras organizaciones.</w:t>
      </w:r>
    </w:p>
    <w:p>
      <w:pPr>
        <w:pStyle w:val="BodyText"/>
      </w:pPr>
    </w:p>
    <w:p>
      <w:pPr>
        <w:pStyle w:val="BodyText"/>
        <w:spacing w:line="360" w:lineRule="auto" w:before="142"/>
        <w:ind w:left="102" w:right="115"/>
        <w:jc w:val="both"/>
      </w:pPr>
      <w:r>
        <w:rPr/>
        <w:t>De acuerdo a Feigenbaum, el costo de la calidad consiste en identificar y cuantificar todos los costos derivados del esfuerzo de una compañía hacia la planeación de la calidad, los costos de verificar que los parámetros de calidad estén siendo logrados, los costos de las fallas en proceso y los rechazos de los clientes (Feigenbaum, 1991).</w:t>
      </w:r>
    </w:p>
    <w:p>
      <w:pPr>
        <w:pStyle w:val="BodyText"/>
      </w:pPr>
    </w:p>
    <w:p>
      <w:pPr>
        <w:pStyle w:val="BodyText"/>
        <w:spacing w:line="360" w:lineRule="auto" w:before="142"/>
        <w:ind w:left="102" w:right="115"/>
        <w:jc w:val="both"/>
      </w:pPr>
      <w:r>
        <w:rPr/>
        <w:t>Ramírez Padilla define a los costos de calidad como el costo que se deja de ganar o en el que se incurre por no hacer las cosas bien en la primera ocasión. (Ramírez, 2004).  Warren y Reeve (2010) mencionan que los costos de calidad</w:t>
      </w:r>
    </w:p>
    <w:p>
      <w:pPr>
        <w:spacing w:after="0" w:line="360" w:lineRule="auto"/>
        <w:jc w:val="both"/>
        <w:sectPr>
          <w:footerReference w:type="default" r:id="rId20"/>
          <w:pgSz w:w="11910" w:h="16840"/>
          <w:pgMar w:footer="1043" w:header="0" w:top="1360" w:bottom="1240" w:left="1600" w:right="1580"/>
          <w:pgNumType w:start="21"/>
        </w:sectPr>
      </w:pPr>
    </w:p>
    <w:p>
      <w:pPr>
        <w:pStyle w:val="BodyText"/>
        <w:spacing w:line="360" w:lineRule="auto" w:before="56"/>
        <w:ind w:left="102" w:right="116"/>
        <w:jc w:val="both"/>
      </w:pPr>
      <w:r>
        <w:rPr/>
        <w:t>son aquellos necesarios para alcanzar la calidad, surgen porque ésta es baja o porque no pudiera existir, incluyen los costos directos por baja calidad para la empresa, los de calidad ocultos, de creación, identificación, reparación y prevención de defectos.</w:t>
      </w:r>
    </w:p>
    <w:p>
      <w:pPr>
        <w:pStyle w:val="BodyText"/>
      </w:pPr>
    </w:p>
    <w:p>
      <w:pPr>
        <w:pStyle w:val="BodyText"/>
        <w:spacing w:line="360" w:lineRule="auto" w:before="142"/>
        <w:ind w:left="102" w:right="116"/>
        <w:jc w:val="both"/>
      </w:pPr>
      <w:r>
        <w:rPr/>
        <w:t>Tomando los conceptos anteriores, se puede decir que los costos de la calidad son aquellos desembolsos que tiene la empresa para asegurar y garantizar la calidad de sus productos o servicios, así como las pérdidas sufridas cuando no se logra la calidad.</w:t>
      </w:r>
    </w:p>
    <w:p>
      <w:pPr>
        <w:pStyle w:val="BodyText"/>
      </w:pPr>
    </w:p>
    <w:p>
      <w:pPr>
        <w:pStyle w:val="Heading2"/>
        <w:numPr>
          <w:ilvl w:val="1"/>
          <w:numId w:val="10"/>
        </w:numPr>
        <w:tabs>
          <w:tab w:pos="506" w:val="left" w:leader="none"/>
        </w:tabs>
        <w:spacing w:line="240" w:lineRule="auto" w:before="142" w:after="0"/>
        <w:ind w:left="505" w:right="0" w:hanging="403"/>
        <w:jc w:val="both"/>
      </w:pPr>
      <w:bookmarkStart w:name="_TOC_250016" w:id="12"/>
      <w:r>
        <w:rPr/>
        <w:t>Clasificación de los costos de</w:t>
      </w:r>
      <w:r>
        <w:rPr>
          <w:spacing w:val="-15"/>
        </w:rPr>
        <w:t> </w:t>
      </w:r>
      <w:bookmarkEnd w:id="12"/>
      <w:r>
        <w:rPr/>
        <w:t>calidad</w:t>
      </w:r>
    </w:p>
    <w:p>
      <w:pPr>
        <w:pStyle w:val="BodyText"/>
        <w:rPr>
          <w:b/>
        </w:rPr>
      </w:pPr>
    </w:p>
    <w:p>
      <w:pPr>
        <w:pStyle w:val="BodyText"/>
        <w:rPr>
          <w:b/>
        </w:rPr>
      </w:pPr>
    </w:p>
    <w:p>
      <w:pPr>
        <w:pStyle w:val="BodyText"/>
        <w:spacing w:line="360" w:lineRule="auto"/>
        <w:ind w:left="102" w:right="120"/>
        <w:jc w:val="both"/>
      </w:pPr>
      <w:r>
        <w:rPr/>
        <w:t>Algunos autores distribuyen los costos de la calidad en 3 clasificaciones diferentes por conveniencia de análisis y de control: costos de prevención, de evaluación y por fallas. (Feigenbaum, 1991)</w:t>
      </w:r>
    </w:p>
    <w:p>
      <w:pPr>
        <w:pStyle w:val="BodyText"/>
      </w:pPr>
    </w:p>
    <w:p>
      <w:pPr>
        <w:pStyle w:val="BodyText"/>
        <w:spacing w:line="360" w:lineRule="auto" w:before="142"/>
        <w:ind w:left="102" w:right="115"/>
        <w:jc w:val="both"/>
      </w:pPr>
      <w:r>
        <w:rPr/>
        <w:t>Sin embargo, otros mentores de calidad han agrupado éstos en dos tipos que actualmente llaman costos de no conformidad y costos de conformidad. Los costos de no conformidad son aquellos que se producen como consecuencia de defectos o fallos. Estos costos pueden dividirse a su vez en(Harrington, 1990):</w:t>
      </w:r>
    </w:p>
    <w:p>
      <w:pPr>
        <w:pStyle w:val="BodyText"/>
      </w:pPr>
    </w:p>
    <w:p>
      <w:pPr>
        <w:pStyle w:val="BodyText"/>
        <w:spacing w:before="9"/>
        <w:rPr>
          <w:sz w:val="22"/>
        </w:rPr>
      </w:pPr>
    </w:p>
    <w:p>
      <w:pPr>
        <w:pStyle w:val="ListParagraph"/>
        <w:numPr>
          <w:ilvl w:val="2"/>
          <w:numId w:val="10"/>
        </w:numPr>
        <w:tabs>
          <w:tab w:pos="822" w:val="left" w:leader="none"/>
        </w:tabs>
        <w:spacing w:line="360" w:lineRule="auto" w:before="0" w:after="0"/>
        <w:ind w:left="822" w:right="474" w:hanging="360"/>
        <w:jc w:val="both"/>
        <w:rPr>
          <w:sz w:val="24"/>
        </w:rPr>
      </w:pPr>
      <w:r>
        <w:rPr>
          <w:b/>
          <w:sz w:val="24"/>
        </w:rPr>
        <w:t>Costos por fallas internas: </w:t>
      </w:r>
      <w:r>
        <w:rPr>
          <w:sz w:val="24"/>
        </w:rPr>
        <w:t>que son en los que se incurre mientras el producto está dentro de la empresa o bajo su control, es  decir,  que se relacionan con las no conformidades de los productos o defectos del producto o servicio y que se detectan antes de que el producto se envíe a venta . Los costos por anomalías internas pueden ejemplificarse en forma de desperdicio, re-fabricación, re- elaboración, re-inspección o pruebas repetitivas de</w:t>
      </w:r>
      <w:r>
        <w:rPr>
          <w:spacing w:val="-19"/>
          <w:sz w:val="24"/>
        </w:rPr>
        <w:t> </w:t>
      </w:r>
      <w:r>
        <w:rPr>
          <w:sz w:val="24"/>
        </w:rPr>
        <w:t>producto.</w:t>
      </w:r>
    </w:p>
    <w:p>
      <w:pPr>
        <w:pStyle w:val="ListParagraph"/>
        <w:numPr>
          <w:ilvl w:val="2"/>
          <w:numId w:val="10"/>
        </w:numPr>
        <w:tabs>
          <w:tab w:pos="822" w:val="left" w:leader="none"/>
        </w:tabs>
        <w:spacing w:line="360" w:lineRule="auto" w:before="2" w:after="0"/>
        <w:ind w:left="822" w:right="479" w:hanging="360"/>
        <w:jc w:val="both"/>
        <w:rPr>
          <w:sz w:val="24"/>
        </w:rPr>
      </w:pPr>
      <w:r>
        <w:rPr>
          <w:b/>
          <w:sz w:val="24"/>
        </w:rPr>
        <w:t>Costos por fallas externas: </w:t>
      </w:r>
      <w:r>
        <w:rPr>
          <w:sz w:val="24"/>
        </w:rPr>
        <w:t>que son aquellos producidos después de la entrega del producto. En otras palabras, estos costos se presentan cuando un producto o servicio no conforme llega hasta el consumidor; éstos son los que tienen un impacto más grande  </w:t>
      </w:r>
      <w:r>
        <w:rPr>
          <w:spacing w:val="58"/>
          <w:sz w:val="24"/>
        </w:rPr>
        <w:t> </w:t>
      </w:r>
      <w:r>
        <w:rPr>
          <w:sz w:val="24"/>
        </w:rPr>
        <w:t>sobre</w:t>
      </w:r>
    </w:p>
    <w:p>
      <w:pPr>
        <w:spacing w:after="0" w:line="360" w:lineRule="auto"/>
        <w:jc w:val="both"/>
        <w:rPr>
          <w:sz w:val="24"/>
        </w:rPr>
        <w:sectPr>
          <w:pgSz w:w="11910" w:h="16840"/>
          <w:pgMar w:header="0" w:footer="1043" w:top="1340" w:bottom="1240" w:left="1600" w:right="1580"/>
        </w:sectPr>
      </w:pPr>
    </w:p>
    <w:p>
      <w:pPr>
        <w:pStyle w:val="BodyText"/>
        <w:spacing w:line="360" w:lineRule="auto" w:before="56"/>
        <w:ind w:left="821" w:right="482"/>
        <w:jc w:val="both"/>
      </w:pPr>
      <w:r>
        <w:rPr/>
        <w:t>los costos de calidad total, si bien son también los menos frecuentes pero conviene eliminarlos por completo; además como son muy visibles reciben una gran atención. Pese a que en ocasiones podrían ser considerados un mal necesario en el proceso de ofrecer productos o servicios de buena calidad, esto no es cierto pues  implica hacer más de una vez el mismo trabajo y no ser competitivos en el entorno económico ya que son los más elevados para las empresas pero también los más importantes para los consumidores y pueden generar pérdida de lealtad por parte de éstos. (Harrington, 1990)</w:t>
      </w:r>
    </w:p>
    <w:p>
      <w:pPr>
        <w:pStyle w:val="BodyText"/>
      </w:pPr>
    </w:p>
    <w:p>
      <w:pPr>
        <w:pStyle w:val="BodyText"/>
        <w:spacing w:before="9"/>
        <w:rPr>
          <w:sz w:val="22"/>
        </w:rPr>
      </w:pPr>
    </w:p>
    <w:p>
      <w:pPr>
        <w:pStyle w:val="BodyText"/>
        <w:spacing w:line="360" w:lineRule="auto"/>
        <w:ind w:left="102" w:right="474"/>
        <w:jc w:val="both"/>
      </w:pPr>
      <w:r>
        <w:rPr/>
        <w:t>Por otro lado, los costos de conformidad son producidos por la compañía para detectar o evitar que se produzcan defectos en el producto o servicio. En otras palabras son gastos voluntarios en los que incurre la empresa vo- luntariamente para evitar que aparezcan los costos de no conformidad. Por ejemplo, instalar un detector en la línea de producción o adquirir equipo nuevo de análisis para el laboratorio; estos costos se clasifican en:</w:t>
      </w:r>
    </w:p>
    <w:p>
      <w:pPr>
        <w:pStyle w:val="BodyText"/>
      </w:pPr>
    </w:p>
    <w:p>
      <w:pPr>
        <w:pStyle w:val="BodyText"/>
        <w:spacing w:before="9"/>
        <w:rPr>
          <w:sz w:val="22"/>
        </w:rPr>
      </w:pPr>
    </w:p>
    <w:p>
      <w:pPr>
        <w:pStyle w:val="ListParagraph"/>
        <w:numPr>
          <w:ilvl w:val="0"/>
          <w:numId w:val="11"/>
        </w:numPr>
        <w:tabs>
          <w:tab w:pos="822" w:val="left" w:leader="none"/>
        </w:tabs>
        <w:spacing w:line="360" w:lineRule="auto" w:before="0" w:after="0"/>
        <w:ind w:left="822" w:right="475" w:hanging="360"/>
        <w:jc w:val="both"/>
        <w:rPr>
          <w:sz w:val="24"/>
        </w:rPr>
      </w:pPr>
      <w:r>
        <w:rPr>
          <w:b/>
          <w:sz w:val="24"/>
        </w:rPr>
        <w:t>Costos de detección y control de la calidad: </w:t>
      </w:r>
      <w:r>
        <w:rPr>
          <w:sz w:val="24"/>
        </w:rPr>
        <w:t>Son costos para evaluar el producto o servicio durante la realización del mismo y determinar si es capaz de satisfacer los requerimientos establecidos por el cliente. Las actividades de evaluación son indispensables en los entornos donde se han detectado problemas y pueden estar asociados con la inspección de materias primas, la valoración del trabajo en proceso o las revisiones del producto</w:t>
      </w:r>
      <w:r>
        <w:rPr>
          <w:spacing w:val="-25"/>
          <w:sz w:val="24"/>
        </w:rPr>
        <w:t> </w:t>
      </w:r>
      <w:r>
        <w:rPr>
          <w:sz w:val="24"/>
        </w:rPr>
        <w:t>terminado.</w:t>
      </w:r>
    </w:p>
    <w:p>
      <w:pPr>
        <w:pStyle w:val="BodyText"/>
      </w:pPr>
    </w:p>
    <w:p>
      <w:pPr>
        <w:pStyle w:val="ListParagraph"/>
        <w:numPr>
          <w:ilvl w:val="0"/>
          <w:numId w:val="11"/>
        </w:numPr>
        <w:tabs>
          <w:tab w:pos="822" w:val="left" w:leader="none"/>
        </w:tabs>
        <w:spacing w:line="360" w:lineRule="auto" w:before="142" w:after="0"/>
        <w:ind w:left="822" w:right="479" w:hanging="360"/>
        <w:jc w:val="both"/>
        <w:rPr>
          <w:sz w:val="24"/>
        </w:rPr>
      </w:pPr>
      <w:r>
        <w:rPr>
          <w:b/>
          <w:sz w:val="24"/>
        </w:rPr>
        <w:t>Costos de prevención de la calidad: </w:t>
      </w:r>
      <w:r>
        <w:rPr>
          <w:sz w:val="24"/>
        </w:rPr>
        <w:t>en los que se incurre para evitar que se produzcan defectos, es decir que están asociados con aquellas actividades que suponen la identificación temprana de problemas, incluso a veces en la fase de diseño, y con las acciones realizadas para que las fallas no lleguen siquiera a presentarse, por ejemplo: costos de revisión de un nuevo producto, instrucción y capacitación,  la  planificación  de  la  calidad,  evaluaciones  de     </w:t>
      </w:r>
      <w:r>
        <w:rPr>
          <w:spacing w:val="24"/>
          <w:sz w:val="24"/>
        </w:rPr>
        <w:t> </w:t>
      </w:r>
      <w:r>
        <w:rPr>
          <w:sz w:val="24"/>
        </w:rPr>
        <w:t>la</w:t>
      </w:r>
    </w:p>
    <w:p>
      <w:pPr>
        <w:spacing w:after="0" w:line="360" w:lineRule="auto"/>
        <w:jc w:val="both"/>
        <w:rPr>
          <w:sz w:val="24"/>
        </w:rPr>
        <w:sectPr>
          <w:pgSz w:w="11910" w:h="16840"/>
          <w:pgMar w:header="0" w:footer="1043" w:top="1340" w:bottom="1240" w:left="1600" w:right="1580"/>
        </w:sectPr>
      </w:pPr>
    </w:p>
    <w:p>
      <w:pPr>
        <w:pStyle w:val="BodyText"/>
        <w:spacing w:line="360" w:lineRule="auto" w:before="56"/>
        <w:ind w:left="941" w:right="797"/>
        <w:jc w:val="both"/>
      </w:pPr>
      <w:r>
        <w:rPr/>
        <w:t>capacidad del proceso, reuniones de equipo de mejora de la calidad, proyectos de mejora de la calidad, educación y formación para la calidad. Las actividades de prevención deben revisarse para determinar si realmente conducen a la mejora de una manera  efectiva desde el punto de vista de la rentabilidad. Si las cosas se hacen bien la primera vez, el esfuerzo no tiene que volver a repetirse. La inversión inicial que se realiza en la mejora de los procesos queda más que compensada por los ahorros resultantes en materia de costos.</w:t>
      </w:r>
    </w:p>
    <w:p>
      <w:pPr>
        <w:pStyle w:val="BodyText"/>
      </w:pPr>
    </w:p>
    <w:p>
      <w:pPr>
        <w:pStyle w:val="BodyText"/>
        <w:spacing w:before="9"/>
        <w:rPr>
          <w:sz w:val="22"/>
        </w:rPr>
      </w:pPr>
    </w:p>
    <w:p>
      <w:pPr>
        <w:pStyle w:val="BodyText"/>
        <w:spacing w:line="360" w:lineRule="auto"/>
        <w:ind w:left="222" w:right="429"/>
      </w:pPr>
      <w:r>
        <w:rPr/>
        <w:t>En la siguiente figura, Crosby cita ejemplos de la mala calidad en  cuatro grupos:</w:t>
      </w:r>
    </w:p>
    <w:p>
      <w:pPr>
        <w:pStyle w:val="BodyText"/>
        <w:spacing w:before="11"/>
        <w:rPr>
          <w:sz w:val="32"/>
        </w:rPr>
      </w:pPr>
    </w:p>
    <w:p>
      <w:pPr>
        <w:spacing w:before="0"/>
        <w:ind w:left="222" w:right="429" w:firstLine="0"/>
        <w:jc w:val="left"/>
        <w:rPr>
          <w:b/>
          <w:sz w:val="22"/>
        </w:rPr>
      </w:pPr>
      <w:r>
        <w:rPr>
          <w:b/>
          <w:sz w:val="22"/>
        </w:rPr>
        <w:t>Figura 1. Costos de la mala calidad</w:t>
      </w:r>
    </w:p>
    <w:p>
      <w:pPr>
        <w:pStyle w:val="BodyText"/>
        <w:spacing w:before="4"/>
        <w:rPr>
          <w:b/>
          <w:sz w:val="1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1"/>
        <w:gridCol w:w="2209"/>
        <w:gridCol w:w="2206"/>
        <w:gridCol w:w="2681"/>
      </w:tblGrid>
      <w:tr>
        <w:trPr>
          <w:trHeight w:val="1080" w:hRule="exact"/>
        </w:trPr>
        <w:tc>
          <w:tcPr>
            <w:tcW w:w="1831" w:type="dxa"/>
          </w:tcPr>
          <w:p>
            <w:pPr>
              <w:pStyle w:val="TableParagraph"/>
              <w:spacing w:line="463" w:lineRule="auto"/>
              <w:ind w:left="170" w:right="150" w:firstLine="158"/>
              <w:jc w:val="left"/>
              <w:rPr>
                <w:sz w:val="24"/>
              </w:rPr>
            </w:pPr>
            <w:r>
              <w:rPr>
                <w:sz w:val="24"/>
              </w:rPr>
              <w:t>Costos por fallas internas</w:t>
            </w:r>
          </w:p>
        </w:tc>
        <w:tc>
          <w:tcPr>
            <w:tcW w:w="2209" w:type="dxa"/>
          </w:tcPr>
          <w:p>
            <w:pPr>
              <w:pStyle w:val="TableParagraph"/>
              <w:spacing w:line="463" w:lineRule="auto"/>
              <w:ind w:left="323" w:right="308" w:firstLine="195"/>
              <w:jc w:val="left"/>
              <w:rPr>
                <w:sz w:val="24"/>
              </w:rPr>
            </w:pPr>
            <w:r>
              <w:rPr>
                <w:sz w:val="24"/>
              </w:rPr>
              <w:t>Costos por fallas externas</w:t>
            </w:r>
          </w:p>
        </w:tc>
        <w:tc>
          <w:tcPr>
            <w:tcW w:w="2206" w:type="dxa"/>
          </w:tcPr>
          <w:p>
            <w:pPr>
              <w:pStyle w:val="TableParagraph"/>
              <w:spacing w:line="360" w:lineRule="auto"/>
              <w:ind w:left="422" w:right="148" w:hanging="262"/>
              <w:jc w:val="left"/>
              <w:rPr>
                <w:sz w:val="24"/>
              </w:rPr>
            </w:pPr>
            <w:r>
              <w:rPr>
                <w:sz w:val="24"/>
              </w:rPr>
              <w:t>Costos de control de la calidad</w:t>
            </w:r>
          </w:p>
        </w:tc>
        <w:tc>
          <w:tcPr>
            <w:tcW w:w="2681" w:type="dxa"/>
          </w:tcPr>
          <w:p>
            <w:pPr>
              <w:pStyle w:val="TableParagraph"/>
              <w:spacing w:line="360" w:lineRule="auto"/>
              <w:ind w:left="660" w:right="158" w:hanging="488"/>
              <w:jc w:val="left"/>
              <w:rPr>
                <w:sz w:val="24"/>
              </w:rPr>
            </w:pPr>
            <w:r>
              <w:rPr>
                <w:sz w:val="24"/>
              </w:rPr>
              <w:t>Costos de prevención de la calidad</w:t>
            </w:r>
          </w:p>
        </w:tc>
      </w:tr>
      <w:tr>
        <w:trPr>
          <w:trHeight w:val="958" w:hRule="exact"/>
        </w:trPr>
        <w:tc>
          <w:tcPr>
            <w:tcW w:w="1831" w:type="dxa"/>
          </w:tcPr>
          <w:p>
            <w:pPr>
              <w:pStyle w:val="TableParagraph"/>
              <w:spacing w:line="360" w:lineRule="auto"/>
              <w:ind w:left="395" w:right="314" w:hanging="68"/>
              <w:jc w:val="left"/>
              <w:rPr>
                <w:sz w:val="24"/>
              </w:rPr>
            </w:pPr>
            <w:r>
              <w:rPr>
                <w:sz w:val="24"/>
              </w:rPr>
              <w:t>Costos por desechos</w:t>
            </w:r>
          </w:p>
        </w:tc>
        <w:tc>
          <w:tcPr>
            <w:tcW w:w="2209" w:type="dxa"/>
          </w:tcPr>
          <w:p>
            <w:pPr>
              <w:pStyle w:val="TableParagraph"/>
              <w:spacing w:line="360" w:lineRule="auto"/>
              <w:ind w:left="398" w:right="380" w:firstLine="180"/>
              <w:jc w:val="left"/>
              <w:rPr>
                <w:sz w:val="24"/>
              </w:rPr>
            </w:pPr>
            <w:r>
              <w:rPr>
                <w:sz w:val="24"/>
              </w:rPr>
              <w:t>Costo por devoluciones</w:t>
            </w:r>
          </w:p>
        </w:tc>
        <w:tc>
          <w:tcPr>
            <w:tcW w:w="2206" w:type="dxa"/>
          </w:tcPr>
          <w:p>
            <w:pPr>
              <w:pStyle w:val="TableParagraph"/>
              <w:spacing w:line="360" w:lineRule="auto"/>
              <w:ind w:left="403" w:right="385" w:firstLine="24"/>
              <w:jc w:val="left"/>
              <w:rPr>
                <w:sz w:val="24"/>
              </w:rPr>
            </w:pPr>
            <w:r>
              <w:rPr>
                <w:sz w:val="24"/>
              </w:rPr>
              <w:t>Costo de las inspecciones</w:t>
            </w:r>
          </w:p>
        </w:tc>
        <w:tc>
          <w:tcPr>
            <w:tcW w:w="2681" w:type="dxa"/>
          </w:tcPr>
          <w:p>
            <w:pPr>
              <w:pStyle w:val="TableParagraph"/>
              <w:spacing w:line="360" w:lineRule="auto"/>
              <w:ind w:left="787" w:right="236" w:hanging="533"/>
              <w:jc w:val="left"/>
              <w:rPr>
                <w:sz w:val="24"/>
              </w:rPr>
            </w:pPr>
            <w:r>
              <w:rPr>
                <w:sz w:val="24"/>
              </w:rPr>
              <w:t>Costos de la política de calidad</w:t>
            </w:r>
          </w:p>
        </w:tc>
      </w:tr>
      <w:tr>
        <w:trPr>
          <w:trHeight w:val="958" w:hRule="exact"/>
        </w:trPr>
        <w:tc>
          <w:tcPr>
            <w:tcW w:w="1831" w:type="dxa"/>
          </w:tcPr>
          <w:p>
            <w:pPr>
              <w:pStyle w:val="TableParagraph"/>
              <w:spacing w:line="360" w:lineRule="auto"/>
              <w:ind w:left="343" w:right="259" w:hanging="68"/>
              <w:jc w:val="left"/>
              <w:rPr>
                <w:sz w:val="24"/>
              </w:rPr>
            </w:pPr>
            <w:r>
              <w:rPr>
                <w:sz w:val="24"/>
              </w:rPr>
              <w:t>Trabajos de reparación</w:t>
            </w:r>
          </w:p>
        </w:tc>
        <w:tc>
          <w:tcPr>
            <w:tcW w:w="2209" w:type="dxa"/>
          </w:tcPr>
          <w:p>
            <w:pPr>
              <w:pStyle w:val="TableParagraph"/>
              <w:spacing w:line="360" w:lineRule="auto"/>
              <w:ind w:left="612" w:right="448" w:hanging="149"/>
              <w:jc w:val="left"/>
              <w:rPr>
                <w:sz w:val="24"/>
              </w:rPr>
            </w:pPr>
            <w:r>
              <w:rPr>
                <w:sz w:val="24"/>
              </w:rPr>
              <w:t>Atención de reclamos</w:t>
            </w:r>
          </w:p>
        </w:tc>
        <w:tc>
          <w:tcPr>
            <w:tcW w:w="2206" w:type="dxa"/>
          </w:tcPr>
          <w:p>
            <w:pPr>
              <w:pStyle w:val="TableParagraph"/>
              <w:spacing w:line="360" w:lineRule="auto"/>
              <w:ind w:left="523" w:right="506" w:firstLine="31"/>
              <w:jc w:val="left"/>
              <w:rPr>
                <w:sz w:val="24"/>
              </w:rPr>
            </w:pPr>
            <w:r>
              <w:rPr>
                <w:sz w:val="24"/>
              </w:rPr>
              <w:t>Costos de calibración</w:t>
            </w:r>
          </w:p>
        </w:tc>
        <w:tc>
          <w:tcPr>
            <w:tcW w:w="2681" w:type="dxa"/>
          </w:tcPr>
          <w:p>
            <w:pPr>
              <w:pStyle w:val="TableParagraph"/>
              <w:spacing w:line="360" w:lineRule="auto"/>
              <w:ind w:left="660" w:right="124" w:hanging="521"/>
              <w:jc w:val="left"/>
              <w:rPr>
                <w:sz w:val="24"/>
              </w:rPr>
            </w:pPr>
            <w:r>
              <w:rPr>
                <w:sz w:val="24"/>
              </w:rPr>
              <w:t>Costos para la función de la calidad</w:t>
            </w:r>
          </w:p>
        </w:tc>
      </w:tr>
      <w:tr>
        <w:trPr>
          <w:trHeight w:val="958" w:hRule="exact"/>
        </w:trPr>
        <w:tc>
          <w:tcPr>
            <w:tcW w:w="1831" w:type="dxa"/>
          </w:tcPr>
          <w:p>
            <w:pPr>
              <w:pStyle w:val="TableParagraph"/>
              <w:spacing w:line="360" w:lineRule="auto"/>
              <w:ind w:left="283" w:right="264" w:firstLine="45"/>
              <w:jc w:val="left"/>
              <w:rPr>
                <w:sz w:val="24"/>
              </w:rPr>
            </w:pPr>
            <w:r>
              <w:rPr>
                <w:sz w:val="24"/>
              </w:rPr>
              <w:t>Pérdida de rendimiento</w:t>
            </w:r>
          </w:p>
        </w:tc>
        <w:tc>
          <w:tcPr>
            <w:tcW w:w="2209" w:type="dxa"/>
          </w:tcPr>
          <w:p>
            <w:pPr>
              <w:pStyle w:val="TableParagraph"/>
              <w:spacing w:line="360" w:lineRule="auto"/>
              <w:ind w:left="406" w:right="385" w:firstLine="211"/>
              <w:jc w:val="left"/>
              <w:rPr>
                <w:sz w:val="24"/>
              </w:rPr>
            </w:pPr>
            <w:r>
              <w:rPr>
                <w:sz w:val="24"/>
              </w:rPr>
              <w:t>Costo de reparaciones</w:t>
            </w:r>
          </w:p>
        </w:tc>
        <w:tc>
          <w:tcPr>
            <w:tcW w:w="2206" w:type="dxa"/>
          </w:tcPr>
          <w:p>
            <w:pPr>
              <w:pStyle w:val="TableParagraph"/>
              <w:spacing w:line="360" w:lineRule="auto"/>
              <w:ind w:left="309" w:right="293" w:firstLine="244"/>
              <w:jc w:val="left"/>
              <w:rPr>
                <w:sz w:val="24"/>
              </w:rPr>
            </w:pPr>
            <w:r>
              <w:rPr>
                <w:sz w:val="24"/>
              </w:rPr>
              <w:t>Costos de mantenimiento</w:t>
            </w:r>
          </w:p>
        </w:tc>
        <w:tc>
          <w:tcPr>
            <w:tcW w:w="2681" w:type="dxa"/>
          </w:tcPr>
          <w:p>
            <w:pPr>
              <w:pStyle w:val="TableParagraph"/>
              <w:spacing w:line="360" w:lineRule="auto"/>
              <w:ind w:left="220" w:right="171" w:hanging="34"/>
              <w:jc w:val="left"/>
              <w:rPr>
                <w:sz w:val="24"/>
              </w:rPr>
            </w:pPr>
            <w:r>
              <w:rPr>
                <w:sz w:val="24"/>
              </w:rPr>
              <w:t>Costos de programas de mejora de calidad</w:t>
            </w:r>
          </w:p>
        </w:tc>
      </w:tr>
      <w:tr>
        <w:trPr>
          <w:trHeight w:val="958" w:hRule="exact"/>
        </w:trPr>
        <w:tc>
          <w:tcPr>
            <w:tcW w:w="1831" w:type="dxa"/>
          </w:tcPr>
          <w:p>
            <w:pPr>
              <w:pStyle w:val="TableParagraph"/>
              <w:spacing w:line="360" w:lineRule="auto"/>
              <w:ind w:left="477" w:right="192" w:hanging="269"/>
              <w:jc w:val="left"/>
              <w:rPr>
                <w:sz w:val="24"/>
              </w:rPr>
            </w:pPr>
            <w:r>
              <w:rPr>
                <w:sz w:val="24"/>
              </w:rPr>
              <w:t>Instalaciones paradas</w:t>
            </w:r>
          </w:p>
        </w:tc>
        <w:tc>
          <w:tcPr>
            <w:tcW w:w="2209" w:type="dxa"/>
          </w:tcPr>
          <w:p>
            <w:pPr>
              <w:pStyle w:val="TableParagraph"/>
              <w:spacing w:line="360" w:lineRule="auto"/>
              <w:ind w:left="598" w:right="541" w:hanging="41"/>
              <w:jc w:val="left"/>
              <w:rPr>
                <w:sz w:val="24"/>
              </w:rPr>
            </w:pPr>
            <w:r>
              <w:rPr>
                <w:sz w:val="24"/>
              </w:rPr>
              <w:t>Costos de garantías</w:t>
            </w:r>
          </w:p>
        </w:tc>
        <w:tc>
          <w:tcPr>
            <w:tcW w:w="2206" w:type="dxa"/>
          </w:tcPr>
          <w:p>
            <w:pPr>
              <w:pStyle w:val="TableParagraph"/>
              <w:spacing w:line="360" w:lineRule="auto"/>
              <w:ind w:left="501" w:right="356" w:hanging="135"/>
              <w:jc w:val="left"/>
              <w:rPr>
                <w:sz w:val="24"/>
              </w:rPr>
            </w:pPr>
            <w:r>
              <w:rPr>
                <w:sz w:val="24"/>
              </w:rPr>
              <w:t>Costos de los reprocesos</w:t>
            </w:r>
          </w:p>
        </w:tc>
        <w:tc>
          <w:tcPr>
            <w:tcW w:w="2681" w:type="dxa"/>
          </w:tcPr>
          <w:p>
            <w:pPr>
              <w:pStyle w:val="TableParagraph"/>
              <w:spacing w:line="360" w:lineRule="auto"/>
              <w:ind w:left="715" w:right="164" w:hanging="536"/>
              <w:jc w:val="left"/>
              <w:rPr>
                <w:sz w:val="24"/>
              </w:rPr>
            </w:pPr>
            <w:r>
              <w:rPr>
                <w:sz w:val="24"/>
              </w:rPr>
              <w:t>Costos de planeación del proceso</w:t>
            </w:r>
          </w:p>
        </w:tc>
      </w:tr>
      <w:tr>
        <w:trPr>
          <w:trHeight w:val="958" w:hRule="exact"/>
        </w:trPr>
        <w:tc>
          <w:tcPr>
            <w:tcW w:w="1831" w:type="dxa"/>
          </w:tcPr>
          <w:p>
            <w:pPr>
              <w:pStyle w:val="TableParagraph"/>
              <w:spacing w:line="360" w:lineRule="auto"/>
              <w:ind w:left="556" w:right="433" w:hanging="108"/>
              <w:jc w:val="left"/>
              <w:rPr>
                <w:sz w:val="24"/>
              </w:rPr>
            </w:pPr>
            <w:r>
              <w:rPr>
                <w:sz w:val="24"/>
              </w:rPr>
              <w:t>Ensayos dobles</w:t>
            </w:r>
          </w:p>
        </w:tc>
        <w:tc>
          <w:tcPr>
            <w:tcW w:w="2209" w:type="dxa"/>
          </w:tcPr>
          <w:p>
            <w:pPr>
              <w:pStyle w:val="TableParagraph"/>
              <w:spacing w:line="360" w:lineRule="auto"/>
              <w:ind w:left="818" w:right="243" w:hanging="563"/>
              <w:jc w:val="left"/>
              <w:rPr>
                <w:sz w:val="24"/>
              </w:rPr>
            </w:pPr>
            <w:r>
              <w:rPr>
                <w:sz w:val="24"/>
              </w:rPr>
              <w:t>Descuentos por fallas</w:t>
            </w:r>
          </w:p>
        </w:tc>
        <w:tc>
          <w:tcPr>
            <w:tcW w:w="2206" w:type="dxa"/>
          </w:tcPr>
          <w:p>
            <w:pPr>
              <w:pStyle w:val="TableParagraph"/>
              <w:spacing w:line="360" w:lineRule="auto"/>
              <w:ind w:left="407" w:right="395" w:firstLine="120"/>
              <w:jc w:val="left"/>
              <w:rPr>
                <w:sz w:val="24"/>
              </w:rPr>
            </w:pPr>
            <w:r>
              <w:rPr>
                <w:sz w:val="24"/>
              </w:rPr>
              <w:t>Costos del sobrellenado</w:t>
            </w:r>
          </w:p>
        </w:tc>
        <w:tc>
          <w:tcPr>
            <w:tcW w:w="2681" w:type="dxa"/>
          </w:tcPr>
          <w:p>
            <w:pPr>
              <w:pStyle w:val="TableParagraph"/>
              <w:spacing w:line="360" w:lineRule="auto"/>
              <w:ind w:left="873" w:right="137" w:hanging="720"/>
              <w:jc w:val="left"/>
              <w:rPr>
                <w:sz w:val="24"/>
              </w:rPr>
            </w:pPr>
            <w:r>
              <w:rPr>
                <w:sz w:val="24"/>
              </w:rPr>
              <w:t>Costos de recolección de datos</w:t>
            </w:r>
          </w:p>
        </w:tc>
      </w:tr>
    </w:tbl>
    <w:p>
      <w:pPr>
        <w:spacing w:line="251" w:lineRule="exact" w:before="0"/>
        <w:ind w:left="222" w:right="0" w:firstLine="0"/>
        <w:jc w:val="both"/>
        <w:rPr>
          <w:sz w:val="22"/>
        </w:rPr>
      </w:pPr>
      <w:r>
        <w:rPr>
          <w:sz w:val="22"/>
        </w:rPr>
        <w:t>Fuente: Crosby (2000)</w:t>
      </w:r>
    </w:p>
    <w:p>
      <w:pPr>
        <w:pStyle w:val="BodyText"/>
        <w:rPr>
          <w:sz w:val="22"/>
        </w:rPr>
      </w:pPr>
    </w:p>
    <w:p>
      <w:pPr>
        <w:pStyle w:val="BodyText"/>
        <w:spacing w:before="1"/>
        <w:rPr>
          <w:sz w:val="25"/>
        </w:rPr>
      </w:pPr>
    </w:p>
    <w:p>
      <w:pPr>
        <w:pStyle w:val="BodyText"/>
        <w:spacing w:line="360" w:lineRule="auto"/>
        <w:ind w:left="222" w:right="444"/>
        <w:jc w:val="both"/>
      </w:pPr>
      <w:r>
        <w:rPr/>
        <w:t>Es importante resaltar que la estructura de estos costos es muy diferente en cada empresa ya que por ejemplo, algunas organizaciones tienen un enfoque orientado hacia la prevención y gastan más en ella mientas que otras tienen</w:t>
      </w:r>
    </w:p>
    <w:p>
      <w:pPr>
        <w:spacing w:after="0" w:line="360" w:lineRule="auto"/>
        <w:jc w:val="both"/>
        <w:sectPr>
          <w:pgSz w:w="11910" w:h="16840"/>
          <w:pgMar w:header="0" w:footer="1043" w:top="1340" w:bottom="1240" w:left="1480" w:right="1260"/>
        </w:sectPr>
      </w:pPr>
    </w:p>
    <w:p>
      <w:pPr>
        <w:pStyle w:val="BodyText"/>
        <w:spacing w:line="360" w:lineRule="auto" w:before="56"/>
        <w:ind w:left="102" w:right="116"/>
        <w:jc w:val="both"/>
      </w:pPr>
      <w:r>
        <w:rPr/>
        <w:t>sus costos con tendencia hacia la corrección de anomalías internas.. El costo de la calidad es importante porque ayuda a medir el desempeño y porque  indica cuándo y dónde se debe llevar a cabo una acción correctiva o preventiva. Existen estudios que señalan que los costos de la calidad representan alrededor del 5 al 25% sobre las ventas anuales de la empresa y varían según sea el tipo de industria, la visión que tenga la organización acerca de la calidad y los sistema de gestión que tengan implementados, su grado de avance que lleven hacia la calidad total, así como de sus procesos. (Summers, 2006)</w:t>
      </w:r>
    </w:p>
    <w:p>
      <w:pPr>
        <w:pStyle w:val="BodyText"/>
      </w:pPr>
    </w:p>
    <w:p>
      <w:pPr>
        <w:pStyle w:val="BodyText"/>
        <w:spacing w:line="360" w:lineRule="auto" w:before="142"/>
        <w:ind w:left="102" w:right="116"/>
        <w:jc w:val="both"/>
      </w:pPr>
      <w:r>
        <w:rPr/>
        <w:t>Crosby señala que la mayoría de las empresas invierten en costos de calidad de 15% a 20% de las ventas brutas. Una empresa con un programa de administración de la calidad enfocado en la eliminación del sobrellenado en las líneas de producción puede lograr u costo de la calidad menor a 2.5% de las ventas sobre todo cuando se previene la aparición </w:t>
      </w:r>
      <w:r>
        <w:rPr>
          <w:spacing w:val="2"/>
        </w:rPr>
        <w:t>de </w:t>
      </w:r>
      <w:r>
        <w:rPr/>
        <w:t>este desperdicio. (Crosby,</w:t>
      </w:r>
      <w:r>
        <w:rPr>
          <w:spacing w:val="-5"/>
        </w:rPr>
        <w:t> </w:t>
      </w:r>
      <w:r>
        <w:rPr/>
        <w:t>2000)</w:t>
      </w:r>
    </w:p>
    <w:p>
      <w:pPr>
        <w:pStyle w:val="BodyText"/>
      </w:pPr>
    </w:p>
    <w:p>
      <w:pPr>
        <w:pStyle w:val="BodyText"/>
        <w:spacing w:line="360" w:lineRule="auto" w:before="142"/>
        <w:ind w:left="102" w:right="125"/>
        <w:jc w:val="both"/>
      </w:pPr>
      <w:r>
        <w:rPr/>
        <w:t>En la matriz de madurez en la gestión de la calidad de Philip Crosby, afirma que, cuando una empresa no ha entendido que la calidad es una herramienta de la Dirección y sigue manteniendo la idea que es algo que compete exclusivamente al departamento de control de calidad, es muy probable que los problemas de calidad le estén costando un 20 % de las ventas.</w:t>
      </w:r>
    </w:p>
    <w:p>
      <w:pPr>
        <w:pStyle w:val="BodyText"/>
      </w:pPr>
    </w:p>
    <w:p>
      <w:pPr>
        <w:pStyle w:val="BodyText"/>
        <w:spacing w:line="360" w:lineRule="auto" w:before="142"/>
        <w:ind w:left="102" w:right="119"/>
        <w:jc w:val="both"/>
      </w:pPr>
      <w:r>
        <w:rPr/>
        <w:t>La información de los costos es útil para atraer la atención de la alta dirección hacia los problemas para seleccionar las oportunidades de emprender una acción correctiva y registrar la mejora de la calidad a través del tiempo. (Carró  &amp; González, 2011) Muchas empresas desconocen la importancia de los costos asociados a la calidad principalmente los atribuibles al proceso de sobrellenado, porque suelen quedar repartidos entre una gran variedad de partidas (compra de insumos, mano de obra, transporte, ventas, etc.) y generalmente no los cuantifican de manera adecuada. Aunque llegar a  esa cifra puede ser muy difícil de calcular, es deseable disponer de información de los costos de calidad para poder identificar áreas prioritarias y fijar</w:t>
      </w:r>
      <w:r>
        <w:rPr>
          <w:spacing w:val="-28"/>
        </w:rPr>
        <w:t> </w:t>
      </w:r>
      <w:r>
        <w:rPr/>
        <w:t>objetivos.</w:t>
      </w:r>
    </w:p>
    <w:p>
      <w:pPr>
        <w:spacing w:after="0" w:line="360" w:lineRule="auto"/>
        <w:jc w:val="both"/>
        <w:sectPr>
          <w:pgSz w:w="11910" w:h="16840"/>
          <w:pgMar w:header="0" w:footer="1043" w:top="1340" w:bottom="1240" w:left="1600" w:right="1580"/>
        </w:sectPr>
      </w:pPr>
    </w:p>
    <w:p>
      <w:pPr>
        <w:pStyle w:val="BodyText"/>
        <w:spacing w:line="360" w:lineRule="auto" w:before="56"/>
        <w:ind w:left="102" w:right="120"/>
        <w:jc w:val="both"/>
      </w:pPr>
      <w:r>
        <w:rPr/>
        <w:t>En definitiva, el término costo de calidad, o mejor dicho, costo de la no calidad, determina cuanto le cuesta a la empresa no tener calidad. Es sabido que para conocer algo y luego mejorarlo debe haber una medición previa, por lo tanto, dentro de la mejora de calidad se debe tener implementado un sistema adecuado que informe de los costos en los que se está incurriendo y los que provocarán el rechazo de los productos por parte de los consumidores.</w:t>
      </w:r>
    </w:p>
    <w:p>
      <w:pPr>
        <w:pStyle w:val="BodyText"/>
      </w:pPr>
    </w:p>
    <w:p>
      <w:pPr>
        <w:pStyle w:val="BodyText"/>
        <w:spacing w:line="360" w:lineRule="auto" w:before="142"/>
        <w:ind w:left="102" w:right="120"/>
        <w:jc w:val="both"/>
      </w:pPr>
      <w:r>
        <w:rPr/>
        <w:t>No se puede hablar de la gestión de la calidad total sin hablar de una continua reducción de los costos de la calidad principalmente aquellos que están enfocados en la detección más que en la prevención. El detectar y atacar en fases tempranas los problemas de calidad permitirá a la organización tener una ventaja ya que la calidad es una inversión.</w:t>
      </w:r>
    </w:p>
    <w:p>
      <w:pPr>
        <w:pStyle w:val="BodyText"/>
      </w:pPr>
    </w:p>
    <w:p>
      <w:pPr>
        <w:pStyle w:val="Heading2"/>
        <w:numPr>
          <w:ilvl w:val="1"/>
          <w:numId w:val="10"/>
        </w:numPr>
        <w:tabs>
          <w:tab w:pos="510" w:val="left" w:leader="none"/>
        </w:tabs>
        <w:spacing w:line="360" w:lineRule="auto" w:before="142" w:after="0"/>
        <w:ind w:left="102" w:right="113" w:firstLine="0"/>
        <w:jc w:val="both"/>
      </w:pPr>
      <w:r>
        <w:rPr/>
        <w:t>Relación del control de la calidad y los costos de calidad: La calidad y su afección en los proceso de</w:t>
      </w:r>
      <w:r>
        <w:rPr>
          <w:spacing w:val="-11"/>
        </w:rPr>
        <w:t> </w:t>
      </w:r>
      <w:r>
        <w:rPr/>
        <w:t>sobrellenado</w:t>
      </w:r>
    </w:p>
    <w:p>
      <w:pPr>
        <w:pStyle w:val="BodyText"/>
        <w:rPr>
          <w:b/>
        </w:rPr>
      </w:pPr>
    </w:p>
    <w:p>
      <w:pPr>
        <w:pStyle w:val="BodyText"/>
        <w:spacing w:line="360" w:lineRule="auto" w:before="142"/>
        <w:ind w:left="102" w:right="124"/>
        <w:jc w:val="both"/>
      </w:pPr>
      <w:r>
        <w:rPr/>
        <w:t>Los sistemas administrativos tradicionales están acostumbrados a operar con un rendimiento que tiene en cuenta un determinado porcentaje de desperdicio, cuidando de evitar que éste se dispare. (Gutiérrez, 2015)</w:t>
      </w:r>
    </w:p>
    <w:p>
      <w:pPr>
        <w:pStyle w:val="BodyText"/>
      </w:pPr>
    </w:p>
    <w:p>
      <w:pPr>
        <w:pStyle w:val="BodyText"/>
        <w:spacing w:line="360" w:lineRule="auto" w:before="142"/>
        <w:ind w:left="102" w:right="120"/>
        <w:jc w:val="both"/>
      </w:pPr>
      <w:r>
        <w:rPr/>
        <w:t>Muchas áreas de manufactura y procesamiento están actualmente enfocadas en la optimización y en tecnologías de control para mejorar el desempeño y la eficiencia de los procesos. La industria de elaboración y envasado de alimentos ha enfrentado de manera crítica desde hace </w:t>
      </w:r>
      <w:r>
        <w:rPr>
          <w:spacing w:val="3"/>
        </w:rPr>
        <w:t>más </w:t>
      </w:r>
      <w:r>
        <w:rPr/>
        <w:t>de una década el problema de sobrellenado en los empaques de los productos, cuya variación en el contenido neto es el resultado de las desviaciones durante el proceso de llenado.</w:t>
      </w:r>
    </w:p>
    <w:p>
      <w:pPr>
        <w:pStyle w:val="BodyText"/>
      </w:pPr>
    </w:p>
    <w:p>
      <w:pPr>
        <w:pStyle w:val="BodyText"/>
        <w:spacing w:line="360" w:lineRule="auto" w:before="142"/>
        <w:ind w:left="102" w:right="122"/>
        <w:jc w:val="both"/>
      </w:pPr>
      <w:r>
        <w:rPr/>
        <w:t>El sobrellenado produce grandes cantidades de pérdida de producto innecesario por la adición de cantidades pequeñas en un gran número de empaques (Resendiz, 2013) El instituto Nacional de Estándares y Tecnología (NIST, 2012) en USA define que la cantidad neta promedio en un lote debe ser al menos igual al contenido neto declarado en la etiqueta, este valor es conocido como la cantidad nominal. Para cualquier peso o volumen dado,   hay</w:t>
      </w:r>
    </w:p>
    <w:p>
      <w:pPr>
        <w:spacing w:after="0" w:line="360" w:lineRule="auto"/>
        <w:jc w:val="both"/>
        <w:sectPr>
          <w:pgSz w:w="11910" w:h="16840"/>
          <w:pgMar w:header="0" w:footer="1043" w:top="1340" w:bottom="1240" w:left="1600" w:right="1580"/>
        </w:sectPr>
      </w:pPr>
    </w:p>
    <w:p>
      <w:pPr>
        <w:pStyle w:val="BodyText"/>
        <w:spacing w:line="360" w:lineRule="auto" w:before="56"/>
        <w:ind w:left="102" w:right="115"/>
        <w:jc w:val="both"/>
      </w:pPr>
      <w:r>
        <w:rPr/>
        <w:t>un error negativo tolerable asociado (TNE) el cual representa la cantidad permisible que un empaque puede estar llenado por debajo de su valor declarado. Los valores de TNE para una cantidad dada están publicadas en la normativa de cada país de venta del producto. Variaciones en el contenido neto declarado y en las mediciones son permitidas cuando son causadas por  fuentes comunes de variación, sin embargo esto ocasiona pérdidas  económicas para la empresa. En México la norma que regula el contenido neto es la NOM-002-SCFI-2011; esta norma establece las tolerancias y los métodos para la verificación del contenido neto de productos pre-envasados y los planes de muestreo usados en la verificación de productos que declaran su contenido neto en unidad de masa o volumen</w:t>
      </w:r>
      <w:r>
        <w:rPr>
          <w:spacing w:val="-13"/>
        </w:rPr>
        <w:t> </w:t>
      </w:r>
      <w:r>
        <w:rPr/>
        <w:t>(NOM-002-SCFI-2011)</w:t>
      </w:r>
    </w:p>
    <w:p>
      <w:pPr>
        <w:pStyle w:val="BodyText"/>
      </w:pPr>
    </w:p>
    <w:p>
      <w:pPr>
        <w:pStyle w:val="BodyText"/>
        <w:spacing w:line="360" w:lineRule="auto" w:before="142"/>
        <w:ind w:left="102" w:right="118"/>
        <w:jc w:val="both"/>
      </w:pPr>
      <w:r>
        <w:rPr/>
        <w:t>Globalmente se reconocen 4 requerimientos regulatorios que aplican directamente al manejo de contenido neto en los productos, los cuales se mencionan a continuación (Resendiz, 2013)</w:t>
      </w:r>
    </w:p>
    <w:p>
      <w:pPr>
        <w:pStyle w:val="ListParagraph"/>
        <w:numPr>
          <w:ilvl w:val="2"/>
          <w:numId w:val="10"/>
        </w:numPr>
        <w:tabs>
          <w:tab w:pos="810" w:val="left" w:leader="none"/>
        </w:tabs>
        <w:spacing w:line="360" w:lineRule="auto" w:before="125" w:after="0"/>
        <w:ind w:left="886" w:right="127" w:hanging="360"/>
        <w:jc w:val="both"/>
        <w:rPr>
          <w:sz w:val="24"/>
        </w:rPr>
      </w:pPr>
      <w:r>
        <w:rPr>
          <w:sz w:val="24"/>
        </w:rPr>
        <w:t>El contenido neto promedio de un lote de producto pre envasado debe ser igual o superior al contenido neto</w:t>
      </w:r>
      <w:r>
        <w:rPr>
          <w:spacing w:val="-18"/>
          <w:sz w:val="24"/>
        </w:rPr>
        <w:t> </w:t>
      </w:r>
      <w:r>
        <w:rPr>
          <w:sz w:val="24"/>
        </w:rPr>
        <w:t>declarado</w:t>
      </w:r>
    </w:p>
    <w:p>
      <w:pPr>
        <w:pStyle w:val="ListParagraph"/>
        <w:numPr>
          <w:ilvl w:val="2"/>
          <w:numId w:val="10"/>
        </w:numPr>
        <w:tabs>
          <w:tab w:pos="810" w:val="left" w:leader="none"/>
        </w:tabs>
        <w:spacing w:line="360" w:lineRule="auto" w:before="5" w:after="0"/>
        <w:ind w:left="886" w:right="118" w:hanging="360"/>
        <w:jc w:val="both"/>
        <w:rPr>
          <w:sz w:val="24"/>
        </w:rPr>
      </w:pPr>
      <w:r>
        <w:rPr>
          <w:sz w:val="24"/>
        </w:rPr>
        <w:t>Un número limitado de unidades puede tener un contenido neto inferior a un límite</w:t>
      </w:r>
      <w:r>
        <w:rPr>
          <w:spacing w:val="-7"/>
          <w:sz w:val="24"/>
        </w:rPr>
        <w:t> </w:t>
      </w:r>
      <w:r>
        <w:rPr>
          <w:sz w:val="24"/>
        </w:rPr>
        <w:t>especificado</w:t>
      </w:r>
    </w:p>
    <w:p>
      <w:pPr>
        <w:pStyle w:val="ListParagraph"/>
        <w:numPr>
          <w:ilvl w:val="2"/>
          <w:numId w:val="10"/>
        </w:numPr>
        <w:tabs>
          <w:tab w:pos="810" w:val="left" w:leader="none"/>
        </w:tabs>
        <w:spacing w:line="360" w:lineRule="auto" w:before="5" w:after="0"/>
        <w:ind w:left="886" w:right="131" w:hanging="360"/>
        <w:jc w:val="both"/>
        <w:rPr>
          <w:sz w:val="24"/>
        </w:rPr>
      </w:pPr>
      <w:r>
        <w:rPr>
          <w:sz w:val="24"/>
        </w:rPr>
        <w:t>Ninguna unidad debe de tener un contenido neto por debajo de un límite absoluto</w:t>
      </w:r>
      <w:r>
        <w:rPr>
          <w:spacing w:val="-7"/>
          <w:sz w:val="24"/>
        </w:rPr>
        <w:t> </w:t>
      </w:r>
      <w:r>
        <w:rPr>
          <w:sz w:val="24"/>
        </w:rPr>
        <w:t>especificado</w:t>
      </w:r>
    </w:p>
    <w:p>
      <w:pPr>
        <w:pStyle w:val="ListParagraph"/>
        <w:numPr>
          <w:ilvl w:val="2"/>
          <w:numId w:val="10"/>
        </w:numPr>
        <w:tabs>
          <w:tab w:pos="810" w:val="left" w:leader="none"/>
        </w:tabs>
        <w:spacing w:line="360" w:lineRule="auto" w:before="5" w:after="0"/>
        <w:ind w:left="886" w:right="124" w:hanging="360"/>
        <w:jc w:val="both"/>
        <w:rPr>
          <w:sz w:val="24"/>
        </w:rPr>
      </w:pPr>
      <w:r>
        <w:rPr>
          <w:sz w:val="24"/>
        </w:rPr>
        <w:t>Un mínimo porcentaje de unidades por encima de un límite (generalmente el contenido neto declarado) es requerido. Esto es consecuencia del</w:t>
      </w:r>
      <w:r>
        <w:rPr>
          <w:spacing w:val="-8"/>
          <w:sz w:val="24"/>
        </w:rPr>
        <w:t> </w:t>
      </w:r>
      <w:r>
        <w:rPr>
          <w:sz w:val="24"/>
        </w:rPr>
        <w:t>requerimiento</w:t>
      </w:r>
    </w:p>
    <w:p>
      <w:pPr>
        <w:pStyle w:val="BodyText"/>
      </w:pPr>
    </w:p>
    <w:p>
      <w:pPr>
        <w:pStyle w:val="BodyText"/>
        <w:spacing w:before="9"/>
        <w:rPr>
          <w:sz w:val="22"/>
        </w:rPr>
      </w:pPr>
    </w:p>
    <w:p>
      <w:pPr>
        <w:pStyle w:val="BodyText"/>
        <w:spacing w:line="360" w:lineRule="auto"/>
        <w:ind w:left="102" w:right="116"/>
        <w:jc w:val="both"/>
      </w:pPr>
      <w:r>
        <w:rPr/>
        <w:t>El sobrellenado es considerado dentro de la nueva filosofía administrativa de calidad como una situación indeseable, un problema al que debe darse solución. El problema mejora a medida que mejora el resultado, por eso en la medida que el desempeño de un proceso alcanza un nivel mejor, en esa misma medida se mejora el proceso (Gutiérrez, 2015). Esto traerá como consecuencia una mejor calidad a un mejor costo y aumento en la productividad de la organización.</w:t>
      </w:r>
    </w:p>
    <w:p>
      <w:pPr>
        <w:spacing w:after="0" w:line="360" w:lineRule="auto"/>
        <w:jc w:val="both"/>
        <w:sectPr>
          <w:pgSz w:w="11910" w:h="16840"/>
          <w:pgMar w:header="0" w:footer="1043" w:top="1340" w:bottom="1240" w:left="1600" w:right="1580"/>
        </w:sectPr>
      </w:pPr>
    </w:p>
    <w:p>
      <w:pPr>
        <w:pStyle w:val="Heading1"/>
        <w:spacing w:line="360" w:lineRule="auto"/>
        <w:ind w:left="1174" w:right="279" w:hanging="900"/>
      </w:pPr>
      <w:bookmarkStart w:name="_TOC_250015" w:id="13"/>
      <w:bookmarkEnd w:id="13"/>
      <w:r>
        <w:rPr/>
        <w:t>CAPÍTULO 3. LA CALIDAD Y SUS COSTOS EN LA INDUSTRIA ALIMENTARIA</w:t>
      </w:r>
    </w:p>
    <w:p>
      <w:pPr>
        <w:pStyle w:val="BodyText"/>
        <w:spacing w:before="7"/>
        <w:rPr>
          <w:b/>
          <w:sz w:val="36"/>
        </w:rPr>
      </w:pPr>
    </w:p>
    <w:p>
      <w:pPr>
        <w:pStyle w:val="Heading2"/>
        <w:numPr>
          <w:ilvl w:val="1"/>
          <w:numId w:val="12"/>
        </w:numPr>
        <w:tabs>
          <w:tab w:pos="506" w:val="left" w:leader="none"/>
        </w:tabs>
        <w:spacing w:line="240" w:lineRule="auto" w:before="1" w:after="0"/>
        <w:ind w:left="102" w:right="0" w:firstLine="0"/>
        <w:jc w:val="both"/>
      </w:pPr>
      <w:bookmarkStart w:name="_TOC_250014" w:id="14"/>
      <w:r>
        <w:rPr/>
        <w:t>La industria de alimentos en</w:t>
      </w:r>
      <w:r>
        <w:rPr>
          <w:spacing w:val="-9"/>
        </w:rPr>
        <w:t> </w:t>
      </w:r>
      <w:bookmarkEnd w:id="14"/>
      <w:r>
        <w:rPr/>
        <w:t>México</w:t>
      </w:r>
    </w:p>
    <w:p>
      <w:pPr>
        <w:pStyle w:val="BodyText"/>
        <w:spacing w:before="3"/>
        <w:rPr>
          <w:b/>
          <w:sz w:val="22"/>
        </w:rPr>
      </w:pPr>
    </w:p>
    <w:p>
      <w:pPr>
        <w:pStyle w:val="BodyText"/>
        <w:spacing w:line="360" w:lineRule="auto" w:before="1"/>
        <w:ind w:left="102" w:right="115"/>
        <w:jc w:val="both"/>
      </w:pPr>
      <w:r>
        <w:rPr/>
        <w:t>La definición de industrias alimentarias abarca un conjunto de actividades industriales dirigidas al tratamiento, la transformación, la preparación, la conservación y el envasado de productos alimenticios (Berkawitz, 2010).  México ha basado su competitividad productiva en abundante mano de obra y recursos naturales; la industria de alimentos, tal como la conocemos hoy día,  ha tenido una importante diversificación que comprende desde negocios familiares es donde mayormente trabajan con procesos manuales con gran involucramiento de mano de obra hasta empresas con procesos industriales altamente automatizados con poco capital humano operativo. (Evans,</w:t>
      </w:r>
      <w:r>
        <w:rPr>
          <w:spacing w:val="-24"/>
        </w:rPr>
        <w:t> </w:t>
      </w:r>
      <w:r>
        <w:rPr/>
        <w:t>2008)</w:t>
      </w:r>
    </w:p>
    <w:p>
      <w:pPr>
        <w:pStyle w:val="BodyText"/>
      </w:pPr>
    </w:p>
    <w:p>
      <w:pPr>
        <w:pStyle w:val="BodyText"/>
        <w:spacing w:before="2"/>
        <w:rPr>
          <w:sz w:val="33"/>
        </w:rPr>
      </w:pPr>
    </w:p>
    <w:p>
      <w:pPr>
        <w:pStyle w:val="BodyText"/>
        <w:spacing w:line="360" w:lineRule="auto" w:before="1"/>
        <w:ind w:left="102" w:right="115"/>
        <w:jc w:val="both"/>
      </w:pPr>
      <w:r>
        <w:rPr/>
        <w:t>Dentro de la historia de México, a partir de la década de los cuarenta, el país pasó de ser una sociedad rural y agrícola a una urbana industrializada, en donde se pasa del autoconsumo a la transformación de bienes para asegurar la alimentación de la población, es ahí en donde la industria de los alimentos procesados cobra  importancia. (FAO, 2009)</w:t>
      </w:r>
    </w:p>
    <w:p>
      <w:pPr>
        <w:pStyle w:val="BodyText"/>
      </w:pPr>
    </w:p>
    <w:p>
      <w:pPr>
        <w:pStyle w:val="BodyText"/>
        <w:spacing w:before="2"/>
        <w:rPr>
          <w:sz w:val="33"/>
        </w:rPr>
      </w:pPr>
    </w:p>
    <w:p>
      <w:pPr>
        <w:pStyle w:val="BodyText"/>
        <w:spacing w:line="360" w:lineRule="auto"/>
        <w:ind w:left="102" w:right="118"/>
        <w:jc w:val="both"/>
      </w:pPr>
      <w:r>
        <w:rPr/>
        <w:t>De acuerdo con la FAO (Organización de las Naciones Unidas para la alimentación y la agricultura) en un artículo publicado posterior a la cumbre mundial de la alimentación del 2009, la característica más sobresaliente de la industria alimentaria en México, es la insatisfacción de la demanda interna, es decir que ésta ha tenido que responder a los problemas de distribución  desigual del ingreso y del poder adquisitivo. Esto ha permitido en los últimos 10 años un importante crecimiento de la oferta, mayormente empresas pequeñas que buscan llegar a los sectores de bajo ingreso con productos de bajo costo y calidad, que no terminan por satisfacer las necesidades básicas de los consumidores de sus</w:t>
      </w:r>
      <w:r>
        <w:rPr>
          <w:spacing w:val="-8"/>
        </w:rPr>
        <w:t> </w:t>
      </w:r>
      <w:r>
        <w:rPr/>
        <w:t>productos.</w:t>
      </w:r>
    </w:p>
    <w:p>
      <w:pPr>
        <w:spacing w:after="0" w:line="360" w:lineRule="auto"/>
        <w:jc w:val="both"/>
        <w:sectPr>
          <w:pgSz w:w="11910" w:h="16840"/>
          <w:pgMar w:header="0" w:footer="1043" w:top="1360" w:bottom="1240" w:left="1600" w:right="1580"/>
        </w:sectPr>
      </w:pPr>
    </w:p>
    <w:p>
      <w:pPr>
        <w:pStyle w:val="BodyText"/>
        <w:spacing w:line="360" w:lineRule="auto" w:before="56"/>
        <w:ind w:left="102" w:right="118"/>
        <w:jc w:val="both"/>
      </w:pPr>
      <w:r>
        <w:rPr/>
        <w:t>Actualmente, la industria de alimentos es uno de los negocios más lucrativos puesto que da márgenes monetarios muy grandes en la mayoría de los productos, tomando como base que sus sistemas productivos están basados  en su mayoría, en procesos de fabricación relativamente sencillos para ofrecer productos de calidad, específicos para un sector de mercado con un poder adquisitivo acorde al precio del producto y con bajos costos de</w:t>
      </w:r>
      <w:r>
        <w:rPr>
          <w:spacing w:val="-24"/>
        </w:rPr>
        <w:t> </w:t>
      </w:r>
      <w:r>
        <w:rPr/>
        <w:t>producción.</w:t>
      </w:r>
    </w:p>
    <w:p>
      <w:pPr>
        <w:pStyle w:val="BodyText"/>
      </w:pPr>
    </w:p>
    <w:p>
      <w:pPr>
        <w:pStyle w:val="BodyText"/>
        <w:spacing w:before="9"/>
        <w:rPr>
          <w:sz w:val="22"/>
        </w:rPr>
      </w:pPr>
    </w:p>
    <w:p>
      <w:pPr>
        <w:pStyle w:val="BodyText"/>
        <w:spacing w:line="360" w:lineRule="auto"/>
        <w:ind w:left="102" w:right="116"/>
        <w:jc w:val="both"/>
      </w:pPr>
      <w:r>
        <w:rPr/>
        <w:t>La Asociación Mexicana de Envase y Embalaje, menciona que el Estado de México es el que cuenta con el mayor número de unidades productivas del país en el sector de alimentos procesados, el cual representa el 18% de la industria manufacturera estatal. La industria de alimentos procesados es sumamente competida y en la misma participan empresas trasnacionales con grandes recursos de capital humano y tecnológico, centrados en las tendencias de mercado y con una gran diversidad de productos y reconocimiento de las marcas que las representan.</w:t>
      </w:r>
    </w:p>
    <w:p>
      <w:pPr>
        <w:pStyle w:val="BodyText"/>
      </w:pPr>
    </w:p>
    <w:p>
      <w:pPr>
        <w:pStyle w:val="BodyText"/>
        <w:spacing w:before="9"/>
        <w:rPr>
          <w:sz w:val="22"/>
        </w:rPr>
      </w:pPr>
    </w:p>
    <w:p>
      <w:pPr>
        <w:pStyle w:val="BodyText"/>
        <w:spacing w:line="360" w:lineRule="auto"/>
        <w:ind w:left="102" w:right="116"/>
        <w:jc w:val="both"/>
      </w:pPr>
      <w:r>
        <w:rPr/>
        <w:t>Hoy en día las empresas cuya fuente de ingresos es la elaboración y venta de alimentos, ya sean empresas trasnacionales o con sistemas productivos locales, han dejado de invertir en aumentar la capacidad de proceso de sus líneas debido al aumento de los competidores, que ha dado como resultado  una disminución de la demanda o en su mejor caso un mantenimiento de ésta por la lealtad de los consumidores a la marca, por lo tanto al no tener volumen incremental han tenido que enfocarse en la eliminación de mermas y desperdicios para mantener el costo por tonelada y ser competitivos en el mercado.</w:t>
      </w:r>
    </w:p>
    <w:p>
      <w:pPr>
        <w:pStyle w:val="BodyText"/>
      </w:pPr>
    </w:p>
    <w:p>
      <w:pPr>
        <w:pStyle w:val="Heading2"/>
        <w:numPr>
          <w:ilvl w:val="1"/>
          <w:numId w:val="12"/>
        </w:numPr>
        <w:tabs>
          <w:tab w:pos="541" w:val="left" w:leader="none"/>
        </w:tabs>
        <w:spacing w:line="360" w:lineRule="auto" w:before="142" w:after="0"/>
        <w:ind w:left="102" w:right="118" w:firstLine="0"/>
        <w:jc w:val="both"/>
      </w:pPr>
      <w:bookmarkStart w:name="_TOC_250013" w:id="15"/>
      <w:r>
        <w:rPr/>
        <w:t>El sistema administrativo de control de la calidad en la industria de Alimentos en</w:t>
      </w:r>
      <w:r>
        <w:rPr>
          <w:spacing w:val="-2"/>
        </w:rPr>
        <w:t> </w:t>
      </w:r>
      <w:bookmarkEnd w:id="15"/>
      <w:r>
        <w:rPr/>
        <w:t>México.</w:t>
      </w:r>
    </w:p>
    <w:p>
      <w:pPr>
        <w:pStyle w:val="BodyText"/>
        <w:rPr>
          <w:b/>
        </w:rPr>
      </w:pPr>
    </w:p>
    <w:p>
      <w:pPr>
        <w:pStyle w:val="BodyText"/>
        <w:spacing w:line="360" w:lineRule="auto" w:before="139"/>
        <w:ind w:left="102" w:right="115"/>
        <w:jc w:val="both"/>
      </w:pPr>
      <w:r>
        <w:rPr/>
        <w:t>La filosofía administrativa que busca la productividad por la estrategia de la calidad se introduce en México en la década de los 80´s (Gutiérrez, 2015). Si bien los pioneros en utilizarla fueron las compañías multinacionales de la rama automotriz, debido a los defectos que presentaban y el potencial riesgo que</w:t>
      </w:r>
    </w:p>
    <w:p>
      <w:pPr>
        <w:spacing w:after="0" w:line="360" w:lineRule="auto"/>
        <w:jc w:val="both"/>
        <w:sectPr>
          <w:pgSz w:w="11910" w:h="16840"/>
          <w:pgMar w:header="0" w:footer="1043" w:top="1340" w:bottom="1240" w:left="1600" w:right="1580"/>
        </w:sectPr>
      </w:pPr>
    </w:p>
    <w:p>
      <w:pPr>
        <w:pStyle w:val="BodyText"/>
        <w:spacing w:line="360" w:lineRule="auto" w:before="56"/>
        <w:ind w:left="102" w:right="120"/>
        <w:jc w:val="both"/>
      </w:pPr>
      <w:r>
        <w:rPr/>
        <w:t>presentaban para el consumidor, también la industria de alimentos un par de años después comenzó a exigir a los proveedores de materias primas y empaques que presentaran evidencia estadística del control de calidad que mantienen en sus insumos.</w:t>
      </w:r>
    </w:p>
    <w:p>
      <w:pPr>
        <w:pStyle w:val="BodyText"/>
      </w:pPr>
    </w:p>
    <w:p>
      <w:pPr>
        <w:pStyle w:val="BodyText"/>
        <w:spacing w:line="360" w:lineRule="auto" w:before="142"/>
        <w:ind w:left="102" w:right="119"/>
        <w:jc w:val="both"/>
      </w:pPr>
      <w:r>
        <w:rPr/>
        <w:t>Por otro lado, debido a la crisis económica que el país enfrentó a partir de  1982, se ha tenido que buscar exportar a otros países, por lo que las empresas mexicanas han tenido que adaptar la filosofía de control de calidad total a sus procesos y actividades</w:t>
      </w:r>
      <w:r>
        <w:rPr>
          <w:spacing w:val="-7"/>
        </w:rPr>
        <w:t> </w:t>
      </w:r>
      <w:r>
        <w:rPr/>
        <w:t>diarias.</w:t>
      </w:r>
    </w:p>
    <w:p>
      <w:pPr>
        <w:pStyle w:val="BodyText"/>
      </w:pPr>
    </w:p>
    <w:p>
      <w:pPr>
        <w:pStyle w:val="BodyText"/>
        <w:spacing w:before="9"/>
        <w:rPr>
          <w:sz w:val="22"/>
        </w:rPr>
      </w:pPr>
    </w:p>
    <w:p>
      <w:pPr>
        <w:pStyle w:val="Heading2"/>
        <w:numPr>
          <w:ilvl w:val="1"/>
          <w:numId w:val="12"/>
        </w:numPr>
        <w:tabs>
          <w:tab w:pos="505" w:val="left" w:leader="none"/>
        </w:tabs>
        <w:spacing w:line="240" w:lineRule="auto" w:before="0" w:after="0"/>
        <w:ind w:left="504" w:right="0" w:hanging="402"/>
        <w:jc w:val="both"/>
      </w:pPr>
      <w:bookmarkStart w:name="_TOC_250012" w:id="16"/>
      <w:r>
        <w:rPr/>
        <w:t>Descripción de la empresa de</w:t>
      </w:r>
      <w:r>
        <w:rPr>
          <w:spacing w:val="-10"/>
        </w:rPr>
        <w:t> </w:t>
      </w:r>
      <w:bookmarkEnd w:id="16"/>
      <w:r>
        <w:rPr/>
        <w:t>estudio</w:t>
      </w:r>
    </w:p>
    <w:p>
      <w:pPr>
        <w:pStyle w:val="BodyText"/>
        <w:rPr>
          <w:b/>
        </w:rPr>
      </w:pPr>
    </w:p>
    <w:p>
      <w:pPr>
        <w:pStyle w:val="BodyText"/>
        <w:rPr>
          <w:b/>
        </w:rPr>
      </w:pPr>
    </w:p>
    <w:p>
      <w:pPr>
        <w:pStyle w:val="BodyText"/>
        <w:spacing w:line="360" w:lineRule="auto"/>
        <w:ind w:left="102" w:right="120"/>
        <w:jc w:val="both"/>
      </w:pPr>
      <w:r>
        <w:rPr/>
        <w:t>La empresa donde se realizará este trabajo una organización multinacional británico-neerlandesa creada en el año de 1930 como resultado de la fusión de dos grandes compañías: Margarine Unie, empresa holandesa de margarina, y Lever Brothers, fabricante inglés de jabones; fundada por Anton Jurgens, Samuel Van den Bergh y William Levccc. (Manual Introductorio de la empresa, 2015)</w:t>
      </w:r>
    </w:p>
    <w:p>
      <w:pPr>
        <w:pStyle w:val="BodyText"/>
      </w:pPr>
    </w:p>
    <w:p>
      <w:pPr>
        <w:pStyle w:val="BodyText"/>
        <w:spacing w:line="360" w:lineRule="auto" w:before="142"/>
        <w:ind w:left="102" w:right="118"/>
        <w:jc w:val="both"/>
      </w:pPr>
      <w:r>
        <w:rPr/>
        <w:t>Está presente en más de 150 países alrededor del mundo, siendo la tercera empresa más grande de consumo masivo a nivel mundial con más de 400 marcas en su portafolio el cual presenta dos divisiones: alimentos y cuidado personal y del hogar; actualmente, la compañía cuenta con aproximadamente 169,000 empleados alrededor del mundo y alcanza ventas por más de 60 billones de dólares al año.</w:t>
      </w:r>
    </w:p>
    <w:p>
      <w:pPr>
        <w:pStyle w:val="BodyText"/>
      </w:pPr>
    </w:p>
    <w:p>
      <w:pPr>
        <w:pStyle w:val="BodyText"/>
        <w:spacing w:line="360" w:lineRule="auto" w:before="142"/>
        <w:ind w:left="102" w:right="118"/>
        <w:jc w:val="both"/>
      </w:pPr>
      <w:r>
        <w:rPr/>
        <w:t>La misión de dicha organización es aportar vitalidad a la vida, es decir, satisfacer las necesidades diarias con marcas que ayudan a la gente a sentirse bien, lucir bien y sacarle más provecho a la vida. Su visión es  duplicar el tamaño del negocio reduciendo a la mitad el impacto ambiental a través de un Plan de Vida Sostenible, trabajando de la mano con empleados, consumidores, gobiernos, proveedores, clientes y otros miembros de la sociedad. (Código de negocios de la compañía, 2014)</w:t>
      </w:r>
    </w:p>
    <w:p>
      <w:pPr>
        <w:spacing w:after="0" w:line="360" w:lineRule="auto"/>
        <w:jc w:val="both"/>
        <w:sectPr>
          <w:footerReference w:type="default" r:id="rId21"/>
          <w:pgSz w:w="11910" w:h="16840"/>
          <w:pgMar w:footer="1043" w:header="0" w:top="1340" w:bottom="1240" w:left="1600" w:right="1580"/>
        </w:sectPr>
      </w:pPr>
    </w:p>
    <w:p>
      <w:pPr>
        <w:pStyle w:val="BodyText"/>
        <w:rPr>
          <w:sz w:val="14"/>
        </w:rPr>
      </w:pPr>
    </w:p>
    <w:p>
      <w:pPr>
        <w:pStyle w:val="BodyText"/>
        <w:spacing w:line="360" w:lineRule="auto" w:before="70"/>
        <w:ind w:left="102" w:right="117"/>
        <w:jc w:val="both"/>
      </w:pPr>
      <w:r>
        <w:rPr/>
        <w:t>La visión se compone de dos pilares que marcan el rumbo a largo plazo de la empresa - donde quiere ir y cómo va a llegar: El primero, es estar siempre  entre las 5 compañías más grandes de consumo en cada país en el que opera y el segundo es la reconocida capacidad de ejecución que potenciará el crecimiento de las categorías y marcas en beneficio de los colaboradores‚ consumidores‚ clientes y accionistas a través de un equipo de clase mundial comprometido con los objetivos de negocio‚ la gente‚ las comunidades en que opera y el medio ambiente. (Código de negocios de la compañía,</w:t>
      </w:r>
      <w:r>
        <w:rPr>
          <w:spacing w:val="-21"/>
        </w:rPr>
        <w:t> </w:t>
      </w:r>
      <w:r>
        <w:rPr/>
        <w:t>2014)</w:t>
      </w:r>
    </w:p>
    <w:p>
      <w:pPr>
        <w:pStyle w:val="BodyText"/>
      </w:pPr>
    </w:p>
    <w:p>
      <w:pPr>
        <w:pStyle w:val="BodyText"/>
        <w:spacing w:before="9"/>
        <w:rPr>
          <w:sz w:val="22"/>
        </w:rPr>
      </w:pPr>
    </w:p>
    <w:p>
      <w:pPr>
        <w:pStyle w:val="BodyText"/>
        <w:spacing w:line="360" w:lineRule="auto"/>
        <w:ind w:left="102" w:right="114"/>
        <w:jc w:val="both"/>
      </w:pPr>
      <w:r>
        <w:rPr/>
        <w:t>Dentro de los valores y principios de la compañía el principal de ellos es llevar  a cabo sus operaciones con honestidad, integridad y apertura, con respeto por los derechos humanos e intereses de sus empleados. Del mismo modo respeta los legítimos intereses de aquellos con quienes tiene relaciones, está comprometida con la diversidad en un ambiente de trabajo donde exista confianza y respeto mutuo y donde cada uno se sienta responsable por su desempeño y la reputación de la compañía. (Código de negocios de la compañía, 2014). Por otro lado, la empresa se compromete a brindar productos y servicios de marca que siempre brinden valor en términos de precio y calidad y que sean seguros para el uso deseado, estableciendo relaciones  mutuamente beneficiosas con proveedores, clientes y socios del negocio así como conduciendo sus operaciones de acuerdo con los principios de competencia</w:t>
      </w:r>
      <w:r>
        <w:rPr>
          <w:spacing w:val="-5"/>
        </w:rPr>
        <w:t> </w:t>
      </w:r>
      <w:r>
        <w:rPr/>
        <w:t>leal.</w:t>
      </w:r>
    </w:p>
    <w:p>
      <w:pPr>
        <w:pStyle w:val="BodyText"/>
      </w:pPr>
    </w:p>
    <w:p>
      <w:pPr>
        <w:pStyle w:val="BodyText"/>
        <w:spacing w:before="9"/>
        <w:rPr>
          <w:sz w:val="22"/>
        </w:rPr>
      </w:pPr>
    </w:p>
    <w:p>
      <w:pPr>
        <w:pStyle w:val="BodyText"/>
        <w:spacing w:line="360" w:lineRule="auto"/>
        <w:ind w:left="102" w:right="115"/>
        <w:jc w:val="both"/>
      </w:pPr>
      <w:r>
        <w:rPr/>
        <w:t>Las ventas anuales de la empresa ascienden a más de 50 billones </w:t>
      </w:r>
      <w:r>
        <w:rPr>
          <w:spacing w:val="5"/>
        </w:rPr>
        <w:t>de </w:t>
      </w:r>
      <w:r>
        <w:rPr/>
        <w:t>euros al año y en México tiene presencia en el mercado con 4 plantas, 2 de alimentos y 2 de cuidado personal que aportan una cuarta parte de las ganancias de la organización. La planta de Lerma, dedicada a la producción del producto de estudio, tiene alrededor de 660 empleados y una complejidad que se traduce en 265 productos, 894 materiales y 566 proveedores, con un volumen de producción de 170 toneladas/ año, de las cuales el 10.8% es volumen que se exporta a Estados Unidos, Europa y Centroamérica. (Manual Introductorio de la empresa,</w:t>
      </w:r>
      <w:r>
        <w:rPr>
          <w:spacing w:val="-8"/>
        </w:rPr>
        <w:t> </w:t>
      </w:r>
      <w:r>
        <w:rPr/>
        <w:t>2015)</w:t>
      </w:r>
    </w:p>
    <w:p>
      <w:pPr>
        <w:spacing w:after="0" w:line="360" w:lineRule="auto"/>
        <w:jc w:val="both"/>
        <w:sectPr>
          <w:footerReference w:type="default" r:id="rId22"/>
          <w:pgSz w:w="11910" w:h="16840"/>
          <w:pgMar w:footer="1043" w:header="0" w:top="1580" w:bottom="1240" w:left="1600" w:right="1580"/>
          <w:pgNumType w:start="31"/>
        </w:sectPr>
      </w:pPr>
    </w:p>
    <w:p>
      <w:pPr>
        <w:pStyle w:val="Heading2"/>
        <w:numPr>
          <w:ilvl w:val="2"/>
          <w:numId w:val="12"/>
        </w:numPr>
        <w:tabs>
          <w:tab w:pos="705" w:val="left" w:leader="none"/>
        </w:tabs>
        <w:spacing w:line="240" w:lineRule="auto" w:before="56" w:after="0"/>
        <w:ind w:left="704" w:right="0" w:hanging="602"/>
        <w:jc w:val="both"/>
      </w:pPr>
      <w:bookmarkStart w:name="_TOC_250011" w:id="17"/>
      <w:r>
        <w:rPr/>
        <w:t>Producto de estudio: Caldo de</w:t>
      </w:r>
      <w:r>
        <w:rPr>
          <w:spacing w:val="-8"/>
        </w:rPr>
        <w:t> </w:t>
      </w:r>
      <w:bookmarkEnd w:id="17"/>
      <w:r>
        <w:rPr/>
        <w:t>pollo</w:t>
      </w:r>
    </w:p>
    <w:p>
      <w:pPr>
        <w:pStyle w:val="BodyText"/>
        <w:rPr>
          <w:b/>
        </w:rPr>
      </w:pPr>
    </w:p>
    <w:p>
      <w:pPr>
        <w:pStyle w:val="BodyText"/>
        <w:rPr>
          <w:b/>
        </w:rPr>
      </w:pPr>
    </w:p>
    <w:p>
      <w:pPr>
        <w:pStyle w:val="BodyText"/>
        <w:spacing w:line="360" w:lineRule="auto"/>
        <w:ind w:left="102" w:right="122"/>
        <w:jc w:val="both"/>
      </w:pPr>
      <w:r>
        <w:rPr/>
        <w:t>La categoría de caldos es la que tiene mayor penetración en el mercado siendo marca líder de tradición. El caldo de pollo elaborado es el resultado de la transformación de materias primas principalmente polvos como carne, saborizantes naturales y otros ingredientes que al ser procesados dan como resultado un producto que los consumidores, mayormente amas de casa y cocineros, utilizan para resaltar el sabor de sus comidas.</w:t>
      </w:r>
    </w:p>
    <w:p>
      <w:pPr>
        <w:pStyle w:val="BodyText"/>
      </w:pPr>
    </w:p>
    <w:p>
      <w:pPr>
        <w:pStyle w:val="BodyText"/>
        <w:spacing w:line="360" w:lineRule="auto" w:before="142"/>
        <w:ind w:left="102" w:right="124"/>
        <w:jc w:val="both"/>
      </w:pPr>
      <w:r>
        <w:rPr/>
        <w:t>Una de las principales ventajas del producto para el consumidor es que no tiene conservadores debido a que utiliza solamente ingredientes naturales deshidratados</w:t>
      </w:r>
    </w:p>
    <w:p>
      <w:pPr>
        <w:pStyle w:val="BodyText"/>
      </w:pPr>
    </w:p>
    <w:p>
      <w:pPr>
        <w:pStyle w:val="BodyText"/>
        <w:spacing w:line="360" w:lineRule="auto" w:before="142"/>
        <w:ind w:left="102" w:right="115"/>
        <w:jc w:val="both"/>
      </w:pPr>
      <w:r>
        <w:rPr/>
        <w:t>El caldo de pollo puede ser producido como granulado en polvo o en cubo mediante la tecnología de extrusión, éste último es sobre el cual se realizó este trabajo terminal ya que es donde hay mayor complejidad para el control de las variables del proceso.</w:t>
      </w:r>
    </w:p>
    <w:p>
      <w:pPr>
        <w:pStyle w:val="BodyText"/>
      </w:pPr>
    </w:p>
    <w:p>
      <w:pPr>
        <w:pStyle w:val="BodyText"/>
        <w:spacing w:before="9"/>
        <w:rPr>
          <w:sz w:val="22"/>
        </w:rPr>
      </w:pPr>
    </w:p>
    <w:p>
      <w:pPr>
        <w:pStyle w:val="Heading2"/>
        <w:numPr>
          <w:ilvl w:val="2"/>
          <w:numId w:val="12"/>
        </w:numPr>
        <w:tabs>
          <w:tab w:pos="705" w:val="left" w:leader="none"/>
        </w:tabs>
        <w:spacing w:line="240" w:lineRule="auto" w:before="0" w:after="0"/>
        <w:ind w:left="704" w:right="0" w:hanging="602"/>
        <w:jc w:val="both"/>
      </w:pPr>
      <w:bookmarkStart w:name="_TOC_250010" w:id="18"/>
      <w:r>
        <w:rPr/>
        <w:t>Descripción del proceso de fabricación del caldo de</w:t>
      </w:r>
      <w:r>
        <w:rPr>
          <w:spacing w:val="-11"/>
        </w:rPr>
        <w:t> </w:t>
      </w:r>
      <w:bookmarkEnd w:id="18"/>
      <w:r>
        <w:rPr/>
        <w:t>pollo</w:t>
      </w:r>
    </w:p>
    <w:p>
      <w:pPr>
        <w:pStyle w:val="BodyText"/>
        <w:rPr>
          <w:b/>
        </w:rPr>
      </w:pPr>
    </w:p>
    <w:p>
      <w:pPr>
        <w:pStyle w:val="BodyText"/>
        <w:rPr>
          <w:b/>
        </w:rPr>
      </w:pPr>
    </w:p>
    <w:p>
      <w:pPr>
        <w:pStyle w:val="BodyText"/>
        <w:spacing w:before="10"/>
        <w:rPr>
          <w:b/>
          <w:sz w:val="20"/>
        </w:rPr>
      </w:pPr>
    </w:p>
    <w:p>
      <w:pPr>
        <w:pStyle w:val="BodyText"/>
        <w:spacing w:line="360" w:lineRule="auto"/>
        <w:ind w:left="102" w:right="119"/>
        <w:jc w:val="both"/>
      </w:pPr>
      <w:r>
        <w:rPr/>
        <w:t>La elaboración del caldo de pollo en cubo comienza con la recepción de las materias primas en el área de procesos, posteriormente estas se mezclan y como resultado da un producto que se conoce semielaborado de pollo, el cual es una mezcla pastosa que posterior a la liberación de calidad se dosifica en unas tolvas para que pueda ser dosificada al área de empaque.</w:t>
      </w:r>
    </w:p>
    <w:p>
      <w:pPr>
        <w:pStyle w:val="BodyText"/>
      </w:pPr>
    </w:p>
    <w:p>
      <w:pPr>
        <w:pStyle w:val="BodyText"/>
        <w:spacing w:before="2"/>
        <w:rPr>
          <w:sz w:val="33"/>
        </w:rPr>
      </w:pPr>
    </w:p>
    <w:p>
      <w:pPr>
        <w:pStyle w:val="BodyText"/>
        <w:spacing w:line="360" w:lineRule="auto"/>
        <w:ind w:left="102" w:right="120"/>
        <w:jc w:val="both"/>
      </w:pPr>
      <w:r>
        <w:rPr/>
        <w:t>En el área de empaque se encuentran las máquinas envasadoras que  mediante la tecnología de extrusión y a través de un dosificado volumétrico,  dan forma al cubo para luego poner el empaque primario (aluminio) y secundario (plegadiza de</w:t>
      </w:r>
      <w:r>
        <w:rPr>
          <w:spacing w:val="-13"/>
        </w:rPr>
        <w:t> </w:t>
      </w:r>
      <w:r>
        <w:rPr/>
        <w:t>cartón)</w:t>
      </w:r>
    </w:p>
    <w:p>
      <w:pPr>
        <w:spacing w:after="0" w:line="360" w:lineRule="auto"/>
        <w:jc w:val="both"/>
        <w:sectPr>
          <w:pgSz w:w="11910" w:h="16840"/>
          <w:pgMar w:header="0" w:footer="1043" w:top="1340" w:bottom="1240" w:left="1600" w:right="1580"/>
        </w:sectPr>
      </w:pPr>
    </w:p>
    <w:p>
      <w:pPr>
        <w:pStyle w:val="BodyText"/>
        <w:spacing w:before="56"/>
        <w:ind w:left="102"/>
      </w:pPr>
      <w:r>
        <w:rPr/>
        <w:t>El proceso general de fabricación se describe en el siguiente esquema:</w:t>
      </w:r>
    </w:p>
    <w:p>
      <w:pPr>
        <w:pStyle w:val="BodyText"/>
      </w:pPr>
    </w:p>
    <w:p>
      <w:pPr>
        <w:pStyle w:val="BodyText"/>
      </w:pPr>
    </w:p>
    <w:p>
      <w:pPr>
        <w:pStyle w:val="BodyText"/>
        <w:spacing w:before="7"/>
        <w:rPr>
          <w:sz w:val="20"/>
        </w:rPr>
      </w:pPr>
    </w:p>
    <w:p>
      <w:pPr>
        <w:spacing w:before="0"/>
        <w:ind w:left="102" w:right="0" w:firstLine="0"/>
        <w:jc w:val="left"/>
        <w:rPr>
          <w:b/>
          <w:sz w:val="22"/>
        </w:rPr>
      </w:pPr>
      <w:r>
        <w:rPr>
          <w:b/>
          <w:sz w:val="22"/>
        </w:rPr>
        <w:t>Figura 2. Procedimiento de elaboración del caldo de pollo</w:t>
      </w:r>
    </w:p>
    <w:p>
      <w:pPr>
        <w:pStyle w:val="BodyText"/>
        <w:spacing w:before="4"/>
        <w:rPr>
          <w:b/>
          <w:sz w:val="18"/>
        </w:rPr>
      </w:pPr>
      <w:r>
        <w:rPr/>
        <w:drawing>
          <wp:anchor distT="0" distB="0" distL="0" distR="0" allowOverlap="1" layoutInCell="1" locked="0" behindDoc="0" simplePos="0" relativeHeight="1072">
            <wp:simplePos x="0" y="0"/>
            <wp:positionH relativeFrom="page">
              <wp:posOffset>1080769</wp:posOffset>
            </wp:positionH>
            <wp:positionV relativeFrom="paragraph">
              <wp:posOffset>158990</wp:posOffset>
            </wp:positionV>
            <wp:extent cx="5378464" cy="6890861"/>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23" cstate="print"/>
                    <a:stretch>
                      <a:fillRect/>
                    </a:stretch>
                  </pic:blipFill>
                  <pic:spPr>
                    <a:xfrm>
                      <a:off x="0" y="0"/>
                      <a:ext cx="5378464" cy="6890861"/>
                    </a:xfrm>
                    <a:prstGeom prst="rect">
                      <a:avLst/>
                    </a:prstGeom>
                  </pic:spPr>
                </pic:pic>
              </a:graphicData>
            </a:graphic>
          </wp:anchor>
        </w:drawing>
      </w:r>
    </w:p>
    <w:p>
      <w:pPr>
        <w:spacing w:before="123"/>
        <w:ind w:left="102" w:right="0" w:firstLine="0"/>
        <w:jc w:val="left"/>
        <w:rPr>
          <w:sz w:val="22"/>
        </w:rPr>
      </w:pPr>
      <w:r>
        <w:rPr>
          <w:sz w:val="22"/>
        </w:rPr>
        <w:t>Fuente: Elaboración propia</w:t>
      </w:r>
    </w:p>
    <w:p>
      <w:pPr>
        <w:spacing w:after="0"/>
        <w:jc w:val="left"/>
        <w:rPr>
          <w:sz w:val="22"/>
        </w:rPr>
        <w:sectPr>
          <w:pgSz w:w="11910" w:h="16840"/>
          <w:pgMar w:header="0" w:footer="1043" w:top="1340" w:bottom="1240" w:left="1600" w:right="1580"/>
        </w:sectPr>
      </w:pPr>
    </w:p>
    <w:p>
      <w:pPr>
        <w:spacing w:before="53"/>
        <w:ind w:left="222" w:right="0" w:firstLine="0"/>
        <w:jc w:val="left"/>
        <w:rPr>
          <w:b/>
          <w:sz w:val="22"/>
        </w:rPr>
      </w:pPr>
      <w:r>
        <w:rPr>
          <w:b/>
          <w:sz w:val="22"/>
        </w:rPr>
        <w:t>Figura 3. Descripción de las etapas de elaboración del caldo excluido</w:t>
      </w:r>
    </w:p>
    <w:p>
      <w:pPr>
        <w:pStyle w:val="BodyText"/>
        <w:spacing w:before="9"/>
        <w:rPr>
          <w:b/>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5"/>
        <w:gridCol w:w="3409"/>
        <w:gridCol w:w="4969"/>
      </w:tblGrid>
      <w:tr>
        <w:trPr>
          <w:trHeight w:val="782" w:hRule="exact"/>
        </w:trPr>
        <w:tc>
          <w:tcPr>
            <w:tcW w:w="535" w:type="dxa"/>
          </w:tcPr>
          <w:p>
            <w:pPr>
              <w:pStyle w:val="TableParagraph"/>
              <w:spacing w:line="240" w:lineRule="auto" w:before="1"/>
              <w:jc w:val="left"/>
              <w:rPr>
                <w:b/>
                <w:sz w:val="25"/>
              </w:rPr>
            </w:pPr>
          </w:p>
          <w:p>
            <w:pPr>
              <w:pStyle w:val="TableParagraph"/>
              <w:spacing w:line="240" w:lineRule="auto"/>
              <w:ind w:left="127"/>
              <w:jc w:val="left"/>
              <w:rPr>
                <w:sz w:val="24"/>
              </w:rPr>
            </w:pPr>
            <w:r>
              <w:rPr>
                <w:sz w:val="24"/>
              </w:rPr>
              <w:t>N°</w:t>
            </w:r>
          </w:p>
        </w:tc>
        <w:tc>
          <w:tcPr>
            <w:tcW w:w="3409" w:type="dxa"/>
          </w:tcPr>
          <w:p>
            <w:pPr>
              <w:pStyle w:val="TableParagraph"/>
              <w:spacing w:line="240" w:lineRule="auto" w:before="1"/>
              <w:jc w:val="left"/>
              <w:rPr>
                <w:b/>
                <w:sz w:val="25"/>
              </w:rPr>
            </w:pPr>
          </w:p>
          <w:p>
            <w:pPr>
              <w:pStyle w:val="TableParagraph"/>
              <w:spacing w:line="240" w:lineRule="auto"/>
              <w:ind w:left="218" w:right="218"/>
              <w:rPr>
                <w:sz w:val="24"/>
              </w:rPr>
            </w:pPr>
            <w:r>
              <w:rPr>
                <w:sz w:val="24"/>
              </w:rPr>
              <w:t>Etapa</w:t>
            </w:r>
          </w:p>
        </w:tc>
        <w:tc>
          <w:tcPr>
            <w:tcW w:w="4969" w:type="dxa"/>
          </w:tcPr>
          <w:p>
            <w:pPr>
              <w:pStyle w:val="TableParagraph"/>
              <w:spacing w:line="240" w:lineRule="auto" w:before="1"/>
              <w:jc w:val="left"/>
              <w:rPr>
                <w:b/>
                <w:sz w:val="25"/>
              </w:rPr>
            </w:pPr>
          </w:p>
          <w:p>
            <w:pPr>
              <w:pStyle w:val="TableParagraph"/>
              <w:spacing w:line="240" w:lineRule="auto"/>
              <w:ind w:left="1832" w:right="1832"/>
              <w:rPr>
                <w:sz w:val="24"/>
              </w:rPr>
            </w:pPr>
            <w:r>
              <w:rPr>
                <w:sz w:val="24"/>
              </w:rPr>
              <w:t>Descripción</w:t>
            </w:r>
          </w:p>
        </w:tc>
      </w:tr>
      <w:tr>
        <w:trPr>
          <w:trHeight w:val="1450" w:hRule="exact"/>
        </w:trPr>
        <w:tc>
          <w:tcPr>
            <w:tcW w:w="535" w:type="dxa"/>
          </w:tcPr>
          <w:p>
            <w:pPr>
              <w:pStyle w:val="TableParagraph"/>
              <w:spacing w:line="240" w:lineRule="auto"/>
              <w:jc w:val="left"/>
              <w:rPr>
                <w:b/>
                <w:sz w:val="24"/>
              </w:rPr>
            </w:pPr>
          </w:p>
          <w:p>
            <w:pPr>
              <w:pStyle w:val="TableParagraph"/>
              <w:spacing w:line="240" w:lineRule="auto" w:before="1"/>
              <w:jc w:val="left"/>
              <w:rPr>
                <w:b/>
                <w:sz w:val="30"/>
              </w:rPr>
            </w:pPr>
          </w:p>
          <w:p>
            <w:pPr>
              <w:pStyle w:val="TableParagraph"/>
              <w:spacing w:line="240" w:lineRule="auto"/>
              <w:ind w:left="194"/>
              <w:jc w:val="left"/>
              <w:rPr>
                <w:sz w:val="24"/>
              </w:rPr>
            </w:pPr>
            <w:r>
              <w:rPr>
                <w:w w:val="99"/>
                <w:sz w:val="24"/>
              </w:rPr>
              <w:t>1</w:t>
            </w:r>
          </w:p>
        </w:tc>
        <w:tc>
          <w:tcPr>
            <w:tcW w:w="3409" w:type="dxa"/>
          </w:tcPr>
          <w:p>
            <w:pPr>
              <w:pStyle w:val="TableParagraph"/>
              <w:spacing w:line="240" w:lineRule="auto"/>
              <w:jc w:val="left"/>
              <w:rPr>
                <w:b/>
                <w:sz w:val="24"/>
              </w:rPr>
            </w:pPr>
          </w:p>
          <w:p>
            <w:pPr>
              <w:pStyle w:val="TableParagraph"/>
              <w:spacing w:line="312" w:lineRule="auto" w:before="166"/>
              <w:ind w:left="316" w:right="166" w:hanging="132"/>
              <w:jc w:val="left"/>
              <w:rPr>
                <w:sz w:val="24"/>
              </w:rPr>
            </w:pPr>
            <w:r>
              <w:rPr>
                <w:sz w:val="24"/>
              </w:rPr>
              <w:t>Recepción de ingredientes y almacenamiento temporal</w:t>
            </w:r>
          </w:p>
        </w:tc>
        <w:tc>
          <w:tcPr>
            <w:tcW w:w="4969" w:type="dxa"/>
          </w:tcPr>
          <w:p>
            <w:pPr>
              <w:pStyle w:val="TableParagraph"/>
              <w:spacing w:line="360" w:lineRule="exact" w:before="19"/>
              <w:ind w:left="103" w:right="103"/>
              <w:jc w:val="both"/>
              <w:rPr>
                <w:sz w:val="24"/>
              </w:rPr>
            </w:pPr>
            <w:r>
              <w:rPr>
                <w:sz w:val="24"/>
              </w:rPr>
              <w:t>Todos los ingredientes se reciben deshidratados y/o procesados y son almacenados en un área específica a temperatura ambiente.</w:t>
            </w:r>
          </w:p>
        </w:tc>
      </w:tr>
      <w:tr>
        <w:trPr>
          <w:trHeight w:val="730" w:hRule="exact"/>
        </w:trPr>
        <w:tc>
          <w:tcPr>
            <w:tcW w:w="535" w:type="dxa"/>
          </w:tcPr>
          <w:p>
            <w:pPr>
              <w:pStyle w:val="TableParagraph"/>
              <w:spacing w:line="240" w:lineRule="auto" w:before="9"/>
              <w:jc w:val="left"/>
              <w:rPr>
                <w:b/>
                <w:sz w:val="22"/>
              </w:rPr>
            </w:pPr>
          </w:p>
          <w:p>
            <w:pPr>
              <w:pStyle w:val="TableParagraph"/>
              <w:spacing w:line="240" w:lineRule="auto"/>
              <w:ind w:left="194"/>
              <w:jc w:val="left"/>
              <w:rPr>
                <w:sz w:val="24"/>
              </w:rPr>
            </w:pPr>
            <w:r>
              <w:rPr>
                <w:w w:val="99"/>
                <w:sz w:val="24"/>
              </w:rPr>
              <w:t>2</w:t>
            </w:r>
          </w:p>
        </w:tc>
        <w:tc>
          <w:tcPr>
            <w:tcW w:w="3409" w:type="dxa"/>
          </w:tcPr>
          <w:p>
            <w:pPr>
              <w:pStyle w:val="TableParagraph"/>
              <w:spacing w:line="360" w:lineRule="exact" w:before="19"/>
              <w:ind w:left="832" w:right="502" w:hanging="317"/>
              <w:jc w:val="left"/>
              <w:rPr>
                <w:sz w:val="24"/>
              </w:rPr>
            </w:pPr>
            <w:r>
              <w:rPr>
                <w:sz w:val="24"/>
              </w:rPr>
              <w:t>Acondicionamiento de Materias Primas</w:t>
            </w:r>
          </w:p>
        </w:tc>
        <w:tc>
          <w:tcPr>
            <w:tcW w:w="4969" w:type="dxa"/>
          </w:tcPr>
          <w:p>
            <w:pPr>
              <w:pStyle w:val="TableParagraph"/>
              <w:spacing w:line="360" w:lineRule="exact" w:before="19"/>
              <w:ind w:left="103" w:right="160"/>
              <w:jc w:val="left"/>
              <w:rPr>
                <w:sz w:val="24"/>
              </w:rPr>
            </w:pPr>
            <w:r>
              <w:rPr>
                <w:sz w:val="24"/>
              </w:rPr>
              <w:t>Se efectúa en un área específica para eliminar el empaque secundario</w:t>
            </w:r>
          </w:p>
        </w:tc>
      </w:tr>
      <w:tr>
        <w:trPr>
          <w:trHeight w:val="1090" w:hRule="exact"/>
        </w:trPr>
        <w:tc>
          <w:tcPr>
            <w:tcW w:w="535" w:type="dxa"/>
          </w:tcPr>
          <w:p>
            <w:pPr>
              <w:pStyle w:val="TableParagraph"/>
              <w:spacing w:line="240" w:lineRule="auto"/>
              <w:jc w:val="left"/>
              <w:rPr>
                <w:b/>
                <w:sz w:val="24"/>
              </w:rPr>
            </w:pPr>
          </w:p>
          <w:p>
            <w:pPr>
              <w:pStyle w:val="TableParagraph"/>
              <w:spacing w:line="240" w:lineRule="auto" w:before="166"/>
              <w:ind w:left="194"/>
              <w:jc w:val="left"/>
              <w:rPr>
                <w:sz w:val="24"/>
              </w:rPr>
            </w:pPr>
            <w:r>
              <w:rPr>
                <w:w w:val="99"/>
                <w:sz w:val="24"/>
              </w:rPr>
              <w:t>3</w:t>
            </w:r>
          </w:p>
        </w:tc>
        <w:tc>
          <w:tcPr>
            <w:tcW w:w="3409" w:type="dxa"/>
          </w:tcPr>
          <w:p>
            <w:pPr>
              <w:pStyle w:val="TableParagraph"/>
              <w:spacing w:line="240" w:lineRule="auto" w:before="9"/>
              <w:jc w:val="left"/>
              <w:rPr>
                <w:b/>
                <w:sz w:val="22"/>
              </w:rPr>
            </w:pPr>
          </w:p>
          <w:p>
            <w:pPr>
              <w:pStyle w:val="TableParagraph"/>
              <w:spacing w:line="312" w:lineRule="auto"/>
              <w:ind w:left="1372" w:right="500" w:hanging="855"/>
              <w:jc w:val="left"/>
              <w:rPr>
                <w:sz w:val="24"/>
              </w:rPr>
            </w:pPr>
            <w:r>
              <w:rPr>
                <w:sz w:val="24"/>
              </w:rPr>
              <w:t>Acondicionamiento de Grasa</w:t>
            </w:r>
          </w:p>
        </w:tc>
        <w:tc>
          <w:tcPr>
            <w:tcW w:w="4969" w:type="dxa"/>
          </w:tcPr>
          <w:p>
            <w:pPr>
              <w:pStyle w:val="TableParagraph"/>
              <w:spacing w:line="360" w:lineRule="exact" w:before="19"/>
              <w:ind w:left="103" w:right="105"/>
              <w:jc w:val="both"/>
              <w:rPr>
                <w:sz w:val="24"/>
              </w:rPr>
            </w:pPr>
            <w:r>
              <w:rPr>
                <w:sz w:val="24"/>
              </w:rPr>
              <w:t>Consiste en retirar el corrugado, dejando la grasa con la protección que da la bolsa de polietileno</w:t>
            </w:r>
          </w:p>
        </w:tc>
      </w:tr>
      <w:tr>
        <w:trPr>
          <w:trHeight w:val="1092" w:hRule="exact"/>
        </w:trPr>
        <w:tc>
          <w:tcPr>
            <w:tcW w:w="535" w:type="dxa"/>
          </w:tcPr>
          <w:p>
            <w:pPr>
              <w:pStyle w:val="TableParagraph"/>
              <w:spacing w:line="240" w:lineRule="auto"/>
              <w:jc w:val="left"/>
              <w:rPr>
                <w:b/>
                <w:sz w:val="24"/>
              </w:rPr>
            </w:pPr>
          </w:p>
          <w:p>
            <w:pPr>
              <w:pStyle w:val="TableParagraph"/>
              <w:spacing w:line="240" w:lineRule="auto" w:before="168"/>
              <w:ind w:left="194"/>
              <w:jc w:val="left"/>
              <w:rPr>
                <w:sz w:val="24"/>
              </w:rPr>
            </w:pPr>
            <w:r>
              <w:rPr>
                <w:w w:val="99"/>
                <w:sz w:val="24"/>
              </w:rPr>
              <w:t>4</w:t>
            </w:r>
          </w:p>
        </w:tc>
        <w:tc>
          <w:tcPr>
            <w:tcW w:w="3409" w:type="dxa"/>
          </w:tcPr>
          <w:p>
            <w:pPr>
              <w:pStyle w:val="TableParagraph"/>
              <w:spacing w:line="240" w:lineRule="auto"/>
              <w:jc w:val="left"/>
              <w:rPr>
                <w:b/>
                <w:sz w:val="24"/>
              </w:rPr>
            </w:pPr>
          </w:p>
          <w:p>
            <w:pPr>
              <w:pStyle w:val="TableParagraph"/>
              <w:spacing w:line="240" w:lineRule="auto" w:before="168"/>
              <w:ind w:left="218" w:right="218"/>
              <w:rPr>
                <w:sz w:val="24"/>
              </w:rPr>
            </w:pPr>
            <w:r>
              <w:rPr>
                <w:sz w:val="24"/>
              </w:rPr>
              <w:t>Pesado de materias primas</w:t>
            </w:r>
          </w:p>
        </w:tc>
        <w:tc>
          <w:tcPr>
            <w:tcW w:w="4969" w:type="dxa"/>
          </w:tcPr>
          <w:p>
            <w:pPr>
              <w:pStyle w:val="TableParagraph"/>
              <w:spacing w:line="360" w:lineRule="atLeast"/>
              <w:ind w:left="103" w:right="103"/>
              <w:jc w:val="both"/>
              <w:rPr>
                <w:sz w:val="24"/>
              </w:rPr>
            </w:pPr>
            <w:r>
              <w:rPr>
                <w:sz w:val="24"/>
              </w:rPr>
              <w:t>Se efectúa en básculas y tableros inteligentes para el caso de especias e ingredientes menores.</w:t>
            </w:r>
          </w:p>
        </w:tc>
      </w:tr>
      <w:tr>
        <w:trPr>
          <w:trHeight w:val="1090" w:hRule="exact"/>
        </w:trPr>
        <w:tc>
          <w:tcPr>
            <w:tcW w:w="535" w:type="dxa"/>
          </w:tcPr>
          <w:p>
            <w:pPr>
              <w:pStyle w:val="TableParagraph"/>
              <w:spacing w:line="240" w:lineRule="auto"/>
              <w:jc w:val="left"/>
              <w:rPr>
                <w:b/>
                <w:sz w:val="24"/>
              </w:rPr>
            </w:pPr>
          </w:p>
          <w:p>
            <w:pPr>
              <w:pStyle w:val="TableParagraph"/>
              <w:spacing w:line="240" w:lineRule="auto" w:before="166"/>
              <w:ind w:left="194"/>
              <w:jc w:val="left"/>
              <w:rPr>
                <w:sz w:val="24"/>
              </w:rPr>
            </w:pPr>
            <w:r>
              <w:rPr>
                <w:w w:val="99"/>
                <w:sz w:val="24"/>
              </w:rPr>
              <w:t>5</w:t>
            </w:r>
          </w:p>
        </w:tc>
        <w:tc>
          <w:tcPr>
            <w:tcW w:w="3409" w:type="dxa"/>
          </w:tcPr>
          <w:p>
            <w:pPr>
              <w:pStyle w:val="TableParagraph"/>
              <w:spacing w:line="240" w:lineRule="auto"/>
              <w:jc w:val="left"/>
              <w:rPr>
                <w:b/>
                <w:sz w:val="24"/>
              </w:rPr>
            </w:pPr>
          </w:p>
          <w:p>
            <w:pPr>
              <w:pStyle w:val="TableParagraph"/>
              <w:spacing w:line="240" w:lineRule="auto" w:before="166"/>
              <w:ind w:left="216" w:right="218"/>
              <w:rPr>
                <w:sz w:val="24"/>
              </w:rPr>
            </w:pPr>
            <w:r>
              <w:rPr>
                <w:sz w:val="24"/>
              </w:rPr>
              <w:t>Extrusión</w:t>
            </w:r>
          </w:p>
        </w:tc>
        <w:tc>
          <w:tcPr>
            <w:tcW w:w="4969" w:type="dxa"/>
          </w:tcPr>
          <w:p>
            <w:pPr>
              <w:pStyle w:val="TableParagraph"/>
              <w:spacing w:line="360" w:lineRule="exact" w:before="19"/>
              <w:ind w:left="103" w:right="101"/>
              <w:jc w:val="both"/>
              <w:rPr>
                <w:sz w:val="24"/>
              </w:rPr>
            </w:pPr>
            <w:r>
              <w:rPr>
                <w:sz w:val="24"/>
              </w:rPr>
              <w:t>La grasa es extruida con el fin de hacer posible su incorporación con los demás ingredientes.</w:t>
            </w:r>
          </w:p>
        </w:tc>
      </w:tr>
      <w:tr>
        <w:trPr>
          <w:trHeight w:val="1090" w:hRule="exact"/>
        </w:trPr>
        <w:tc>
          <w:tcPr>
            <w:tcW w:w="535" w:type="dxa"/>
          </w:tcPr>
          <w:p>
            <w:pPr>
              <w:pStyle w:val="TableParagraph"/>
              <w:spacing w:line="240" w:lineRule="auto"/>
              <w:jc w:val="left"/>
              <w:rPr>
                <w:b/>
                <w:sz w:val="24"/>
              </w:rPr>
            </w:pPr>
          </w:p>
          <w:p>
            <w:pPr>
              <w:pStyle w:val="TableParagraph"/>
              <w:spacing w:line="240" w:lineRule="auto" w:before="166"/>
              <w:ind w:left="194"/>
              <w:jc w:val="left"/>
              <w:rPr>
                <w:sz w:val="24"/>
              </w:rPr>
            </w:pPr>
            <w:r>
              <w:rPr>
                <w:w w:val="99"/>
                <w:sz w:val="24"/>
              </w:rPr>
              <w:t>6</w:t>
            </w:r>
          </w:p>
        </w:tc>
        <w:tc>
          <w:tcPr>
            <w:tcW w:w="3409" w:type="dxa"/>
          </w:tcPr>
          <w:p>
            <w:pPr>
              <w:pStyle w:val="TableParagraph"/>
              <w:spacing w:line="240" w:lineRule="auto"/>
              <w:jc w:val="left"/>
              <w:rPr>
                <w:b/>
                <w:sz w:val="24"/>
              </w:rPr>
            </w:pPr>
          </w:p>
          <w:p>
            <w:pPr>
              <w:pStyle w:val="TableParagraph"/>
              <w:spacing w:line="240" w:lineRule="auto" w:before="166"/>
              <w:ind w:left="218" w:right="218"/>
              <w:rPr>
                <w:sz w:val="24"/>
              </w:rPr>
            </w:pPr>
            <w:r>
              <w:rPr>
                <w:sz w:val="24"/>
              </w:rPr>
              <w:t>Mezcla de Colorantes</w:t>
            </w:r>
          </w:p>
        </w:tc>
        <w:tc>
          <w:tcPr>
            <w:tcW w:w="4969" w:type="dxa"/>
          </w:tcPr>
          <w:p>
            <w:pPr>
              <w:pStyle w:val="TableParagraph"/>
              <w:spacing w:line="360" w:lineRule="exact" w:before="19"/>
              <w:ind w:left="103" w:right="96"/>
              <w:jc w:val="both"/>
              <w:rPr>
                <w:sz w:val="24"/>
              </w:rPr>
            </w:pPr>
            <w:r>
              <w:rPr>
                <w:sz w:val="24"/>
              </w:rPr>
              <w:t>Se realiza pesando los colorantes y agregándolos al agua de la fórmula contenida en los tanques de preparación.</w:t>
            </w:r>
          </w:p>
        </w:tc>
      </w:tr>
      <w:tr>
        <w:trPr>
          <w:trHeight w:val="730" w:hRule="exact"/>
        </w:trPr>
        <w:tc>
          <w:tcPr>
            <w:tcW w:w="535" w:type="dxa"/>
          </w:tcPr>
          <w:p>
            <w:pPr>
              <w:pStyle w:val="TableParagraph"/>
              <w:spacing w:line="240" w:lineRule="auto" w:before="9"/>
              <w:jc w:val="left"/>
              <w:rPr>
                <w:b/>
                <w:sz w:val="22"/>
              </w:rPr>
            </w:pPr>
          </w:p>
          <w:p>
            <w:pPr>
              <w:pStyle w:val="TableParagraph"/>
              <w:spacing w:line="240" w:lineRule="auto"/>
              <w:ind w:left="194"/>
              <w:jc w:val="left"/>
              <w:rPr>
                <w:sz w:val="24"/>
              </w:rPr>
            </w:pPr>
            <w:r>
              <w:rPr>
                <w:w w:val="99"/>
                <w:sz w:val="24"/>
              </w:rPr>
              <w:t>7</w:t>
            </w:r>
          </w:p>
        </w:tc>
        <w:tc>
          <w:tcPr>
            <w:tcW w:w="3409" w:type="dxa"/>
          </w:tcPr>
          <w:p>
            <w:pPr>
              <w:pStyle w:val="TableParagraph"/>
              <w:spacing w:line="240" w:lineRule="auto" w:before="82"/>
              <w:ind w:left="218" w:right="218"/>
              <w:rPr>
                <w:sz w:val="24"/>
              </w:rPr>
            </w:pPr>
            <w:r>
              <w:rPr>
                <w:sz w:val="24"/>
              </w:rPr>
              <w:t>Pesado Automático Buhler</w:t>
            </w:r>
          </w:p>
        </w:tc>
        <w:tc>
          <w:tcPr>
            <w:tcW w:w="4969" w:type="dxa"/>
          </w:tcPr>
          <w:p>
            <w:pPr>
              <w:pStyle w:val="TableParagraph"/>
              <w:spacing w:line="360" w:lineRule="exact" w:before="19"/>
              <w:ind w:left="103" w:right="160"/>
              <w:jc w:val="left"/>
              <w:rPr>
                <w:sz w:val="24"/>
              </w:rPr>
            </w:pPr>
            <w:r>
              <w:rPr>
                <w:sz w:val="24"/>
              </w:rPr>
              <w:t>Mediante el sistema neumático se pesa y adiciona automáticamente cristales</w:t>
            </w:r>
          </w:p>
        </w:tc>
      </w:tr>
      <w:tr>
        <w:trPr>
          <w:trHeight w:val="370" w:hRule="exact"/>
        </w:trPr>
        <w:tc>
          <w:tcPr>
            <w:tcW w:w="535" w:type="dxa"/>
          </w:tcPr>
          <w:p>
            <w:pPr>
              <w:pStyle w:val="TableParagraph"/>
              <w:spacing w:line="240" w:lineRule="auto" w:before="82"/>
              <w:ind w:left="194"/>
              <w:jc w:val="left"/>
              <w:rPr>
                <w:sz w:val="24"/>
              </w:rPr>
            </w:pPr>
            <w:r>
              <w:rPr>
                <w:w w:val="99"/>
                <w:sz w:val="24"/>
              </w:rPr>
              <w:t>8</w:t>
            </w:r>
          </w:p>
        </w:tc>
        <w:tc>
          <w:tcPr>
            <w:tcW w:w="3409" w:type="dxa"/>
          </w:tcPr>
          <w:p>
            <w:pPr>
              <w:pStyle w:val="TableParagraph"/>
              <w:spacing w:line="240" w:lineRule="auto" w:before="82"/>
              <w:ind w:left="218" w:right="218"/>
              <w:rPr>
                <w:sz w:val="24"/>
              </w:rPr>
            </w:pPr>
            <w:r>
              <w:rPr>
                <w:sz w:val="24"/>
              </w:rPr>
              <w:t>Mezclado</w:t>
            </w:r>
          </w:p>
        </w:tc>
        <w:tc>
          <w:tcPr>
            <w:tcW w:w="4969" w:type="dxa"/>
          </w:tcPr>
          <w:p>
            <w:pPr>
              <w:pStyle w:val="TableParagraph"/>
              <w:spacing w:line="240" w:lineRule="auto" w:before="82"/>
              <w:ind w:left="103" w:right="160"/>
              <w:jc w:val="left"/>
              <w:rPr>
                <w:sz w:val="24"/>
              </w:rPr>
            </w:pPr>
            <w:r>
              <w:rPr>
                <w:sz w:val="24"/>
              </w:rPr>
              <w:t>Se efectúa el mezclado de los ingredientes</w:t>
            </w:r>
          </w:p>
        </w:tc>
      </w:tr>
      <w:tr>
        <w:trPr>
          <w:trHeight w:val="1810" w:hRule="exact"/>
        </w:trPr>
        <w:tc>
          <w:tcPr>
            <w:tcW w:w="535" w:type="dxa"/>
          </w:tcPr>
          <w:p>
            <w:pPr>
              <w:pStyle w:val="TableParagraph"/>
              <w:spacing w:line="240" w:lineRule="auto"/>
              <w:jc w:val="left"/>
              <w:rPr>
                <w:b/>
                <w:sz w:val="24"/>
              </w:rPr>
            </w:pPr>
          </w:p>
          <w:p>
            <w:pPr>
              <w:pStyle w:val="TableParagraph"/>
              <w:spacing w:line="240" w:lineRule="auto"/>
              <w:jc w:val="left"/>
              <w:rPr>
                <w:b/>
                <w:sz w:val="24"/>
              </w:rPr>
            </w:pPr>
          </w:p>
          <w:p>
            <w:pPr>
              <w:pStyle w:val="TableParagraph"/>
              <w:spacing w:line="240" w:lineRule="auto" w:before="8"/>
              <w:jc w:val="left"/>
              <w:rPr>
                <w:b/>
                <w:sz w:val="21"/>
              </w:rPr>
            </w:pPr>
          </w:p>
          <w:p>
            <w:pPr>
              <w:pStyle w:val="TableParagraph"/>
              <w:spacing w:line="240" w:lineRule="auto"/>
              <w:ind w:left="194"/>
              <w:jc w:val="left"/>
              <w:rPr>
                <w:sz w:val="24"/>
              </w:rPr>
            </w:pPr>
            <w:r>
              <w:rPr>
                <w:w w:val="99"/>
                <w:sz w:val="24"/>
              </w:rPr>
              <w:t>9</w:t>
            </w:r>
          </w:p>
        </w:tc>
        <w:tc>
          <w:tcPr>
            <w:tcW w:w="3409" w:type="dxa"/>
          </w:tcPr>
          <w:p>
            <w:pPr>
              <w:pStyle w:val="TableParagraph"/>
              <w:spacing w:line="240" w:lineRule="auto"/>
              <w:jc w:val="left"/>
              <w:rPr>
                <w:b/>
                <w:sz w:val="24"/>
              </w:rPr>
            </w:pPr>
          </w:p>
          <w:p>
            <w:pPr>
              <w:pStyle w:val="TableParagraph"/>
              <w:spacing w:line="240" w:lineRule="auto"/>
              <w:jc w:val="left"/>
              <w:rPr>
                <w:b/>
                <w:sz w:val="24"/>
              </w:rPr>
            </w:pPr>
          </w:p>
          <w:p>
            <w:pPr>
              <w:pStyle w:val="TableParagraph"/>
              <w:spacing w:line="240" w:lineRule="auto" w:before="8"/>
              <w:jc w:val="left"/>
              <w:rPr>
                <w:b/>
                <w:sz w:val="21"/>
              </w:rPr>
            </w:pPr>
          </w:p>
          <w:p>
            <w:pPr>
              <w:pStyle w:val="TableParagraph"/>
              <w:spacing w:line="240" w:lineRule="auto"/>
              <w:ind w:left="218" w:right="218"/>
              <w:rPr>
                <w:sz w:val="24"/>
              </w:rPr>
            </w:pPr>
            <w:r>
              <w:rPr>
                <w:sz w:val="24"/>
              </w:rPr>
              <w:t>Reproceso</w:t>
            </w:r>
          </w:p>
        </w:tc>
        <w:tc>
          <w:tcPr>
            <w:tcW w:w="4969" w:type="dxa"/>
          </w:tcPr>
          <w:p>
            <w:pPr>
              <w:pStyle w:val="TableParagraph"/>
              <w:spacing w:line="314" w:lineRule="auto" w:before="82"/>
              <w:ind w:left="103" w:right="102"/>
              <w:jc w:val="both"/>
              <w:rPr>
                <w:sz w:val="24"/>
              </w:rPr>
            </w:pPr>
            <w:r>
              <w:rPr>
                <w:sz w:val="24"/>
              </w:rPr>
              <w:t>El producto que no cumple con especificación y que puede ser incorporado al proceso nuevamente se adiciona al mezclador de acuerdo a los  procedimientos</w:t>
            </w:r>
          </w:p>
          <w:p>
            <w:pPr>
              <w:pStyle w:val="TableParagraph"/>
              <w:spacing w:line="240" w:lineRule="auto" w:before="1"/>
              <w:ind w:left="103"/>
              <w:jc w:val="both"/>
              <w:rPr>
                <w:sz w:val="24"/>
              </w:rPr>
            </w:pPr>
            <w:r>
              <w:rPr>
                <w:sz w:val="24"/>
              </w:rPr>
              <w:t>de la compañía</w:t>
            </w:r>
          </w:p>
        </w:tc>
      </w:tr>
      <w:tr>
        <w:trPr>
          <w:trHeight w:val="732" w:hRule="exact"/>
        </w:trPr>
        <w:tc>
          <w:tcPr>
            <w:tcW w:w="535" w:type="dxa"/>
          </w:tcPr>
          <w:p>
            <w:pPr>
              <w:pStyle w:val="TableParagraph"/>
              <w:spacing w:line="240" w:lineRule="auto"/>
              <w:jc w:val="left"/>
              <w:rPr>
                <w:b/>
                <w:sz w:val="23"/>
              </w:rPr>
            </w:pPr>
          </w:p>
          <w:p>
            <w:pPr>
              <w:pStyle w:val="TableParagraph"/>
              <w:spacing w:line="240" w:lineRule="auto"/>
              <w:ind w:left="129"/>
              <w:jc w:val="left"/>
              <w:rPr>
                <w:sz w:val="24"/>
              </w:rPr>
            </w:pPr>
            <w:r>
              <w:rPr>
                <w:sz w:val="24"/>
              </w:rPr>
              <w:t>10</w:t>
            </w:r>
          </w:p>
        </w:tc>
        <w:tc>
          <w:tcPr>
            <w:tcW w:w="3409" w:type="dxa"/>
          </w:tcPr>
          <w:p>
            <w:pPr>
              <w:pStyle w:val="TableParagraph"/>
              <w:spacing w:line="240" w:lineRule="auto"/>
              <w:jc w:val="left"/>
              <w:rPr>
                <w:b/>
                <w:sz w:val="23"/>
              </w:rPr>
            </w:pPr>
          </w:p>
          <w:p>
            <w:pPr>
              <w:pStyle w:val="TableParagraph"/>
              <w:spacing w:line="240" w:lineRule="auto"/>
              <w:ind w:left="218" w:right="218"/>
              <w:rPr>
                <w:sz w:val="24"/>
              </w:rPr>
            </w:pPr>
            <w:r>
              <w:rPr>
                <w:sz w:val="24"/>
              </w:rPr>
              <w:t>Reposo</w:t>
            </w:r>
          </w:p>
        </w:tc>
        <w:tc>
          <w:tcPr>
            <w:tcW w:w="4969" w:type="dxa"/>
          </w:tcPr>
          <w:p>
            <w:pPr>
              <w:pStyle w:val="TableParagraph"/>
              <w:spacing w:line="360" w:lineRule="atLeast"/>
              <w:ind w:left="103" w:right="160"/>
              <w:jc w:val="left"/>
              <w:rPr>
                <w:sz w:val="24"/>
              </w:rPr>
            </w:pPr>
            <w:r>
              <w:rPr>
                <w:sz w:val="24"/>
              </w:rPr>
              <w:t>Tiempo de maduración aplicable sólo para algunos productos.</w:t>
            </w:r>
          </w:p>
        </w:tc>
      </w:tr>
      <w:tr>
        <w:trPr>
          <w:trHeight w:val="1892" w:hRule="exact"/>
        </w:trPr>
        <w:tc>
          <w:tcPr>
            <w:tcW w:w="535" w:type="dxa"/>
          </w:tcPr>
          <w:p>
            <w:pPr>
              <w:pStyle w:val="TableParagraph"/>
              <w:spacing w:line="240" w:lineRule="auto"/>
              <w:jc w:val="left"/>
              <w:rPr>
                <w:b/>
                <w:sz w:val="24"/>
              </w:rPr>
            </w:pPr>
          </w:p>
          <w:p>
            <w:pPr>
              <w:pStyle w:val="TableParagraph"/>
              <w:spacing w:line="240" w:lineRule="auto"/>
              <w:jc w:val="left"/>
              <w:rPr>
                <w:b/>
                <w:sz w:val="24"/>
              </w:rPr>
            </w:pPr>
          </w:p>
          <w:p>
            <w:pPr>
              <w:pStyle w:val="TableParagraph"/>
              <w:spacing w:line="240" w:lineRule="auto" w:before="3"/>
              <w:jc w:val="left"/>
              <w:rPr>
                <w:b/>
                <w:sz w:val="25"/>
              </w:rPr>
            </w:pPr>
          </w:p>
          <w:p>
            <w:pPr>
              <w:pStyle w:val="TableParagraph"/>
              <w:spacing w:line="240" w:lineRule="auto"/>
              <w:ind w:left="129"/>
              <w:jc w:val="left"/>
              <w:rPr>
                <w:sz w:val="24"/>
              </w:rPr>
            </w:pPr>
            <w:r>
              <w:rPr>
                <w:sz w:val="24"/>
              </w:rPr>
              <w:t>11</w:t>
            </w:r>
          </w:p>
        </w:tc>
        <w:tc>
          <w:tcPr>
            <w:tcW w:w="3409" w:type="dxa"/>
          </w:tcPr>
          <w:p>
            <w:pPr>
              <w:pStyle w:val="TableParagraph"/>
              <w:spacing w:line="240" w:lineRule="auto"/>
              <w:jc w:val="left"/>
              <w:rPr>
                <w:b/>
                <w:sz w:val="24"/>
              </w:rPr>
            </w:pPr>
          </w:p>
          <w:p>
            <w:pPr>
              <w:pStyle w:val="TableParagraph"/>
              <w:spacing w:line="240" w:lineRule="auto"/>
              <w:jc w:val="left"/>
              <w:rPr>
                <w:b/>
                <w:sz w:val="24"/>
              </w:rPr>
            </w:pPr>
          </w:p>
          <w:p>
            <w:pPr>
              <w:pStyle w:val="TableParagraph"/>
              <w:spacing w:line="240" w:lineRule="auto" w:before="3"/>
              <w:jc w:val="left"/>
              <w:rPr>
                <w:b/>
                <w:sz w:val="25"/>
              </w:rPr>
            </w:pPr>
          </w:p>
          <w:p>
            <w:pPr>
              <w:pStyle w:val="TableParagraph"/>
              <w:spacing w:line="240" w:lineRule="auto"/>
              <w:ind w:left="217" w:right="218"/>
              <w:rPr>
                <w:sz w:val="24"/>
              </w:rPr>
            </w:pPr>
            <w:r>
              <w:rPr>
                <w:sz w:val="24"/>
              </w:rPr>
              <w:t>Dosificación del producto</w:t>
            </w:r>
          </w:p>
        </w:tc>
        <w:tc>
          <w:tcPr>
            <w:tcW w:w="4969" w:type="dxa"/>
          </w:tcPr>
          <w:p>
            <w:pPr>
              <w:pStyle w:val="TableParagraph"/>
              <w:spacing w:line="240" w:lineRule="auto"/>
              <w:jc w:val="left"/>
              <w:rPr>
                <w:b/>
                <w:sz w:val="24"/>
              </w:rPr>
            </w:pPr>
          </w:p>
          <w:p>
            <w:pPr>
              <w:pStyle w:val="TableParagraph"/>
              <w:spacing w:line="312" w:lineRule="auto" w:before="207"/>
              <w:ind w:left="103" w:right="102"/>
              <w:jc w:val="both"/>
              <w:rPr>
                <w:sz w:val="24"/>
              </w:rPr>
            </w:pPr>
            <w:r>
              <w:rPr>
                <w:sz w:val="24"/>
              </w:rPr>
              <w:t>El producto es descargado del mezclador a un carro de alimentación hacia el área de envasado</w:t>
            </w:r>
          </w:p>
        </w:tc>
      </w:tr>
    </w:tbl>
    <w:p>
      <w:pPr>
        <w:spacing w:after="0" w:line="312" w:lineRule="auto"/>
        <w:jc w:val="both"/>
        <w:rPr>
          <w:sz w:val="24"/>
        </w:rPr>
        <w:sectPr>
          <w:pgSz w:w="11910" w:h="16840"/>
          <w:pgMar w:header="0" w:footer="1043" w:top="1340" w:bottom="1240" w:left="1480" w:right="12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5"/>
        <w:gridCol w:w="3409"/>
        <w:gridCol w:w="4969"/>
      </w:tblGrid>
      <w:tr>
        <w:trPr>
          <w:trHeight w:val="1145" w:hRule="exact"/>
        </w:trPr>
        <w:tc>
          <w:tcPr>
            <w:tcW w:w="535" w:type="dxa"/>
          </w:tcPr>
          <w:p>
            <w:pPr>
              <w:pStyle w:val="TableParagraph"/>
              <w:spacing w:line="240" w:lineRule="auto"/>
              <w:jc w:val="left"/>
              <w:rPr>
                <w:b/>
                <w:sz w:val="24"/>
              </w:rPr>
            </w:pPr>
          </w:p>
          <w:p>
            <w:pPr>
              <w:pStyle w:val="TableParagraph"/>
              <w:spacing w:line="240" w:lineRule="auto" w:before="193"/>
              <w:ind w:left="110" w:right="108"/>
              <w:rPr>
                <w:sz w:val="24"/>
              </w:rPr>
            </w:pPr>
            <w:r>
              <w:rPr>
                <w:sz w:val="24"/>
              </w:rPr>
              <w:t>12</w:t>
            </w:r>
          </w:p>
        </w:tc>
        <w:tc>
          <w:tcPr>
            <w:tcW w:w="3409" w:type="dxa"/>
          </w:tcPr>
          <w:p>
            <w:pPr>
              <w:pStyle w:val="TableParagraph"/>
              <w:spacing w:line="240" w:lineRule="auto"/>
              <w:jc w:val="left"/>
              <w:rPr>
                <w:b/>
                <w:sz w:val="24"/>
              </w:rPr>
            </w:pPr>
          </w:p>
          <w:p>
            <w:pPr>
              <w:pStyle w:val="TableParagraph"/>
              <w:spacing w:line="240" w:lineRule="auto" w:before="193"/>
              <w:ind w:left="645" w:right="166"/>
              <w:jc w:val="left"/>
              <w:rPr>
                <w:sz w:val="24"/>
              </w:rPr>
            </w:pPr>
            <w:r>
              <w:rPr>
                <w:sz w:val="24"/>
              </w:rPr>
              <w:t>Envasado en cubos</w:t>
            </w:r>
          </w:p>
        </w:tc>
        <w:tc>
          <w:tcPr>
            <w:tcW w:w="4969" w:type="dxa"/>
          </w:tcPr>
          <w:p>
            <w:pPr>
              <w:pStyle w:val="TableParagraph"/>
              <w:spacing w:line="312" w:lineRule="auto" w:before="109"/>
              <w:ind w:left="103" w:right="106"/>
              <w:jc w:val="both"/>
              <w:rPr>
                <w:sz w:val="24"/>
              </w:rPr>
            </w:pPr>
            <w:r>
              <w:rPr>
                <w:sz w:val="24"/>
              </w:rPr>
              <w:t>El producto se envasa en laminación de aluminio de forma automática de acuerdo a límites de peso establecidos</w:t>
            </w:r>
          </w:p>
        </w:tc>
      </w:tr>
      <w:tr>
        <w:trPr>
          <w:trHeight w:val="1109" w:hRule="exact"/>
        </w:trPr>
        <w:tc>
          <w:tcPr>
            <w:tcW w:w="535" w:type="dxa"/>
          </w:tcPr>
          <w:p>
            <w:pPr>
              <w:pStyle w:val="TableParagraph"/>
              <w:spacing w:line="240" w:lineRule="auto"/>
              <w:jc w:val="left"/>
              <w:rPr>
                <w:b/>
                <w:sz w:val="24"/>
              </w:rPr>
            </w:pPr>
          </w:p>
          <w:p>
            <w:pPr>
              <w:pStyle w:val="TableParagraph"/>
              <w:spacing w:line="240" w:lineRule="auto" w:before="173"/>
              <w:ind w:left="110" w:right="108"/>
              <w:rPr>
                <w:sz w:val="24"/>
              </w:rPr>
            </w:pPr>
            <w:r>
              <w:rPr>
                <w:sz w:val="24"/>
              </w:rPr>
              <w:t>13</w:t>
            </w:r>
          </w:p>
        </w:tc>
        <w:tc>
          <w:tcPr>
            <w:tcW w:w="3409" w:type="dxa"/>
          </w:tcPr>
          <w:p>
            <w:pPr>
              <w:pStyle w:val="TableParagraph"/>
              <w:spacing w:line="240" w:lineRule="auto" w:before="4"/>
              <w:jc w:val="left"/>
              <w:rPr>
                <w:b/>
                <w:sz w:val="23"/>
              </w:rPr>
            </w:pPr>
          </w:p>
          <w:p>
            <w:pPr>
              <w:pStyle w:val="TableParagraph"/>
              <w:spacing w:line="240" w:lineRule="auto" w:before="1"/>
              <w:ind w:right="445"/>
              <w:jc w:val="right"/>
              <w:rPr>
                <w:sz w:val="24"/>
              </w:rPr>
            </w:pPr>
            <w:r>
              <w:rPr>
                <w:sz w:val="24"/>
              </w:rPr>
              <w:t>Empacado en estuches</w:t>
            </w:r>
          </w:p>
        </w:tc>
        <w:tc>
          <w:tcPr>
            <w:tcW w:w="4969" w:type="dxa"/>
          </w:tcPr>
          <w:p>
            <w:pPr>
              <w:pStyle w:val="TableParagraph"/>
              <w:spacing w:line="360" w:lineRule="atLeast" w:before="5"/>
              <w:ind w:left="103" w:right="104"/>
              <w:jc w:val="both"/>
              <w:rPr>
                <w:sz w:val="24"/>
              </w:rPr>
            </w:pPr>
            <w:r>
              <w:rPr>
                <w:sz w:val="24"/>
              </w:rPr>
              <w:t>El cubo ya formado es colocado en un estuche al cual se le coloca el código de fabricación y fecha de caducidad</w:t>
            </w:r>
          </w:p>
        </w:tc>
      </w:tr>
      <w:tr>
        <w:trPr>
          <w:trHeight w:val="1594" w:hRule="exact"/>
        </w:trPr>
        <w:tc>
          <w:tcPr>
            <w:tcW w:w="535" w:type="dxa"/>
            <w:vMerge w:val="restart"/>
          </w:tcPr>
          <w:p>
            <w:pPr>
              <w:pStyle w:val="TableParagraph"/>
              <w:spacing w:line="240" w:lineRule="auto"/>
              <w:jc w:val="left"/>
              <w:rPr>
                <w:b/>
                <w:sz w:val="24"/>
              </w:rPr>
            </w:pPr>
          </w:p>
          <w:p>
            <w:pPr>
              <w:pStyle w:val="TableParagraph"/>
              <w:spacing w:line="240" w:lineRule="auto"/>
              <w:jc w:val="left"/>
              <w:rPr>
                <w:b/>
                <w:sz w:val="24"/>
              </w:rPr>
            </w:pPr>
          </w:p>
          <w:p>
            <w:pPr>
              <w:pStyle w:val="TableParagraph"/>
              <w:spacing w:line="240" w:lineRule="auto"/>
              <w:jc w:val="left"/>
              <w:rPr>
                <w:b/>
                <w:sz w:val="24"/>
              </w:rPr>
            </w:pPr>
          </w:p>
          <w:p>
            <w:pPr>
              <w:pStyle w:val="TableParagraph"/>
              <w:spacing w:line="240" w:lineRule="auto" w:before="4"/>
              <w:jc w:val="left"/>
              <w:rPr>
                <w:b/>
                <w:sz w:val="30"/>
              </w:rPr>
            </w:pPr>
          </w:p>
          <w:p>
            <w:pPr>
              <w:pStyle w:val="TableParagraph"/>
              <w:spacing w:line="240" w:lineRule="auto"/>
              <w:ind w:left="129"/>
              <w:jc w:val="left"/>
              <w:rPr>
                <w:sz w:val="24"/>
              </w:rPr>
            </w:pPr>
            <w:r>
              <w:rPr>
                <w:sz w:val="24"/>
              </w:rPr>
              <w:t>14</w:t>
            </w:r>
          </w:p>
        </w:tc>
        <w:tc>
          <w:tcPr>
            <w:tcW w:w="3409" w:type="dxa"/>
          </w:tcPr>
          <w:p>
            <w:pPr>
              <w:pStyle w:val="TableParagraph"/>
              <w:spacing w:line="240" w:lineRule="auto"/>
              <w:jc w:val="left"/>
              <w:rPr>
                <w:b/>
                <w:sz w:val="24"/>
              </w:rPr>
            </w:pPr>
          </w:p>
          <w:p>
            <w:pPr>
              <w:pStyle w:val="TableParagraph"/>
              <w:spacing w:line="240" w:lineRule="auto"/>
              <w:jc w:val="left"/>
              <w:rPr>
                <w:b/>
                <w:sz w:val="24"/>
              </w:rPr>
            </w:pPr>
          </w:p>
          <w:p>
            <w:pPr>
              <w:pStyle w:val="TableParagraph"/>
              <w:spacing w:line="240" w:lineRule="auto" w:before="139"/>
              <w:ind w:left="650" w:right="166"/>
              <w:jc w:val="left"/>
              <w:rPr>
                <w:sz w:val="24"/>
              </w:rPr>
            </w:pPr>
            <w:r>
              <w:rPr>
                <w:sz w:val="24"/>
              </w:rPr>
              <w:t>Verificador de Peso</w:t>
            </w:r>
          </w:p>
        </w:tc>
        <w:tc>
          <w:tcPr>
            <w:tcW w:w="4969" w:type="dxa"/>
          </w:tcPr>
          <w:p>
            <w:pPr>
              <w:pStyle w:val="TableParagraph"/>
              <w:spacing w:line="314" w:lineRule="auto" w:before="151"/>
              <w:ind w:left="103" w:right="98"/>
              <w:jc w:val="both"/>
              <w:rPr>
                <w:sz w:val="24"/>
              </w:rPr>
            </w:pPr>
            <w:r>
              <w:rPr>
                <w:sz w:val="24"/>
              </w:rPr>
              <w:t>Todos los estuches pasan por un verificador de peso, aquellos que están fuera de especificación son expulsados de la  línea por medio de aire a presión.</w:t>
            </w:r>
          </w:p>
        </w:tc>
      </w:tr>
      <w:tr>
        <w:trPr>
          <w:trHeight w:val="970" w:hRule="exact"/>
        </w:trPr>
        <w:tc>
          <w:tcPr>
            <w:tcW w:w="535" w:type="dxa"/>
            <w:vMerge/>
          </w:tcPr>
          <w:p>
            <w:pPr/>
          </w:p>
        </w:tc>
        <w:tc>
          <w:tcPr>
            <w:tcW w:w="3409" w:type="dxa"/>
          </w:tcPr>
          <w:p>
            <w:pPr>
              <w:pStyle w:val="TableParagraph"/>
              <w:spacing w:line="240" w:lineRule="auto"/>
              <w:jc w:val="left"/>
              <w:rPr>
                <w:b/>
                <w:sz w:val="33"/>
              </w:rPr>
            </w:pPr>
          </w:p>
          <w:p>
            <w:pPr>
              <w:pStyle w:val="TableParagraph"/>
              <w:spacing w:line="240" w:lineRule="auto"/>
              <w:ind w:right="385"/>
              <w:jc w:val="right"/>
              <w:rPr>
                <w:sz w:val="24"/>
              </w:rPr>
            </w:pPr>
            <w:r>
              <w:rPr>
                <w:sz w:val="24"/>
              </w:rPr>
              <w:t>Empacado en corrugado</w:t>
            </w:r>
          </w:p>
        </w:tc>
        <w:tc>
          <w:tcPr>
            <w:tcW w:w="4969" w:type="dxa"/>
          </w:tcPr>
          <w:p>
            <w:pPr>
              <w:pStyle w:val="TableParagraph"/>
              <w:spacing w:line="312" w:lineRule="auto" w:before="199"/>
              <w:ind w:left="103" w:right="160"/>
              <w:jc w:val="left"/>
              <w:rPr>
                <w:sz w:val="24"/>
              </w:rPr>
            </w:pPr>
            <w:r>
              <w:rPr>
                <w:sz w:val="24"/>
              </w:rPr>
              <w:t>Se colocan estuches dentro de una caja de cartón de acuerdo al formato requerido</w:t>
            </w:r>
          </w:p>
        </w:tc>
      </w:tr>
      <w:tr>
        <w:trPr>
          <w:trHeight w:val="943" w:hRule="exact"/>
        </w:trPr>
        <w:tc>
          <w:tcPr>
            <w:tcW w:w="535" w:type="dxa"/>
          </w:tcPr>
          <w:p>
            <w:pPr>
              <w:pStyle w:val="TableParagraph"/>
              <w:spacing w:line="240" w:lineRule="auto" w:before="11"/>
              <w:jc w:val="left"/>
              <w:rPr>
                <w:b/>
                <w:sz w:val="31"/>
              </w:rPr>
            </w:pPr>
          </w:p>
          <w:p>
            <w:pPr>
              <w:pStyle w:val="TableParagraph"/>
              <w:spacing w:line="240" w:lineRule="auto"/>
              <w:ind w:left="110" w:right="108"/>
              <w:rPr>
                <w:sz w:val="24"/>
              </w:rPr>
            </w:pPr>
            <w:r>
              <w:rPr>
                <w:sz w:val="24"/>
              </w:rPr>
              <w:t>15</w:t>
            </w:r>
          </w:p>
        </w:tc>
        <w:tc>
          <w:tcPr>
            <w:tcW w:w="3409" w:type="dxa"/>
          </w:tcPr>
          <w:p>
            <w:pPr>
              <w:pStyle w:val="TableParagraph"/>
              <w:spacing w:line="240" w:lineRule="auto" w:before="11"/>
              <w:jc w:val="left"/>
              <w:rPr>
                <w:b/>
                <w:sz w:val="31"/>
              </w:rPr>
            </w:pPr>
          </w:p>
          <w:p>
            <w:pPr>
              <w:pStyle w:val="TableParagraph"/>
              <w:spacing w:line="240" w:lineRule="auto"/>
              <w:ind w:left="218" w:right="218"/>
              <w:rPr>
                <w:sz w:val="24"/>
              </w:rPr>
            </w:pPr>
            <w:r>
              <w:rPr>
                <w:sz w:val="24"/>
              </w:rPr>
              <w:t>Estibado</w:t>
            </w:r>
          </w:p>
        </w:tc>
        <w:tc>
          <w:tcPr>
            <w:tcW w:w="4969" w:type="dxa"/>
          </w:tcPr>
          <w:p>
            <w:pPr>
              <w:pStyle w:val="TableParagraph"/>
              <w:spacing w:line="312" w:lineRule="auto" w:before="187"/>
              <w:ind w:left="103" w:right="160"/>
              <w:jc w:val="left"/>
              <w:rPr>
                <w:sz w:val="24"/>
              </w:rPr>
            </w:pPr>
            <w:r>
              <w:rPr>
                <w:sz w:val="24"/>
              </w:rPr>
              <w:t>Los corrugados se colocan en tarimas y se estiban de acuerdo al arreglo especificado.</w:t>
            </w:r>
          </w:p>
        </w:tc>
      </w:tr>
      <w:tr>
        <w:trPr>
          <w:trHeight w:val="1260" w:hRule="exact"/>
        </w:trPr>
        <w:tc>
          <w:tcPr>
            <w:tcW w:w="535" w:type="dxa"/>
          </w:tcPr>
          <w:p>
            <w:pPr>
              <w:pStyle w:val="TableParagraph"/>
              <w:spacing w:line="240" w:lineRule="auto"/>
              <w:jc w:val="left"/>
              <w:rPr>
                <w:b/>
                <w:sz w:val="24"/>
              </w:rPr>
            </w:pPr>
          </w:p>
          <w:p>
            <w:pPr>
              <w:pStyle w:val="TableParagraph"/>
              <w:spacing w:line="240" w:lineRule="auto" w:before="6"/>
              <w:jc w:val="left"/>
              <w:rPr>
                <w:b/>
                <w:sz w:val="21"/>
              </w:rPr>
            </w:pPr>
          </w:p>
          <w:p>
            <w:pPr>
              <w:pStyle w:val="TableParagraph"/>
              <w:spacing w:line="240" w:lineRule="auto"/>
              <w:ind w:left="110" w:right="108"/>
              <w:rPr>
                <w:sz w:val="24"/>
              </w:rPr>
            </w:pPr>
            <w:r>
              <w:rPr>
                <w:sz w:val="24"/>
              </w:rPr>
              <w:t>16</w:t>
            </w:r>
          </w:p>
        </w:tc>
        <w:tc>
          <w:tcPr>
            <w:tcW w:w="3409" w:type="dxa"/>
          </w:tcPr>
          <w:p>
            <w:pPr>
              <w:pStyle w:val="TableParagraph"/>
              <w:spacing w:line="240" w:lineRule="auto"/>
              <w:jc w:val="left"/>
              <w:rPr>
                <w:b/>
                <w:sz w:val="24"/>
              </w:rPr>
            </w:pPr>
          </w:p>
          <w:p>
            <w:pPr>
              <w:pStyle w:val="TableParagraph"/>
              <w:spacing w:line="240" w:lineRule="auto" w:before="6"/>
              <w:jc w:val="left"/>
              <w:rPr>
                <w:b/>
                <w:sz w:val="21"/>
              </w:rPr>
            </w:pPr>
          </w:p>
          <w:p>
            <w:pPr>
              <w:pStyle w:val="TableParagraph"/>
              <w:spacing w:line="240" w:lineRule="auto"/>
              <w:ind w:left="803" w:right="166"/>
              <w:jc w:val="left"/>
              <w:rPr>
                <w:sz w:val="24"/>
              </w:rPr>
            </w:pPr>
            <w:r>
              <w:rPr>
                <w:sz w:val="24"/>
              </w:rPr>
              <w:t>Almacenamiento</w:t>
            </w:r>
          </w:p>
        </w:tc>
        <w:tc>
          <w:tcPr>
            <w:tcW w:w="4969" w:type="dxa"/>
          </w:tcPr>
          <w:p>
            <w:pPr>
              <w:pStyle w:val="TableParagraph"/>
              <w:spacing w:line="314" w:lineRule="auto" w:before="163"/>
              <w:ind w:left="103" w:right="104"/>
              <w:jc w:val="both"/>
              <w:rPr>
                <w:sz w:val="24"/>
              </w:rPr>
            </w:pPr>
            <w:r>
              <w:rPr>
                <w:sz w:val="24"/>
              </w:rPr>
              <w:t>El producto ya estibado se mantiene en el almacén y/o centros de distribución por un máximo de 24 horas</w:t>
            </w:r>
          </w:p>
        </w:tc>
      </w:tr>
      <w:tr>
        <w:trPr>
          <w:trHeight w:val="960" w:hRule="exact"/>
        </w:trPr>
        <w:tc>
          <w:tcPr>
            <w:tcW w:w="535" w:type="dxa"/>
          </w:tcPr>
          <w:p>
            <w:pPr>
              <w:pStyle w:val="TableParagraph"/>
              <w:spacing w:line="240" w:lineRule="auto" w:before="6"/>
              <w:jc w:val="left"/>
              <w:rPr>
                <w:b/>
                <w:sz w:val="32"/>
              </w:rPr>
            </w:pPr>
          </w:p>
          <w:p>
            <w:pPr>
              <w:pStyle w:val="TableParagraph"/>
              <w:spacing w:line="240" w:lineRule="auto" w:before="1"/>
              <w:ind w:left="110" w:right="108"/>
              <w:rPr>
                <w:sz w:val="24"/>
              </w:rPr>
            </w:pPr>
            <w:r>
              <w:rPr>
                <w:sz w:val="24"/>
              </w:rPr>
              <w:t>17</w:t>
            </w:r>
          </w:p>
        </w:tc>
        <w:tc>
          <w:tcPr>
            <w:tcW w:w="3409" w:type="dxa"/>
          </w:tcPr>
          <w:p>
            <w:pPr>
              <w:pStyle w:val="TableParagraph"/>
              <w:spacing w:line="240" w:lineRule="auto" w:before="6"/>
              <w:jc w:val="left"/>
              <w:rPr>
                <w:b/>
                <w:sz w:val="32"/>
              </w:rPr>
            </w:pPr>
          </w:p>
          <w:p>
            <w:pPr>
              <w:pStyle w:val="TableParagraph"/>
              <w:spacing w:line="240" w:lineRule="auto" w:before="1"/>
              <w:ind w:left="1072" w:right="166"/>
              <w:jc w:val="left"/>
              <w:rPr>
                <w:sz w:val="24"/>
              </w:rPr>
            </w:pPr>
            <w:r>
              <w:rPr>
                <w:sz w:val="24"/>
              </w:rPr>
              <w:t>Distribución</w:t>
            </w:r>
          </w:p>
        </w:tc>
        <w:tc>
          <w:tcPr>
            <w:tcW w:w="4969" w:type="dxa"/>
          </w:tcPr>
          <w:p>
            <w:pPr>
              <w:pStyle w:val="TableParagraph"/>
              <w:spacing w:line="312" w:lineRule="auto" w:before="195"/>
              <w:ind w:left="103" w:right="160"/>
              <w:jc w:val="left"/>
              <w:rPr>
                <w:sz w:val="24"/>
              </w:rPr>
            </w:pPr>
            <w:r>
              <w:rPr>
                <w:sz w:val="24"/>
              </w:rPr>
              <w:t>El producto es distribuido en camiones  hacia los puntos de</w:t>
            </w:r>
            <w:r>
              <w:rPr>
                <w:spacing w:val="-9"/>
                <w:sz w:val="24"/>
              </w:rPr>
              <w:t> </w:t>
            </w:r>
            <w:r>
              <w:rPr>
                <w:sz w:val="24"/>
              </w:rPr>
              <w:t>venta</w:t>
            </w:r>
          </w:p>
        </w:tc>
      </w:tr>
    </w:tbl>
    <w:p>
      <w:pPr>
        <w:spacing w:line="248" w:lineRule="exact" w:before="0"/>
        <w:ind w:left="222" w:right="0" w:firstLine="0"/>
        <w:jc w:val="both"/>
        <w:rPr>
          <w:sz w:val="22"/>
        </w:rPr>
      </w:pPr>
      <w:r>
        <w:rPr>
          <w:sz w:val="22"/>
        </w:rPr>
        <w:t>Fuente: Elaboración propia</w:t>
      </w:r>
    </w:p>
    <w:p>
      <w:pPr>
        <w:pStyle w:val="BodyText"/>
        <w:rPr>
          <w:sz w:val="22"/>
        </w:rPr>
      </w:pPr>
    </w:p>
    <w:p>
      <w:pPr>
        <w:pStyle w:val="BodyText"/>
        <w:spacing w:before="10"/>
      </w:pPr>
    </w:p>
    <w:p>
      <w:pPr>
        <w:pStyle w:val="BodyText"/>
        <w:spacing w:line="360" w:lineRule="auto"/>
        <w:ind w:left="222" w:right="420"/>
        <w:jc w:val="both"/>
      </w:pPr>
      <w:r>
        <w:rPr/>
        <w:t>Las líneas que envasan los cubos se dividen en dos: las que elaboran el portafolio de productos para el mercado nacional y las que están dedicadas al envasado de los productos para el mercado de exportación para los países de Estados Unidos, Canadá y Puerto Rico.</w:t>
      </w:r>
    </w:p>
    <w:p>
      <w:pPr>
        <w:pStyle w:val="BodyText"/>
      </w:pPr>
    </w:p>
    <w:p>
      <w:pPr>
        <w:pStyle w:val="Heading2"/>
        <w:numPr>
          <w:ilvl w:val="1"/>
          <w:numId w:val="12"/>
        </w:numPr>
        <w:tabs>
          <w:tab w:pos="714" w:val="left" w:leader="none"/>
        </w:tabs>
        <w:spacing w:line="360" w:lineRule="auto" w:before="142" w:after="0"/>
        <w:ind w:left="222" w:right="422" w:firstLine="0"/>
        <w:jc w:val="both"/>
      </w:pPr>
      <w:bookmarkStart w:name="_TOC_250009" w:id="19"/>
      <w:bookmarkEnd w:id="19"/>
      <w:r>
        <w:rPr/>
        <w:t>El sobrellenado como situación indeseable para la compañía de estudio</w:t>
      </w:r>
    </w:p>
    <w:p>
      <w:pPr>
        <w:pStyle w:val="BodyText"/>
        <w:rPr>
          <w:b/>
        </w:rPr>
      </w:pPr>
    </w:p>
    <w:p>
      <w:pPr>
        <w:pStyle w:val="BodyText"/>
        <w:spacing w:line="360" w:lineRule="auto" w:before="142"/>
        <w:ind w:left="222" w:right="420"/>
        <w:jc w:val="both"/>
      </w:pPr>
      <w:r>
        <w:rPr/>
        <w:t>Para la organización, es importante la detección de oportunidades de mejora que traigan un beneficio en costo, aumento de la productividad, eliminación de desperdicios e incremento en ventas, es por eso que como parte de sus objetivos principales está la detección y solución de los problemas que generen</w:t>
      </w:r>
    </w:p>
    <w:p>
      <w:pPr>
        <w:spacing w:after="0" w:line="360" w:lineRule="auto"/>
        <w:jc w:val="both"/>
        <w:sectPr>
          <w:pgSz w:w="11910" w:h="16840"/>
          <w:pgMar w:header="0" w:footer="1043" w:top="1400" w:bottom="1240" w:left="1480" w:right="1280"/>
        </w:sectPr>
      </w:pPr>
    </w:p>
    <w:p>
      <w:pPr>
        <w:pStyle w:val="BodyText"/>
        <w:spacing w:before="56"/>
        <w:ind w:left="102"/>
        <w:jc w:val="both"/>
      </w:pPr>
      <w:r>
        <w:rPr/>
        <w:t>pérdidas económicas y productivas.</w:t>
      </w:r>
    </w:p>
    <w:p>
      <w:pPr>
        <w:pStyle w:val="BodyText"/>
      </w:pPr>
    </w:p>
    <w:p>
      <w:pPr>
        <w:pStyle w:val="BodyText"/>
      </w:pPr>
    </w:p>
    <w:p>
      <w:pPr>
        <w:pStyle w:val="BodyText"/>
        <w:spacing w:line="360" w:lineRule="auto"/>
        <w:ind w:left="102" w:right="117"/>
        <w:jc w:val="both"/>
      </w:pPr>
      <w:r>
        <w:rPr/>
        <w:t>La merma por sobrellenado es la principal pérdida, en cuanto al rubro de desperdicios, para la planta de alimentos que se ubica en el municipio de Lerma, ya que de acuerdo al árbol de pérdidas del 2015, la marca principal, la cual a su vez se encuentra dividida en 3 categorías: cubos, granulados  y sopas, es la de mayor contribución; siendo las líneas de cubos las que aportan el 50% del desperdicio total de la planta.</w:t>
      </w:r>
    </w:p>
    <w:p>
      <w:pPr>
        <w:pStyle w:val="BodyText"/>
      </w:pPr>
    </w:p>
    <w:p>
      <w:pPr>
        <w:pStyle w:val="BodyText"/>
        <w:spacing w:line="360" w:lineRule="auto" w:before="142"/>
        <w:ind w:left="102" w:right="118"/>
        <w:jc w:val="both"/>
      </w:pPr>
      <w:r>
        <w:rPr/>
        <w:t>El mayor porcentaje de sobrellenado se encuentra en los productos de exportación, oscilando entre el 5 al 15%, comparado con las líneas de producto nacional que tienen entre un 0.5 a 5%; esto debido a que los operadores creen que su producción será rechazada si entregan un producto con menor peso  que el declarado en etiqueta, asumiendo que la normativa que regula los pesos para productos de exportación es más rígida que la norma de nuestro</w:t>
      </w:r>
      <w:r>
        <w:rPr>
          <w:spacing w:val="-22"/>
        </w:rPr>
        <w:t> </w:t>
      </w:r>
      <w:r>
        <w:rPr/>
        <w:t>país.</w:t>
      </w:r>
    </w:p>
    <w:p>
      <w:pPr>
        <w:pStyle w:val="BodyText"/>
      </w:pPr>
    </w:p>
    <w:p>
      <w:pPr>
        <w:pStyle w:val="BodyText"/>
        <w:spacing w:line="360" w:lineRule="auto" w:before="142"/>
        <w:ind w:left="102" w:right="116"/>
        <w:jc w:val="both"/>
      </w:pPr>
      <w:r>
        <w:rPr/>
        <w:t>Aun cuando en términos porcentuales el sobrellenado en las líneas de cubos pareciera no ser representativo o ser muy bajo si se compara con lo permitido por las entidades regulatorias como la norma oficial mexicana que habla sobre el contenido neto (NOM-002-SCFI-2011 Productos pre-envasados- Contenido neto-Tolerancias y métodos de verificación) en donde para la mayoría de productos elaborados en la planta se permite un sobrellenado hasta del 9%, en términos monetarios, para la empresa es una de su mayores pérdidas ya que este porcentaje se multiplica por los cientos de toneladas de caldo de pollo producido diariamente en la empresa.</w:t>
      </w:r>
    </w:p>
    <w:p>
      <w:pPr>
        <w:pStyle w:val="BodyText"/>
      </w:pPr>
    </w:p>
    <w:p>
      <w:pPr>
        <w:pStyle w:val="BodyText"/>
        <w:spacing w:line="360" w:lineRule="auto" w:before="142"/>
        <w:ind w:left="102" w:right="116"/>
        <w:jc w:val="both"/>
      </w:pPr>
      <w:r>
        <w:rPr/>
        <w:t>Dentro del proceso de elaboración de caldos en cubos existen muchas  variables de proceso que pueden influir en el aumento del porcentaje de sobrellenado sin embargo en la planta nunca se ha realizado un estudio para evaluarlas por lo que se desconoce cuál es el impacto de cada una de ellas </w:t>
      </w:r>
      <w:r>
        <w:rPr>
          <w:spacing w:val="-3"/>
        </w:rPr>
        <w:t>ya </w:t>
      </w:r>
      <w:r>
        <w:rPr/>
        <w:t>que el fenómeno es multicausal por lo que una desviación en una variable de proceso puede impactar al desempeño de otra</w:t>
      </w:r>
      <w:r>
        <w:rPr>
          <w:spacing w:val="-23"/>
        </w:rPr>
        <w:t> </w:t>
      </w:r>
      <w:r>
        <w:rPr/>
        <w:t>variable.</w:t>
      </w:r>
    </w:p>
    <w:p>
      <w:pPr>
        <w:spacing w:after="0" w:line="360" w:lineRule="auto"/>
        <w:jc w:val="both"/>
        <w:sectPr>
          <w:pgSz w:w="11910" w:h="16840"/>
          <w:pgMar w:header="0" w:footer="1043" w:top="1340" w:bottom="1240" w:left="1600" w:right="1580"/>
        </w:sectPr>
      </w:pPr>
    </w:p>
    <w:p>
      <w:pPr>
        <w:pStyle w:val="Heading1"/>
        <w:ind w:left="819"/>
      </w:pPr>
      <w:bookmarkStart w:name="_TOC_250008" w:id="20"/>
      <w:bookmarkEnd w:id="20"/>
      <w:r>
        <w:rPr/>
        <w:t>CAPÍTULO 4. MÉTODO DE TRABAJO</w:t>
      </w:r>
    </w:p>
    <w:p>
      <w:pPr>
        <w:pStyle w:val="BodyText"/>
        <w:rPr>
          <w:b/>
          <w:sz w:val="40"/>
        </w:rPr>
      </w:pPr>
    </w:p>
    <w:p>
      <w:pPr>
        <w:pStyle w:val="Heading2"/>
        <w:numPr>
          <w:ilvl w:val="1"/>
          <w:numId w:val="13"/>
        </w:numPr>
        <w:tabs>
          <w:tab w:pos="506" w:val="left" w:leader="none"/>
        </w:tabs>
        <w:spacing w:line="240" w:lineRule="auto" w:before="305" w:after="0"/>
        <w:ind w:left="505" w:right="0" w:hanging="403"/>
        <w:jc w:val="both"/>
      </w:pPr>
      <w:bookmarkStart w:name="_TOC_250007" w:id="21"/>
      <w:r>
        <w:rPr/>
        <w:t>Planteamiento del</w:t>
      </w:r>
      <w:r>
        <w:rPr>
          <w:spacing w:val="-6"/>
        </w:rPr>
        <w:t> </w:t>
      </w:r>
      <w:bookmarkEnd w:id="21"/>
      <w:r>
        <w:rPr/>
        <w:t>problema</w:t>
      </w:r>
    </w:p>
    <w:p>
      <w:pPr>
        <w:pStyle w:val="BodyText"/>
        <w:rPr>
          <w:b/>
        </w:rPr>
      </w:pPr>
    </w:p>
    <w:p>
      <w:pPr>
        <w:pStyle w:val="BodyText"/>
        <w:rPr>
          <w:b/>
        </w:rPr>
      </w:pPr>
    </w:p>
    <w:p>
      <w:pPr>
        <w:pStyle w:val="BodyText"/>
        <w:spacing w:line="360" w:lineRule="auto"/>
        <w:ind w:left="102" w:right="119"/>
        <w:jc w:val="both"/>
      </w:pPr>
      <w:r>
        <w:rPr/>
        <w:t>La industria de alimentos ha sido desde sus comienzos una de las más importantes dentro del sector productivo a nivel mundial, debido a que se encarga de poner al alcance de la población, alimentos de la más alta calidad que garanticen al consumidor seguridad, inocuidad, calidad y sabor, pero además, desde hace más de 15 años derivado de la competencia y variedad que se encuentra sobre un mismo producto en el mercado, se ha buscado proporcionar innovación, especificidad, practicidad y precio, respondiendo, no sólo a las necesidades alimentarias de la población, sino al dinamismo de los estilos de vida actuales (Render, 2006).</w:t>
      </w:r>
    </w:p>
    <w:p>
      <w:pPr>
        <w:pStyle w:val="BodyText"/>
      </w:pPr>
    </w:p>
    <w:p>
      <w:pPr>
        <w:pStyle w:val="BodyText"/>
        <w:spacing w:line="360" w:lineRule="auto" w:before="142"/>
        <w:ind w:left="102" w:right="116"/>
        <w:jc w:val="both"/>
      </w:pPr>
      <w:r>
        <w:rPr/>
        <w:t>Aunado a lo anterior, hoy en día las organizaciones buscan tener como uno de sus pilares fundamentales la mejora continua en la detección, prevención y eliminación de desperdicios y despilfarros, es decir, una lucha implacable y continua en la necesidad de eliminar los factores generadores de improductividades, altos costos, desaprovechamiento de recursos materiales y humanos, reprocesos, sobrellenado y defectos de calidad, todo lo cual origina la pérdida de sumas importantes de dinero para las empresas, así  como pérdida de participación en el mercado y en los niveles de satisfacción de los consumidores (Pedraza,</w:t>
      </w:r>
      <w:r>
        <w:rPr>
          <w:spacing w:val="-8"/>
        </w:rPr>
        <w:t> </w:t>
      </w:r>
      <w:r>
        <w:rPr/>
        <w:t>2010).</w:t>
      </w:r>
    </w:p>
    <w:p>
      <w:pPr>
        <w:pStyle w:val="BodyText"/>
      </w:pPr>
    </w:p>
    <w:p>
      <w:pPr>
        <w:pStyle w:val="BodyText"/>
        <w:spacing w:line="360" w:lineRule="auto" w:before="142"/>
        <w:ind w:left="102" w:right="116"/>
        <w:jc w:val="both"/>
      </w:pPr>
      <w:r>
        <w:rPr/>
        <w:t>Uno de los grandes desperdicios para las organizaciones, establecido dentro  de las metodologías de mejora continua tales como la manufactura esbelta o el justo a tiempo, es el sobrellenado (Tejeda, 2011); es decir la cantidad de producto que por variaciones en el proceso, se llena de más, respecto al declarado como contenido neto en la etiqueta. Debido a que el peso nominal está regulado por normas oficiales mexicanas y entidades internacionales  como la FDA (Food &amp;Drugs Administration por sus siglas en inglés), este desperdicio es muy difícil de eliminar porque la operación prefiere mantener su peso por encima del peso declarado en etiqueta para evitar sanciones  </w:t>
      </w:r>
      <w:r>
        <w:rPr>
          <w:spacing w:val="39"/>
        </w:rPr>
        <w:t> </w:t>
      </w:r>
      <w:r>
        <w:rPr/>
        <w:t>legales</w:t>
      </w:r>
    </w:p>
    <w:p>
      <w:pPr>
        <w:spacing w:after="0" w:line="360" w:lineRule="auto"/>
        <w:jc w:val="both"/>
        <w:sectPr>
          <w:pgSz w:w="11910" w:h="16840"/>
          <w:pgMar w:header="0" w:footer="1043" w:top="1360" w:bottom="1240" w:left="1600" w:right="1580"/>
        </w:sectPr>
      </w:pPr>
    </w:p>
    <w:p>
      <w:pPr>
        <w:pStyle w:val="BodyText"/>
        <w:spacing w:line="360" w:lineRule="auto" w:before="56"/>
        <w:ind w:left="102" w:right="124"/>
        <w:jc w:val="both"/>
      </w:pPr>
      <w:r>
        <w:rPr/>
        <w:t>por mandar al mercado producto con peso bajo y porque no hay consumidor ni entidad regulatoria que ponga una restricción para pesos altos, pues es producto de más que se está regalando al cliente/consumidor.</w:t>
      </w:r>
    </w:p>
    <w:p>
      <w:pPr>
        <w:pStyle w:val="BodyText"/>
      </w:pPr>
    </w:p>
    <w:p>
      <w:pPr>
        <w:pStyle w:val="BodyText"/>
        <w:spacing w:line="360" w:lineRule="auto" w:before="142"/>
        <w:ind w:left="102" w:right="116"/>
        <w:jc w:val="both"/>
      </w:pPr>
      <w:r>
        <w:rPr/>
        <w:t>El presente trabajo de investigación fue realizado en una empresa trasnacional que si bien tiene un robusto sistema de calidad implementado con parámetros ya establecidos internamente para el control de la calidad de los productos que produce bajo el nombre de 400 marcas, tiene la filosofía administrativa de Taylor respecto al control de calidad enfocado principalmente en la última etapa de proceso, que como menciona Mario Gutiérrez en su libro Administración para la Calidad, es bueno porque permite que el consumidor solo reciba productos de la mejor calidad pero no detecta ni elimina la causa raíz de las fallas que pudieran generar los defectos en los productos, generando altos costos para entregar con</w:t>
      </w:r>
      <w:r>
        <w:rPr>
          <w:spacing w:val="-12"/>
        </w:rPr>
        <w:t> </w:t>
      </w:r>
      <w:r>
        <w:rPr/>
        <w:t>Calidad.</w:t>
      </w:r>
    </w:p>
    <w:p>
      <w:pPr>
        <w:pStyle w:val="BodyText"/>
      </w:pPr>
    </w:p>
    <w:p>
      <w:pPr>
        <w:pStyle w:val="BodyText"/>
        <w:spacing w:line="360" w:lineRule="auto" w:before="142"/>
        <w:ind w:left="102" w:right="116"/>
        <w:jc w:val="both"/>
      </w:pPr>
      <w:r>
        <w:rPr/>
        <w:t>Es frecuente que las organizaciones se enfoquen en los resultados, en lugar de enfocarse a las diferentes actividades que los generan; es decir, no se tiene un enfoque en procesos. La función del departamento de control de calidad de la compañía es no dejar pasar la mala calidad al mercado, a través de la inspección; sin embargo, al final del proceso, ya no hay nada  que  hacer, porque la calidad ya sea buena o mala, ya está dada. Por lo que más que tratar de contener la mala calidad al final, es necesario ir hacia atrás y analizar el proceso generador de la mala calidad. De esta forma la calidad ya no solo es responsabilidad del departamento con el mismo nombre sino de todos aquellos que intervienen en la cadena de suministro.</w:t>
      </w:r>
    </w:p>
    <w:p>
      <w:pPr>
        <w:pStyle w:val="BodyText"/>
      </w:pPr>
    </w:p>
    <w:p>
      <w:pPr>
        <w:pStyle w:val="BodyText"/>
        <w:spacing w:line="360" w:lineRule="auto" w:before="142"/>
        <w:ind w:left="102" w:right="117"/>
        <w:jc w:val="both"/>
      </w:pPr>
      <w:r>
        <w:rPr/>
        <w:t>El sobrellenado es uno de los principales focos para la planta de alimentos donde se realizó el estudio, ya que es ahí donde se detectó que hay una mayor pérdida, que comúnmente no se cuantifica debido a que es producto que no se considera como merma productiva por defecto de calidad puesto que está dentro de los límites permitidos por las entidades regulatorias del contenido neto cuya normativa (NOM-002-SCFI-2001) permite un sobrellenado de hasta 9%, que son los límites mínimos y máximos que por especificación se permiten para</w:t>
      </w:r>
      <w:r>
        <w:rPr>
          <w:spacing w:val="28"/>
        </w:rPr>
        <w:t> </w:t>
      </w:r>
      <w:r>
        <w:rPr/>
        <w:t>productos</w:t>
      </w:r>
      <w:r>
        <w:rPr>
          <w:spacing w:val="28"/>
        </w:rPr>
        <w:t> </w:t>
      </w:r>
      <w:r>
        <w:rPr/>
        <w:t>alimenticios</w:t>
      </w:r>
      <w:r>
        <w:rPr>
          <w:spacing w:val="28"/>
        </w:rPr>
        <w:t> </w:t>
      </w:r>
      <w:r>
        <w:rPr/>
        <w:t>sólidos</w:t>
      </w:r>
      <w:r>
        <w:rPr>
          <w:spacing w:val="28"/>
        </w:rPr>
        <w:t> </w:t>
      </w:r>
      <w:r>
        <w:rPr/>
        <w:t>con</w:t>
      </w:r>
      <w:r>
        <w:rPr>
          <w:spacing w:val="26"/>
        </w:rPr>
        <w:t> </w:t>
      </w:r>
      <w:r>
        <w:rPr/>
        <w:t>un</w:t>
      </w:r>
      <w:r>
        <w:rPr>
          <w:spacing w:val="26"/>
        </w:rPr>
        <w:t> </w:t>
      </w:r>
      <w:r>
        <w:rPr/>
        <w:t>peso</w:t>
      </w:r>
      <w:r>
        <w:rPr>
          <w:spacing w:val="29"/>
        </w:rPr>
        <w:t> </w:t>
      </w:r>
      <w:r>
        <w:rPr/>
        <w:t>de</w:t>
      </w:r>
      <w:r>
        <w:rPr>
          <w:spacing w:val="29"/>
        </w:rPr>
        <w:t> </w:t>
      </w:r>
      <w:r>
        <w:rPr/>
        <w:t>hasta</w:t>
      </w:r>
      <w:r>
        <w:rPr>
          <w:spacing w:val="29"/>
        </w:rPr>
        <w:t> </w:t>
      </w:r>
      <w:r>
        <w:rPr/>
        <w:t>500g,</w:t>
      </w:r>
      <w:r>
        <w:rPr>
          <w:spacing w:val="28"/>
        </w:rPr>
        <w:t> </w:t>
      </w:r>
      <w:r>
        <w:rPr/>
        <w:t>sin</w:t>
      </w:r>
      <w:r>
        <w:rPr>
          <w:spacing w:val="28"/>
        </w:rPr>
        <w:t> </w:t>
      </w:r>
      <w:r>
        <w:rPr/>
        <w:t>embargo</w:t>
      </w:r>
    </w:p>
    <w:p>
      <w:pPr>
        <w:spacing w:after="0" w:line="360" w:lineRule="auto"/>
        <w:jc w:val="both"/>
        <w:sectPr>
          <w:pgSz w:w="11910" w:h="16840"/>
          <w:pgMar w:header="0" w:footer="1043" w:top="1340" w:bottom="1240" w:left="1600" w:right="1580"/>
        </w:sectPr>
      </w:pPr>
    </w:p>
    <w:p>
      <w:pPr>
        <w:pStyle w:val="BodyText"/>
        <w:spacing w:line="360" w:lineRule="auto" w:before="56"/>
        <w:ind w:left="102" w:right="120"/>
        <w:jc w:val="both"/>
      </w:pPr>
      <w:r>
        <w:rPr/>
        <w:t>ese porcentaje está diseñado para tener un comportamiento de distribución normal centrado en la media y con ese porcentaje por arriba y por abajo del peso del peso nominal declarado.</w:t>
      </w:r>
    </w:p>
    <w:p>
      <w:pPr>
        <w:pStyle w:val="BodyText"/>
      </w:pPr>
    </w:p>
    <w:p>
      <w:pPr>
        <w:pStyle w:val="BodyText"/>
        <w:spacing w:line="360" w:lineRule="auto" w:before="142"/>
        <w:ind w:left="102" w:right="122"/>
        <w:jc w:val="both"/>
      </w:pPr>
      <w:r>
        <w:rPr/>
        <w:t>El principal problema es que en la mayoría de los procesos, al no tener controlados los parámetros y desconocer el efecto de éstas en el control de peso, los pesos se mantienen por encima de la media con una tendencia corrida hacia el límite</w:t>
      </w:r>
      <w:r>
        <w:rPr>
          <w:spacing w:val="-8"/>
        </w:rPr>
        <w:t> </w:t>
      </w:r>
      <w:r>
        <w:rPr/>
        <w:t>máximo.</w:t>
      </w:r>
    </w:p>
    <w:p>
      <w:pPr>
        <w:pStyle w:val="BodyText"/>
      </w:pPr>
    </w:p>
    <w:p>
      <w:pPr>
        <w:pStyle w:val="BodyText"/>
        <w:spacing w:line="360" w:lineRule="auto" w:before="142"/>
        <w:ind w:left="102" w:right="121"/>
        <w:jc w:val="both"/>
      </w:pPr>
      <w:r>
        <w:rPr/>
        <w:t>Por otro lado, se observa que además de tener una media muy distante del peso nominal, la campana de distribución es muy abierta, porque existe mucha variación y desviación entre los mismos datos, por lo que se puede deducir claramente que no existe un adecuado control del proceso.</w:t>
      </w:r>
    </w:p>
    <w:p>
      <w:pPr>
        <w:pStyle w:val="BodyText"/>
      </w:pPr>
    </w:p>
    <w:p>
      <w:pPr>
        <w:pStyle w:val="BodyText"/>
        <w:spacing w:line="360" w:lineRule="auto" w:before="142"/>
        <w:ind w:left="102" w:right="122"/>
        <w:jc w:val="both"/>
      </w:pPr>
      <w:r>
        <w:rPr/>
        <w:t>Existen pocos estudios o trabajos de investigación que hablen del sobrellenado tanto para empresas de giro alimenticio como en otros ámbitos como el sector salud o farmacéutico, y de los pocos existentes, la mayoría están enfocados al envasado de productos líquidos en donde existe un mayor control de las variables de proceso puesto que los límites operacionales de control de peso son más abiertos, en función de la densidad del líquido.</w:t>
      </w:r>
    </w:p>
    <w:p>
      <w:pPr>
        <w:pStyle w:val="BodyText"/>
      </w:pPr>
    </w:p>
    <w:p>
      <w:pPr>
        <w:pStyle w:val="BodyText"/>
        <w:spacing w:line="360" w:lineRule="auto" w:before="142"/>
        <w:ind w:left="102" w:right="120"/>
        <w:jc w:val="both"/>
      </w:pPr>
      <w:r>
        <w:rPr/>
        <w:t>Aun cuando dentro de la organización no se hayan invertido recursos en la investigación del fenómeno, es en el sobrellenado en donde se encuentra la mayor oportunidad de ahorro para la planta, aunado a que trae consigo otras mejoras de calidad de entrega del producto ya que aunque  existen lineamientos y procedimientos para el producto bajo todos los sistemas de gestión de calidad, no existen estudios tan específicos que hablen sobre las pérdidas por sobrellenado.</w:t>
      </w:r>
    </w:p>
    <w:p>
      <w:pPr>
        <w:spacing w:after="0" w:line="360" w:lineRule="auto"/>
        <w:jc w:val="both"/>
        <w:sectPr>
          <w:pgSz w:w="11910" w:h="16840"/>
          <w:pgMar w:header="0" w:footer="1043" w:top="1340" w:bottom="1240" w:left="1600" w:right="1580"/>
        </w:sectPr>
      </w:pPr>
    </w:p>
    <w:p>
      <w:pPr>
        <w:pStyle w:val="Heading2"/>
        <w:numPr>
          <w:ilvl w:val="1"/>
          <w:numId w:val="13"/>
        </w:numPr>
        <w:tabs>
          <w:tab w:pos="503" w:val="left" w:leader="none"/>
        </w:tabs>
        <w:spacing w:line="240" w:lineRule="auto" w:before="56" w:after="0"/>
        <w:ind w:left="502" w:right="0" w:hanging="400"/>
        <w:jc w:val="both"/>
      </w:pPr>
      <w:bookmarkStart w:name="_TOC_250006" w:id="22"/>
      <w:bookmarkEnd w:id="22"/>
      <w:r>
        <w:rPr/>
        <w:t>Justificación</w:t>
      </w:r>
    </w:p>
    <w:p>
      <w:pPr>
        <w:pStyle w:val="BodyText"/>
        <w:rPr>
          <w:b/>
        </w:rPr>
      </w:pPr>
    </w:p>
    <w:p>
      <w:pPr>
        <w:pStyle w:val="BodyText"/>
        <w:rPr>
          <w:b/>
        </w:rPr>
      </w:pPr>
    </w:p>
    <w:p>
      <w:pPr>
        <w:pStyle w:val="BodyText"/>
        <w:spacing w:line="360" w:lineRule="auto"/>
        <w:ind w:left="102" w:right="120"/>
        <w:jc w:val="both"/>
      </w:pPr>
      <w:r>
        <w:rPr/>
        <w:t>Hoy en día debido al incremento de competencia geoestratégica y ante el panorama de crecimiento lento registrado desde el primer semestre del año 2015, la caída de la competitividad en el país así como los costos elevados de producción, han hecho que México enfrente retos muy importantes en términos de productividad y crecimiento económico que han frenado la inversión extranjera y el crecimiento de las empresas trasnacionales principalmente en el sector de alimentos.</w:t>
      </w:r>
    </w:p>
    <w:p>
      <w:pPr>
        <w:pStyle w:val="BodyText"/>
      </w:pPr>
    </w:p>
    <w:p>
      <w:pPr>
        <w:pStyle w:val="BodyText"/>
        <w:spacing w:line="360" w:lineRule="auto" w:before="142"/>
        <w:ind w:left="102" w:right="116"/>
        <w:jc w:val="both"/>
      </w:pPr>
      <w:r>
        <w:rPr/>
        <w:t>Tomando como base el panorama anterior, las empresas dejaron de invertir su capital en soluciones de incremento de capacidad para buscar mejoras en sus procesos, que ayuden a maximizar la utilización de sus recursos e infraestructura existente y disminuir los costos de actividades que no agregan valor, dentro de las cuales la generación de mermas y desperdicios en los procesos productivos tiene juega un importante papel.</w:t>
      </w:r>
    </w:p>
    <w:p>
      <w:pPr>
        <w:pStyle w:val="BodyText"/>
      </w:pPr>
    </w:p>
    <w:p>
      <w:pPr>
        <w:pStyle w:val="BodyText"/>
        <w:spacing w:line="360" w:lineRule="auto" w:before="142"/>
        <w:ind w:left="102" w:right="117"/>
        <w:jc w:val="both"/>
      </w:pPr>
      <w:r>
        <w:rPr/>
        <w:t>De acuerdo con datos tomados de los indicadores financieros de la empresa de giro alimentario de este trabajo, el mayor gasto de merma se encuentra en el producto semielaborado, es decir, el caldo en forma de cubo que va dentro del empaque primario, el cual ya pasó por el proceso de transformación de las materias primas, por lo que solo puede generarse la merma a través del sobrellenado del producto.</w:t>
      </w:r>
    </w:p>
    <w:p>
      <w:pPr>
        <w:pStyle w:val="BodyText"/>
      </w:pPr>
    </w:p>
    <w:p>
      <w:pPr>
        <w:pStyle w:val="BodyText"/>
        <w:spacing w:line="360" w:lineRule="auto" w:before="142"/>
        <w:ind w:left="102" w:right="115"/>
        <w:jc w:val="both"/>
      </w:pPr>
      <w:r>
        <w:rPr/>
        <w:t>El control de la calidad de los procesos en las empresas donde ya tienen un sistema bien establecido de gestión de ésta, se enfoca en detectar las anomalías y desviaciones de los procesos para los cuales ya se tiene estándares establecidos y sobre los cuales se puede realizar el control; sin embargo, existen otros procesos que influyen en reprocesos, re-trabajos y otras actividades sin valor sobre las que no se tiene conocimiento del impacto que genera en la improductividad de la compañía y la mala calidad. Los costos de  la no calidad siempre serán importantes para la organización pues están relacionados a la productividad y eficiencia de los recursos de la empresa para satisfacer las expectativas del cliente, sin embargo se ponen pocos  </w:t>
      </w:r>
      <w:r>
        <w:rPr>
          <w:spacing w:val="64"/>
        </w:rPr>
        <w:t> </w:t>
      </w:r>
      <w:r>
        <w:rPr/>
        <w:t>esfuerzos</w:t>
      </w:r>
    </w:p>
    <w:p>
      <w:pPr>
        <w:spacing w:after="0" w:line="360" w:lineRule="auto"/>
        <w:jc w:val="both"/>
        <w:sectPr>
          <w:footerReference w:type="default" r:id="rId24"/>
          <w:pgSz w:w="11910" w:h="16840"/>
          <w:pgMar w:footer="1043" w:header="0" w:top="1340" w:bottom="1240" w:left="1600" w:right="1580"/>
        </w:sectPr>
      </w:pPr>
    </w:p>
    <w:p>
      <w:pPr>
        <w:pStyle w:val="BodyText"/>
        <w:spacing w:line="360" w:lineRule="auto" w:before="56"/>
        <w:ind w:left="102" w:right="124"/>
        <w:jc w:val="both"/>
      </w:pPr>
      <w:r>
        <w:rPr/>
        <w:t>en cuanto a la detección y eliminación de problemas como el sobrellenado de los productos, que si bien no tienen un impacto directo en la calidad del producto si reflejan un control inadecuado de las variables que lo provocan.</w:t>
      </w:r>
    </w:p>
    <w:p>
      <w:pPr>
        <w:pStyle w:val="BodyText"/>
      </w:pPr>
    </w:p>
    <w:p>
      <w:pPr>
        <w:pStyle w:val="BodyText"/>
        <w:spacing w:line="360" w:lineRule="auto" w:before="142"/>
        <w:ind w:left="102" w:right="118"/>
        <w:jc w:val="both"/>
      </w:pPr>
      <w:r>
        <w:rPr/>
        <w:t>Por otro lado, uno de los grandes problemas que enfrentan las empresas y el país en general, es la falta de conocimiento técnico-administrativo que permita que los recursos humanos que están dentro de las empresas trabajando en proyectos de mejora, puedan aplicar las competencias y habilidades obtenidas de dicho conocimiento, en la resolución de problemas durante los procesos productivos que se presentan a lo largo de toda la cadena de suministro, que atraviesa todo el movimiento y almacenaje de materiales, el correspondiente inventario que resulta del proceso, y las mercancías acabadas desde el punto de origen al punto de consumo. (Ishikawa,1995).</w:t>
      </w:r>
    </w:p>
    <w:p>
      <w:pPr>
        <w:pStyle w:val="BodyText"/>
      </w:pPr>
    </w:p>
    <w:p>
      <w:pPr>
        <w:pStyle w:val="BodyText"/>
        <w:spacing w:line="360" w:lineRule="auto" w:before="142"/>
        <w:ind w:left="102" w:right="115"/>
        <w:jc w:val="both"/>
      </w:pPr>
      <w:r>
        <w:rPr/>
        <w:t>El pensamiento y la forma de actuar del ser humano dentro de las organizaciones es uno de los principales factores fundamentales para que se eliminen los costos por desperdicios; sin embargo, al ser la cadena de suministro una red que involucra la participación de un sinfín número de personas, es necesario tener los conocimientos necesarios para administrar y gestionar los procesos que involucran la generación de mermas y desperdicios con el fin de aprovechar mejor los recursos humanos, financieros y materiales de la empresa, es por eso que este trabajo pretende ser la evidencia de una aplicación tangible del conocimiento adquirido a lo largo de la maestría, que aporte información para la reducción de los costos de sobrellenado en los procesos de envasado que están inmersos dentro de la cadena de suministro y permita que aquellas industrias de giro alimentario con procesos similares puedan tomarlo como base para realizar el análisis que les permita eliminar o disminuir sus mermas respecto a sobrellenado.</w:t>
      </w:r>
    </w:p>
    <w:p>
      <w:pPr>
        <w:pStyle w:val="BodyText"/>
      </w:pPr>
    </w:p>
    <w:p>
      <w:pPr>
        <w:pStyle w:val="BodyText"/>
        <w:spacing w:line="360" w:lineRule="auto" w:before="139"/>
        <w:ind w:left="102" w:right="117"/>
        <w:jc w:val="both"/>
      </w:pPr>
      <w:r>
        <w:rPr/>
        <w:t>De acuerdo al análisis financiero realizado durante el primer semestre del 2015, la empresa de estudio cuyas instalaciones se encuentran en el municipio de Lerma, reportó un porcentaje promedio de merma de semielaborado de 5%, siendo el caldo extruido la categoría en donde la pérdida es mayor con una tendencia en aumento de acuerdo al histórico reportado en el árbol de pérdidas</w:t>
      </w:r>
    </w:p>
    <w:p>
      <w:pPr>
        <w:spacing w:after="0" w:line="360" w:lineRule="auto"/>
        <w:jc w:val="both"/>
        <w:sectPr>
          <w:footerReference w:type="default" r:id="rId25"/>
          <w:pgSz w:w="11910" w:h="16840"/>
          <w:pgMar w:footer="1043" w:header="0" w:top="1340" w:bottom="1240" w:left="1600" w:right="1580"/>
          <w:pgNumType w:start="41"/>
        </w:sectPr>
      </w:pPr>
    </w:p>
    <w:p>
      <w:pPr>
        <w:pStyle w:val="BodyText"/>
        <w:spacing w:line="360" w:lineRule="auto" w:before="56"/>
        <w:ind w:left="102" w:right="123"/>
        <w:jc w:val="both"/>
      </w:pPr>
      <w:r>
        <w:rPr/>
        <w:t>que se realiza mensualmente. De acuerdo al análisis, la oportunidad de ahorro por reducir a la mitad el porcentaje de sobrellenado en las líneas de envasado de caldo extruido es sumamente atractiva, lo cual justifica que la empresa esté interesada en que se realice una investigación para conocer las variables que influyen en la aparición de este fenómeno y en establecer los controles para cada una de ellas que permita llegar al objetivo de disminuir en un 50% esta pérdida.</w:t>
      </w:r>
    </w:p>
    <w:p>
      <w:pPr>
        <w:pStyle w:val="BodyText"/>
      </w:pPr>
    </w:p>
    <w:p>
      <w:pPr>
        <w:pStyle w:val="BodyText"/>
        <w:spacing w:line="360" w:lineRule="auto" w:before="142"/>
        <w:ind w:left="102" w:right="119"/>
        <w:jc w:val="both"/>
      </w:pPr>
      <w:r>
        <w:rPr/>
        <w:t>A partir de lo anterior mencionado, se detecta la necesidad de buscar soluciones para ésta problemática que no solo es de interés de ésta empresa en particular, sino que con este trabajo de investigación se pretende que pueda ser útil para que otras empresas del sector de alimentos con características de producto o procesos de llenado similares puedan establecer los controles para las variables de proceso que afectan el sobrellenado de sus productos y posteriormente crear un sistema de calidad, o anexar al existente, los parámetros bajo los cuales pueden mantener en control su proceso y disminuir los costos por este tipo de merma.</w:t>
      </w:r>
    </w:p>
    <w:p>
      <w:pPr>
        <w:pStyle w:val="BodyText"/>
      </w:pPr>
    </w:p>
    <w:p>
      <w:pPr>
        <w:pStyle w:val="Heading2"/>
        <w:numPr>
          <w:ilvl w:val="1"/>
          <w:numId w:val="13"/>
        </w:numPr>
        <w:tabs>
          <w:tab w:pos="506" w:val="left" w:leader="none"/>
        </w:tabs>
        <w:spacing w:line="240" w:lineRule="auto" w:before="142" w:after="0"/>
        <w:ind w:left="505" w:right="0" w:hanging="403"/>
        <w:jc w:val="both"/>
      </w:pPr>
      <w:bookmarkStart w:name="_TOC_250005" w:id="23"/>
      <w:bookmarkEnd w:id="23"/>
      <w:r>
        <w:rPr/>
        <w:t>Objetivos</w:t>
      </w:r>
    </w:p>
    <w:p>
      <w:pPr>
        <w:pStyle w:val="BodyText"/>
        <w:rPr>
          <w:b/>
        </w:rPr>
      </w:pPr>
    </w:p>
    <w:p>
      <w:pPr>
        <w:pStyle w:val="BodyText"/>
        <w:spacing w:before="5"/>
        <w:rPr>
          <w:b/>
          <w:sz w:val="34"/>
        </w:rPr>
      </w:pPr>
    </w:p>
    <w:p>
      <w:pPr>
        <w:pStyle w:val="Heading2"/>
        <w:numPr>
          <w:ilvl w:val="2"/>
          <w:numId w:val="13"/>
        </w:numPr>
        <w:tabs>
          <w:tab w:pos="704" w:val="left" w:leader="none"/>
        </w:tabs>
        <w:spacing w:line="240" w:lineRule="auto" w:before="0" w:after="0"/>
        <w:ind w:left="703" w:right="0" w:hanging="601"/>
        <w:jc w:val="both"/>
      </w:pPr>
      <w:bookmarkStart w:name="_TOC_250004" w:id="24"/>
      <w:r>
        <w:rPr/>
        <w:t>Objetivo</w:t>
      </w:r>
      <w:r>
        <w:rPr>
          <w:spacing w:val="-8"/>
        </w:rPr>
        <w:t> </w:t>
      </w:r>
      <w:bookmarkEnd w:id="24"/>
      <w:r>
        <w:rPr/>
        <w:t>General</w:t>
      </w:r>
    </w:p>
    <w:p>
      <w:pPr>
        <w:pStyle w:val="BodyText"/>
        <w:rPr>
          <w:b/>
        </w:rPr>
      </w:pPr>
    </w:p>
    <w:p>
      <w:pPr>
        <w:pStyle w:val="BodyText"/>
        <w:spacing w:before="5"/>
        <w:rPr>
          <w:b/>
          <w:sz w:val="34"/>
        </w:rPr>
      </w:pPr>
    </w:p>
    <w:p>
      <w:pPr>
        <w:pStyle w:val="BodyText"/>
        <w:spacing w:line="360" w:lineRule="auto"/>
        <w:ind w:left="102" w:right="115"/>
        <w:jc w:val="both"/>
      </w:pPr>
      <w:r>
        <w:rPr/>
        <w:t>Determinar mediante el uso de herramientas estadísticas, las variables de proceso que tienen mayor impacto sobre los costos de sobrellenado de producto terminado en los caldos extruidos elaborados por una empresa de  giro alimenticio para realizar una propuesta para reducir los costos asociados al fenómeno, a través del control de dichas</w:t>
      </w:r>
      <w:r>
        <w:rPr>
          <w:spacing w:val="-20"/>
        </w:rPr>
        <w:t> </w:t>
      </w:r>
      <w:r>
        <w:rPr/>
        <w:t>variables.</w:t>
      </w:r>
    </w:p>
    <w:p>
      <w:pPr>
        <w:pStyle w:val="BodyText"/>
      </w:pPr>
    </w:p>
    <w:p>
      <w:pPr>
        <w:pStyle w:val="BodyText"/>
        <w:spacing w:before="9"/>
        <w:rPr>
          <w:sz w:val="22"/>
        </w:rPr>
      </w:pPr>
    </w:p>
    <w:p>
      <w:pPr>
        <w:pStyle w:val="Heading2"/>
        <w:numPr>
          <w:ilvl w:val="2"/>
          <w:numId w:val="13"/>
        </w:numPr>
        <w:tabs>
          <w:tab w:pos="810" w:val="left" w:leader="none"/>
        </w:tabs>
        <w:spacing w:line="240" w:lineRule="auto" w:before="0" w:after="0"/>
        <w:ind w:left="810" w:right="0" w:hanging="708"/>
        <w:jc w:val="both"/>
      </w:pPr>
      <w:bookmarkStart w:name="_TOC_250003" w:id="25"/>
      <w:r>
        <w:rPr/>
        <w:t>Objetivos</w:t>
      </w:r>
      <w:r>
        <w:rPr>
          <w:spacing w:val="-7"/>
        </w:rPr>
        <w:t> </w:t>
      </w:r>
      <w:bookmarkEnd w:id="25"/>
      <w:r>
        <w:rPr/>
        <w:t>específicos</w:t>
      </w:r>
    </w:p>
    <w:p>
      <w:pPr>
        <w:pStyle w:val="ListParagraph"/>
        <w:numPr>
          <w:ilvl w:val="0"/>
          <w:numId w:val="14"/>
        </w:numPr>
        <w:tabs>
          <w:tab w:pos="809" w:val="left" w:leader="none"/>
          <w:tab w:pos="810" w:val="left" w:leader="none"/>
        </w:tabs>
        <w:spacing w:line="352" w:lineRule="auto" w:before="137" w:after="0"/>
        <w:ind w:left="822" w:right="124" w:hanging="360"/>
        <w:jc w:val="left"/>
        <w:rPr>
          <w:sz w:val="24"/>
        </w:rPr>
      </w:pPr>
      <w:r>
        <w:rPr>
          <w:sz w:val="24"/>
        </w:rPr>
        <w:t>Identificar el efecto de las variables que intervienen en los procesos relacionados con el sobrellenado de las línea de</w:t>
      </w:r>
      <w:r>
        <w:rPr>
          <w:spacing w:val="-21"/>
          <w:sz w:val="24"/>
        </w:rPr>
        <w:t> </w:t>
      </w:r>
      <w:r>
        <w:rPr>
          <w:sz w:val="24"/>
        </w:rPr>
        <w:t>cubos</w:t>
      </w:r>
    </w:p>
    <w:p>
      <w:pPr>
        <w:spacing w:after="0" w:line="352" w:lineRule="auto"/>
        <w:jc w:val="left"/>
        <w:rPr>
          <w:sz w:val="24"/>
        </w:rPr>
        <w:sectPr>
          <w:pgSz w:w="11910" w:h="16840"/>
          <w:pgMar w:header="0" w:footer="1043" w:top="1340" w:bottom="1240" w:left="1600" w:right="1580"/>
        </w:sectPr>
      </w:pPr>
    </w:p>
    <w:p>
      <w:pPr>
        <w:pStyle w:val="ListParagraph"/>
        <w:numPr>
          <w:ilvl w:val="0"/>
          <w:numId w:val="14"/>
        </w:numPr>
        <w:tabs>
          <w:tab w:pos="810" w:val="left" w:leader="none"/>
        </w:tabs>
        <w:spacing w:line="355" w:lineRule="auto" w:before="36" w:after="0"/>
        <w:ind w:left="822" w:right="119" w:hanging="360"/>
        <w:jc w:val="both"/>
        <w:rPr>
          <w:sz w:val="24"/>
        </w:rPr>
      </w:pPr>
      <w:r>
        <w:rPr>
          <w:sz w:val="24"/>
        </w:rPr>
        <w:t>Realizar un diagnóstico sobre los gastos en los que la empresa incurre por las variaciones existentes en las principales variables que afectan en el</w:t>
      </w:r>
      <w:r>
        <w:rPr>
          <w:spacing w:val="-6"/>
          <w:sz w:val="24"/>
        </w:rPr>
        <w:t> </w:t>
      </w:r>
      <w:r>
        <w:rPr>
          <w:sz w:val="24"/>
        </w:rPr>
        <w:t>sobrellenado</w:t>
      </w:r>
    </w:p>
    <w:p>
      <w:pPr>
        <w:pStyle w:val="ListParagraph"/>
        <w:numPr>
          <w:ilvl w:val="0"/>
          <w:numId w:val="14"/>
        </w:numPr>
        <w:tabs>
          <w:tab w:pos="810" w:val="left" w:leader="none"/>
        </w:tabs>
        <w:spacing w:line="350" w:lineRule="auto" w:before="11" w:after="0"/>
        <w:ind w:left="822" w:right="127" w:hanging="360"/>
        <w:jc w:val="both"/>
        <w:rPr>
          <w:sz w:val="24"/>
        </w:rPr>
      </w:pPr>
      <w:r>
        <w:rPr>
          <w:sz w:val="24"/>
        </w:rPr>
        <w:t>Realizar una propuesta para el control de las variables que ayude en la reducción de costos de</w:t>
      </w:r>
      <w:r>
        <w:rPr>
          <w:spacing w:val="-8"/>
          <w:sz w:val="24"/>
        </w:rPr>
        <w:t> </w:t>
      </w:r>
      <w:r>
        <w:rPr>
          <w:sz w:val="24"/>
        </w:rPr>
        <w:t>sobrellenado</w:t>
      </w:r>
    </w:p>
    <w:p>
      <w:pPr>
        <w:pStyle w:val="BodyText"/>
      </w:pPr>
    </w:p>
    <w:p>
      <w:pPr>
        <w:pStyle w:val="Heading2"/>
        <w:spacing w:before="152"/>
        <w:jc w:val="both"/>
      </w:pPr>
      <w:bookmarkStart w:name="_TOC_250002" w:id="26"/>
      <w:bookmarkEnd w:id="26"/>
      <w:r>
        <w:rPr/>
        <w:t>4.4. Preguntas de Investigación</w:t>
      </w:r>
    </w:p>
    <w:p>
      <w:pPr>
        <w:pStyle w:val="BodyText"/>
        <w:spacing w:before="3"/>
        <w:rPr>
          <w:b/>
          <w:sz w:val="22"/>
        </w:rPr>
      </w:pPr>
    </w:p>
    <w:p>
      <w:pPr>
        <w:pStyle w:val="ListParagraph"/>
        <w:numPr>
          <w:ilvl w:val="0"/>
          <w:numId w:val="15"/>
        </w:numPr>
        <w:tabs>
          <w:tab w:pos="407" w:val="left" w:leader="none"/>
        </w:tabs>
        <w:spacing w:line="362" w:lineRule="auto" w:before="1" w:after="0"/>
        <w:ind w:left="102" w:right="126" w:firstLine="0"/>
        <w:jc w:val="both"/>
        <w:rPr>
          <w:sz w:val="24"/>
        </w:rPr>
      </w:pPr>
      <w:r>
        <w:rPr>
          <w:sz w:val="24"/>
        </w:rPr>
        <w:t>¿Cuáles son las variables de proceso que tienen un mayor impacto en el sobrellenado de las líneas de elaboración de caldos</w:t>
      </w:r>
      <w:r>
        <w:rPr>
          <w:spacing w:val="-21"/>
          <w:sz w:val="24"/>
        </w:rPr>
        <w:t> </w:t>
      </w:r>
      <w:r>
        <w:rPr>
          <w:sz w:val="24"/>
        </w:rPr>
        <w:t>extruidos?</w:t>
      </w:r>
    </w:p>
    <w:p>
      <w:pPr>
        <w:pStyle w:val="ListParagraph"/>
        <w:numPr>
          <w:ilvl w:val="0"/>
          <w:numId w:val="15"/>
        </w:numPr>
        <w:tabs>
          <w:tab w:pos="397" w:val="left" w:leader="none"/>
        </w:tabs>
        <w:spacing w:line="360" w:lineRule="auto" w:before="0" w:after="0"/>
        <w:ind w:left="102" w:right="125" w:firstLine="0"/>
        <w:jc w:val="both"/>
        <w:rPr>
          <w:sz w:val="24"/>
        </w:rPr>
      </w:pPr>
      <w:r>
        <w:rPr>
          <w:sz w:val="24"/>
        </w:rPr>
        <w:t>¿Cómo afectan éstas variables en los costos que la empresa incurre en el sobrellenado?</w:t>
      </w:r>
    </w:p>
    <w:p>
      <w:pPr>
        <w:pStyle w:val="ListParagraph"/>
        <w:numPr>
          <w:ilvl w:val="0"/>
          <w:numId w:val="15"/>
        </w:numPr>
        <w:tabs>
          <w:tab w:pos="376" w:val="left" w:leader="none"/>
        </w:tabs>
        <w:spacing w:line="360" w:lineRule="auto" w:before="2" w:after="0"/>
        <w:ind w:left="102" w:right="122" w:firstLine="0"/>
        <w:jc w:val="both"/>
        <w:rPr>
          <w:sz w:val="24"/>
        </w:rPr>
      </w:pPr>
      <w:r>
        <w:rPr>
          <w:sz w:val="24"/>
        </w:rPr>
        <w:t>¿Cómo puedo controlar éstas variables de proceso para ayudar a reducir los costos por sobrellenado de la</w:t>
      </w:r>
      <w:r>
        <w:rPr>
          <w:spacing w:val="-13"/>
          <w:sz w:val="24"/>
        </w:rPr>
        <w:t> </w:t>
      </w:r>
      <w:r>
        <w:rPr>
          <w:sz w:val="24"/>
        </w:rPr>
        <w:t>empresa?</w:t>
      </w:r>
    </w:p>
    <w:p>
      <w:pPr>
        <w:pStyle w:val="BodyText"/>
      </w:pPr>
    </w:p>
    <w:p>
      <w:pPr>
        <w:pStyle w:val="Heading2"/>
        <w:spacing w:before="142"/>
        <w:jc w:val="both"/>
      </w:pPr>
      <w:bookmarkStart w:name="_TOC_250001" w:id="27"/>
      <w:bookmarkEnd w:id="27"/>
      <w:r>
        <w:rPr/>
        <w:t>4.5 Descripción de las variables de proceso de estudio</w:t>
      </w:r>
    </w:p>
    <w:p>
      <w:pPr>
        <w:pStyle w:val="BodyText"/>
        <w:rPr>
          <w:b/>
        </w:rPr>
      </w:pPr>
    </w:p>
    <w:p>
      <w:pPr>
        <w:pStyle w:val="BodyText"/>
        <w:rPr>
          <w:b/>
        </w:rPr>
      </w:pPr>
    </w:p>
    <w:p>
      <w:pPr>
        <w:pStyle w:val="BodyText"/>
        <w:spacing w:line="360" w:lineRule="auto"/>
        <w:ind w:left="102" w:right="122"/>
        <w:jc w:val="both"/>
      </w:pPr>
      <w:r>
        <w:rPr/>
        <w:t>Las variables de proceso sobre las cuales se realizará el análisis estadístico de este trabajo para encontrar el efecto de éstas en el sobrellenado están en función del tiempo y la temperatura.</w:t>
      </w:r>
    </w:p>
    <w:p>
      <w:pPr>
        <w:pStyle w:val="BodyText"/>
      </w:pPr>
    </w:p>
    <w:p>
      <w:pPr>
        <w:pStyle w:val="BodyText"/>
        <w:spacing w:line="360" w:lineRule="auto" w:before="142"/>
        <w:ind w:left="102" w:right="116"/>
        <w:jc w:val="both"/>
      </w:pPr>
      <w:r>
        <w:rPr/>
        <w:t>Se ha observado que en el proceso de elaboración existe un ingrediente que va en la fórmula en un porcentaje bajo, sin embargo tiene un efecto importante en la consistencia del producto porque es quien le da plasticidad la cual es una característica importante ya que pasa por un herramental que ejerce una fuerza sobre el producto y modifica su consistencia de forma que el control de peso varía si la consistencia es más suave, el parámetro que controla esto es la temperatura de dicho ingrediente ya que el porcentaje de sólidos de éste se mueven conforme aumenta la temperatura por lo que se desconoce la temperatura óptima en que debe de trabajarse para tener el menor porcentaje de sobrellenado.</w:t>
      </w:r>
    </w:p>
    <w:p>
      <w:pPr>
        <w:pStyle w:val="BodyText"/>
      </w:pPr>
    </w:p>
    <w:p>
      <w:pPr>
        <w:pStyle w:val="BodyText"/>
        <w:spacing w:line="360" w:lineRule="auto" w:before="142"/>
        <w:ind w:left="102" w:right="125"/>
        <w:jc w:val="both"/>
      </w:pPr>
      <w:r>
        <w:rPr/>
        <w:t>Existe otra variable que en la práctica está relacionada con la variable anterior que  es  el  tiempo  de  mezclado  de  los  ingredientes,  la  fórmula  además del</w:t>
      </w:r>
    </w:p>
    <w:p>
      <w:pPr>
        <w:spacing w:after="0" w:line="360" w:lineRule="auto"/>
        <w:jc w:val="both"/>
        <w:sectPr>
          <w:pgSz w:w="11910" w:h="16840"/>
          <w:pgMar w:header="0" w:footer="1043" w:top="1360" w:bottom="1240" w:left="1600" w:right="1580"/>
        </w:sectPr>
      </w:pPr>
    </w:p>
    <w:p>
      <w:pPr>
        <w:pStyle w:val="BodyText"/>
        <w:spacing w:line="360" w:lineRule="auto" w:before="56"/>
        <w:ind w:left="102" w:right="115"/>
        <w:jc w:val="both"/>
      </w:pPr>
      <w:r>
        <w:rPr/>
        <w:t>ingrediente principal lleva en su composición algunos polvos, cristales, colores y sabores que se incorporan entre ellos para formar el producto, el proceso de elaboración establece un tiempo de mezclado estándar para estos; sin embargo, se ha comprobado empíricamente que la temperatura del ingrediente principal tiene una gran relación con el tiempo de mezclado pues cuando viene más frío se le da un mayor tiempo que lo establecido en procedimiento y conforme la temperatura aumenta el tiempo de mezclado disminuye, teniendo una relación inversamente</w:t>
      </w:r>
      <w:r>
        <w:rPr>
          <w:spacing w:val="-11"/>
        </w:rPr>
        <w:t> </w:t>
      </w:r>
      <w:r>
        <w:rPr/>
        <w:t>proporcional.</w:t>
      </w:r>
    </w:p>
    <w:p>
      <w:pPr>
        <w:pStyle w:val="BodyText"/>
      </w:pPr>
    </w:p>
    <w:p>
      <w:pPr>
        <w:pStyle w:val="BodyText"/>
        <w:spacing w:line="360" w:lineRule="auto" w:before="142"/>
        <w:ind w:left="102" w:right="119" w:firstLine="67"/>
        <w:jc w:val="both"/>
      </w:pPr>
      <w:r>
        <w:rPr/>
        <w:t>Al final del proceso de elaboración del granel y como parámetro de control  para el dosificado del producto hacia la línea de envasado se mide la temperatura del producto, sin embargo, nunca se ha realizado un histórico para determinar si este parámetro debe ser realmente monitoreado porque tiene un efecto importante en el control de peso o si es una variable que no tiene importancia y debería haber un mayor control en las dos</w:t>
      </w:r>
      <w:r>
        <w:rPr>
          <w:spacing w:val="-32"/>
        </w:rPr>
        <w:t> </w:t>
      </w:r>
      <w:r>
        <w:rPr/>
        <w:t>anteriores.</w:t>
      </w:r>
    </w:p>
    <w:p>
      <w:pPr>
        <w:pStyle w:val="BodyText"/>
      </w:pPr>
    </w:p>
    <w:p>
      <w:pPr>
        <w:pStyle w:val="BodyText"/>
        <w:spacing w:line="360" w:lineRule="auto" w:before="142"/>
        <w:ind w:left="102" w:right="119"/>
        <w:jc w:val="both"/>
      </w:pPr>
      <w:r>
        <w:rPr/>
        <w:t>Aun cuando exista un plan robusto de calidad en las organizaciones donde el monitoreo y control de peso en los procesos de envasado y empaque sea una de las principales tareas de verificar turno a turno, también es cierto que ese parámetro es meramente reportado para fines de evidencia de cumplimiento  del plan de calidad y no se realiza un análisis estadístico adecuado que contemple cual es la relación y el efecto de las variables sobre el</w:t>
      </w:r>
      <w:r>
        <w:rPr>
          <w:spacing w:val="-26"/>
        </w:rPr>
        <w:t> </w:t>
      </w:r>
      <w:r>
        <w:rPr/>
        <w:t>sobrellenado.</w:t>
      </w:r>
    </w:p>
    <w:p>
      <w:pPr>
        <w:pStyle w:val="BodyText"/>
      </w:pPr>
    </w:p>
    <w:p>
      <w:pPr>
        <w:pStyle w:val="Heading2"/>
        <w:spacing w:before="142"/>
        <w:jc w:val="both"/>
      </w:pPr>
      <w:bookmarkStart w:name="_TOC_250000" w:id="28"/>
      <w:bookmarkEnd w:id="28"/>
      <w:r>
        <w:rPr/>
        <w:t>4.5 Descripción de la población y muestra</w:t>
      </w:r>
    </w:p>
    <w:p>
      <w:pPr>
        <w:pStyle w:val="BodyText"/>
        <w:rPr>
          <w:b/>
        </w:rPr>
      </w:pPr>
    </w:p>
    <w:p>
      <w:pPr>
        <w:pStyle w:val="BodyText"/>
        <w:spacing w:before="5"/>
        <w:rPr>
          <w:b/>
          <w:sz w:val="34"/>
        </w:rPr>
      </w:pPr>
    </w:p>
    <w:p>
      <w:pPr>
        <w:pStyle w:val="BodyText"/>
        <w:spacing w:line="360" w:lineRule="auto"/>
        <w:ind w:left="102" w:right="117"/>
        <w:jc w:val="both"/>
      </w:pPr>
      <w:r>
        <w:rPr/>
        <w:t>Se tomó como población la línea con mayor sobrellenado que reportaba la planta para la categoría de caldos en cubo, de acuerdo con el reporte de  merma presentado en el primer semestre del 2015 para la planta Lerma. Esta línea de cubos fue adquirida en la década de los 70´s, los productos que se elaboran son únicamente el caldo de pollo para el mercado Nacional y de exportación y mantiene una eficiencia de 70 % trabajando a una velocidad de 600 unidades por</w:t>
      </w:r>
      <w:r>
        <w:rPr>
          <w:spacing w:val="-12"/>
        </w:rPr>
        <w:t> </w:t>
      </w:r>
      <w:r>
        <w:rPr/>
        <w:t>minuto.</w:t>
      </w:r>
    </w:p>
    <w:p>
      <w:pPr>
        <w:spacing w:after="0" w:line="360" w:lineRule="auto"/>
        <w:jc w:val="both"/>
        <w:sectPr>
          <w:pgSz w:w="11910" w:h="16840"/>
          <w:pgMar w:header="0" w:footer="1043" w:top="1340" w:bottom="1240" w:left="1600" w:right="1580"/>
        </w:sectPr>
      </w:pPr>
    </w:p>
    <w:p>
      <w:pPr>
        <w:spacing w:before="53"/>
        <w:ind w:left="102" w:right="0" w:firstLine="0"/>
        <w:jc w:val="both"/>
        <w:rPr>
          <w:b/>
          <w:sz w:val="22"/>
        </w:rPr>
      </w:pPr>
      <w:r>
        <w:rPr>
          <w:b/>
          <w:sz w:val="22"/>
        </w:rPr>
        <w:t>Figura 4.Costos por sobrellenado de la empresa de estudio durante 2015</w:t>
      </w:r>
    </w:p>
    <w:p>
      <w:pPr>
        <w:pStyle w:val="BodyText"/>
        <w:spacing w:before="132"/>
        <w:ind w:left="102"/>
        <w:jc w:val="both"/>
      </w:pPr>
      <w:r>
        <w:rPr/>
        <w:drawing>
          <wp:anchor distT="0" distB="0" distL="0" distR="0" allowOverlap="1" layoutInCell="1" locked="0" behindDoc="0" simplePos="0" relativeHeight="1096">
            <wp:simplePos x="0" y="0"/>
            <wp:positionH relativeFrom="page">
              <wp:posOffset>1080769</wp:posOffset>
            </wp:positionH>
            <wp:positionV relativeFrom="paragraph">
              <wp:posOffset>346657</wp:posOffset>
            </wp:positionV>
            <wp:extent cx="5398756" cy="2708910"/>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26" cstate="print"/>
                    <a:stretch>
                      <a:fillRect/>
                    </a:stretch>
                  </pic:blipFill>
                  <pic:spPr>
                    <a:xfrm>
                      <a:off x="0" y="0"/>
                      <a:ext cx="5398756" cy="2708910"/>
                    </a:xfrm>
                    <a:prstGeom prst="rect">
                      <a:avLst/>
                    </a:prstGeom>
                  </pic:spPr>
                </pic:pic>
              </a:graphicData>
            </a:graphic>
          </wp:anchor>
        </w:drawing>
      </w:r>
      <w:r>
        <w:rPr>
          <w:w w:val="100"/>
        </w:rPr>
        <w:t>.</w:t>
      </w:r>
    </w:p>
    <w:p>
      <w:pPr>
        <w:spacing w:before="103"/>
        <w:ind w:left="102" w:right="0" w:firstLine="0"/>
        <w:jc w:val="both"/>
        <w:rPr>
          <w:sz w:val="22"/>
        </w:rPr>
      </w:pPr>
      <w:r>
        <w:rPr>
          <w:sz w:val="22"/>
        </w:rPr>
        <w:t>Fuente: Elaboración propia</w:t>
      </w:r>
    </w:p>
    <w:p>
      <w:pPr>
        <w:pStyle w:val="BodyText"/>
        <w:rPr>
          <w:sz w:val="22"/>
        </w:rPr>
      </w:pPr>
    </w:p>
    <w:p>
      <w:pPr>
        <w:pStyle w:val="BodyText"/>
        <w:spacing w:before="1"/>
        <w:rPr>
          <w:sz w:val="25"/>
        </w:rPr>
      </w:pPr>
    </w:p>
    <w:p>
      <w:pPr>
        <w:pStyle w:val="BodyText"/>
        <w:spacing w:line="360" w:lineRule="auto"/>
        <w:ind w:left="102" w:right="117"/>
        <w:jc w:val="both"/>
      </w:pPr>
      <w:r>
        <w:rPr/>
        <w:t>Previamente a la realización del trabajo terminal, el sistema de dosificación de la máquina envasadora fue restaurado completamente para evitar meter más variables al caso de estudio, por lo que los componentes mecánicos de la máquina no presentaban ningún desgaste que pudiera influir en el sobrellenado de los cubos.</w:t>
      </w:r>
    </w:p>
    <w:p>
      <w:pPr>
        <w:pStyle w:val="BodyText"/>
      </w:pPr>
    </w:p>
    <w:p>
      <w:pPr>
        <w:pStyle w:val="BodyText"/>
        <w:spacing w:line="360" w:lineRule="auto" w:before="142"/>
        <w:ind w:left="102" w:right="125"/>
        <w:jc w:val="both"/>
      </w:pPr>
      <w:r>
        <w:rPr/>
        <w:t>La línea es operada las 24 horas, divididas en 3 turnos de operación (Turno A, B y C), la cuadrilla está conformada por un operador por turno quien es responsable de entregar el volumen de cajas programado por día y un ayudante que se encarga de realizar la limpieza del equipo o relevar al  operador oficial durante las horas de</w:t>
      </w:r>
      <w:r>
        <w:rPr>
          <w:spacing w:val="-18"/>
        </w:rPr>
        <w:t> </w:t>
      </w:r>
      <w:r>
        <w:rPr/>
        <w:t>comida.</w:t>
      </w:r>
    </w:p>
    <w:p>
      <w:pPr>
        <w:pStyle w:val="BodyText"/>
      </w:pPr>
    </w:p>
    <w:p>
      <w:pPr>
        <w:pStyle w:val="BodyText"/>
        <w:spacing w:before="9"/>
        <w:rPr>
          <w:sz w:val="22"/>
        </w:rPr>
      </w:pPr>
    </w:p>
    <w:p>
      <w:pPr>
        <w:pStyle w:val="BodyText"/>
        <w:spacing w:line="360" w:lineRule="auto"/>
        <w:ind w:left="102" w:right="115"/>
        <w:jc w:val="both"/>
      </w:pPr>
      <w:r>
        <w:rPr/>
        <w:t>Respecto a la muestra se recolectaron 150 datos, correspondientes a las mediciones diarias de cada variable durante un periodo de 5 meses, tiempo  que la empresa consideró suficiente para tener el histórico completo de la situación en cuanto al tema de sobrellenado de la línea. Durante este tiempo, se tuvo el soporte de un operador, previamente capacitado, que realizó las mediciones diarias con el objetivo de no tener variación respecto a la persona que tomaba los</w:t>
      </w:r>
      <w:r>
        <w:rPr>
          <w:spacing w:val="-10"/>
        </w:rPr>
        <w:t> </w:t>
      </w:r>
      <w:r>
        <w:rPr/>
        <w:t>datos.</w:t>
      </w:r>
    </w:p>
    <w:p>
      <w:pPr>
        <w:spacing w:after="0" w:line="360" w:lineRule="auto"/>
        <w:jc w:val="both"/>
        <w:sectPr>
          <w:pgSz w:w="11910" w:h="16840"/>
          <w:pgMar w:header="0" w:footer="1043" w:top="1340" w:bottom="1240" w:left="1600" w:right="1580"/>
        </w:sectPr>
      </w:pPr>
    </w:p>
    <w:p>
      <w:pPr>
        <w:pStyle w:val="BodyText"/>
        <w:spacing w:line="360" w:lineRule="auto" w:before="56"/>
        <w:ind w:left="102" w:right="121"/>
        <w:jc w:val="both"/>
      </w:pPr>
      <w:r>
        <w:rPr/>
        <w:t>El instrumento utilizado fue un check list (lista de verificación) que contuvo las 3 variables independientes así como la medición de la variable dependiente (porcentaje de sobrellenado). Para sacar los costos de sobrellenado se tuvo que también solicitar a los operadores el volumen producido por día (en toneladas) y se pedía la firma del operador responsable del llenado de la</w:t>
      </w:r>
      <w:r>
        <w:rPr>
          <w:spacing w:val="-39"/>
        </w:rPr>
        <w:t> </w:t>
      </w:r>
      <w:r>
        <w:rPr/>
        <w:t>lista.</w:t>
      </w:r>
    </w:p>
    <w:p>
      <w:pPr>
        <w:pStyle w:val="BodyText"/>
      </w:pPr>
    </w:p>
    <w:p>
      <w:pPr>
        <w:spacing w:before="139"/>
        <w:ind w:left="102" w:right="0" w:firstLine="0"/>
        <w:jc w:val="both"/>
        <w:rPr>
          <w:b/>
          <w:sz w:val="22"/>
        </w:rPr>
      </w:pPr>
      <w:r>
        <w:rPr/>
        <w:drawing>
          <wp:anchor distT="0" distB="0" distL="0" distR="0" allowOverlap="1" layoutInCell="1" locked="0" behindDoc="0" simplePos="0" relativeHeight="1120">
            <wp:simplePos x="0" y="0"/>
            <wp:positionH relativeFrom="page">
              <wp:posOffset>1080769</wp:posOffset>
            </wp:positionH>
            <wp:positionV relativeFrom="paragraph">
              <wp:posOffset>331697</wp:posOffset>
            </wp:positionV>
            <wp:extent cx="5336565" cy="6586537"/>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27" cstate="print"/>
                    <a:stretch>
                      <a:fillRect/>
                    </a:stretch>
                  </pic:blipFill>
                  <pic:spPr>
                    <a:xfrm>
                      <a:off x="0" y="0"/>
                      <a:ext cx="5336565" cy="6586537"/>
                    </a:xfrm>
                    <a:prstGeom prst="rect">
                      <a:avLst/>
                    </a:prstGeom>
                  </pic:spPr>
                </pic:pic>
              </a:graphicData>
            </a:graphic>
          </wp:anchor>
        </w:drawing>
      </w:r>
      <w:r>
        <w:rPr>
          <w:b/>
          <w:sz w:val="22"/>
        </w:rPr>
        <w:t>Figura 5. Instrumento de medición utilizado</w:t>
      </w:r>
    </w:p>
    <w:p>
      <w:pPr>
        <w:spacing w:before="84"/>
        <w:ind w:left="102" w:right="0" w:firstLine="0"/>
        <w:jc w:val="both"/>
        <w:rPr>
          <w:sz w:val="22"/>
        </w:rPr>
      </w:pPr>
      <w:r>
        <w:rPr>
          <w:sz w:val="22"/>
        </w:rPr>
        <w:t>Fuente: Elaboración propia</w:t>
      </w:r>
    </w:p>
    <w:p>
      <w:pPr>
        <w:spacing w:after="0"/>
        <w:jc w:val="both"/>
        <w:rPr>
          <w:sz w:val="22"/>
        </w:rPr>
        <w:sectPr>
          <w:pgSz w:w="11910" w:h="16840"/>
          <w:pgMar w:header="0" w:footer="1043" w:top="1340" w:bottom="1240" w:left="1600" w:right="1580"/>
        </w:sectPr>
      </w:pPr>
    </w:p>
    <w:p>
      <w:pPr>
        <w:pStyle w:val="BodyText"/>
        <w:spacing w:line="360" w:lineRule="auto" w:before="56"/>
        <w:ind w:left="102" w:right="127"/>
        <w:jc w:val="both"/>
      </w:pPr>
      <w:r>
        <w:rPr/>
        <w:t>La descripción de cada variable independiente de la lista de verificación es la siguiente:</w:t>
      </w:r>
    </w:p>
    <w:p>
      <w:pPr>
        <w:pStyle w:val="BodyText"/>
      </w:pPr>
    </w:p>
    <w:p>
      <w:pPr>
        <w:pStyle w:val="BodyText"/>
        <w:spacing w:before="9"/>
        <w:rPr>
          <w:sz w:val="22"/>
        </w:rPr>
      </w:pPr>
    </w:p>
    <w:p>
      <w:pPr>
        <w:pStyle w:val="BodyText"/>
        <w:spacing w:line="360" w:lineRule="auto"/>
        <w:ind w:left="102" w:right="118"/>
        <w:jc w:val="both"/>
      </w:pPr>
      <w:r>
        <w:rPr>
          <w:b/>
        </w:rPr>
        <w:t>Temperatura del ingrediente principal: </w:t>
      </w:r>
      <w:r>
        <w:rPr/>
        <w:t>Ingrediente dentro de la fórmula que define la plasticidad y consistencia del producto, dicho ingrediente tiene una curva de porcentaje de sólidos que se mueve conforme aumenta o disminuye la temperatura por lo que es una de las principales variables que se cree que tiene relación con otras variables de proceso y con el fenómeno de sobrellenado. La medición se expresa en grados</w:t>
      </w:r>
      <w:r>
        <w:rPr>
          <w:spacing w:val="-20"/>
        </w:rPr>
        <w:t> </w:t>
      </w:r>
      <w:r>
        <w:rPr/>
        <w:t>centígrados.</w:t>
      </w:r>
    </w:p>
    <w:p>
      <w:pPr>
        <w:pStyle w:val="BodyText"/>
      </w:pPr>
    </w:p>
    <w:p>
      <w:pPr>
        <w:pStyle w:val="BodyText"/>
        <w:spacing w:line="360" w:lineRule="auto" w:before="142"/>
        <w:ind w:left="102" w:right="114"/>
        <w:jc w:val="both"/>
      </w:pPr>
      <w:r>
        <w:rPr>
          <w:b/>
        </w:rPr>
        <w:t>Tiempo de mezclado: </w:t>
      </w:r>
      <w:r>
        <w:rPr/>
        <w:t>Tiempo que se le da a los ingredientes dentro de un mezclador para que se forme una mezcla homogénea entre ellos y es una de las variables que se ha observado empíricamente que tiene un efecto importante en el sobrellenado, ya que cuando hay un sobre mezclado de los ingredientes, la textura del producto es más suave y por lo tanto en las líneas de envasado donde se ejerce un esfuerzo mecánico para extrusión del producto, se suaviza más teniendo un menor control de peso cuando la pasta se encuentra en estas condiciones. Por otro lado se cree que tiene relación con la temperatura del ingrediente principal ya que la operación no ha podido estandarizar dicho tiempo debido a que la temperatura del ingrediente se mueve en un rango amplio de temperatura. La medición de esta variable se reporta en</w:t>
      </w:r>
      <w:r>
        <w:rPr>
          <w:spacing w:val="-5"/>
        </w:rPr>
        <w:t> </w:t>
      </w:r>
      <w:r>
        <w:rPr/>
        <w:t>minutos.</w:t>
      </w:r>
    </w:p>
    <w:p>
      <w:pPr>
        <w:pStyle w:val="BodyText"/>
      </w:pPr>
    </w:p>
    <w:p>
      <w:pPr>
        <w:pStyle w:val="BodyText"/>
        <w:spacing w:line="360" w:lineRule="auto" w:before="142"/>
        <w:ind w:left="102" w:right="118"/>
        <w:jc w:val="both"/>
      </w:pPr>
      <w:r>
        <w:rPr>
          <w:b/>
        </w:rPr>
        <w:t>c) Temperatura del semielaborado: </w:t>
      </w:r>
      <w:r>
        <w:rPr/>
        <w:t>Esta es una de las variables medidas y reportadas en el plan calidad de la planta y que sirve de referencia para saber si el producto fue dosificado hacia la línea de envasado a una temperatura adecuada, pero no se ha estudiado si es una variable que vale la pena medir o es consecuencia de las dos variables anteriores. La unidad de medida en que se realiza la medición es en</w:t>
      </w:r>
      <w:r>
        <w:rPr>
          <w:spacing w:val="-10"/>
        </w:rPr>
        <w:t> </w:t>
      </w:r>
      <w:r>
        <w:rPr/>
        <w:t>minutos.</w:t>
      </w:r>
    </w:p>
    <w:p>
      <w:pPr>
        <w:spacing w:after="0" w:line="360" w:lineRule="auto"/>
        <w:jc w:val="both"/>
        <w:sectPr>
          <w:pgSz w:w="11910" w:h="16840"/>
          <w:pgMar w:header="0" w:footer="1043" w:top="1340" w:bottom="1240" w:left="1600" w:right="1580"/>
        </w:sectPr>
      </w:pPr>
    </w:p>
    <w:p>
      <w:pPr>
        <w:pStyle w:val="Heading1"/>
        <w:spacing w:line="360" w:lineRule="auto"/>
        <w:ind w:left="2975" w:right="436" w:hanging="2547"/>
      </w:pPr>
      <w:r>
        <w:rPr/>
        <w:t>CAPÍTULO 5. ANÁLISIS Y DISCUSIÓN DE RESULTADOS</w:t>
      </w:r>
    </w:p>
    <w:p>
      <w:pPr>
        <w:pStyle w:val="BodyText"/>
        <w:spacing w:before="7"/>
        <w:rPr>
          <w:b/>
          <w:sz w:val="36"/>
        </w:rPr>
      </w:pPr>
    </w:p>
    <w:p>
      <w:pPr>
        <w:pStyle w:val="Heading2"/>
        <w:spacing w:before="1"/>
        <w:jc w:val="both"/>
      </w:pPr>
      <w:r>
        <w:rPr/>
        <w:t>5.1. Análisis de resultados</w:t>
      </w:r>
    </w:p>
    <w:p>
      <w:pPr>
        <w:pStyle w:val="BodyText"/>
        <w:rPr>
          <w:b/>
        </w:rPr>
      </w:pPr>
    </w:p>
    <w:p>
      <w:pPr>
        <w:pStyle w:val="BodyText"/>
        <w:rPr>
          <w:b/>
        </w:rPr>
      </w:pPr>
    </w:p>
    <w:p>
      <w:pPr>
        <w:pStyle w:val="BodyText"/>
        <w:spacing w:line="360" w:lineRule="auto"/>
        <w:ind w:left="102" w:right="124"/>
        <w:jc w:val="both"/>
      </w:pPr>
      <w:r>
        <w:rPr/>
        <w:t>Cuando se realizaron las mediciones se detectó que había una diferencia entre los pesos que reportaba el verificador de peso instalado en la línea, que se encarga de rechazar los estuches con valores por abajo o arriba de los límites operativos (báscula dinámica) y la báscula analítica estática que el operador de la línea tiene como herramienta para llenar su hoja CEP (Control estadístico de procesos) cada 30 minutos.</w:t>
      </w:r>
    </w:p>
    <w:p>
      <w:pPr>
        <w:pStyle w:val="BodyText"/>
      </w:pPr>
    </w:p>
    <w:p>
      <w:pPr>
        <w:pStyle w:val="BodyText"/>
        <w:spacing w:line="360" w:lineRule="auto" w:before="142"/>
        <w:ind w:left="102" w:right="125"/>
        <w:jc w:val="both"/>
      </w:pPr>
      <w:r>
        <w:rPr/>
        <w:t>Como medida preventiva se realizó el análisis de la variación existente entre  los datos arrojados por ambas básculas y se solicitó al equipo de mantenimiento realizar la calibración de ambos equipos. Los datos recabados se podrán consultar en el anexo</w:t>
      </w:r>
      <w:r>
        <w:rPr>
          <w:spacing w:val="-13"/>
        </w:rPr>
        <w:t> </w:t>
      </w:r>
      <w:r>
        <w:rPr/>
        <w:t>3.</w:t>
      </w:r>
    </w:p>
    <w:p>
      <w:pPr>
        <w:pStyle w:val="BodyText"/>
      </w:pPr>
    </w:p>
    <w:p>
      <w:pPr>
        <w:pStyle w:val="BodyText"/>
        <w:spacing w:line="360" w:lineRule="auto" w:before="142"/>
        <w:ind w:left="102" w:right="114"/>
        <w:jc w:val="both"/>
      </w:pPr>
      <w:r>
        <w:rPr/>
        <w:t>Las mediciones que fueron realizadas durante el periodo de 150 días (5 meses) se analizaron a través de las herramientas estadísticas del software Microsoft Excel 2010</w:t>
      </w:r>
    </w:p>
    <w:p>
      <w:pPr>
        <w:pStyle w:val="BodyText"/>
      </w:pPr>
    </w:p>
    <w:p>
      <w:pPr>
        <w:pStyle w:val="BodyText"/>
        <w:spacing w:line="360" w:lineRule="auto" w:before="142"/>
        <w:ind w:left="102" w:right="122"/>
        <w:jc w:val="both"/>
      </w:pPr>
      <w:r>
        <w:rPr/>
        <w:t>Cabe mencionar que lo que se colocaba diario en la lista de verificación era el promedio de los datos recabados durante el día, es decir cada hora el operador entrenado tomaba los parámetros de las variables independientes y el peso de 5 estuches y los registraba en su bitácora, descartando las horas en donde había un paro de máquina, limpieza o avería que pudiera afectar el resultado  de los pesos; al final del día, se sacaba el promedio de los datos y se llenaba la lista de</w:t>
      </w:r>
      <w:r>
        <w:rPr>
          <w:spacing w:val="-3"/>
        </w:rPr>
        <w:t> </w:t>
      </w:r>
      <w:r>
        <w:rPr/>
        <w:t>verificación.</w:t>
      </w:r>
    </w:p>
    <w:p>
      <w:pPr>
        <w:pStyle w:val="BodyText"/>
      </w:pPr>
    </w:p>
    <w:p>
      <w:pPr>
        <w:pStyle w:val="BodyText"/>
        <w:spacing w:before="139"/>
        <w:ind w:left="169"/>
        <w:jc w:val="both"/>
      </w:pPr>
      <w:r>
        <w:rPr/>
        <w:t>Los resultados arrojados por el software estadístico son los siguientes:</w:t>
      </w:r>
    </w:p>
    <w:p>
      <w:pPr>
        <w:spacing w:after="0"/>
        <w:jc w:val="both"/>
        <w:sectPr>
          <w:pgSz w:w="11910" w:h="16840"/>
          <w:pgMar w:header="0" w:footer="1043" w:top="1360" w:bottom="1240" w:left="1600" w:right="1580"/>
        </w:sectPr>
      </w:pPr>
    </w:p>
    <w:p>
      <w:pPr>
        <w:spacing w:before="53"/>
        <w:ind w:left="102" w:right="0" w:firstLine="0"/>
        <w:jc w:val="left"/>
        <w:rPr>
          <w:b/>
          <w:sz w:val="22"/>
        </w:rPr>
      </w:pPr>
      <w:r>
        <w:rPr>
          <w:b/>
          <w:sz w:val="22"/>
        </w:rPr>
        <w:t>Figura 6. Coeficiente de correlación entre las variables independientes</w:t>
      </w:r>
    </w:p>
    <w:p>
      <w:pPr>
        <w:pStyle w:val="BodyText"/>
        <w:rPr>
          <w:b/>
          <w:sz w:val="22"/>
        </w:rPr>
      </w:pPr>
    </w:p>
    <w:tbl>
      <w:tblPr>
        <w:tblW w:w="0" w:type="auto"/>
        <w:jc w:val="left"/>
        <w:tblInd w:w="3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77"/>
        <w:gridCol w:w="1543"/>
        <w:gridCol w:w="2009"/>
        <w:gridCol w:w="1990"/>
      </w:tblGrid>
      <w:tr>
        <w:trPr>
          <w:trHeight w:val="1795" w:hRule="exact"/>
        </w:trPr>
        <w:tc>
          <w:tcPr>
            <w:tcW w:w="2477" w:type="dxa"/>
          </w:tcPr>
          <w:p>
            <w:pPr>
              <w:pStyle w:val="TableParagraph"/>
              <w:spacing w:line="240" w:lineRule="auto"/>
              <w:jc w:val="left"/>
              <w:rPr>
                <w:b/>
                <w:sz w:val="24"/>
              </w:rPr>
            </w:pPr>
          </w:p>
          <w:p>
            <w:pPr>
              <w:pStyle w:val="TableParagraph"/>
              <w:spacing w:line="240" w:lineRule="auto" w:before="10"/>
              <w:jc w:val="left"/>
              <w:rPr>
                <w:b/>
                <w:sz w:val="29"/>
              </w:rPr>
            </w:pPr>
          </w:p>
          <w:p>
            <w:pPr>
              <w:pStyle w:val="TableParagraph"/>
              <w:spacing w:line="240" w:lineRule="auto"/>
              <w:ind w:left="693" w:right="177"/>
              <w:jc w:val="left"/>
              <w:rPr>
                <w:b/>
                <w:sz w:val="24"/>
              </w:rPr>
            </w:pPr>
            <w:r>
              <w:rPr>
                <w:b/>
                <w:sz w:val="24"/>
              </w:rPr>
              <w:t>Variables</w:t>
            </w:r>
          </w:p>
        </w:tc>
        <w:tc>
          <w:tcPr>
            <w:tcW w:w="1543" w:type="dxa"/>
            <w:shd w:val="clear" w:color="auto" w:fill="E3DFEB"/>
          </w:tcPr>
          <w:p>
            <w:pPr>
              <w:pStyle w:val="TableParagraph"/>
              <w:spacing w:line="360" w:lineRule="auto"/>
              <w:ind w:left="67" w:right="64"/>
              <w:rPr>
                <w:sz w:val="24"/>
              </w:rPr>
            </w:pPr>
            <w:r>
              <w:rPr>
                <w:sz w:val="24"/>
              </w:rPr>
              <w:t>Temperatura del    ingrediente principal (°C)</w:t>
            </w:r>
          </w:p>
        </w:tc>
        <w:tc>
          <w:tcPr>
            <w:tcW w:w="2009" w:type="dxa"/>
            <w:shd w:val="clear" w:color="auto" w:fill="E3DFEB"/>
          </w:tcPr>
          <w:p>
            <w:pPr>
              <w:pStyle w:val="TableParagraph"/>
              <w:spacing w:line="360" w:lineRule="auto"/>
              <w:ind w:left="127" w:right="124" w:hanging="1"/>
              <w:rPr>
                <w:sz w:val="24"/>
              </w:rPr>
            </w:pPr>
            <w:r>
              <w:rPr>
                <w:sz w:val="24"/>
              </w:rPr>
              <w:t>Tiempo de mezclado de los ingredientes (min)</w:t>
            </w:r>
          </w:p>
        </w:tc>
        <w:tc>
          <w:tcPr>
            <w:tcW w:w="1990" w:type="dxa"/>
            <w:shd w:val="clear" w:color="auto" w:fill="E3DFEB"/>
          </w:tcPr>
          <w:p>
            <w:pPr>
              <w:pStyle w:val="TableParagraph"/>
              <w:spacing w:line="360" w:lineRule="auto" w:before="204"/>
              <w:ind w:left="100" w:right="105"/>
              <w:rPr>
                <w:sz w:val="24"/>
              </w:rPr>
            </w:pPr>
            <w:r>
              <w:rPr>
                <w:sz w:val="24"/>
              </w:rPr>
              <w:t>Temperatura del semielaborado (°C)</w:t>
            </w:r>
          </w:p>
        </w:tc>
      </w:tr>
      <w:tr>
        <w:trPr>
          <w:trHeight w:val="1383" w:hRule="exact"/>
        </w:trPr>
        <w:tc>
          <w:tcPr>
            <w:tcW w:w="2477" w:type="dxa"/>
            <w:shd w:val="clear" w:color="auto" w:fill="E3DFEB"/>
          </w:tcPr>
          <w:p>
            <w:pPr>
              <w:pStyle w:val="TableParagraph"/>
              <w:spacing w:line="360" w:lineRule="auto"/>
              <w:ind w:left="153" w:right="152" w:hanging="4"/>
              <w:rPr>
                <w:i/>
                <w:sz w:val="24"/>
              </w:rPr>
            </w:pPr>
            <w:r>
              <w:rPr>
                <w:i/>
                <w:sz w:val="24"/>
              </w:rPr>
              <w:t>Temperatura del </w:t>
            </w:r>
            <w:r>
              <w:rPr>
                <w:i/>
                <w:sz w:val="24"/>
              </w:rPr>
              <w:t>ingrediente principal (°C)</w:t>
            </w:r>
          </w:p>
        </w:tc>
        <w:tc>
          <w:tcPr>
            <w:tcW w:w="1543" w:type="dxa"/>
            <w:shd w:val="clear" w:color="auto" w:fill="D9D9D9"/>
          </w:tcPr>
          <w:p>
            <w:pPr>
              <w:pStyle w:val="TableParagraph"/>
              <w:spacing w:line="240" w:lineRule="auto" w:before="10"/>
              <w:jc w:val="left"/>
              <w:rPr>
                <w:b/>
                <w:sz w:val="35"/>
              </w:rPr>
            </w:pPr>
          </w:p>
          <w:p>
            <w:pPr>
              <w:pStyle w:val="TableParagraph"/>
              <w:spacing w:line="240" w:lineRule="auto"/>
              <w:ind w:right="1"/>
              <w:rPr>
                <w:sz w:val="24"/>
              </w:rPr>
            </w:pPr>
            <w:r>
              <w:rPr>
                <w:w w:val="99"/>
                <w:sz w:val="24"/>
              </w:rPr>
              <w:t>1</w:t>
            </w:r>
          </w:p>
        </w:tc>
        <w:tc>
          <w:tcPr>
            <w:tcW w:w="2009" w:type="dxa"/>
          </w:tcPr>
          <w:p>
            <w:pPr/>
          </w:p>
        </w:tc>
        <w:tc>
          <w:tcPr>
            <w:tcW w:w="1990" w:type="dxa"/>
          </w:tcPr>
          <w:p>
            <w:pPr/>
          </w:p>
        </w:tc>
      </w:tr>
      <w:tr>
        <w:trPr>
          <w:trHeight w:val="1380" w:hRule="exact"/>
        </w:trPr>
        <w:tc>
          <w:tcPr>
            <w:tcW w:w="2477" w:type="dxa"/>
            <w:shd w:val="clear" w:color="auto" w:fill="E3DFEB"/>
          </w:tcPr>
          <w:p>
            <w:pPr>
              <w:pStyle w:val="TableParagraph"/>
              <w:spacing w:line="360" w:lineRule="auto"/>
              <w:ind w:left="115" w:right="115"/>
              <w:rPr>
                <w:i/>
                <w:sz w:val="24"/>
              </w:rPr>
            </w:pPr>
            <w:r>
              <w:rPr>
                <w:i/>
                <w:sz w:val="24"/>
              </w:rPr>
              <w:t>Tiempo de mezclado </w:t>
            </w:r>
            <w:r>
              <w:rPr>
                <w:i/>
                <w:sz w:val="24"/>
              </w:rPr>
              <w:t>de los ingredientes (min)</w:t>
            </w:r>
          </w:p>
        </w:tc>
        <w:tc>
          <w:tcPr>
            <w:tcW w:w="1543" w:type="dxa"/>
          </w:tcPr>
          <w:p>
            <w:pPr>
              <w:pStyle w:val="TableParagraph"/>
              <w:spacing w:line="240" w:lineRule="auto" w:before="8"/>
              <w:jc w:val="left"/>
              <w:rPr>
                <w:b/>
                <w:sz w:val="35"/>
              </w:rPr>
            </w:pPr>
          </w:p>
          <w:p>
            <w:pPr>
              <w:pStyle w:val="TableParagraph"/>
              <w:spacing w:line="240" w:lineRule="auto"/>
              <w:ind w:left="63" w:right="64"/>
              <w:rPr>
                <w:sz w:val="24"/>
              </w:rPr>
            </w:pPr>
            <w:r>
              <w:rPr>
                <w:sz w:val="24"/>
              </w:rPr>
              <w:t>0.9627</w:t>
            </w:r>
          </w:p>
        </w:tc>
        <w:tc>
          <w:tcPr>
            <w:tcW w:w="2009" w:type="dxa"/>
            <w:shd w:val="clear" w:color="auto" w:fill="D9D9D9"/>
          </w:tcPr>
          <w:p>
            <w:pPr>
              <w:pStyle w:val="TableParagraph"/>
              <w:spacing w:line="240" w:lineRule="auto" w:before="8"/>
              <w:jc w:val="left"/>
              <w:rPr>
                <w:b/>
                <w:sz w:val="35"/>
              </w:rPr>
            </w:pPr>
          </w:p>
          <w:p>
            <w:pPr>
              <w:pStyle w:val="TableParagraph"/>
              <w:spacing w:line="240" w:lineRule="auto"/>
              <w:rPr>
                <w:sz w:val="24"/>
              </w:rPr>
            </w:pPr>
            <w:r>
              <w:rPr>
                <w:w w:val="99"/>
                <w:sz w:val="24"/>
              </w:rPr>
              <w:t>1</w:t>
            </w:r>
          </w:p>
        </w:tc>
        <w:tc>
          <w:tcPr>
            <w:tcW w:w="1990" w:type="dxa"/>
          </w:tcPr>
          <w:p>
            <w:pPr/>
          </w:p>
        </w:tc>
      </w:tr>
      <w:tr>
        <w:trPr>
          <w:trHeight w:val="970" w:hRule="exact"/>
        </w:trPr>
        <w:tc>
          <w:tcPr>
            <w:tcW w:w="2477" w:type="dxa"/>
            <w:shd w:val="clear" w:color="auto" w:fill="E3DFEB"/>
          </w:tcPr>
          <w:p>
            <w:pPr>
              <w:pStyle w:val="TableParagraph"/>
              <w:spacing w:line="360" w:lineRule="auto"/>
              <w:ind w:left="191" w:right="177" w:firstLine="153"/>
              <w:jc w:val="left"/>
              <w:rPr>
                <w:i/>
                <w:sz w:val="24"/>
              </w:rPr>
            </w:pPr>
            <w:r>
              <w:rPr>
                <w:i/>
                <w:sz w:val="24"/>
              </w:rPr>
              <w:t>Temperatura del </w:t>
            </w:r>
            <w:r>
              <w:rPr>
                <w:i/>
                <w:sz w:val="24"/>
              </w:rPr>
              <w:t>semielaborado (°C)</w:t>
            </w:r>
          </w:p>
        </w:tc>
        <w:tc>
          <w:tcPr>
            <w:tcW w:w="1543" w:type="dxa"/>
          </w:tcPr>
          <w:p>
            <w:pPr>
              <w:pStyle w:val="TableParagraph"/>
              <w:spacing w:line="240" w:lineRule="auto" w:before="207"/>
              <w:ind w:left="63" w:right="64"/>
              <w:rPr>
                <w:sz w:val="24"/>
              </w:rPr>
            </w:pPr>
            <w:r>
              <w:rPr>
                <w:sz w:val="24"/>
              </w:rPr>
              <w:t>0.7740</w:t>
            </w:r>
          </w:p>
        </w:tc>
        <w:tc>
          <w:tcPr>
            <w:tcW w:w="2009" w:type="dxa"/>
          </w:tcPr>
          <w:p>
            <w:pPr>
              <w:pStyle w:val="TableParagraph"/>
              <w:spacing w:line="240" w:lineRule="auto" w:before="207"/>
              <w:ind w:left="607" w:right="608"/>
              <w:rPr>
                <w:sz w:val="24"/>
              </w:rPr>
            </w:pPr>
            <w:r>
              <w:rPr>
                <w:sz w:val="24"/>
              </w:rPr>
              <w:t>0.7829</w:t>
            </w:r>
          </w:p>
        </w:tc>
        <w:tc>
          <w:tcPr>
            <w:tcW w:w="1990" w:type="dxa"/>
            <w:shd w:val="clear" w:color="auto" w:fill="D9D9D9"/>
          </w:tcPr>
          <w:p>
            <w:pPr>
              <w:pStyle w:val="TableParagraph"/>
              <w:spacing w:line="240" w:lineRule="auto" w:before="207"/>
              <w:rPr>
                <w:sz w:val="24"/>
              </w:rPr>
            </w:pPr>
            <w:r>
              <w:rPr>
                <w:w w:val="99"/>
                <w:sz w:val="24"/>
              </w:rPr>
              <w:t>1</w:t>
            </w:r>
          </w:p>
        </w:tc>
      </w:tr>
    </w:tbl>
    <w:p>
      <w:pPr>
        <w:spacing w:line="251" w:lineRule="exact" w:before="0"/>
        <w:ind w:left="102" w:right="0" w:firstLine="0"/>
        <w:jc w:val="both"/>
        <w:rPr>
          <w:sz w:val="22"/>
        </w:rPr>
      </w:pPr>
      <w:r>
        <w:rPr>
          <w:sz w:val="22"/>
        </w:rPr>
        <w:t>Fuente: Elaboración propia usando el análisis de datos de Excel 2010</w:t>
      </w:r>
    </w:p>
    <w:p>
      <w:pPr>
        <w:pStyle w:val="BodyText"/>
        <w:rPr>
          <w:sz w:val="22"/>
        </w:rPr>
      </w:pPr>
    </w:p>
    <w:p>
      <w:pPr>
        <w:pStyle w:val="BodyText"/>
        <w:spacing w:before="1"/>
        <w:rPr>
          <w:sz w:val="25"/>
        </w:rPr>
      </w:pPr>
    </w:p>
    <w:p>
      <w:pPr>
        <w:pStyle w:val="BodyText"/>
        <w:spacing w:line="360" w:lineRule="auto" w:before="1"/>
        <w:ind w:left="102" w:right="116"/>
        <w:jc w:val="both"/>
      </w:pPr>
      <w:r>
        <w:rPr/>
        <w:t>Como se observa en la figura 6, la mayor relación entre las variables se da entre la temperatura del ingrediente principal y el tiempo de mezclado de los ingredientes con un 96.27% de relación entre ellos, dicha relación es estrecha ya que como se había indicado anteriormente, empíricamente los operadores modifican los tiempos de mezclado en función de la temperatura del ingrediente principal.</w:t>
      </w:r>
    </w:p>
    <w:p>
      <w:pPr>
        <w:pStyle w:val="BodyText"/>
      </w:pPr>
    </w:p>
    <w:p>
      <w:pPr>
        <w:pStyle w:val="BodyText"/>
        <w:spacing w:line="360" w:lineRule="auto" w:before="142"/>
        <w:ind w:left="102" w:right="116"/>
        <w:jc w:val="both"/>
      </w:pPr>
      <w:r>
        <w:rPr/>
        <w:t>Por otro lado, entre la temperatura del ingrediente (°C) y la temperatura del semielaborado (°C) hay una relación del 77.4% mientras que el tiempo de mezclado de los ingredientes (min) tiene una correlación del 78.29% con respecto a la temperatura del semielaborado (°C). La mayor correlación esta entre la temperatura del ingrediente principal y el tiempo de mezclado de los ingrediente.</w:t>
      </w:r>
    </w:p>
    <w:p>
      <w:pPr>
        <w:pStyle w:val="BodyText"/>
      </w:pPr>
    </w:p>
    <w:p>
      <w:pPr>
        <w:pStyle w:val="BodyText"/>
        <w:spacing w:line="360" w:lineRule="auto" w:before="142"/>
        <w:ind w:left="102" w:right="125"/>
        <w:jc w:val="both"/>
      </w:pPr>
      <w:r>
        <w:rPr/>
        <w:t>Como parte del análisis estadístico de los datos, se corrió el análisis de varianza (ANOVA) de los datos con un nivel de confianza del 99</w:t>
      </w:r>
      <w:r>
        <w:rPr>
          <w:spacing w:val="-26"/>
        </w:rPr>
        <w:t> </w:t>
      </w:r>
      <w:r>
        <w:rPr/>
        <w:t>%.</w:t>
      </w:r>
    </w:p>
    <w:p>
      <w:pPr>
        <w:spacing w:after="0" w:line="360" w:lineRule="auto"/>
        <w:jc w:val="both"/>
        <w:sectPr>
          <w:pgSz w:w="11910" w:h="16840"/>
          <w:pgMar w:header="0" w:footer="1043" w:top="1340" w:bottom="1240" w:left="1600" w:right="1580"/>
        </w:sectPr>
      </w:pPr>
    </w:p>
    <w:p>
      <w:pPr>
        <w:spacing w:before="53"/>
        <w:ind w:left="202" w:right="218" w:firstLine="0"/>
        <w:jc w:val="left"/>
        <w:rPr>
          <w:b/>
          <w:sz w:val="22"/>
        </w:rPr>
      </w:pPr>
      <w:r>
        <w:rPr>
          <w:b/>
          <w:sz w:val="22"/>
        </w:rPr>
        <w:t>Figura 7. ANOVA</w:t>
      </w:r>
    </w:p>
    <w:p>
      <w:pPr>
        <w:pStyle w:val="BodyText"/>
        <w:rPr>
          <w:b/>
          <w:sz w:val="20"/>
        </w:rPr>
      </w:pPr>
    </w:p>
    <w:p>
      <w:pPr>
        <w:pStyle w:val="BodyText"/>
        <w:rPr>
          <w:b/>
          <w:sz w:val="20"/>
        </w:rPr>
      </w:pPr>
    </w:p>
    <w:p>
      <w:pPr>
        <w:pStyle w:val="BodyText"/>
        <w:rPr>
          <w:b/>
          <w:sz w:val="15"/>
        </w:rPr>
      </w:pPr>
    </w:p>
    <w:tbl>
      <w:tblPr>
        <w:tblW w:w="0" w:type="auto"/>
        <w:jc w:val="left"/>
        <w:tblInd w:w="18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94"/>
        <w:gridCol w:w="1008"/>
      </w:tblGrid>
      <w:tr>
        <w:trPr>
          <w:trHeight w:val="552" w:hRule="exact"/>
        </w:trPr>
        <w:tc>
          <w:tcPr>
            <w:tcW w:w="5202" w:type="dxa"/>
            <w:gridSpan w:val="2"/>
            <w:shd w:val="clear" w:color="auto" w:fill="CCC0DA"/>
          </w:tcPr>
          <w:p>
            <w:pPr>
              <w:pStyle w:val="TableParagraph"/>
              <w:spacing w:line="274" w:lineRule="exact"/>
              <w:ind w:left="1003"/>
              <w:jc w:val="left"/>
              <w:rPr>
                <w:b/>
                <w:i/>
                <w:sz w:val="24"/>
              </w:rPr>
            </w:pPr>
            <w:r>
              <w:rPr>
                <w:b/>
                <w:i/>
                <w:sz w:val="24"/>
              </w:rPr>
              <w:t>Estadísticas de la regresión</w:t>
            </w:r>
          </w:p>
        </w:tc>
      </w:tr>
      <w:tr>
        <w:trPr>
          <w:trHeight w:val="427" w:hRule="exact"/>
        </w:trPr>
        <w:tc>
          <w:tcPr>
            <w:tcW w:w="4194" w:type="dxa"/>
            <w:tcBorders>
              <w:bottom w:val="nil"/>
            </w:tcBorders>
          </w:tcPr>
          <w:p>
            <w:pPr>
              <w:pStyle w:val="TableParagraph"/>
              <w:spacing w:line="240" w:lineRule="auto"/>
              <w:ind w:left="232" w:right="233"/>
              <w:rPr>
                <w:sz w:val="24"/>
              </w:rPr>
            </w:pPr>
            <w:r>
              <w:rPr>
                <w:sz w:val="24"/>
              </w:rPr>
              <w:t>Coeficiente de correlación múltiple</w:t>
            </w:r>
          </w:p>
        </w:tc>
        <w:tc>
          <w:tcPr>
            <w:tcW w:w="1008" w:type="dxa"/>
            <w:tcBorders>
              <w:bottom w:val="nil"/>
            </w:tcBorders>
          </w:tcPr>
          <w:p>
            <w:pPr>
              <w:pStyle w:val="TableParagraph"/>
              <w:spacing w:line="240" w:lineRule="auto"/>
              <w:ind w:left="40" w:right="40"/>
              <w:rPr>
                <w:sz w:val="24"/>
              </w:rPr>
            </w:pPr>
            <w:r>
              <w:rPr>
                <w:sz w:val="24"/>
              </w:rPr>
              <w:t>0.994</w:t>
            </w:r>
          </w:p>
        </w:tc>
      </w:tr>
      <w:tr>
        <w:trPr>
          <w:trHeight w:val="534" w:hRule="exact"/>
        </w:trPr>
        <w:tc>
          <w:tcPr>
            <w:tcW w:w="4194" w:type="dxa"/>
            <w:tcBorders>
              <w:top w:val="nil"/>
              <w:bottom w:val="nil"/>
            </w:tcBorders>
          </w:tcPr>
          <w:p>
            <w:pPr>
              <w:pStyle w:val="TableParagraph"/>
              <w:spacing w:line="240" w:lineRule="auto" w:before="115"/>
              <w:ind w:left="226" w:right="233"/>
              <w:rPr>
                <w:sz w:val="24"/>
              </w:rPr>
            </w:pPr>
            <w:r>
              <w:rPr>
                <w:sz w:val="24"/>
              </w:rPr>
              <w:t>Coeficiente de determinación R^2</w:t>
            </w:r>
          </w:p>
        </w:tc>
        <w:tc>
          <w:tcPr>
            <w:tcW w:w="1008" w:type="dxa"/>
            <w:tcBorders>
              <w:top w:val="nil"/>
              <w:bottom w:val="nil"/>
            </w:tcBorders>
          </w:tcPr>
          <w:p>
            <w:pPr>
              <w:pStyle w:val="TableParagraph"/>
              <w:spacing w:line="240" w:lineRule="auto" w:before="115"/>
              <w:ind w:left="40" w:right="39"/>
              <w:rPr>
                <w:sz w:val="24"/>
              </w:rPr>
            </w:pPr>
            <w:r>
              <w:rPr>
                <w:sz w:val="24"/>
              </w:rPr>
              <w:t>0.989</w:t>
            </w:r>
          </w:p>
        </w:tc>
      </w:tr>
      <w:tr>
        <w:trPr>
          <w:trHeight w:val="664" w:hRule="exact"/>
        </w:trPr>
        <w:tc>
          <w:tcPr>
            <w:tcW w:w="4194" w:type="dxa"/>
            <w:tcBorders>
              <w:top w:val="nil"/>
            </w:tcBorders>
          </w:tcPr>
          <w:p>
            <w:pPr>
              <w:pStyle w:val="TableParagraph"/>
              <w:spacing w:line="240" w:lineRule="auto" w:before="117"/>
              <w:ind w:left="232" w:right="231"/>
              <w:rPr>
                <w:sz w:val="24"/>
              </w:rPr>
            </w:pPr>
            <w:r>
              <w:rPr>
                <w:sz w:val="24"/>
              </w:rPr>
              <w:t>Observaciones</w:t>
            </w:r>
          </w:p>
        </w:tc>
        <w:tc>
          <w:tcPr>
            <w:tcW w:w="1008" w:type="dxa"/>
            <w:tcBorders>
              <w:top w:val="nil"/>
            </w:tcBorders>
          </w:tcPr>
          <w:p>
            <w:pPr>
              <w:pStyle w:val="TableParagraph"/>
              <w:spacing w:line="240" w:lineRule="auto" w:before="117"/>
              <w:ind w:left="40" w:right="40"/>
              <w:rPr>
                <w:sz w:val="24"/>
              </w:rPr>
            </w:pPr>
            <w:r>
              <w:rPr>
                <w:sz w:val="24"/>
              </w:rPr>
              <w:t>150.000</w:t>
            </w:r>
          </w:p>
        </w:tc>
      </w:tr>
    </w:tbl>
    <w:p>
      <w:pPr>
        <w:spacing w:line="251" w:lineRule="exact" w:before="0"/>
        <w:ind w:left="202" w:right="0" w:firstLine="0"/>
        <w:jc w:val="both"/>
        <w:rPr>
          <w:sz w:val="22"/>
        </w:rPr>
      </w:pPr>
      <w:r>
        <w:rPr>
          <w:sz w:val="22"/>
        </w:rPr>
        <w:t>Fuente: Elaboración propia usando el análisis de datos de Excel 2010</w:t>
      </w:r>
    </w:p>
    <w:p>
      <w:pPr>
        <w:pStyle w:val="BodyText"/>
        <w:rPr>
          <w:sz w:val="22"/>
        </w:rPr>
      </w:pPr>
    </w:p>
    <w:p>
      <w:pPr>
        <w:pStyle w:val="BodyText"/>
        <w:spacing w:before="11"/>
      </w:pPr>
    </w:p>
    <w:p>
      <w:pPr>
        <w:pStyle w:val="BodyText"/>
        <w:spacing w:line="360" w:lineRule="auto"/>
        <w:ind w:left="202" w:right="214"/>
        <w:jc w:val="both"/>
      </w:pPr>
      <w:r>
        <w:rPr/>
        <w:t>Se corrió el ANOVA con los 150 datos recolectados para cada variable y se obtuvieron los resultados que se observan en las figuras 7 y 8. Se obtuvo un coeficiente de determinación R2 de 0.98 que nos indica que las variables independientes (temperatura del ingrediente principal, tiempo de mezclado de los ingredientes y temperatura del semielaborado) explican en un 98% el sobrellenado.</w:t>
      </w:r>
    </w:p>
    <w:p>
      <w:pPr>
        <w:pStyle w:val="BodyText"/>
      </w:pPr>
    </w:p>
    <w:p>
      <w:pPr>
        <w:pStyle w:val="BodyText"/>
        <w:spacing w:line="360" w:lineRule="auto" w:before="142"/>
        <w:ind w:left="202" w:right="214"/>
        <w:jc w:val="both"/>
      </w:pPr>
      <w:r>
        <w:rPr/>
        <w:t>Por otro lado, el valor de F de tablas (2.61) es menor al F calculado (4429.71) por lo tanto se concluye que el modelo es estadísticamente significativo con un nivel de confianza del 99%.</w:t>
      </w:r>
    </w:p>
    <w:p>
      <w:pPr>
        <w:pStyle w:val="BodyText"/>
      </w:pPr>
    </w:p>
    <w:p>
      <w:pPr>
        <w:pStyle w:val="BodyText"/>
      </w:pPr>
    </w:p>
    <w:p>
      <w:pPr>
        <w:spacing w:before="141"/>
        <w:ind w:left="202" w:right="0" w:firstLine="0"/>
        <w:jc w:val="both"/>
        <w:rPr>
          <w:b/>
          <w:sz w:val="22"/>
        </w:rPr>
      </w:pPr>
      <w:r>
        <w:rPr>
          <w:b/>
          <w:sz w:val="22"/>
        </w:rPr>
        <w:t>Figura 8. Estadísticos de la regresión para el fenómeno de sobrellenado</w:t>
      </w:r>
    </w:p>
    <w:p>
      <w:pPr>
        <w:pStyle w:val="BodyText"/>
        <w:spacing w:before="9" w:after="1"/>
        <w:rPr>
          <w:b/>
        </w:rPr>
      </w:pPr>
    </w:p>
    <w:tbl>
      <w:tblPr>
        <w:tblW w:w="0" w:type="auto"/>
        <w:jc w:val="left"/>
        <w:tblInd w:w="1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01"/>
        <w:gridCol w:w="1441"/>
        <w:gridCol w:w="1500"/>
        <w:gridCol w:w="1860"/>
        <w:gridCol w:w="1061"/>
        <w:gridCol w:w="1520"/>
      </w:tblGrid>
      <w:tr>
        <w:trPr>
          <w:trHeight w:val="969" w:hRule="exact"/>
        </w:trPr>
        <w:tc>
          <w:tcPr>
            <w:tcW w:w="1301" w:type="dxa"/>
            <w:shd w:val="clear" w:color="auto" w:fill="CCC0DA"/>
          </w:tcPr>
          <w:p>
            <w:pPr>
              <w:pStyle w:val="TableParagraph"/>
              <w:spacing w:line="240" w:lineRule="auto" w:before="205"/>
              <w:ind w:left="72" w:right="72"/>
              <w:rPr>
                <w:b/>
                <w:i/>
                <w:sz w:val="24"/>
              </w:rPr>
            </w:pPr>
            <w:r>
              <w:rPr>
                <w:b/>
                <w:i/>
                <w:sz w:val="24"/>
              </w:rPr>
              <w:t>ANOVA</w:t>
            </w:r>
          </w:p>
        </w:tc>
        <w:tc>
          <w:tcPr>
            <w:tcW w:w="1441" w:type="dxa"/>
            <w:shd w:val="clear" w:color="auto" w:fill="CCC0DA"/>
          </w:tcPr>
          <w:p>
            <w:pPr>
              <w:pStyle w:val="TableParagraph"/>
              <w:spacing w:line="360" w:lineRule="auto"/>
              <w:ind w:left="275" w:right="100" w:hanging="161"/>
              <w:jc w:val="left"/>
              <w:rPr>
                <w:b/>
                <w:i/>
                <w:sz w:val="24"/>
              </w:rPr>
            </w:pPr>
            <w:r>
              <w:rPr>
                <w:b/>
                <w:i/>
                <w:sz w:val="24"/>
              </w:rPr>
              <w:t>Grados de </w:t>
            </w:r>
            <w:r>
              <w:rPr>
                <w:b/>
                <w:i/>
                <w:sz w:val="24"/>
              </w:rPr>
              <w:t>libertad</w:t>
            </w:r>
          </w:p>
        </w:tc>
        <w:tc>
          <w:tcPr>
            <w:tcW w:w="1500" w:type="dxa"/>
            <w:shd w:val="clear" w:color="auto" w:fill="CCC0DA"/>
          </w:tcPr>
          <w:p>
            <w:pPr>
              <w:pStyle w:val="TableParagraph"/>
              <w:spacing w:line="360" w:lineRule="auto"/>
              <w:ind w:left="131" w:right="116" w:firstLine="105"/>
              <w:jc w:val="left"/>
              <w:rPr>
                <w:b/>
                <w:i/>
                <w:sz w:val="24"/>
              </w:rPr>
            </w:pPr>
            <w:r>
              <w:rPr>
                <w:b/>
                <w:i/>
                <w:sz w:val="24"/>
              </w:rPr>
              <w:t>Suma de </w:t>
            </w:r>
            <w:r>
              <w:rPr>
                <w:b/>
                <w:i/>
                <w:sz w:val="24"/>
              </w:rPr>
              <w:t>cuadrados</w:t>
            </w:r>
          </w:p>
        </w:tc>
        <w:tc>
          <w:tcPr>
            <w:tcW w:w="1860" w:type="dxa"/>
            <w:shd w:val="clear" w:color="auto" w:fill="CCC0DA"/>
          </w:tcPr>
          <w:p>
            <w:pPr>
              <w:pStyle w:val="TableParagraph"/>
              <w:spacing w:line="360" w:lineRule="auto"/>
              <w:ind w:left="105" w:right="89" w:firstLine="86"/>
              <w:jc w:val="left"/>
              <w:rPr>
                <w:b/>
                <w:i/>
                <w:sz w:val="24"/>
              </w:rPr>
            </w:pPr>
            <w:r>
              <w:rPr>
                <w:b/>
                <w:i/>
                <w:sz w:val="24"/>
              </w:rPr>
              <w:t>Promedio de </w:t>
            </w:r>
            <w:r>
              <w:rPr>
                <w:b/>
                <w:i/>
                <w:sz w:val="24"/>
              </w:rPr>
              <w:t>los cuadrados</w:t>
            </w:r>
          </w:p>
        </w:tc>
        <w:tc>
          <w:tcPr>
            <w:tcW w:w="1061" w:type="dxa"/>
            <w:shd w:val="clear" w:color="auto" w:fill="CCC0DA"/>
          </w:tcPr>
          <w:p>
            <w:pPr>
              <w:pStyle w:val="TableParagraph"/>
              <w:spacing w:line="240" w:lineRule="auto" w:before="205"/>
              <w:rPr>
                <w:b/>
                <w:i/>
                <w:sz w:val="24"/>
              </w:rPr>
            </w:pPr>
            <w:r>
              <w:rPr>
                <w:b/>
                <w:i/>
                <w:sz w:val="24"/>
              </w:rPr>
              <w:t>F</w:t>
            </w:r>
          </w:p>
        </w:tc>
        <w:tc>
          <w:tcPr>
            <w:tcW w:w="1520" w:type="dxa"/>
            <w:shd w:val="clear" w:color="auto" w:fill="CCC0DA"/>
          </w:tcPr>
          <w:p>
            <w:pPr>
              <w:pStyle w:val="TableParagraph"/>
              <w:spacing w:line="360" w:lineRule="auto"/>
              <w:ind w:left="111" w:right="89" w:firstLine="338"/>
              <w:jc w:val="left"/>
              <w:rPr>
                <w:b/>
                <w:i/>
                <w:sz w:val="24"/>
              </w:rPr>
            </w:pPr>
            <w:r>
              <w:rPr>
                <w:b/>
                <w:i/>
                <w:sz w:val="24"/>
              </w:rPr>
              <w:t>Valor </w:t>
            </w:r>
            <w:r>
              <w:rPr>
                <w:b/>
                <w:i/>
                <w:sz w:val="24"/>
              </w:rPr>
              <w:t>crítico de F</w:t>
            </w:r>
          </w:p>
        </w:tc>
      </w:tr>
      <w:tr>
        <w:trPr>
          <w:trHeight w:val="959" w:hRule="exact"/>
        </w:trPr>
        <w:tc>
          <w:tcPr>
            <w:tcW w:w="1301" w:type="dxa"/>
            <w:tcBorders>
              <w:bottom w:val="nil"/>
            </w:tcBorders>
            <w:shd w:val="clear" w:color="auto" w:fill="CCC0DA"/>
          </w:tcPr>
          <w:p>
            <w:pPr>
              <w:pStyle w:val="TableParagraph"/>
              <w:spacing w:line="240" w:lineRule="auto"/>
              <w:jc w:val="left"/>
              <w:rPr>
                <w:b/>
                <w:sz w:val="24"/>
              </w:rPr>
            </w:pPr>
          </w:p>
          <w:p>
            <w:pPr>
              <w:pStyle w:val="TableParagraph"/>
              <w:spacing w:line="240" w:lineRule="auto" w:before="1"/>
              <w:jc w:val="left"/>
              <w:rPr>
                <w:b/>
                <w:sz w:val="22"/>
              </w:rPr>
            </w:pPr>
          </w:p>
          <w:p>
            <w:pPr>
              <w:pStyle w:val="TableParagraph"/>
              <w:spacing w:line="240" w:lineRule="auto" w:before="1"/>
              <w:ind w:left="72" w:right="75"/>
              <w:rPr>
                <w:sz w:val="24"/>
              </w:rPr>
            </w:pPr>
            <w:r>
              <w:rPr>
                <w:sz w:val="24"/>
              </w:rPr>
              <w:t>Regresión</w:t>
            </w:r>
          </w:p>
        </w:tc>
        <w:tc>
          <w:tcPr>
            <w:tcW w:w="1441" w:type="dxa"/>
            <w:tcBorders>
              <w:bottom w:val="nil"/>
            </w:tcBorders>
          </w:tcPr>
          <w:p>
            <w:pPr>
              <w:pStyle w:val="TableParagraph"/>
              <w:spacing w:line="240" w:lineRule="auto"/>
              <w:jc w:val="left"/>
              <w:rPr>
                <w:b/>
                <w:sz w:val="24"/>
              </w:rPr>
            </w:pPr>
          </w:p>
          <w:p>
            <w:pPr>
              <w:pStyle w:val="TableParagraph"/>
              <w:spacing w:line="240" w:lineRule="auto" w:before="1"/>
              <w:jc w:val="left"/>
              <w:rPr>
                <w:b/>
                <w:sz w:val="22"/>
              </w:rPr>
            </w:pPr>
          </w:p>
          <w:p>
            <w:pPr>
              <w:pStyle w:val="TableParagraph"/>
              <w:spacing w:line="240" w:lineRule="auto" w:before="1"/>
              <w:ind w:right="1"/>
              <w:rPr>
                <w:sz w:val="24"/>
              </w:rPr>
            </w:pPr>
            <w:r>
              <w:rPr>
                <w:w w:val="99"/>
                <w:sz w:val="24"/>
              </w:rPr>
              <w:t>3</w:t>
            </w:r>
          </w:p>
        </w:tc>
        <w:tc>
          <w:tcPr>
            <w:tcW w:w="1500" w:type="dxa"/>
            <w:tcBorders>
              <w:bottom w:val="nil"/>
            </w:tcBorders>
          </w:tcPr>
          <w:p>
            <w:pPr>
              <w:pStyle w:val="TableParagraph"/>
              <w:spacing w:line="240" w:lineRule="auto"/>
              <w:jc w:val="left"/>
              <w:rPr>
                <w:b/>
                <w:sz w:val="24"/>
              </w:rPr>
            </w:pPr>
          </w:p>
          <w:p>
            <w:pPr>
              <w:pStyle w:val="TableParagraph"/>
              <w:spacing w:line="240" w:lineRule="auto" w:before="1"/>
              <w:jc w:val="left"/>
              <w:rPr>
                <w:b/>
                <w:sz w:val="22"/>
              </w:rPr>
            </w:pPr>
          </w:p>
          <w:p>
            <w:pPr>
              <w:pStyle w:val="TableParagraph"/>
              <w:spacing w:line="240" w:lineRule="auto" w:before="1"/>
              <w:ind w:left="352" w:right="353"/>
              <w:rPr>
                <w:sz w:val="24"/>
              </w:rPr>
            </w:pPr>
            <w:r>
              <w:rPr>
                <w:sz w:val="24"/>
              </w:rPr>
              <w:t>906.48</w:t>
            </w:r>
          </w:p>
        </w:tc>
        <w:tc>
          <w:tcPr>
            <w:tcW w:w="1860" w:type="dxa"/>
            <w:tcBorders>
              <w:bottom w:val="nil"/>
            </w:tcBorders>
          </w:tcPr>
          <w:p>
            <w:pPr>
              <w:pStyle w:val="TableParagraph"/>
              <w:spacing w:line="240" w:lineRule="auto"/>
              <w:jc w:val="left"/>
              <w:rPr>
                <w:b/>
                <w:sz w:val="24"/>
              </w:rPr>
            </w:pPr>
          </w:p>
          <w:p>
            <w:pPr>
              <w:pStyle w:val="TableParagraph"/>
              <w:spacing w:line="240" w:lineRule="auto" w:before="1"/>
              <w:jc w:val="left"/>
              <w:rPr>
                <w:b/>
                <w:sz w:val="22"/>
              </w:rPr>
            </w:pPr>
          </w:p>
          <w:p>
            <w:pPr>
              <w:pStyle w:val="TableParagraph"/>
              <w:spacing w:line="240" w:lineRule="auto" w:before="1"/>
              <w:ind w:left="533" w:right="534"/>
              <w:rPr>
                <w:sz w:val="24"/>
              </w:rPr>
            </w:pPr>
            <w:r>
              <w:rPr>
                <w:sz w:val="24"/>
              </w:rPr>
              <w:t>302.16</w:t>
            </w:r>
          </w:p>
        </w:tc>
        <w:tc>
          <w:tcPr>
            <w:tcW w:w="1061" w:type="dxa"/>
            <w:vMerge w:val="restart"/>
          </w:tcPr>
          <w:p>
            <w:pPr>
              <w:pStyle w:val="TableParagraph"/>
              <w:spacing w:line="240" w:lineRule="auto"/>
              <w:jc w:val="left"/>
              <w:rPr>
                <w:b/>
                <w:sz w:val="24"/>
              </w:rPr>
            </w:pPr>
          </w:p>
          <w:p>
            <w:pPr>
              <w:pStyle w:val="TableParagraph"/>
              <w:spacing w:line="240" w:lineRule="auto" w:before="1"/>
              <w:jc w:val="left"/>
              <w:rPr>
                <w:b/>
                <w:sz w:val="22"/>
              </w:rPr>
            </w:pPr>
          </w:p>
          <w:p>
            <w:pPr>
              <w:pStyle w:val="TableParagraph"/>
              <w:spacing w:line="240" w:lineRule="auto" w:before="1"/>
              <w:ind w:left="84"/>
              <w:jc w:val="left"/>
              <w:rPr>
                <w:sz w:val="24"/>
              </w:rPr>
            </w:pPr>
            <w:r>
              <w:rPr>
                <w:sz w:val="24"/>
              </w:rPr>
              <w:t>4429.71</w:t>
            </w:r>
          </w:p>
        </w:tc>
        <w:tc>
          <w:tcPr>
            <w:tcW w:w="1520" w:type="dxa"/>
            <w:vMerge w:val="restart"/>
          </w:tcPr>
          <w:p>
            <w:pPr>
              <w:pStyle w:val="TableParagraph"/>
              <w:spacing w:line="240" w:lineRule="auto"/>
              <w:jc w:val="left"/>
              <w:rPr>
                <w:b/>
                <w:sz w:val="24"/>
              </w:rPr>
            </w:pPr>
          </w:p>
          <w:p>
            <w:pPr>
              <w:pStyle w:val="TableParagraph"/>
              <w:spacing w:line="240" w:lineRule="auto" w:before="1"/>
              <w:jc w:val="left"/>
              <w:rPr>
                <w:b/>
                <w:sz w:val="22"/>
              </w:rPr>
            </w:pPr>
          </w:p>
          <w:p>
            <w:pPr>
              <w:pStyle w:val="TableParagraph"/>
              <w:spacing w:line="240" w:lineRule="auto" w:before="1"/>
              <w:ind w:left="130" w:right="89"/>
              <w:jc w:val="left"/>
              <w:rPr>
                <w:sz w:val="24"/>
              </w:rPr>
            </w:pPr>
            <w:r>
              <w:rPr>
                <w:sz w:val="24"/>
              </w:rPr>
              <w:t>4.169E-143</w:t>
            </w:r>
          </w:p>
        </w:tc>
      </w:tr>
      <w:tr>
        <w:trPr>
          <w:trHeight w:val="534" w:hRule="exact"/>
        </w:trPr>
        <w:tc>
          <w:tcPr>
            <w:tcW w:w="1301" w:type="dxa"/>
            <w:tcBorders>
              <w:top w:val="nil"/>
              <w:bottom w:val="nil"/>
            </w:tcBorders>
            <w:shd w:val="clear" w:color="auto" w:fill="CCC0DA"/>
          </w:tcPr>
          <w:p>
            <w:pPr>
              <w:pStyle w:val="TableParagraph"/>
              <w:spacing w:line="240" w:lineRule="auto" w:before="117"/>
              <w:ind w:left="72" w:right="72"/>
              <w:rPr>
                <w:sz w:val="24"/>
              </w:rPr>
            </w:pPr>
            <w:r>
              <w:rPr>
                <w:sz w:val="24"/>
              </w:rPr>
              <w:t>Residuos</w:t>
            </w:r>
          </w:p>
        </w:tc>
        <w:tc>
          <w:tcPr>
            <w:tcW w:w="1441" w:type="dxa"/>
            <w:tcBorders>
              <w:top w:val="nil"/>
              <w:bottom w:val="nil"/>
            </w:tcBorders>
          </w:tcPr>
          <w:p>
            <w:pPr>
              <w:pStyle w:val="TableParagraph"/>
              <w:spacing w:line="240" w:lineRule="auto" w:before="117"/>
              <w:ind w:left="490" w:right="490"/>
              <w:rPr>
                <w:sz w:val="24"/>
              </w:rPr>
            </w:pPr>
            <w:r>
              <w:rPr>
                <w:sz w:val="24"/>
              </w:rPr>
              <w:t>146</w:t>
            </w:r>
          </w:p>
        </w:tc>
        <w:tc>
          <w:tcPr>
            <w:tcW w:w="1500" w:type="dxa"/>
            <w:tcBorders>
              <w:top w:val="nil"/>
              <w:bottom w:val="nil"/>
            </w:tcBorders>
          </w:tcPr>
          <w:p>
            <w:pPr>
              <w:pStyle w:val="TableParagraph"/>
              <w:spacing w:line="240" w:lineRule="auto" w:before="117"/>
              <w:ind w:left="352" w:right="352"/>
              <w:rPr>
                <w:sz w:val="24"/>
              </w:rPr>
            </w:pPr>
            <w:r>
              <w:rPr>
                <w:sz w:val="24"/>
              </w:rPr>
              <w:t>9.96</w:t>
            </w:r>
          </w:p>
        </w:tc>
        <w:tc>
          <w:tcPr>
            <w:tcW w:w="1860" w:type="dxa"/>
            <w:tcBorders>
              <w:top w:val="nil"/>
              <w:bottom w:val="nil"/>
            </w:tcBorders>
          </w:tcPr>
          <w:p>
            <w:pPr>
              <w:pStyle w:val="TableParagraph"/>
              <w:spacing w:line="240" w:lineRule="auto" w:before="117"/>
              <w:ind w:left="533" w:right="534"/>
              <w:rPr>
                <w:sz w:val="24"/>
              </w:rPr>
            </w:pPr>
            <w:r>
              <w:rPr>
                <w:sz w:val="24"/>
              </w:rPr>
              <w:t>0.068</w:t>
            </w:r>
          </w:p>
        </w:tc>
        <w:tc>
          <w:tcPr>
            <w:tcW w:w="1061" w:type="dxa"/>
            <w:vMerge/>
          </w:tcPr>
          <w:p>
            <w:pPr/>
          </w:p>
        </w:tc>
        <w:tc>
          <w:tcPr>
            <w:tcW w:w="1520" w:type="dxa"/>
            <w:vMerge/>
          </w:tcPr>
          <w:p>
            <w:pPr/>
          </w:p>
        </w:tc>
      </w:tr>
      <w:tr>
        <w:trPr>
          <w:trHeight w:val="662" w:hRule="exact"/>
        </w:trPr>
        <w:tc>
          <w:tcPr>
            <w:tcW w:w="1301" w:type="dxa"/>
            <w:tcBorders>
              <w:top w:val="nil"/>
            </w:tcBorders>
            <w:shd w:val="clear" w:color="auto" w:fill="CCC0DA"/>
          </w:tcPr>
          <w:p>
            <w:pPr>
              <w:pStyle w:val="TableParagraph"/>
              <w:spacing w:line="240" w:lineRule="auto" w:before="115"/>
              <w:ind w:left="72" w:right="72"/>
              <w:rPr>
                <w:sz w:val="24"/>
              </w:rPr>
            </w:pPr>
            <w:r>
              <w:rPr>
                <w:sz w:val="24"/>
              </w:rPr>
              <w:t>Total</w:t>
            </w:r>
          </w:p>
        </w:tc>
        <w:tc>
          <w:tcPr>
            <w:tcW w:w="1441" w:type="dxa"/>
            <w:tcBorders>
              <w:top w:val="nil"/>
            </w:tcBorders>
          </w:tcPr>
          <w:p>
            <w:pPr>
              <w:pStyle w:val="TableParagraph"/>
              <w:spacing w:line="240" w:lineRule="auto" w:before="115"/>
              <w:ind w:left="489" w:right="490"/>
              <w:rPr>
                <w:sz w:val="24"/>
              </w:rPr>
            </w:pPr>
            <w:r>
              <w:rPr>
                <w:sz w:val="24"/>
              </w:rPr>
              <w:t>149</w:t>
            </w:r>
          </w:p>
        </w:tc>
        <w:tc>
          <w:tcPr>
            <w:tcW w:w="1500" w:type="dxa"/>
            <w:tcBorders>
              <w:top w:val="nil"/>
            </w:tcBorders>
          </w:tcPr>
          <w:p>
            <w:pPr>
              <w:pStyle w:val="TableParagraph"/>
              <w:spacing w:line="240" w:lineRule="auto" w:before="115"/>
              <w:ind w:left="352" w:right="353"/>
              <w:rPr>
                <w:sz w:val="24"/>
              </w:rPr>
            </w:pPr>
            <w:r>
              <w:rPr>
                <w:sz w:val="24"/>
              </w:rPr>
              <w:t>916.44</w:t>
            </w:r>
          </w:p>
        </w:tc>
        <w:tc>
          <w:tcPr>
            <w:tcW w:w="1860" w:type="dxa"/>
            <w:tcBorders>
              <w:top w:val="nil"/>
            </w:tcBorders>
          </w:tcPr>
          <w:p>
            <w:pPr/>
          </w:p>
        </w:tc>
        <w:tc>
          <w:tcPr>
            <w:tcW w:w="1061" w:type="dxa"/>
            <w:vMerge/>
          </w:tcPr>
          <w:p>
            <w:pPr/>
          </w:p>
        </w:tc>
        <w:tc>
          <w:tcPr>
            <w:tcW w:w="1520" w:type="dxa"/>
            <w:vMerge/>
          </w:tcPr>
          <w:p>
            <w:pPr/>
          </w:p>
        </w:tc>
      </w:tr>
    </w:tbl>
    <w:p>
      <w:pPr>
        <w:spacing w:line="251" w:lineRule="exact" w:before="0"/>
        <w:ind w:left="202" w:right="218" w:firstLine="0"/>
        <w:jc w:val="left"/>
        <w:rPr>
          <w:sz w:val="22"/>
        </w:rPr>
      </w:pPr>
      <w:r>
        <w:rPr>
          <w:sz w:val="22"/>
        </w:rPr>
        <w:t>Fuente: Elaboración propia usando el análisis de datos de Excel 2010</w:t>
      </w:r>
    </w:p>
    <w:p>
      <w:pPr>
        <w:pStyle w:val="BodyText"/>
        <w:rPr>
          <w:sz w:val="22"/>
        </w:rPr>
      </w:pPr>
    </w:p>
    <w:p>
      <w:pPr>
        <w:pStyle w:val="BodyText"/>
        <w:spacing w:before="1"/>
        <w:rPr>
          <w:sz w:val="25"/>
        </w:rPr>
      </w:pPr>
    </w:p>
    <w:p>
      <w:pPr>
        <w:pStyle w:val="BodyText"/>
        <w:spacing w:line="360" w:lineRule="auto" w:before="1"/>
        <w:ind w:left="202" w:right="218"/>
      </w:pPr>
      <w:r>
        <w:rPr/>
        <w:t>Se corrieron las regresiones lineales individuales para ver el efecto de cada  una de las variables en el sobrellenado, las cuales se presentan en los</w:t>
      </w:r>
      <w:r>
        <w:rPr>
          <w:spacing w:val="45"/>
        </w:rPr>
        <w:t> </w:t>
      </w:r>
      <w:r>
        <w:rPr/>
        <w:t>gráficos</w:t>
      </w:r>
    </w:p>
    <w:p>
      <w:pPr>
        <w:spacing w:after="0" w:line="360" w:lineRule="auto"/>
        <w:sectPr>
          <w:footerReference w:type="default" r:id="rId28"/>
          <w:pgSz w:w="11910" w:h="16840"/>
          <w:pgMar w:footer="1043" w:header="0" w:top="1340" w:bottom="1240" w:left="1500" w:right="1480"/>
        </w:sectPr>
      </w:pPr>
    </w:p>
    <w:p>
      <w:pPr>
        <w:pStyle w:val="BodyText"/>
        <w:spacing w:line="360" w:lineRule="auto" w:before="56"/>
        <w:ind w:left="102" w:right="114"/>
        <w:jc w:val="both"/>
      </w:pPr>
      <w:r>
        <w:rPr/>
        <w:t>9, 10 y 11; en donde se puede observar que la variable que mayor efecto tiene en el sobrellenado es la temperatura del ingrediente principal, ya que por cada grado centígrado que se aumente la temperatura, aumenta 2.37 g el sobrellenado de producto.</w:t>
      </w:r>
    </w:p>
    <w:p>
      <w:pPr>
        <w:pStyle w:val="BodyText"/>
      </w:pPr>
    </w:p>
    <w:p>
      <w:pPr>
        <w:pStyle w:val="BodyText"/>
      </w:pPr>
    </w:p>
    <w:p>
      <w:pPr>
        <w:pStyle w:val="BodyText"/>
        <w:spacing w:before="11"/>
        <w:rPr>
          <w:sz w:val="23"/>
        </w:rPr>
      </w:pPr>
    </w:p>
    <w:p>
      <w:pPr>
        <w:spacing w:before="0"/>
        <w:ind w:left="102" w:right="0" w:firstLine="0"/>
        <w:jc w:val="both"/>
        <w:rPr>
          <w:b/>
          <w:sz w:val="22"/>
        </w:rPr>
      </w:pPr>
      <w:r>
        <w:rPr/>
        <w:drawing>
          <wp:anchor distT="0" distB="0" distL="0" distR="0" allowOverlap="1" layoutInCell="1" locked="0" behindDoc="0" simplePos="0" relativeHeight="1144">
            <wp:simplePos x="0" y="0"/>
            <wp:positionH relativeFrom="page">
              <wp:posOffset>1278889</wp:posOffset>
            </wp:positionH>
            <wp:positionV relativeFrom="paragraph">
              <wp:posOffset>243432</wp:posOffset>
            </wp:positionV>
            <wp:extent cx="5002324" cy="2983229"/>
            <wp:effectExtent l="0" t="0" r="0" b="0"/>
            <wp:wrapTopAndBottom/>
            <wp:docPr id="15" name="image8.png" descr=""/>
            <wp:cNvGraphicFramePr>
              <a:graphicFrameLocks noChangeAspect="1"/>
            </wp:cNvGraphicFramePr>
            <a:graphic>
              <a:graphicData uri="http://schemas.openxmlformats.org/drawingml/2006/picture">
                <pic:pic>
                  <pic:nvPicPr>
                    <pic:cNvPr id="16" name="image8.png"/>
                    <pic:cNvPicPr/>
                  </pic:nvPicPr>
                  <pic:blipFill>
                    <a:blip r:embed="rId30" cstate="print"/>
                    <a:stretch>
                      <a:fillRect/>
                    </a:stretch>
                  </pic:blipFill>
                  <pic:spPr>
                    <a:xfrm>
                      <a:off x="0" y="0"/>
                      <a:ext cx="5002324" cy="2983229"/>
                    </a:xfrm>
                    <a:prstGeom prst="rect">
                      <a:avLst/>
                    </a:prstGeom>
                  </pic:spPr>
                </pic:pic>
              </a:graphicData>
            </a:graphic>
          </wp:anchor>
        </w:drawing>
      </w:r>
      <w:r>
        <w:rPr>
          <w:b/>
          <w:sz w:val="22"/>
        </w:rPr>
        <w:t>Figura 9. Efecto de la temperatura del ingrediente principal en el sobrellenado</w:t>
      </w:r>
    </w:p>
    <w:p>
      <w:pPr>
        <w:spacing w:before="108"/>
        <w:ind w:left="102" w:right="0" w:firstLine="0"/>
        <w:jc w:val="both"/>
        <w:rPr>
          <w:sz w:val="22"/>
        </w:rPr>
      </w:pPr>
      <w:r>
        <w:rPr>
          <w:sz w:val="22"/>
        </w:rPr>
        <w:t>Fuente: Elaboración propia usando el análisis de datos de Excel 2010</w:t>
      </w:r>
    </w:p>
    <w:p>
      <w:pPr>
        <w:pStyle w:val="BodyText"/>
        <w:rPr>
          <w:sz w:val="22"/>
        </w:rPr>
      </w:pPr>
    </w:p>
    <w:p>
      <w:pPr>
        <w:pStyle w:val="BodyText"/>
        <w:spacing w:before="11"/>
        <w:rPr>
          <w:sz w:val="21"/>
        </w:rPr>
      </w:pPr>
    </w:p>
    <w:p>
      <w:pPr>
        <w:pStyle w:val="BodyText"/>
        <w:spacing w:line="360" w:lineRule="auto"/>
        <w:ind w:left="102" w:right="122"/>
        <w:jc w:val="both"/>
      </w:pPr>
      <w:r>
        <w:rPr/>
        <w:t>De acuerdo al gráfico, la temperatura del ingrediente principal explica en un 96% al sobrellenado de producto terminado.</w:t>
      </w:r>
    </w:p>
    <w:p>
      <w:pPr>
        <w:pStyle w:val="BodyText"/>
      </w:pPr>
    </w:p>
    <w:p>
      <w:pPr>
        <w:pStyle w:val="BodyText"/>
        <w:spacing w:line="360" w:lineRule="auto" w:before="142"/>
        <w:ind w:left="102" w:right="114"/>
        <w:jc w:val="both"/>
      </w:pPr>
      <w:r>
        <w:rPr/>
        <w:t>Por otro lado, por cada minuto que aumenta el tiempo de mezclado, el sobrellenado se incrementa en 1.77 g.</w:t>
      </w:r>
    </w:p>
    <w:p>
      <w:pPr>
        <w:spacing w:after="0" w:line="360" w:lineRule="auto"/>
        <w:jc w:val="both"/>
        <w:sectPr>
          <w:footerReference w:type="default" r:id="rId29"/>
          <w:pgSz w:w="11910" w:h="16840"/>
          <w:pgMar w:footer="1043" w:header="0" w:top="1340" w:bottom="1240" w:left="1600" w:right="1580"/>
          <w:pgNumType w:start="51"/>
        </w:sectPr>
      </w:pPr>
    </w:p>
    <w:p>
      <w:pPr>
        <w:spacing w:before="53"/>
        <w:ind w:left="102" w:right="0" w:firstLine="0"/>
        <w:jc w:val="both"/>
        <w:rPr>
          <w:b/>
          <w:sz w:val="22"/>
        </w:rPr>
      </w:pPr>
      <w:r>
        <w:rPr/>
        <w:drawing>
          <wp:anchor distT="0" distB="0" distL="0" distR="0" allowOverlap="1" layoutInCell="1" locked="0" behindDoc="0" simplePos="0" relativeHeight="1168">
            <wp:simplePos x="0" y="0"/>
            <wp:positionH relativeFrom="page">
              <wp:posOffset>1290955</wp:posOffset>
            </wp:positionH>
            <wp:positionV relativeFrom="paragraph">
              <wp:posOffset>279245</wp:posOffset>
            </wp:positionV>
            <wp:extent cx="4980199" cy="2714625"/>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31" cstate="print"/>
                    <a:stretch>
                      <a:fillRect/>
                    </a:stretch>
                  </pic:blipFill>
                  <pic:spPr>
                    <a:xfrm>
                      <a:off x="0" y="0"/>
                      <a:ext cx="4980199" cy="2714625"/>
                    </a:xfrm>
                    <a:prstGeom prst="rect">
                      <a:avLst/>
                    </a:prstGeom>
                  </pic:spPr>
                </pic:pic>
              </a:graphicData>
            </a:graphic>
          </wp:anchor>
        </w:drawing>
      </w:r>
      <w:r>
        <w:rPr>
          <w:b/>
          <w:sz w:val="22"/>
        </w:rPr>
        <w:t>Figura 10. Efecto del tiempo de mezclado en el sobrellenado</w:t>
      </w:r>
    </w:p>
    <w:p>
      <w:pPr>
        <w:spacing w:before="105"/>
        <w:ind w:left="102" w:right="0" w:firstLine="0"/>
        <w:jc w:val="both"/>
        <w:rPr>
          <w:sz w:val="22"/>
        </w:rPr>
      </w:pPr>
      <w:r>
        <w:rPr>
          <w:sz w:val="22"/>
        </w:rPr>
        <w:t>Fuente: Elaboración propia usando el análisis de datos de Excel 2010</w:t>
      </w:r>
    </w:p>
    <w:p>
      <w:pPr>
        <w:pStyle w:val="BodyText"/>
        <w:rPr>
          <w:sz w:val="22"/>
        </w:rPr>
      </w:pPr>
    </w:p>
    <w:p>
      <w:pPr>
        <w:pStyle w:val="BodyText"/>
        <w:spacing w:before="1"/>
        <w:rPr>
          <w:sz w:val="25"/>
        </w:rPr>
      </w:pPr>
    </w:p>
    <w:p>
      <w:pPr>
        <w:pStyle w:val="BodyText"/>
        <w:spacing w:line="360" w:lineRule="auto"/>
        <w:ind w:left="102" w:right="121"/>
        <w:jc w:val="both"/>
      </w:pPr>
      <w:r>
        <w:rPr/>
        <w:t>Para la temperatura del semielaborado se tiene que por cada grado que aumenta la temperatura del semielaborado, aumenta 1 g el sobrellenado. Sin embargo se tuvo que correr una regresión lineal para conocer el efecto de las 3 variables en el fenómeno y ver si había alguna que no tuviera relación y se pudiera descartar.</w:t>
      </w:r>
    </w:p>
    <w:p>
      <w:pPr>
        <w:pStyle w:val="BodyText"/>
        <w:spacing w:before="2"/>
        <w:rPr>
          <w:sz w:val="33"/>
        </w:rPr>
      </w:pPr>
    </w:p>
    <w:p>
      <w:pPr>
        <w:spacing w:before="0"/>
        <w:ind w:left="102" w:right="0" w:firstLine="0"/>
        <w:jc w:val="both"/>
        <w:rPr>
          <w:b/>
          <w:sz w:val="22"/>
        </w:rPr>
      </w:pPr>
      <w:r>
        <w:rPr/>
        <w:drawing>
          <wp:anchor distT="0" distB="0" distL="0" distR="0" allowOverlap="1" layoutInCell="1" locked="0" behindDoc="0" simplePos="0" relativeHeight="1192">
            <wp:simplePos x="0" y="0"/>
            <wp:positionH relativeFrom="page">
              <wp:posOffset>1341119</wp:posOffset>
            </wp:positionH>
            <wp:positionV relativeFrom="paragraph">
              <wp:posOffset>242669</wp:posOffset>
            </wp:positionV>
            <wp:extent cx="4866851" cy="2823686"/>
            <wp:effectExtent l="0" t="0" r="0" b="0"/>
            <wp:wrapTopAndBottom/>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32" cstate="print"/>
                    <a:stretch>
                      <a:fillRect/>
                    </a:stretch>
                  </pic:blipFill>
                  <pic:spPr>
                    <a:xfrm>
                      <a:off x="0" y="0"/>
                      <a:ext cx="4866851" cy="2823686"/>
                    </a:xfrm>
                    <a:prstGeom prst="rect">
                      <a:avLst/>
                    </a:prstGeom>
                  </pic:spPr>
                </pic:pic>
              </a:graphicData>
            </a:graphic>
          </wp:anchor>
        </w:drawing>
      </w:r>
      <w:r>
        <w:rPr>
          <w:b/>
          <w:sz w:val="22"/>
        </w:rPr>
        <w:t>Figura 11. Efecto de la temperatura del semielaborado en el sobrellenado</w:t>
      </w:r>
    </w:p>
    <w:p>
      <w:pPr>
        <w:spacing w:before="120"/>
        <w:ind w:left="102" w:right="0" w:firstLine="0"/>
        <w:jc w:val="both"/>
        <w:rPr>
          <w:sz w:val="22"/>
        </w:rPr>
      </w:pPr>
      <w:r>
        <w:rPr>
          <w:sz w:val="22"/>
        </w:rPr>
        <w:t>Fuente: Elaboración propia usando el análisis de datos de Excel 2010</w:t>
      </w:r>
    </w:p>
    <w:p>
      <w:pPr>
        <w:spacing w:after="0"/>
        <w:jc w:val="both"/>
        <w:rPr>
          <w:sz w:val="22"/>
        </w:rPr>
        <w:sectPr>
          <w:pgSz w:w="11910" w:h="16840"/>
          <w:pgMar w:header="0" w:footer="1043" w:top="1340" w:bottom="1240" w:left="1600" w:right="1580"/>
        </w:sectPr>
      </w:pPr>
    </w:p>
    <w:p>
      <w:pPr>
        <w:pStyle w:val="BodyText"/>
        <w:spacing w:line="360" w:lineRule="auto" w:before="56"/>
        <w:ind w:left="182"/>
      </w:pPr>
      <w:r>
        <w:rPr/>
        <w:t>En la figura 12 se muestra la regresión lineal y la prueba de T de Student para medir el efecto de las 3 variables independientes en el sobrellenado</w:t>
      </w:r>
    </w:p>
    <w:p>
      <w:pPr>
        <w:pStyle w:val="BodyText"/>
      </w:pPr>
    </w:p>
    <w:p>
      <w:pPr>
        <w:pStyle w:val="BodyText"/>
      </w:pPr>
    </w:p>
    <w:p>
      <w:pPr>
        <w:spacing w:before="141"/>
        <w:ind w:left="182" w:right="0" w:firstLine="0"/>
        <w:jc w:val="left"/>
        <w:rPr>
          <w:b/>
          <w:sz w:val="22"/>
        </w:rPr>
      </w:pPr>
      <w:r>
        <w:rPr>
          <w:b/>
          <w:sz w:val="22"/>
        </w:rPr>
        <w:t>Figura 12. Estadísticos de la regresión lineal</w:t>
      </w:r>
    </w:p>
    <w:p>
      <w:pPr>
        <w:pStyle w:val="BodyText"/>
        <w:spacing w:before="11"/>
        <w:rPr>
          <w:b/>
        </w:rPr>
      </w:pPr>
    </w:p>
    <w:tbl>
      <w:tblPr>
        <w:tblW w:w="0" w:type="auto"/>
        <w:jc w:val="left"/>
        <w:tblInd w:w="1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160"/>
        <w:gridCol w:w="1601"/>
        <w:gridCol w:w="1500"/>
        <w:gridCol w:w="1860"/>
        <w:gridCol w:w="1594"/>
      </w:tblGrid>
      <w:tr>
        <w:trPr>
          <w:trHeight w:val="552" w:hRule="exact"/>
        </w:trPr>
        <w:tc>
          <w:tcPr>
            <w:tcW w:w="2160" w:type="dxa"/>
            <w:shd w:val="clear" w:color="auto" w:fill="CCC0DA"/>
          </w:tcPr>
          <w:p>
            <w:pPr>
              <w:pStyle w:val="TableParagraph"/>
              <w:spacing w:line="274" w:lineRule="exact"/>
              <w:ind w:left="187" w:right="185"/>
              <w:rPr>
                <w:b/>
                <w:i/>
                <w:sz w:val="24"/>
              </w:rPr>
            </w:pPr>
            <w:r>
              <w:rPr>
                <w:b/>
                <w:i/>
                <w:sz w:val="24"/>
              </w:rPr>
              <w:t>REGRESIÓN</w:t>
            </w:r>
          </w:p>
        </w:tc>
        <w:tc>
          <w:tcPr>
            <w:tcW w:w="1601" w:type="dxa"/>
            <w:shd w:val="clear" w:color="auto" w:fill="CCC0DA"/>
          </w:tcPr>
          <w:p>
            <w:pPr>
              <w:pStyle w:val="TableParagraph"/>
              <w:spacing w:line="274" w:lineRule="exact"/>
              <w:ind w:left="57" w:right="58"/>
              <w:rPr>
                <w:b/>
                <w:i/>
                <w:sz w:val="24"/>
              </w:rPr>
            </w:pPr>
            <w:r>
              <w:rPr>
                <w:b/>
                <w:i/>
                <w:sz w:val="24"/>
              </w:rPr>
              <w:t>Coeficientes</w:t>
            </w:r>
          </w:p>
        </w:tc>
        <w:tc>
          <w:tcPr>
            <w:tcW w:w="1500" w:type="dxa"/>
            <w:shd w:val="clear" w:color="auto" w:fill="CCC0DA"/>
          </w:tcPr>
          <w:p>
            <w:pPr>
              <w:pStyle w:val="TableParagraph"/>
              <w:spacing w:line="274" w:lineRule="exact"/>
              <w:ind w:left="73" w:right="74"/>
              <w:rPr>
                <w:b/>
                <w:i/>
                <w:sz w:val="24"/>
              </w:rPr>
            </w:pPr>
            <w:r>
              <w:rPr>
                <w:b/>
                <w:i/>
                <w:sz w:val="24"/>
              </w:rPr>
              <w:t>Error típico</w:t>
            </w:r>
          </w:p>
        </w:tc>
        <w:tc>
          <w:tcPr>
            <w:tcW w:w="1860" w:type="dxa"/>
            <w:shd w:val="clear" w:color="auto" w:fill="CCC0DA"/>
          </w:tcPr>
          <w:p>
            <w:pPr>
              <w:pStyle w:val="TableParagraph"/>
              <w:spacing w:line="274" w:lineRule="exact"/>
              <w:ind w:left="185" w:right="188"/>
              <w:rPr>
                <w:b/>
                <w:i/>
                <w:sz w:val="24"/>
              </w:rPr>
            </w:pPr>
            <w:r>
              <w:rPr>
                <w:b/>
                <w:i/>
                <w:sz w:val="24"/>
              </w:rPr>
              <w:t>Estadístico t</w:t>
            </w:r>
          </w:p>
        </w:tc>
        <w:tc>
          <w:tcPr>
            <w:tcW w:w="1594" w:type="dxa"/>
            <w:shd w:val="clear" w:color="auto" w:fill="CCC0DA"/>
          </w:tcPr>
          <w:p>
            <w:pPr>
              <w:pStyle w:val="TableParagraph"/>
              <w:spacing w:line="274" w:lineRule="exact"/>
              <w:ind w:left="40" w:right="41"/>
              <w:rPr>
                <w:b/>
                <w:i/>
                <w:sz w:val="24"/>
              </w:rPr>
            </w:pPr>
            <w:r>
              <w:rPr>
                <w:b/>
                <w:i/>
                <w:sz w:val="24"/>
              </w:rPr>
              <w:t>Probabilidad</w:t>
            </w:r>
          </w:p>
        </w:tc>
      </w:tr>
      <w:tr>
        <w:trPr>
          <w:trHeight w:val="554" w:hRule="exact"/>
        </w:trPr>
        <w:tc>
          <w:tcPr>
            <w:tcW w:w="2160" w:type="dxa"/>
            <w:shd w:val="clear" w:color="auto" w:fill="CCC0DA"/>
          </w:tcPr>
          <w:p>
            <w:pPr>
              <w:pStyle w:val="TableParagraph"/>
              <w:spacing w:line="240" w:lineRule="auto"/>
              <w:ind w:left="187" w:right="187"/>
              <w:rPr>
                <w:sz w:val="24"/>
              </w:rPr>
            </w:pPr>
            <w:r>
              <w:rPr>
                <w:sz w:val="24"/>
              </w:rPr>
              <w:t>Intercepción</w:t>
            </w:r>
          </w:p>
        </w:tc>
        <w:tc>
          <w:tcPr>
            <w:tcW w:w="1601" w:type="dxa"/>
            <w:tcBorders>
              <w:left w:val="thinThickMediumGap" w:sz="10" w:space="0" w:color="000000"/>
            </w:tcBorders>
          </w:tcPr>
          <w:p>
            <w:pPr>
              <w:pStyle w:val="TableParagraph"/>
              <w:spacing w:line="240" w:lineRule="auto"/>
              <w:ind w:left="520" w:right="537"/>
              <w:rPr>
                <w:sz w:val="24"/>
              </w:rPr>
            </w:pPr>
            <w:r>
              <w:rPr>
                <w:sz w:val="24"/>
              </w:rPr>
              <w:t>9.11</w:t>
            </w:r>
          </w:p>
        </w:tc>
        <w:tc>
          <w:tcPr>
            <w:tcW w:w="1500" w:type="dxa"/>
          </w:tcPr>
          <w:p>
            <w:pPr>
              <w:pStyle w:val="TableParagraph"/>
              <w:spacing w:line="240" w:lineRule="auto"/>
              <w:ind w:left="72" w:right="74"/>
              <w:rPr>
                <w:sz w:val="24"/>
              </w:rPr>
            </w:pPr>
            <w:r>
              <w:rPr>
                <w:sz w:val="24"/>
              </w:rPr>
              <w:t>0.43</w:t>
            </w:r>
          </w:p>
        </w:tc>
        <w:tc>
          <w:tcPr>
            <w:tcW w:w="1860" w:type="dxa"/>
          </w:tcPr>
          <w:p>
            <w:pPr>
              <w:pStyle w:val="TableParagraph"/>
              <w:spacing w:line="240" w:lineRule="auto"/>
              <w:ind w:left="184" w:right="188"/>
              <w:rPr>
                <w:sz w:val="24"/>
              </w:rPr>
            </w:pPr>
            <w:r>
              <w:rPr>
                <w:sz w:val="24"/>
              </w:rPr>
              <w:t>19.64</w:t>
            </w:r>
          </w:p>
        </w:tc>
        <w:tc>
          <w:tcPr>
            <w:tcW w:w="1594" w:type="dxa"/>
          </w:tcPr>
          <w:p>
            <w:pPr>
              <w:pStyle w:val="TableParagraph"/>
              <w:spacing w:line="240" w:lineRule="auto"/>
              <w:ind w:left="40" w:right="41"/>
              <w:rPr>
                <w:sz w:val="24"/>
              </w:rPr>
            </w:pPr>
            <w:r>
              <w:rPr>
                <w:sz w:val="24"/>
              </w:rPr>
              <w:t>4.63E-43</w:t>
            </w:r>
          </w:p>
        </w:tc>
      </w:tr>
      <w:tr>
        <w:trPr>
          <w:trHeight w:val="1383" w:hRule="exact"/>
        </w:trPr>
        <w:tc>
          <w:tcPr>
            <w:tcW w:w="2160" w:type="dxa"/>
            <w:shd w:val="clear" w:color="auto" w:fill="CCC0DA"/>
          </w:tcPr>
          <w:p>
            <w:pPr>
              <w:pStyle w:val="TableParagraph"/>
              <w:spacing w:line="360" w:lineRule="auto"/>
              <w:ind w:left="187" w:right="188"/>
              <w:rPr>
                <w:sz w:val="24"/>
              </w:rPr>
            </w:pPr>
            <w:r>
              <w:rPr>
                <w:sz w:val="24"/>
              </w:rPr>
              <w:t>Temperatura del ingrediente principal (°C)</w:t>
            </w:r>
          </w:p>
        </w:tc>
        <w:tc>
          <w:tcPr>
            <w:tcW w:w="1601" w:type="dxa"/>
          </w:tcPr>
          <w:p>
            <w:pPr>
              <w:pStyle w:val="TableParagraph"/>
              <w:spacing w:line="240" w:lineRule="auto" w:before="11"/>
              <w:jc w:val="left"/>
              <w:rPr>
                <w:b/>
                <w:sz w:val="35"/>
              </w:rPr>
            </w:pPr>
          </w:p>
          <w:p>
            <w:pPr>
              <w:pStyle w:val="TableParagraph"/>
              <w:spacing w:line="240" w:lineRule="auto"/>
              <w:ind w:left="57" w:right="58"/>
              <w:rPr>
                <w:sz w:val="24"/>
              </w:rPr>
            </w:pPr>
            <w:r>
              <w:rPr>
                <w:sz w:val="24"/>
              </w:rPr>
              <w:t>1.87</w:t>
            </w:r>
          </w:p>
        </w:tc>
        <w:tc>
          <w:tcPr>
            <w:tcW w:w="1500" w:type="dxa"/>
          </w:tcPr>
          <w:p>
            <w:pPr>
              <w:pStyle w:val="TableParagraph"/>
              <w:spacing w:line="240" w:lineRule="auto" w:before="11"/>
              <w:jc w:val="left"/>
              <w:rPr>
                <w:b/>
                <w:sz w:val="35"/>
              </w:rPr>
            </w:pPr>
          </w:p>
          <w:p>
            <w:pPr>
              <w:pStyle w:val="TableParagraph"/>
              <w:spacing w:line="240" w:lineRule="auto"/>
              <w:ind w:left="70" w:right="74"/>
              <w:rPr>
                <w:sz w:val="24"/>
              </w:rPr>
            </w:pPr>
            <w:r>
              <w:rPr>
                <w:sz w:val="24"/>
              </w:rPr>
              <w:t>0.059</w:t>
            </w:r>
          </w:p>
        </w:tc>
        <w:tc>
          <w:tcPr>
            <w:tcW w:w="1860" w:type="dxa"/>
          </w:tcPr>
          <w:p>
            <w:pPr>
              <w:pStyle w:val="TableParagraph"/>
              <w:spacing w:line="240" w:lineRule="auto" w:before="11"/>
              <w:jc w:val="left"/>
              <w:rPr>
                <w:b/>
                <w:sz w:val="35"/>
              </w:rPr>
            </w:pPr>
          </w:p>
          <w:p>
            <w:pPr>
              <w:pStyle w:val="TableParagraph"/>
              <w:spacing w:line="240" w:lineRule="auto"/>
              <w:ind w:left="185" w:right="186"/>
              <w:rPr>
                <w:sz w:val="24"/>
              </w:rPr>
            </w:pPr>
            <w:r>
              <w:rPr>
                <w:sz w:val="24"/>
              </w:rPr>
              <w:t>8.74</w:t>
            </w:r>
          </w:p>
        </w:tc>
        <w:tc>
          <w:tcPr>
            <w:tcW w:w="1594" w:type="dxa"/>
          </w:tcPr>
          <w:p>
            <w:pPr>
              <w:pStyle w:val="TableParagraph"/>
              <w:spacing w:line="240" w:lineRule="auto" w:before="11"/>
              <w:jc w:val="left"/>
              <w:rPr>
                <w:b/>
                <w:sz w:val="35"/>
              </w:rPr>
            </w:pPr>
          </w:p>
          <w:p>
            <w:pPr>
              <w:pStyle w:val="TableParagraph"/>
              <w:spacing w:line="240" w:lineRule="auto"/>
              <w:ind w:left="40" w:right="41"/>
              <w:rPr>
                <w:sz w:val="24"/>
              </w:rPr>
            </w:pPr>
            <w:r>
              <w:rPr>
                <w:sz w:val="24"/>
              </w:rPr>
              <w:t>8.76E-45</w:t>
            </w:r>
          </w:p>
        </w:tc>
      </w:tr>
      <w:tr>
        <w:trPr>
          <w:trHeight w:val="1382" w:hRule="exact"/>
        </w:trPr>
        <w:tc>
          <w:tcPr>
            <w:tcW w:w="2160" w:type="dxa"/>
            <w:shd w:val="clear" w:color="auto" w:fill="CCC0DA"/>
          </w:tcPr>
          <w:p>
            <w:pPr>
              <w:pStyle w:val="TableParagraph"/>
              <w:spacing w:line="360" w:lineRule="auto"/>
              <w:ind w:left="110" w:right="106" w:hanging="6"/>
              <w:rPr>
                <w:sz w:val="24"/>
              </w:rPr>
            </w:pPr>
            <w:r>
              <w:rPr>
                <w:sz w:val="24"/>
              </w:rPr>
              <w:t>Tiempo de mezclado de los ingredientes (min)</w:t>
            </w:r>
          </w:p>
        </w:tc>
        <w:tc>
          <w:tcPr>
            <w:tcW w:w="1601" w:type="dxa"/>
          </w:tcPr>
          <w:p>
            <w:pPr>
              <w:pStyle w:val="TableParagraph"/>
              <w:spacing w:line="240" w:lineRule="auto" w:before="10"/>
              <w:jc w:val="left"/>
              <w:rPr>
                <w:b/>
                <w:sz w:val="35"/>
              </w:rPr>
            </w:pPr>
          </w:p>
          <w:p>
            <w:pPr>
              <w:pStyle w:val="TableParagraph"/>
              <w:spacing w:line="240" w:lineRule="auto" w:before="1"/>
              <w:ind w:left="57" w:right="58"/>
              <w:rPr>
                <w:sz w:val="24"/>
              </w:rPr>
            </w:pPr>
            <w:r>
              <w:rPr>
                <w:sz w:val="24"/>
              </w:rPr>
              <w:t>1.01</w:t>
            </w:r>
          </w:p>
        </w:tc>
        <w:tc>
          <w:tcPr>
            <w:tcW w:w="1500" w:type="dxa"/>
          </w:tcPr>
          <w:p>
            <w:pPr>
              <w:pStyle w:val="TableParagraph"/>
              <w:spacing w:line="240" w:lineRule="auto" w:before="10"/>
              <w:jc w:val="left"/>
              <w:rPr>
                <w:b/>
                <w:sz w:val="35"/>
              </w:rPr>
            </w:pPr>
          </w:p>
          <w:p>
            <w:pPr>
              <w:pStyle w:val="TableParagraph"/>
              <w:spacing w:line="240" w:lineRule="auto" w:before="1"/>
              <w:ind w:left="70" w:right="74"/>
              <w:rPr>
                <w:sz w:val="24"/>
              </w:rPr>
            </w:pPr>
            <w:r>
              <w:rPr>
                <w:sz w:val="24"/>
              </w:rPr>
              <w:t>0.065</w:t>
            </w:r>
          </w:p>
        </w:tc>
        <w:tc>
          <w:tcPr>
            <w:tcW w:w="1860" w:type="dxa"/>
          </w:tcPr>
          <w:p>
            <w:pPr>
              <w:pStyle w:val="TableParagraph"/>
              <w:spacing w:line="240" w:lineRule="auto" w:before="10"/>
              <w:jc w:val="left"/>
              <w:rPr>
                <w:b/>
                <w:sz w:val="35"/>
              </w:rPr>
            </w:pPr>
          </w:p>
          <w:p>
            <w:pPr>
              <w:pStyle w:val="TableParagraph"/>
              <w:spacing w:line="240" w:lineRule="auto" w:before="1"/>
              <w:ind w:left="184" w:right="188"/>
              <w:rPr>
                <w:sz w:val="24"/>
              </w:rPr>
            </w:pPr>
            <w:r>
              <w:rPr>
                <w:sz w:val="24"/>
              </w:rPr>
              <w:t>21.76</w:t>
            </w:r>
          </w:p>
        </w:tc>
        <w:tc>
          <w:tcPr>
            <w:tcW w:w="1594" w:type="dxa"/>
          </w:tcPr>
          <w:p>
            <w:pPr>
              <w:pStyle w:val="TableParagraph"/>
              <w:spacing w:line="240" w:lineRule="auto" w:before="10"/>
              <w:jc w:val="left"/>
              <w:rPr>
                <w:b/>
                <w:sz w:val="35"/>
              </w:rPr>
            </w:pPr>
          </w:p>
          <w:p>
            <w:pPr>
              <w:pStyle w:val="TableParagraph"/>
              <w:spacing w:line="240" w:lineRule="auto" w:before="1"/>
              <w:ind w:left="40" w:right="41"/>
              <w:rPr>
                <w:sz w:val="24"/>
              </w:rPr>
            </w:pPr>
            <w:r>
              <w:rPr>
                <w:sz w:val="24"/>
              </w:rPr>
              <w:t>1.08E-37</w:t>
            </w:r>
          </w:p>
        </w:tc>
      </w:tr>
      <w:tr>
        <w:trPr>
          <w:trHeight w:val="1383" w:hRule="exact"/>
        </w:trPr>
        <w:tc>
          <w:tcPr>
            <w:tcW w:w="2160" w:type="dxa"/>
            <w:shd w:val="clear" w:color="auto" w:fill="CCC0DA"/>
          </w:tcPr>
          <w:p>
            <w:pPr>
              <w:pStyle w:val="TableParagraph"/>
              <w:spacing w:line="360" w:lineRule="auto"/>
              <w:ind w:left="187" w:right="188"/>
              <w:rPr>
                <w:sz w:val="24"/>
              </w:rPr>
            </w:pPr>
            <w:r>
              <w:rPr>
                <w:sz w:val="24"/>
              </w:rPr>
              <w:t>Temperatura del semielaborado (°C)</w:t>
            </w:r>
          </w:p>
        </w:tc>
        <w:tc>
          <w:tcPr>
            <w:tcW w:w="1601" w:type="dxa"/>
          </w:tcPr>
          <w:p>
            <w:pPr>
              <w:pStyle w:val="TableParagraph"/>
              <w:spacing w:line="240" w:lineRule="auto" w:before="10"/>
              <w:jc w:val="left"/>
              <w:rPr>
                <w:b/>
                <w:sz w:val="35"/>
              </w:rPr>
            </w:pPr>
          </w:p>
          <w:p>
            <w:pPr>
              <w:pStyle w:val="TableParagraph"/>
              <w:spacing w:line="240" w:lineRule="auto" w:before="1"/>
              <w:ind w:left="57" w:right="58"/>
              <w:rPr>
                <w:sz w:val="24"/>
              </w:rPr>
            </w:pPr>
            <w:r>
              <w:rPr>
                <w:sz w:val="24"/>
              </w:rPr>
              <w:t>0.04</w:t>
            </w:r>
          </w:p>
        </w:tc>
        <w:tc>
          <w:tcPr>
            <w:tcW w:w="1500" w:type="dxa"/>
          </w:tcPr>
          <w:p>
            <w:pPr>
              <w:pStyle w:val="TableParagraph"/>
              <w:spacing w:line="240" w:lineRule="auto" w:before="10"/>
              <w:jc w:val="left"/>
              <w:rPr>
                <w:b/>
                <w:sz w:val="35"/>
              </w:rPr>
            </w:pPr>
          </w:p>
          <w:p>
            <w:pPr>
              <w:pStyle w:val="TableParagraph"/>
              <w:spacing w:line="240" w:lineRule="auto" w:before="1"/>
              <w:ind w:left="70" w:right="74"/>
              <w:rPr>
                <w:sz w:val="24"/>
              </w:rPr>
            </w:pPr>
            <w:r>
              <w:rPr>
                <w:sz w:val="24"/>
              </w:rPr>
              <w:t>0.017</w:t>
            </w:r>
          </w:p>
        </w:tc>
        <w:tc>
          <w:tcPr>
            <w:tcW w:w="1860" w:type="dxa"/>
          </w:tcPr>
          <w:p>
            <w:pPr>
              <w:pStyle w:val="TableParagraph"/>
              <w:spacing w:line="240" w:lineRule="auto" w:before="10"/>
              <w:jc w:val="left"/>
              <w:rPr>
                <w:b/>
                <w:sz w:val="35"/>
              </w:rPr>
            </w:pPr>
          </w:p>
          <w:p>
            <w:pPr>
              <w:pStyle w:val="TableParagraph"/>
              <w:spacing w:line="240" w:lineRule="auto" w:before="1"/>
              <w:ind w:left="185" w:right="186"/>
              <w:rPr>
                <w:sz w:val="24"/>
              </w:rPr>
            </w:pPr>
            <w:r>
              <w:rPr>
                <w:sz w:val="24"/>
              </w:rPr>
              <w:t>1.06</w:t>
            </w:r>
          </w:p>
        </w:tc>
        <w:tc>
          <w:tcPr>
            <w:tcW w:w="1594" w:type="dxa"/>
          </w:tcPr>
          <w:p>
            <w:pPr>
              <w:pStyle w:val="TableParagraph"/>
              <w:spacing w:line="240" w:lineRule="auto" w:before="10"/>
              <w:jc w:val="left"/>
              <w:rPr>
                <w:b/>
                <w:sz w:val="35"/>
              </w:rPr>
            </w:pPr>
          </w:p>
          <w:p>
            <w:pPr>
              <w:pStyle w:val="TableParagraph"/>
              <w:spacing w:line="240" w:lineRule="auto" w:before="1"/>
              <w:ind w:left="38" w:right="41"/>
              <w:rPr>
                <w:sz w:val="24"/>
              </w:rPr>
            </w:pPr>
            <w:r>
              <w:rPr>
                <w:sz w:val="24"/>
              </w:rPr>
              <w:t>0.28</w:t>
            </w:r>
          </w:p>
        </w:tc>
      </w:tr>
    </w:tbl>
    <w:p>
      <w:pPr>
        <w:spacing w:line="251" w:lineRule="exact" w:before="0"/>
        <w:ind w:left="182" w:right="0" w:firstLine="0"/>
        <w:jc w:val="both"/>
        <w:rPr>
          <w:sz w:val="22"/>
        </w:rPr>
      </w:pPr>
      <w:r>
        <w:rPr>
          <w:sz w:val="22"/>
        </w:rPr>
        <w:t>Fuente: Elaboración propia usando el análisis de datos de Excel 2010</w:t>
      </w:r>
    </w:p>
    <w:p>
      <w:pPr>
        <w:pStyle w:val="BodyText"/>
        <w:rPr>
          <w:sz w:val="22"/>
        </w:rPr>
      </w:pPr>
    </w:p>
    <w:p>
      <w:pPr>
        <w:pStyle w:val="BodyText"/>
        <w:spacing w:before="1"/>
        <w:rPr>
          <w:sz w:val="25"/>
        </w:rPr>
      </w:pPr>
    </w:p>
    <w:p>
      <w:pPr>
        <w:pStyle w:val="BodyText"/>
        <w:tabs>
          <w:tab w:pos="3335" w:val="left" w:leader="none"/>
        </w:tabs>
        <w:ind w:right="96"/>
        <w:jc w:val="center"/>
      </w:pPr>
      <w:r>
        <w:rPr/>
        <w:t>HO----- Modelo</w:t>
      </w:r>
      <w:r>
        <w:rPr>
          <w:spacing w:val="-5"/>
        </w:rPr>
        <w:t> </w:t>
      </w:r>
      <w:r>
        <w:rPr/>
        <w:t>no</w:t>
      </w:r>
      <w:r>
        <w:rPr>
          <w:spacing w:val="-3"/>
        </w:rPr>
        <w:t> </w:t>
      </w:r>
      <w:r>
        <w:rPr/>
        <w:t>adecuado</w:t>
        <w:tab/>
        <w:t>H1----- Modelo</w:t>
      </w:r>
      <w:r>
        <w:rPr>
          <w:spacing w:val="-10"/>
        </w:rPr>
        <w:t> </w:t>
      </w:r>
      <w:r>
        <w:rPr/>
        <w:t>adecuado</w:t>
      </w:r>
    </w:p>
    <w:p>
      <w:pPr>
        <w:pStyle w:val="BodyText"/>
      </w:pPr>
    </w:p>
    <w:p>
      <w:pPr>
        <w:pStyle w:val="BodyText"/>
      </w:pPr>
    </w:p>
    <w:p>
      <w:pPr>
        <w:pStyle w:val="BodyText"/>
        <w:spacing w:line="360" w:lineRule="auto"/>
        <w:ind w:left="182" w:right="276"/>
        <w:jc w:val="both"/>
      </w:pPr>
      <w:r>
        <w:rPr/>
        <w:t>El valor T de tablas es de 1.96, de acuerdo a los resultados de la tabla de </w:t>
      </w:r>
      <w:r>
        <w:rPr>
          <w:position w:val="1"/>
        </w:rPr>
        <w:t>arriba, rechazamos H</w:t>
      </w:r>
      <w:r>
        <w:rPr>
          <w:sz w:val="16"/>
        </w:rPr>
        <w:t>0 </w:t>
      </w:r>
      <w:r>
        <w:rPr>
          <w:position w:val="1"/>
        </w:rPr>
        <w:t>y concluimos que la temperatura del  ingrediente  </w:t>
      </w:r>
      <w:r>
        <w:rPr/>
        <w:t>principal y el tiempo de mezclado son estadísticamente significativos al 99% de confianza, sin embargo el valor T para la temperatura del semielaborado cae </w:t>
      </w:r>
      <w:r>
        <w:rPr>
          <w:position w:val="1"/>
        </w:rPr>
        <w:t>dentro de la zona de no rechazo de H</w:t>
      </w:r>
      <w:r>
        <w:rPr>
          <w:sz w:val="16"/>
        </w:rPr>
        <w:t>0</w:t>
      </w:r>
      <w:r>
        <w:rPr>
          <w:position w:val="1"/>
        </w:rPr>
        <w:t>, por lo cual este parámetro no es </w:t>
      </w:r>
      <w:r>
        <w:rPr/>
        <w:t>significativo estadísticamente para el modelo de</w:t>
      </w:r>
      <w:r>
        <w:rPr>
          <w:spacing w:val="-18"/>
        </w:rPr>
        <w:t> </w:t>
      </w:r>
      <w:r>
        <w:rPr/>
        <w:t>estudio.</w:t>
      </w:r>
    </w:p>
    <w:p>
      <w:pPr>
        <w:pStyle w:val="BodyText"/>
      </w:pPr>
    </w:p>
    <w:p>
      <w:pPr>
        <w:pStyle w:val="BodyText"/>
        <w:spacing w:before="142"/>
        <w:ind w:left="182"/>
        <w:jc w:val="both"/>
      </w:pPr>
      <w:r>
        <w:rPr/>
        <w:t>La ecuación del modelo es la siguiente</w:t>
      </w:r>
    </w:p>
    <w:p>
      <w:pPr>
        <w:pStyle w:val="BodyText"/>
      </w:pPr>
    </w:p>
    <w:p>
      <w:pPr>
        <w:pStyle w:val="BodyText"/>
        <w:spacing w:before="11"/>
        <w:rPr>
          <w:sz w:val="23"/>
        </w:rPr>
      </w:pPr>
    </w:p>
    <w:p>
      <w:pPr>
        <w:pStyle w:val="Heading2"/>
        <w:ind w:left="0" w:right="94"/>
        <w:jc w:val="center"/>
      </w:pPr>
      <w:r>
        <w:rPr>
          <w:position w:val="1"/>
        </w:rPr>
        <w:t>Y=1.87X</w:t>
      </w:r>
      <w:r>
        <w:rPr>
          <w:sz w:val="16"/>
        </w:rPr>
        <w:t>1</w:t>
      </w:r>
      <w:r>
        <w:rPr>
          <w:position w:val="1"/>
        </w:rPr>
        <w:t>+1.01X</w:t>
      </w:r>
      <w:r>
        <w:rPr>
          <w:sz w:val="16"/>
        </w:rPr>
        <w:t>2</w:t>
      </w:r>
      <w:r>
        <w:rPr>
          <w:position w:val="1"/>
        </w:rPr>
        <w:t>+0.04X</w:t>
      </w:r>
      <w:r>
        <w:rPr>
          <w:sz w:val="16"/>
        </w:rPr>
        <w:t>3 </w:t>
      </w:r>
      <w:r>
        <w:rPr>
          <w:position w:val="1"/>
        </w:rPr>
        <w:t>– 9.11</w:t>
      </w:r>
    </w:p>
    <w:p>
      <w:pPr>
        <w:spacing w:after="0"/>
        <w:jc w:val="center"/>
        <w:sectPr>
          <w:pgSz w:w="11910" w:h="16840"/>
          <w:pgMar w:header="0" w:footer="1043" w:top="1340" w:bottom="1240" w:left="1520" w:right="1420"/>
        </w:sectPr>
      </w:pPr>
    </w:p>
    <w:p>
      <w:pPr>
        <w:pStyle w:val="BodyText"/>
        <w:spacing w:before="56"/>
        <w:ind w:left="102"/>
        <w:jc w:val="both"/>
      </w:pPr>
      <w:r>
        <w:rPr/>
        <w:t>Donde:</w:t>
      </w:r>
    </w:p>
    <w:p>
      <w:pPr>
        <w:pStyle w:val="BodyText"/>
        <w:spacing w:line="360" w:lineRule="auto" w:before="139"/>
        <w:ind w:left="102" w:right="3201"/>
      </w:pPr>
      <w:r>
        <w:rPr/>
        <w:t>X1= Temperatura del ingrediente principal (°C) X2= Tiempo de mezclado de los ingredientes (min) X3= Temperatura del semielaborado</w:t>
      </w:r>
      <w:r>
        <w:rPr>
          <w:spacing w:val="-16"/>
        </w:rPr>
        <w:t> </w:t>
      </w:r>
      <w:r>
        <w:rPr/>
        <w:t>(°C)</w:t>
      </w:r>
    </w:p>
    <w:p>
      <w:pPr>
        <w:pStyle w:val="BodyText"/>
      </w:pPr>
    </w:p>
    <w:p>
      <w:pPr>
        <w:pStyle w:val="BodyText"/>
        <w:spacing w:line="360" w:lineRule="auto" w:before="142"/>
        <w:ind w:left="102" w:right="119"/>
        <w:jc w:val="both"/>
      </w:pPr>
      <w:r>
        <w:rPr/>
        <w:t>De acuerdo con la tabla 5, las variables significativas del modelo son la temperatura del ingrediente principal (°C), el tiempo de mezclado de los ingredientes (min) pues tienen una P menor a 0.05, mientras que la  temperatura del semielaborado no es una variable significativa pues la P es </w:t>
      </w:r>
      <w:r>
        <w:rPr>
          <w:spacing w:val="31"/>
        </w:rPr>
        <w:t> </w:t>
      </w:r>
      <w:r>
        <w:rPr/>
        <w:t>de</w:t>
      </w:r>
    </w:p>
    <w:p>
      <w:pPr>
        <w:pStyle w:val="BodyText"/>
        <w:spacing w:line="360" w:lineRule="auto" w:before="5"/>
        <w:ind w:left="102" w:right="126"/>
        <w:jc w:val="both"/>
      </w:pPr>
      <w:r>
        <w:rPr/>
        <w:t>0.28 que es mayor a 0.05, por lo que se descarta como variable de influencia  en el</w:t>
      </w:r>
      <w:r>
        <w:rPr>
          <w:spacing w:val="-6"/>
        </w:rPr>
        <w:t> </w:t>
      </w:r>
      <w:r>
        <w:rPr/>
        <w:t>sobrellenado.</w:t>
      </w:r>
    </w:p>
    <w:p>
      <w:pPr>
        <w:pStyle w:val="BodyText"/>
      </w:pPr>
    </w:p>
    <w:p>
      <w:pPr>
        <w:pStyle w:val="BodyText"/>
        <w:spacing w:line="360" w:lineRule="auto" w:before="142"/>
        <w:ind w:left="102" w:right="115"/>
        <w:jc w:val="both"/>
      </w:pPr>
      <w:r>
        <w:rPr/>
        <w:t>De acuerdo a la ecuación por cada grado centígrado que aumente la temperatura del ingrediente, el sobrellenado aumentará 1.87g, por cada minuto que se aumente el tiempo de mezclado, el sobrellenado del  producto aumentará 1.01g, mientras que por cada grado centígrado que aumente la temperatura del semielaborado, el sobrellenado se verá aumentado en 0.04g, por lo que se concluye que la variable que tiene mayor impacto en el sobrellenado de producto terminado es el la temperatura del ingrediente principal.</w:t>
      </w:r>
    </w:p>
    <w:p>
      <w:pPr>
        <w:pStyle w:val="BodyText"/>
      </w:pPr>
    </w:p>
    <w:p>
      <w:pPr>
        <w:pStyle w:val="BodyText"/>
        <w:spacing w:line="360" w:lineRule="auto" w:before="142"/>
        <w:ind w:left="102" w:right="119"/>
        <w:jc w:val="both"/>
      </w:pPr>
      <w:r>
        <w:rPr/>
        <w:t>El análisis estadístico realizado concuerda con la observación empírica que se había hecho por los operadores en cuanto a que cuando la grasa viene con  una temperatura elevada, ellos deben modificar los tiempos de mezclado para que la consistencia del semielaborado pueda ser manejable en los equipos de envasado, porque de lo contrario queda una pasta suave que con el trabajo mecánico es difícil de controlar el dosificado y por ende el control de peso tiene mucha variación en la</w:t>
      </w:r>
      <w:r>
        <w:rPr>
          <w:spacing w:val="-11"/>
        </w:rPr>
        <w:t> </w:t>
      </w:r>
      <w:r>
        <w:rPr/>
        <w:t>línea.</w:t>
      </w:r>
    </w:p>
    <w:p>
      <w:pPr>
        <w:pStyle w:val="BodyText"/>
      </w:pPr>
    </w:p>
    <w:p>
      <w:pPr>
        <w:pStyle w:val="BodyText"/>
        <w:spacing w:line="360" w:lineRule="auto" w:before="139"/>
        <w:ind w:left="102" w:right="120"/>
        <w:jc w:val="both"/>
      </w:pPr>
      <w:r>
        <w:rPr/>
        <w:t>Por lo la temperatura del ingrediente principal y el tiempo de mezclado son las dos variables sobre las cuales se debe que establecer el control de calidad de ambas actividades del proceso, a través de fijar la ventana operacional sobre la cual se deben trabajar ambos parámetros.</w:t>
      </w:r>
    </w:p>
    <w:p>
      <w:pPr>
        <w:spacing w:after="0" w:line="360" w:lineRule="auto"/>
        <w:jc w:val="both"/>
        <w:sectPr>
          <w:pgSz w:w="11910" w:h="16840"/>
          <w:pgMar w:header="0" w:footer="1043" w:top="1340" w:bottom="1240" w:left="1600" w:right="1580"/>
        </w:sectPr>
      </w:pPr>
    </w:p>
    <w:p>
      <w:pPr>
        <w:pStyle w:val="Heading2"/>
        <w:spacing w:before="56"/>
        <w:jc w:val="both"/>
      </w:pPr>
      <w:r>
        <w:rPr/>
        <w:t>5.2 Discusión de Resultados</w:t>
      </w:r>
    </w:p>
    <w:p>
      <w:pPr>
        <w:pStyle w:val="BodyText"/>
        <w:rPr>
          <w:b/>
        </w:rPr>
      </w:pPr>
    </w:p>
    <w:p>
      <w:pPr>
        <w:pStyle w:val="BodyText"/>
        <w:rPr>
          <w:b/>
        </w:rPr>
      </w:pPr>
    </w:p>
    <w:p>
      <w:pPr>
        <w:pStyle w:val="BodyText"/>
        <w:spacing w:line="360" w:lineRule="auto"/>
        <w:ind w:left="102" w:right="116"/>
        <w:jc w:val="both"/>
      </w:pPr>
      <w:r>
        <w:rPr/>
        <w:t>Desde hace más una década a la fecha, la industria de alimentos se ha preocupado más por encontrar oportunidades de mejora que les permita disminuir sus costos de producción, aumentar la productividad de sus proceso  y reducir las mermas y desperdicios, ya que debido al incremento del número de competidores en el mercado, se tiene como efecto una disminución de la demanda, por lo que han dejado de invertir en nuevas máquinas y en recursos humanos y materiales para maximizar el uso de los</w:t>
      </w:r>
      <w:r>
        <w:rPr>
          <w:spacing w:val="-24"/>
        </w:rPr>
        <w:t> </w:t>
      </w:r>
      <w:r>
        <w:rPr/>
        <w:t>existentes.</w:t>
      </w:r>
    </w:p>
    <w:p>
      <w:pPr>
        <w:pStyle w:val="BodyText"/>
      </w:pPr>
    </w:p>
    <w:p>
      <w:pPr>
        <w:pStyle w:val="BodyText"/>
        <w:spacing w:line="360" w:lineRule="auto" w:before="142"/>
        <w:ind w:left="102" w:right="117"/>
        <w:jc w:val="both"/>
      </w:pPr>
      <w:r>
        <w:rPr/>
        <w:t>Como se mencionó en el marco teórico, los sistemas administrativos de las compañías están acostumbrados a operar con un rendimiento que tiene en cuenta un determinado porcentaje de desperdicio (Gutiérrez, 2015)</w:t>
      </w:r>
    </w:p>
    <w:p>
      <w:pPr>
        <w:pStyle w:val="BodyText"/>
      </w:pPr>
    </w:p>
    <w:p>
      <w:pPr>
        <w:pStyle w:val="BodyText"/>
        <w:spacing w:line="360" w:lineRule="auto" w:before="142"/>
        <w:ind w:left="102" w:right="114"/>
        <w:jc w:val="both"/>
      </w:pPr>
      <w:r>
        <w:rPr/>
        <w:t>El sobrellenado es una de las principales pérdidas económicas de las  empresas debido a que por normativa se permite que los productos lleven un porcentaje por encima del peso nominal conocido en etiqueta como contenido neto, sin embargo, se ha observado que no hay estudios que hablen sobre cómo afectan las variables de proceso en el sobrellenado y cómo poder controlarlas para reducir los costos asociados a esta merma que fue el objetivo que planteó esta</w:t>
      </w:r>
      <w:r>
        <w:rPr>
          <w:spacing w:val="-10"/>
        </w:rPr>
        <w:t> </w:t>
      </w:r>
      <w:r>
        <w:rPr/>
        <w:t>investigación.</w:t>
      </w:r>
    </w:p>
    <w:p>
      <w:pPr>
        <w:pStyle w:val="BodyText"/>
      </w:pPr>
    </w:p>
    <w:p>
      <w:pPr>
        <w:pStyle w:val="BodyText"/>
        <w:spacing w:line="360" w:lineRule="auto" w:before="142"/>
        <w:ind w:left="102" w:right="116"/>
        <w:jc w:val="both"/>
      </w:pPr>
      <w:r>
        <w:rPr/>
        <w:t>De acuerdo a los resultados presentados en el capítulo anterior, se pudo concluir que existe una variable que tiene la mayor afección en el sobrellenado el cual es la temperatura del ingrediente principal. Si bien es cierto que el área de producción es la que debe asegurar el cumplimiento de los estándares operativos para el uso de este ingrediente, también es cierto que no existía una ventana operacional confiable sobre la cual se pudieran establecer los parámetros de operación, ya que todo se basaba en un conocimiento empírico por parte de la operación que desde hace años atrás solamente sabía que debía introducir el material dentro de la cámara de refrigeración para  evitar tener problemas posteriormente en el mezclado o en el envasado para poder ajustar sus pesos.</w:t>
      </w:r>
    </w:p>
    <w:p>
      <w:pPr>
        <w:spacing w:after="0" w:line="360" w:lineRule="auto"/>
        <w:jc w:val="both"/>
        <w:sectPr>
          <w:pgSz w:w="11910" w:h="16840"/>
          <w:pgMar w:header="0" w:footer="1043" w:top="1340" w:bottom="1240" w:left="1600" w:right="1580"/>
        </w:sectPr>
      </w:pPr>
    </w:p>
    <w:p>
      <w:pPr>
        <w:pStyle w:val="BodyText"/>
        <w:spacing w:line="360" w:lineRule="auto" w:before="56"/>
        <w:ind w:left="102" w:right="119"/>
        <w:jc w:val="both"/>
      </w:pPr>
      <w:r>
        <w:rPr/>
        <w:t>Cuando una empresa incorpora el concepto de cliente interno, los diferentes departamentos de la organización se van involucrando en el compromiso por la calidad (Gutiérrez, 2015), por lo que la calidad ya no solo es tarea de un área específica y pasa a ser responsabilidad de todos los que conforman la cadena de suministro.</w:t>
      </w:r>
    </w:p>
    <w:p>
      <w:pPr>
        <w:pStyle w:val="BodyText"/>
      </w:pPr>
    </w:p>
    <w:p>
      <w:pPr>
        <w:pStyle w:val="BodyText"/>
        <w:spacing w:line="360" w:lineRule="auto" w:before="142"/>
        <w:ind w:left="102" w:right="118"/>
        <w:jc w:val="both"/>
      </w:pPr>
      <w:r>
        <w:rPr/>
        <w:t>Ramírez Padilla define a los costos de calidad como el costo que se deja de ganar o en el que se incurre por no hacer las cosas bien en la primera ocasión. (Ramírez, 2004). En todo caso, los costos de la calidad están no solo en las áreas productivas o en departamento de calidad si no en todas aquellas predecesoras o sucesoras que dejaron de hacer algo que tiene un efecto negativo para la calidad del producto.</w:t>
      </w:r>
    </w:p>
    <w:p>
      <w:pPr>
        <w:pStyle w:val="BodyText"/>
      </w:pPr>
    </w:p>
    <w:p>
      <w:pPr>
        <w:pStyle w:val="BodyText"/>
        <w:spacing w:line="360" w:lineRule="auto" w:before="142"/>
        <w:ind w:left="102" w:right="119"/>
        <w:jc w:val="both"/>
      </w:pPr>
      <w:r>
        <w:rPr/>
        <w:t>Como menciona Crosby, cuando una empresa no ha entendido que la calidad es una herramienta de la Dirección y sigue manteniendo la idea que es algo que compete exclusivamente al departamento de control de calidad, es muy probable que los problemas de calidad le estén costando un 20 % de las ventas. (Crosby, 2010). Para la empresa de estudio con los resultados de disminución que se lograron se observó que la empresa gastaba más del 25% de sus ventas en un fenómeno sobre el cual tenía desconocimiento porque  para el área de Calidad no era un problema y para el área de producción era algo que ya se conocía y con lo que siempre se había trabajado debido a las variaciones de las máquinas, cuando se comprobó que no estaba realizando un adecuado manejo y control del</w:t>
      </w:r>
      <w:r>
        <w:rPr>
          <w:spacing w:val="-19"/>
        </w:rPr>
        <w:t> </w:t>
      </w:r>
      <w:r>
        <w:rPr/>
        <w:t>proceso.</w:t>
      </w:r>
    </w:p>
    <w:p>
      <w:pPr>
        <w:pStyle w:val="BodyText"/>
      </w:pPr>
    </w:p>
    <w:p>
      <w:pPr>
        <w:pStyle w:val="BodyText"/>
        <w:spacing w:line="360" w:lineRule="auto" w:before="142"/>
        <w:ind w:left="102" w:right="118"/>
        <w:jc w:val="both"/>
      </w:pPr>
      <w:r>
        <w:rPr/>
        <w:t>Anteriormente se había mencionado que </w:t>
      </w:r>
      <w:r>
        <w:rPr>
          <w:spacing w:val="4"/>
        </w:rPr>
        <w:t>un </w:t>
      </w:r>
      <w:r>
        <w:rPr/>
        <w:t>proceso confiable es aquel que produce una salida esperada sin variaciones no controladas ya que éstas siempre llevan a bajas producciones, baja calidad e incremento en los costos de fabricación (Carró, et. al 2011). Si bien Carró plantea que si pueden existir procesos confiables, existen algunos procesos productivos que tienen inherentes ciertas variaciones, porque es imposible mantener estable sin ninguna variación todas las variables internas y adyacentes, sin embargo, si es posible establecer una ventana operacional que permita tener mayor control sobre</w:t>
      </w:r>
      <w:r>
        <w:rPr>
          <w:spacing w:val="53"/>
        </w:rPr>
        <w:t> </w:t>
      </w:r>
      <w:r>
        <w:rPr/>
        <w:t>las</w:t>
      </w:r>
      <w:r>
        <w:rPr>
          <w:spacing w:val="50"/>
        </w:rPr>
        <w:t> </w:t>
      </w:r>
      <w:r>
        <w:rPr/>
        <w:t>variables</w:t>
      </w:r>
      <w:r>
        <w:rPr>
          <w:spacing w:val="53"/>
        </w:rPr>
        <w:t> </w:t>
      </w:r>
      <w:r>
        <w:rPr/>
        <w:t>y</w:t>
      </w:r>
      <w:r>
        <w:rPr>
          <w:spacing w:val="50"/>
        </w:rPr>
        <w:t> </w:t>
      </w:r>
      <w:r>
        <w:rPr/>
        <w:t>a</w:t>
      </w:r>
      <w:r>
        <w:rPr>
          <w:spacing w:val="53"/>
        </w:rPr>
        <w:t> </w:t>
      </w:r>
      <w:r>
        <w:rPr/>
        <w:t>partir</w:t>
      </w:r>
      <w:r>
        <w:rPr>
          <w:spacing w:val="52"/>
        </w:rPr>
        <w:t> </w:t>
      </w:r>
      <w:r>
        <w:rPr/>
        <w:t>de</w:t>
      </w:r>
      <w:r>
        <w:rPr>
          <w:spacing w:val="51"/>
        </w:rPr>
        <w:t> </w:t>
      </w:r>
      <w:r>
        <w:rPr/>
        <w:t>ahí</w:t>
      </w:r>
      <w:r>
        <w:rPr>
          <w:spacing w:val="50"/>
        </w:rPr>
        <w:t> </w:t>
      </w:r>
      <w:r>
        <w:rPr/>
        <w:t>conocer</w:t>
      </w:r>
      <w:r>
        <w:rPr>
          <w:spacing w:val="52"/>
        </w:rPr>
        <w:t> </w:t>
      </w:r>
      <w:r>
        <w:rPr/>
        <w:t>la</w:t>
      </w:r>
      <w:r>
        <w:rPr>
          <w:spacing w:val="53"/>
        </w:rPr>
        <w:t> </w:t>
      </w:r>
      <w:r>
        <w:rPr/>
        <w:t>habilidad</w:t>
      </w:r>
      <w:r>
        <w:rPr>
          <w:spacing w:val="60"/>
        </w:rPr>
        <w:t> </w:t>
      </w:r>
      <w:r>
        <w:rPr/>
        <w:t>del</w:t>
      </w:r>
      <w:r>
        <w:rPr>
          <w:spacing w:val="52"/>
        </w:rPr>
        <w:t> </w:t>
      </w:r>
      <w:r>
        <w:rPr/>
        <w:t>proceso</w:t>
      </w:r>
      <w:r>
        <w:rPr>
          <w:spacing w:val="51"/>
        </w:rPr>
        <w:t> </w:t>
      </w:r>
      <w:r>
        <w:rPr/>
        <w:t>para</w:t>
      </w:r>
    </w:p>
    <w:p>
      <w:pPr>
        <w:spacing w:after="0" w:line="360" w:lineRule="auto"/>
        <w:jc w:val="both"/>
        <w:sectPr>
          <w:pgSz w:w="11910" w:h="16840"/>
          <w:pgMar w:header="0" w:footer="1043" w:top="1340" w:bottom="1240" w:left="1600" w:right="1580"/>
        </w:sectPr>
      </w:pPr>
    </w:p>
    <w:p>
      <w:pPr>
        <w:pStyle w:val="BodyText"/>
        <w:spacing w:before="56"/>
        <w:ind w:left="102"/>
        <w:jc w:val="both"/>
      </w:pPr>
      <w:r>
        <w:rPr/>
        <w:t>trabajar bajo esas condiciones establecidas.</w:t>
      </w:r>
    </w:p>
    <w:p>
      <w:pPr>
        <w:pStyle w:val="BodyText"/>
      </w:pPr>
    </w:p>
    <w:p>
      <w:pPr>
        <w:pStyle w:val="BodyText"/>
      </w:pPr>
    </w:p>
    <w:p>
      <w:pPr>
        <w:pStyle w:val="BodyText"/>
        <w:spacing w:line="360" w:lineRule="auto"/>
        <w:ind w:left="102" w:right="118"/>
        <w:jc w:val="both"/>
      </w:pPr>
      <w:r>
        <w:rPr/>
        <w:t>También con los resultados obtenidos en este trabajo terminal se sostiene que la filosofía de Taylor, si bien puso las bases del control de calidad, es cuestionable porque el proceso termina en la inspección final, la cual es inoperante, pues no mejora la calidad de los productos, solo descubre cuáles son buenos y cuáles no, ofreciendo al consumidor productos de calidad. Aun cuando la inspección de la calidad es necesaria en toda organización</w:t>
      </w:r>
    </w:p>
    <w:p>
      <w:pPr>
        <w:pStyle w:val="BodyText"/>
      </w:pPr>
    </w:p>
    <w:p>
      <w:pPr>
        <w:pStyle w:val="BodyText"/>
        <w:spacing w:line="360" w:lineRule="auto" w:before="142"/>
        <w:ind w:left="102" w:right="117"/>
        <w:jc w:val="both"/>
      </w:pPr>
      <w:r>
        <w:rPr/>
        <w:t>El control de calidad exitoso solo puede llevarse a cabo si se cambia la mentalidad de los ingenieros y administradores de la cadena de suministro, es decir , no solo se requiere gente experta en su especialidad profesional, sino también deben entender que la planeación y ejecución de sus actividades laborales tiene un impacto en el siguiente eslabón de la cadena y por lo tanto se debe trabajar en equipo para entender los problemas de los departamentos con lo que tiene relación su actividad por lo que debe administrarse con calidad.</w:t>
      </w:r>
    </w:p>
    <w:p>
      <w:pPr>
        <w:pStyle w:val="BodyText"/>
      </w:pPr>
    </w:p>
    <w:p>
      <w:pPr>
        <w:pStyle w:val="BodyText"/>
        <w:spacing w:line="360" w:lineRule="auto" w:before="142"/>
        <w:ind w:left="102" w:right="116"/>
        <w:jc w:val="both"/>
      </w:pPr>
      <w:r>
        <w:rPr/>
        <w:t>Los resultados al realizar el control de las variables de proceso que tuvieron la mayor afección en el sobrellenado fueron mejor que los esperados, ya que se redujo en un 62% el sobrellenado. Como se había mencionado en el marco contextual las líneas de cubos en donde se tiene un mayor porcentaje de sobrellenado son las líneas donde se elaboran productos de exportación, pues los operadores por temor a que les rechacen su producción prefieren aumentar el peso del producto y así no infringir en sanciones administrativas.</w:t>
      </w:r>
    </w:p>
    <w:p>
      <w:pPr>
        <w:pStyle w:val="BodyText"/>
      </w:pPr>
    </w:p>
    <w:p>
      <w:pPr>
        <w:pStyle w:val="BodyText"/>
        <w:spacing w:line="360" w:lineRule="auto" w:before="142"/>
        <w:ind w:left="102" w:right="119"/>
        <w:jc w:val="both"/>
      </w:pPr>
      <w:r>
        <w:rPr/>
        <w:t>En las siguientes gráficas de dispersión se pueden observar los resultados cuando se logra mejorar el proceso y controlar las variables que tienen impacto sobre este a través del establecimiento de controles y parámetros en base a la habilidad de la máquina o proceso.</w:t>
      </w:r>
    </w:p>
    <w:p>
      <w:pPr>
        <w:spacing w:after="0" w:line="360" w:lineRule="auto"/>
        <w:jc w:val="both"/>
        <w:sectPr>
          <w:pgSz w:w="11910" w:h="16840"/>
          <w:pgMar w:header="0" w:footer="1043" w:top="1340" w:bottom="1240" w:left="1600" w:right="1580"/>
        </w:sectPr>
      </w:pPr>
    </w:p>
    <w:p>
      <w:pPr>
        <w:spacing w:before="55"/>
        <w:ind w:left="102" w:right="245" w:firstLine="0"/>
        <w:jc w:val="left"/>
        <w:rPr>
          <w:b/>
          <w:sz w:val="22"/>
        </w:rPr>
      </w:pPr>
      <w:r>
        <w:rPr>
          <w:b/>
          <w:sz w:val="22"/>
        </w:rPr>
        <w:t>Figura 13. Comparación entre los gráficos de dispersión antes y después de los resultados logrados con este trabajo terminal</w:t>
      </w:r>
    </w:p>
    <w:p>
      <w:pPr>
        <w:pStyle w:val="BodyText"/>
        <w:spacing w:before="3"/>
        <w:rPr>
          <w:b/>
          <w:sz w:val="21"/>
        </w:rPr>
      </w:pPr>
      <w:r>
        <w:rPr/>
        <w:drawing>
          <wp:anchor distT="0" distB="0" distL="0" distR="0" allowOverlap="1" layoutInCell="1" locked="0" behindDoc="0" simplePos="0" relativeHeight="1216">
            <wp:simplePos x="0" y="0"/>
            <wp:positionH relativeFrom="page">
              <wp:posOffset>1080769</wp:posOffset>
            </wp:positionH>
            <wp:positionV relativeFrom="paragraph">
              <wp:posOffset>180326</wp:posOffset>
            </wp:positionV>
            <wp:extent cx="5392528" cy="2691193"/>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33" cstate="print"/>
                    <a:stretch>
                      <a:fillRect/>
                    </a:stretch>
                  </pic:blipFill>
                  <pic:spPr>
                    <a:xfrm>
                      <a:off x="0" y="0"/>
                      <a:ext cx="5392528" cy="2691193"/>
                    </a:xfrm>
                    <a:prstGeom prst="rect">
                      <a:avLst/>
                    </a:prstGeom>
                  </pic:spPr>
                </pic:pic>
              </a:graphicData>
            </a:graphic>
          </wp:anchor>
        </w:drawing>
      </w:r>
    </w:p>
    <w:p>
      <w:pPr>
        <w:spacing w:before="114"/>
        <w:ind w:left="102" w:right="0" w:firstLine="0"/>
        <w:jc w:val="left"/>
        <w:rPr>
          <w:sz w:val="22"/>
        </w:rPr>
      </w:pPr>
      <w:r>
        <w:rPr>
          <w:sz w:val="22"/>
        </w:rPr>
        <w:t>Fuente: Elaboración propia</w:t>
      </w:r>
    </w:p>
    <w:p>
      <w:pPr>
        <w:pStyle w:val="BodyText"/>
        <w:rPr>
          <w:sz w:val="22"/>
        </w:rPr>
      </w:pPr>
    </w:p>
    <w:p>
      <w:pPr>
        <w:pStyle w:val="BodyText"/>
        <w:spacing w:before="1"/>
        <w:rPr>
          <w:sz w:val="25"/>
        </w:rPr>
      </w:pPr>
    </w:p>
    <w:p>
      <w:pPr>
        <w:pStyle w:val="BodyText"/>
        <w:spacing w:line="360" w:lineRule="auto"/>
        <w:ind w:left="102" w:right="124"/>
      </w:pPr>
      <w:r>
        <w:rPr/>
        <w:t>Por otro lado la capacidad del proceso también se vio mejorada lo cual se puede ver en las figuras 14, 15 y 16, para cada turno respectivamente.</w:t>
      </w:r>
    </w:p>
    <w:p>
      <w:pPr>
        <w:pStyle w:val="BodyText"/>
      </w:pPr>
    </w:p>
    <w:p>
      <w:pPr>
        <w:pStyle w:val="BodyText"/>
      </w:pPr>
    </w:p>
    <w:p>
      <w:pPr>
        <w:spacing w:before="144"/>
        <w:ind w:left="102" w:right="124" w:firstLine="0"/>
        <w:jc w:val="left"/>
        <w:rPr>
          <w:b/>
          <w:sz w:val="22"/>
        </w:rPr>
      </w:pPr>
      <w:r>
        <w:rPr>
          <w:b/>
          <w:sz w:val="22"/>
        </w:rPr>
        <w:t>Figura 14. Comparación de los gráficos de capacidad de proceso antes y después de los resultados logrados. Turno A</w:t>
      </w:r>
    </w:p>
    <w:p>
      <w:pPr>
        <w:pStyle w:val="BodyText"/>
        <w:spacing w:before="5"/>
        <w:rPr>
          <w:b/>
          <w:sz w:val="21"/>
        </w:rPr>
      </w:pPr>
      <w:r>
        <w:rPr/>
        <w:drawing>
          <wp:anchor distT="0" distB="0" distL="0" distR="0" allowOverlap="1" layoutInCell="1" locked="0" behindDoc="0" simplePos="0" relativeHeight="1240">
            <wp:simplePos x="0" y="0"/>
            <wp:positionH relativeFrom="page">
              <wp:posOffset>1080769</wp:posOffset>
            </wp:positionH>
            <wp:positionV relativeFrom="paragraph">
              <wp:posOffset>181469</wp:posOffset>
            </wp:positionV>
            <wp:extent cx="5405643" cy="2982468"/>
            <wp:effectExtent l="0" t="0" r="0" b="0"/>
            <wp:wrapTopAndBottom/>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34" cstate="print"/>
                    <a:stretch>
                      <a:fillRect/>
                    </a:stretch>
                  </pic:blipFill>
                  <pic:spPr>
                    <a:xfrm>
                      <a:off x="0" y="0"/>
                      <a:ext cx="5405643" cy="2982468"/>
                    </a:xfrm>
                    <a:prstGeom prst="rect">
                      <a:avLst/>
                    </a:prstGeom>
                  </pic:spPr>
                </pic:pic>
              </a:graphicData>
            </a:graphic>
          </wp:anchor>
        </w:drawing>
      </w:r>
    </w:p>
    <w:p>
      <w:pPr>
        <w:spacing w:before="93"/>
        <w:ind w:left="102" w:right="0" w:firstLine="0"/>
        <w:jc w:val="left"/>
        <w:rPr>
          <w:sz w:val="22"/>
        </w:rPr>
      </w:pPr>
      <w:r>
        <w:rPr>
          <w:sz w:val="22"/>
        </w:rPr>
        <w:t>Fuente: Elaboración propia</w:t>
      </w:r>
    </w:p>
    <w:p>
      <w:pPr>
        <w:spacing w:after="0"/>
        <w:jc w:val="left"/>
        <w:rPr>
          <w:sz w:val="22"/>
        </w:rPr>
        <w:sectPr>
          <w:pgSz w:w="11910" w:h="16840"/>
          <w:pgMar w:header="0" w:footer="1043" w:top="1340" w:bottom="1240" w:left="1600" w:right="1580"/>
        </w:sectPr>
      </w:pPr>
    </w:p>
    <w:p>
      <w:pPr>
        <w:spacing w:before="94"/>
        <w:ind w:left="102" w:right="124" w:firstLine="0"/>
        <w:jc w:val="left"/>
        <w:rPr>
          <w:b/>
          <w:sz w:val="22"/>
        </w:rPr>
      </w:pPr>
      <w:r>
        <w:rPr>
          <w:b/>
          <w:sz w:val="22"/>
        </w:rPr>
        <w:t>Figura 15. Comparación de los gráficos de capacidad de proceso antes y después de los resultados logrados. Turno B</w:t>
      </w:r>
    </w:p>
    <w:p>
      <w:pPr>
        <w:pStyle w:val="BodyText"/>
        <w:spacing w:before="6"/>
        <w:rPr>
          <w:b/>
          <w:sz w:val="21"/>
        </w:rPr>
      </w:pPr>
      <w:r>
        <w:rPr/>
        <w:drawing>
          <wp:anchor distT="0" distB="0" distL="0" distR="0" allowOverlap="1" layoutInCell="1" locked="0" behindDoc="0" simplePos="0" relativeHeight="1264">
            <wp:simplePos x="0" y="0"/>
            <wp:positionH relativeFrom="page">
              <wp:posOffset>1080769</wp:posOffset>
            </wp:positionH>
            <wp:positionV relativeFrom="paragraph">
              <wp:posOffset>181977</wp:posOffset>
            </wp:positionV>
            <wp:extent cx="5375015" cy="2909887"/>
            <wp:effectExtent l="0" t="0" r="0" b="0"/>
            <wp:wrapTopAndBottom/>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35" cstate="print"/>
                    <a:stretch>
                      <a:fillRect/>
                    </a:stretch>
                  </pic:blipFill>
                  <pic:spPr>
                    <a:xfrm>
                      <a:off x="0" y="0"/>
                      <a:ext cx="5375015" cy="2909887"/>
                    </a:xfrm>
                    <a:prstGeom prst="rect">
                      <a:avLst/>
                    </a:prstGeom>
                  </pic:spPr>
                </pic:pic>
              </a:graphicData>
            </a:graphic>
          </wp:anchor>
        </w:drawing>
      </w:r>
    </w:p>
    <w:p>
      <w:pPr>
        <w:spacing w:before="129"/>
        <w:ind w:left="102" w:right="0" w:firstLine="0"/>
        <w:jc w:val="left"/>
        <w:rPr>
          <w:sz w:val="22"/>
        </w:rPr>
      </w:pPr>
      <w:r>
        <w:rPr>
          <w:sz w:val="22"/>
        </w:rPr>
        <w:t>Fuente: Elaboración propia</w:t>
      </w:r>
    </w:p>
    <w:p>
      <w:pPr>
        <w:pStyle w:val="BodyText"/>
        <w:rPr>
          <w:sz w:val="22"/>
        </w:rPr>
      </w:pPr>
    </w:p>
    <w:p>
      <w:pPr>
        <w:pStyle w:val="BodyText"/>
        <w:rPr>
          <w:sz w:val="22"/>
        </w:rPr>
      </w:pPr>
    </w:p>
    <w:p>
      <w:pPr>
        <w:pStyle w:val="BodyText"/>
        <w:rPr>
          <w:sz w:val="22"/>
        </w:rPr>
      </w:pPr>
    </w:p>
    <w:p>
      <w:pPr>
        <w:spacing w:line="362" w:lineRule="auto" w:before="193" w:after="3"/>
        <w:ind w:left="102" w:right="124" w:firstLine="0"/>
        <w:jc w:val="left"/>
        <w:rPr>
          <w:b/>
          <w:sz w:val="24"/>
        </w:rPr>
      </w:pPr>
      <w:r>
        <w:rPr>
          <w:b/>
          <w:sz w:val="22"/>
        </w:rPr>
        <w:t>Figura 16. Comparación de los gráficos de capacidad de proceso antes y después de los resultados logrados. Turno C</w:t>
      </w:r>
      <w:r>
        <w:rPr>
          <w:b/>
          <w:sz w:val="24"/>
        </w:rPr>
        <w:t>)</w:t>
      </w:r>
    </w:p>
    <w:p>
      <w:pPr>
        <w:pStyle w:val="BodyText"/>
        <w:ind w:left="102"/>
        <w:rPr>
          <w:sz w:val="20"/>
        </w:rPr>
      </w:pPr>
      <w:r>
        <w:rPr>
          <w:sz w:val="20"/>
        </w:rPr>
        <w:drawing>
          <wp:inline distT="0" distB="0" distL="0" distR="0">
            <wp:extent cx="5389854" cy="2940843"/>
            <wp:effectExtent l="0" t="0" r="0" b="0"/>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36" cstate="print"/>
                    <a:stretch>
                      <a:fillRect/>
                    </a:stretch>
                  </pic:blipFill>
                  <pic:spPr>
                    <a:xfrm>
                      <a:off x="0" y="0"/>
                      <a:ext cx="5389854" cy="2940843"/>
                    </a:xfrm>
                    <a:prstGeom prst="rect">
                      <a:avLst/>
                    </a:prstGeom>
                  </pic:spPr>
                </pic:pic>
              </a:graphicData>
            </a:graphic>
          </wp:inline>
        </w:drawing>
      </w:r>
      <w:r>
        <w:rPr>
          <w:sz w:val="20"/>
        </w:rPr>
      </w:r>
    </w:p>
    <w:p>
      <w:pPr>
        <w:spacing w:before="141"/>
        <w:ind w:left="102" w:right="0" w:firstLine="0"/>
        <w:jc w:val="left"/>
        <w:rPr>
          <w:sz w:val="22"/>
        </w:rPr>
      </w:pPr>
      <w:r>
        <w:rPr>
          <w:sz w:val="22"/>
        </w:rPr>
        <w:t>Fuente: Elaboración propia</w:t>
      </w:r>
    </w:p>
    <w:p>
      <w:pPr>
        <w:spacing w:after="0"/>
        <w:jc w:val="left"/>
        <w:rPr>
          <w:sz w:val="22"/>
        </w:rPr>
        <w:sectPr>
          <w:pgSz w:w="11910" w:h="16840"/>
          <w:pgMar w:header="0" w:footer="1043" w:top="1580" w:bottom="1240" w:left="1600" w:right="1580"/>
        </w:sectPr>
      </w:pPr>
    </w:p>
    <w:p>
      <w:pPr>
        <w:pStyle w:val="Heading1"/>
        <w:ind w:left="325"/>
      </w:pPr>
      <w:r>
        <w:rPr/>
        <w:t>CAPÍTULO 6. PROPUESTA INNOVADORA</w:t>
      </w:r>
    </w:p>
    <w:p>
      <w:pPr>
        <w:pStyle w:val="BodyText"/>
        <w:spacing w:before="1"/>
        <w:rPr>
          <w:b/>
          <w:sz w:val="56"/>
        </w:rPr>
      </w:pPr>
    </w:p>
    <w:p>
      <w:pPr>
        <w:pStyle w:val="BodyText"/>
        <w:spacing w:line="360" w:lineRule="auto"/>
        <w:ind w:left="116" w:right="191"/>
        <w:jc w:val="both"/>
      </w:pPr>
      <w:r>
        <w:rPr/>
        <w:t>La propuesta innovadora de este trabajo se enfocó a la reducción del desperdicio generado por el sobrellenado en producto terminado a través de la estandarización de los parámetros del proceso, es innovador porque aun cuando se conocía el problema dentro de la organización y es una de las principales pérdidas de la planta, no se había realizado una investigación para conocer las variables y el impacto que tiene cada una de ellas y en conjunto sobre el</w:t>
      </w:r>
      <w:r>
        <w:rPr>
          <w:spacing w:val="-7"/>
        </w:rPr>
        <w:t> </w:t>
      </w:r>
      <w:r>
        <w:rPr/>
        <w:t>fenómeno.</w:t>
      </w:r>
    </w:p>
    <w:p>
      <w:pPr>
        <w:pStyle w:val="BodyText"/>
      </w:pPr>
    </w:p>
    <w:p>
      <w:pPr>
        <w:pStyle w:val="BodyText"/>
        <w:spacing w:line="360" w:lineRule="auto" w:before="142"/>
        <w:ind w:left="116" w:right="191"/>
        <w:jc w:val="both"/>
      </w:pPr>
      <w:r>
        <w:rPr/>
        <w:t>La empresa no había puesto mayor interés en este problema que representaba pérdidas millonarias al año debido a que no representa un problema de calidad para el consumidor. Tal como menciona Mario Gutiérrez, la empresa aceptaba trabajar con un proceso mal planeado y asumir siempre un porcentaje de productos defectuosos (Gutiérrez, 2015). En este caso, el defecto no es un problema de calidad para el cliente pues como se había mencionado anteriormente las entidades regulatorias no sancionan a las empresas por mandar producto con mayor contenido neto al declarado ni el consumidor reclama por tener más producto.</w:t>
      </w:r>
    </w:p>
    <w:p>
      <w:pPr>
        <w:pStyle w:val="BodyText"/>
      </w:pPr>
    </w:p>
    <w:p>
      <w:pPr>
        <w:pStyle w:val="BodyText"/>
        <w:spacing w:line="360" w:lineRule="auto" w:before="142"/>
        <w:ind w:left="116" w:right="189"/>
        <w:jc w:val="both"/>
      </w:pPr>
      <w:r>
        <w:rPr/>
        <w:t>La organización no imaginaba el impacto que tenía una materia prima sobre el fenómeno del sobrellenado. Por otro lado este fenómeno nunca había estado asociado a los costos de la mala calidad por lo que se reportaba solo como un problema de producción, que si bien el porcentaje que se regala por unidad  de ventas insignificante, cuando se multiplica por el volumen de venta se vuelve en unos de los principales gastos en los que la empresa</w:t>
      </w:r>
      <w:r>
        <w:rPr>
          <w:spacing w:val="-30"/>
        </w:rPr>
        <w:t> </w:t>
      </w:r>
      <w:r>
        <w:rPr/>
        <w:t>incurre.</w:t>
      </w:r>
    </w:p>
    <w:p>
      <w:pPr>
        <w:pStyle w:val="BodyText"/>
      </w:pPr>
    </w:p>
    <w:p>
      <w:pPr>
        <w:pStyle w:val="BodyText"/>
        <w:spacing w:line="360" w:lineRule="auto" w:before="142"/>
        <w:ind w:left="116" w:right="191"/>
        <w:jc w:val="both"/>
      </w:pPr>
      <w:r>
        <w:rPr/>
        <w:t>Por lo tanto este trabajo permitió realizar una propuesta de control de las variables que estadísticamente presentaban un efecto mayor en el sobrellenado. La propuesta de control se tuvo que realizar sin un análisis de experimentos ya que la empresa no permite la manipulación de las variables que pudieran afectar la calidad del producto principalmente en los atributos sensoriales; sin embargo, con el registro que se realizó diariamente durante</w:t>
      </w:r>
    </w:p>
    <w:p>
      <w:pPr>
        <w:spacing w:after="0" w:line="360" w:lineRule="auto"/>
        <w:jc w:val="both"/>
        <w:sectPr>
          <w:footerReference w:type="default" r:id="rId37"/>
          <w:pgSz w:w="11910" w:h="16840"/>
          <w:pgMar w:footer="1043" w:header="0" w:top="1360" w:bottom="1240" w:left="1660" w:right="1580"/>
        </w:sectPr>
      </w:pPr>
    </w:p>
    <w:p>
      <w:pPr>
        <w:pStyle w:val="BodyText"/>
        <w:spacing w:line="360" w:lineRule="auto" w:before="56"/>
        <w:ind w:left="176" w:right="199"/>
        <w:jc w:val="both"/>
      </w:pPr>
      <w:r>
        <w:rPr/>
        <w:t>los 5 meses se pudo determinar la ventana operacional, es decir los límites bajo los cuales se pueden controlar las dos variables de mayor impacto y en los cuales se reportaba un menor porcentaje de sobrellenado.</w:t>
      </w:r>
    </w:p>
    <w:p>
      <w:pPr>
        <w:pStyle w:val="BodyText"/>
      </w:pPr>
    </w:p>
    <w:p>
      <w:pPr>
        <w:pStyle w:val="BodyText"/>
        <w:spacing w:line="360" w:lineRule="auto" w:before="142"/>
        <w:ind w:left="176" w:right="191"/>
        <w:jc w:val="both"/>
      </w:pPr>
      <w:r>
        <w:rPr/>
        <w:t>Una vez determinados dichos límites se elaboró una hoja control bajo la cual los operadores deben controlar la temperatura del ingrediente principal, desde su la recepción de la materia prima, su almacenamiento, el respeto del flujo PEPS (Primeras entradas, primeras salidas) y un monitoreo por parte del auditor de calidad de la temperatura del cuarto de refrigeración donde se almacena previo a su uso, así como de la materia prima.</w:t>
      </w:r>
    </w:p>
    <w:p>
      <w:pPr>
        <w:pStyle w:val="BodyText"/>
      </w:pPr>
    </w:p>
    <w:p>
      <w:pPr>
        <w:pStyle w:val="BodyText"/>
        <w:spacing w:line="360" w:lineRule="auto" w:before="142"/>
        <w:ind w:left="176" w:right="190"/>
        <w:jc w:val="both"/>
      </w:pPr>
      <w:r>
        <w:rPr/>
        <w:t>Como se mencionó anteriormente este trabajo ya dio resultados sumamente satisfactorios y atractivos para la compañía por lo que se ya se está llevando  a cabo un plan de capacitación de las áreas de liderazgo de la planta, principalmente los coordinadores de producción responsables de las líneas de cubos así como los responsables de los departamentos de Mejora Continua y Control de calidad para que se pueda hacer el mismo ejercicio para el resto  de las líneas. Esto no solo se está haciendo para la planta de Lerma sino que los resultados fueron vistos por otras plantas de Latinoamérica que están buscando hacer la réplica de lo mostrado en este</w:t>
      </w:r>
      <w:r>
        <w:rPr>
          <w:spacing w:val="-22"/>
        </w:rPr>
        <w:t> </w:t>
      </w:r>
      <w:r>
        <w:rPr/>
        <w:t>trabajo.</w:t>
      </w:r>
    </w:p>
    <w:p>
      <w:pPr>
        <w:pStyle w:val="BodyText"/>
      </w:pPr>
    </w:p>
    <w:p>
      <w:pPr>
        <w:pStyle w:val="BodyText"/>
        <w:spacing w:line="360" w:lineRule="auto" w:before="142"/>
        <w:ind w:left="102" w:right="190"/>
        <w:jc w:val="both"/>
      </w:pPr>
      <w:r>
        <w:rPr/>
        <w:t>En la siguiente figura se presentan los resultados del sobrellenado de la línea al 2016. Como se puede observar la línea pasó de ser la primera con sobrellenado a ser la sexta comparada con todas las líneas que elaboran  caldo extruido, pero es la menor en su rubro (máquinas de media velocidad)  ya que las que tienen un porcentaje menor, son nuevas, de mayor velocidad y tienen un sistema de control de peso y retroalimentación automático, por lo  que no dependen de la habilidad del</w:t>
      </w:r>
      <w:r>
        <w:rPr>
          <w:spacing w:val="-16"/>
        </w:rPr>
        <w:t> </w:t>
      </w:r>
      <w:r>
        <w:rPr/>
        <w:t>operador.</w:t>
      </w:r>
    </w:p>
    <w:p>
      <w:pPr>
        <w:spacing w:after="0" w:line="360" w:lineRule="auto"/>
        <w:jc w:val="both"/>
        <w:sectPr>
          <w:footerReference w:type="default" r:id="rId38"/>
          <w:pgSz w:w="11910" w:h="16840"/>
          <w:pgMar w:footer="1043" w:header="0" w:top="1340" w:bottom="1240" w:left="1600" w:right="1580"/>
          <w:pgNumType w:start="61"/>
        </w:sectPr>
      </w:pPr>
    </w:p>
    <w:p>
      <w:pPr>
        <w:pStyle w:val="BodyText"/>
        <w:spacing w:before="6"/>
        <w:rPr>
          <w:sz w:val="13"/>
        </w:rPr>
      </w:pPr>
    </w:p>
    <w:p>
      <w:pPr>
        <w:spacing w:line="360" w:lineRule="auto" w:before="73" w:after="8"/>
        <w:ind w:left="256" w:right="310" w:firstLine="0"/>
        <w:jc w:val="both"/>
        <w:rPr>
          <w:b/>
          <w:sz w:val="22"/>
        </w:rPr>
      </w:pPr>
      <w:r>
        <w:rPr>
          <w:b/>
          <w:sz w:val="22"/>
        </w:rPr>
        <w:t>Figura 17. Sobrellenado actual después de la implementación de la propuesta innovadora</w:t>
      </w:r>
    </w:p>
    <w:p>
      <w:pPr>
        <w:pStyle w:val="BodyText"/>
        <w:ind w:left="518"/>
        <w:rPr>
          <w:sz w:val="20"/>
        </w:rPr>
      </w:pPr>
      <w:r>
        <w:rPr>
          <w:sz w:val="20"/>
        </w:rPr>
        <w:drawing>
          <wp:inline distT="0" distB="0" distL="0" distR="0">
            <wp:extent cx="4950267" cy="2776347"/>
            <wp:effectExtent l="0" t="0" r="0" b="0"/>
            <wp:docPr id="29" name="image15.png" descr=""/>
            <wp:cNvGraphicFramePr>
              <a:graphicFrameLocks noChangeAspect="1"/>
            </wp:cNvGraphicFramePr>
            <a:graphic>
              <a:graphicData uri="http://schemas.openxmlformats.org/drawingml/2006/picture">
                <pic:pic>
                  <pic:nvPicPr>
                    <pic:cNvPr id="30" name="image15.png"/>
                    <pic:cNvPicPr/>
                  </pic:nvPicPr>
                  <pic:blipFill>
                    <a:blip r:embed="rId39" cstate="print"/>
                    <a:stretch>
                      <a:fillRect/>
                    </a:stretch>
                  </pic:blipFill>
                  <pic:spPr>
                    <a:xfrm>
                      <a:off x="0" y="0"/>
                      <a:ext cx="4950267" cy="2776347"/>
                    </a:xfrm>
                    <a:prstGeom prst="rect">
                      <a:avLst/>
                    </a:prstGeom>
                  </pic:spPr>
                </pic:pic>
              </a:graphicData>
            </a:graphic>
          </wp:inline>
        </w:drawing>
      </w:r>
      <w:r>
        <w:rPr>
          <w:sz w:val="20"/>
        </w:rPr>
      </w:r>
    </w:p>
    <w:p>
      <w:pPr>
        <w:spacing w:before="156"/>
        <w:ind w:left="256" w:right="0" w:firstLine="0"/>
        <w:jc w:val="both"/>
        <w:rPr>
          <w:sz w:val="22"/>
        </w:rPr>
      </w:pPr>
      <w:r>
        <w:rPr>
          <w:sz w:val="22"/>
        </w:rPr>
        <w:t>Fuente: Elaboración propia</w:t>
      </w:r>
    </w:p>
    <w:p>
      <w:pPr>
        <w:pStyle w:val="BodyText"/>
        <w:rPr>
          <w:sz w:val="22"/>
        </w:rPr>
      </w:pPr>
    </w:p>
    <w:p>
      <w:pPr>
        <w:pStyle w:val="BodyText"/>
        <w:spacing w:before="10"/>
      </w:pPr>
    </w:p>
    <w:p>
      <w:pPr>
        <w:pStyle w:val="BodyText"/>
        <w:spacing w:line="360" w:lineRule="auto"/>
        <w:ind w:left="256" w:right="312"/>
        <w:jc w:val="both"/>
      </w:pPr>
      <w:r>
        <w:rPr/>
        <w:t>Con respecto al control de los tiempos de mezclado, se realizaron hojas operacionales con los tiempos de mezclado a la temperatura  establecida como óptima del ingrediente principal. Esto fue colocado como ayuda visual para la operación en cada uno de los mezcladores. Un ejemplo de esta tabla se muestra a continuación, por motivos de confidencialidad de la empresa se omiten los datos reales, sin embargo se mantiene el esqueleto de la tabla.</w:t>
      </w:r>
    </w:p>
    <w:p>
      <w:pPr>
        <w:pStyle w:val="BodyText"/>
      </w:pPr>
    </w:p>
    <w:p>
      <w:pPr>
        <w:spacing w:before="139"/>
        <w:ind w:left="182" w:right="0" w:firstLine="0"/>
        <w:jc w:val="both"/>
        <w:rPr>
          <w:b/>
          <w:sz w:val="22"/>
        </w:rPr>
      </w:pPr>
      <w:r>
        <w:rPr>
          <w:b/>
          <w:sz w:val="22"/>
        </w:rPr>
        <w:t>Figura 18. Ayuda visual operacional con los tiempos de mezclado por receta</w:t>
      </w:r>
    </w:p>
    <w:p>
      <w:pPr>
        <w:spacing w:before="129" w:after="3"/>
        <w:ind w:left="1043" w:right="218" w:firstLine="0"/>
        <w:jc w:val="left"/>
        <w:rPr>
          <w:b/>
          <w:sz w:val="44"/>
        </w:rPr>
      </w:pPr>
      <w:r>
        <w:rPr>
          <w:b/>
          <w:sz w:val="44"/>
        </w:rPr>
        <w:t>Tiempos de mezclado por receta</w:t>
      </w:r>
    </w:p>
    <w:tbl>
      <w:tblPr>
        <w:tblW w:w="0" w:type="auto"/>
        <w:jc w:val="left"/>
        <w:tblInd w:w="1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72"/>
        <w:gridCol w:w="1577"/>
        <w:gridCol w:w="1279"/>
        <w:gridCol w:w="1280"/>
        <w:gridCol w:w="1282"/>
        <w:gridCol w:w="2297"/>
      </w:tblGrid>
      <w:tr>
        <w:trPr>
          <w:trHeight w:val="361" w:hRule="exact"/>
        </w:trPr>
        <w:tc>
          <w:tcPr>
            <w:tcW w:w="972" w:type="dxa"/>
            <w:vMerge w:val="restart"/>
            <w:shd w:val="clear" w:color="auto" w:fill="001F5F"/>
          </w:tcPr>
          <w:p>
            <w:pPr>
              <w:pStyle w:val="TableParagraph"/>
              <w:spacing w:line="240" w:lineRule="auto" w:before="6"/>
              <w:jc w:val="left"/>
              <w:rPr>
                <w:b/>
                <w:sz w:val="35"/>
              </w:rPr>
            </w:pPr>
          </w:p>
          <w:p>
            <w:pPr>
              <w:pStyle w:val="TableParagraph"/>
              <w:spacing w:line="240" w:lineRule="auto"/>
              <w:ind w:left="62"/>
              <w:jc w:val="left"/>
              <w:rPr>
                <w:b/>
                <w:sz w:val="24"/>
              </w:rPr>
            </w:pPr>
            <w:r>
              <w:rPr>
                <w:b/>
                <w:color w:val="FFFFFF"/>
                <w:sz w:val="24"/>
              </w:rPr>
              <w:t>Código</w:t>
            </w:r>
          </w:p>
        </w:tc>
        <w:tc>
          <w:tcPr>
            <w:tcW w:w="1577" w:type="dxa"/>
            <w:vMerge w:val="restart"/>
            <w:shd w:val="clear" w:color="auto" w:fill="001F5F"/>
          </w:tcPr>
          <w:p>
            <w:pPr>
              <w:pStyle w:val="TableParagraph"/>
              <w:spacing w:line="240" w:lineRule="auto" w:before="6"/>
              <w:jc w:val="left"/>
              <w:rPr>
                <w:b/>
                <w:sz w:val="35"/>
              </w:rPr>
            </w:pPr>
          </w:p>
          <w:p>
            <w:pPr>
              <w:pStyle w:val="TableParagraph"/>
              <w:spacing w:line="240" w:lineRule="auto"/>
              <w:ind w:left="91"/>
              <w:jc w:val="left"/>
              <w:rPr>
                <w:b/>
                <w:sz w:val="24"/>
              </w:rPr>
            </w:pPr>
            <w:r>
              <w:rPr>
                <w:b/>
                <w:color w:val="FFFFFF"/>
                <w:sz w:val="24"/>
              </w:rPr>
              <w:t>Descripción</w:t>
            </w:r>
          </w:p>
        </w:tc>
        <w:tc>
          <w:tcPr>
            <w:tcW w:w="3840" w:type="dxa"/>
            <w:gridSpan w:val="3"/>
            <w:tcBorders>
              <w:right w:val="nil"/>
            </w:tcBorders>
            <w:shd w:val="clear" w:color="auto" w:fill="001F5F"/>
          </w:tcPr>
          <w:p>
            <w:pPr>
              <w:pStyle w:val="TableParagraph"/>
              <w:spacing w:line="240" w:lineRule="auto" w:before="29"/>
              <w:ind w:left="453"/>
              <w:jc w:val="left"/>
              <w:rPr>
                <w:b/>
                <w:sz w:val="24"/>
              </w:rPr>
            </w:pPr>
            <w:r>
              <w:rPr>
                <w:b/>
                <w:color w:val="FFFFFF"/>
                <w:sz w:val="24"/>
              </w:rPr>
              <w:t>TIEMPOS DE MEZCLADO</w:t>
            </w:r>
          </w:p>
        </w:tc>
        <w:tc>
          <w:tcPr>
            <w:tcW w:w="2297" w:type="dxa"/>
            <w:vMerge w:val="restart"/>
            <w:tcBorders>
              <w:left w:val="nil"/>
            </w:tcBorders>
            <w:shd w:val="clear" w:color="auto" w:fill="001F5F"/>
          </w:tcPr>
          <w:p>
            <w:pPr>
              <w:pStyle w:val="TableParagraph"/>
              <w:spacing w:line="240" w:lineRule="auto"/>
              <w:ind w:left="364" w:right="358" w:hanging="3"/>
              <w:rPr>
                <w:b/>
                <w:sz w:val="24"/>
              </w:rPr>
            </w:pPr>
            <w:r>
              <w:rPr>
                <w:b/>
                <w:color w:val="FFFFFF"/>
                <w:sz w:val="24"/>
              </w:rPr>
              <w:t>Temperatura óptima del ingrediente principal</w:t>
            </w:r>
            <w:r>
              <w:rPr>
                <w:b/>
                <w:color w:val="FFFFFF"/>
                <w:spacing w:val="65"/>
                <w:sz w:val="24"/>
              </w:rPr>
              <w:t> </w:t>
            </w:r>
            <w:r>
              <w:rPr>
                <w:b/>
                <w:color w:val="FFFFFF"/>
                <w:sz w:val="24"/>
              </w:rPr>
              <w:t>(°C)</w:t>
            </w:r>
          </w:p>
        </w:tc>
      </w:tr>
      <w:tr>
        <w:trPr>
          <w:trHeight w:val="296" w:hRule="exact"/>
        </w:trPr>
        <w:tc>
          <w:tcPr>
            <w:tcW w:w="972" w:type="dxa"/>
            <w:vMerge/>
            <w:shd w:val="clear" w:color="auto" w:fill="001F5F"/>
          </w:tcPr>
          <w:p>
            <w:pPr/>
          </w:p>
        </w:tc>
        <w:tc>
          <w:tcPr>
            <w:tcW w:w="1577" w:type="dxa"/>
            <w:vMerge/>
            <w:shd w:val="clear" w:color="auto" w:fill="001F5F"/>
          </w:tcPr>
          <w:p>
            <w:pPr/>
          </w:p>
        </w:tc>
        <w:tc>
          <w:tcPr>
            <w:tcW w:w="3840" w:type="dxa"/>
            <w:gridSpan w:val="3"/>
            <w:shd w:val="clear" w:color="auto" w:fill="2F5395"/>
          </w:tcPr>
          <w:p>
            <w:pPr>
              <w:pStyle w:val="TableParagraph"/>
              <w:spacing w:line="273" w:lineRule="exact"/>
              <w:ind w:left="1199"/>
              <w:jc w:val="left"/>
              <w:rPr>
                <w:b/>
                <w:sz w:val="24"/>
              </w:rPr>
            </w:pPr>
            <w:r>
              <w:rPr>
                <w:b/>
                <w:color w:val="FFFFFF"/>
                <w:sz w:val="24"/>
              </w:rPr>
              <w:t>Mezclador A</w:t>
            </w:r>
          </w:p>
        </w:tc>
        <w:tc>
          <w:tcPr>
            <w:tcW w:w="2297" w:type="dxa"/>
            <w:vMerge/>
            <w:tcBorders>
              <w:left w:val="nil"/>
            </w:tcBorders>
            <w:shd w:val="clear" w:color="auto" w:fill="001F5F"/>
          </w:tcPr>
          <w:p>
            <w:pPr/>
          </w:p>
        </w:tc>
      </w:tr>
      <w:tr>
        <w:trPr>
          <w:trHeight w:val="475" w:hRule="exact"/>
        </w:trPr>
        <w:tc>
          <w:tcPr>
            <w:tcW w:w="972" w:type="dxa"/>
            <w:vMerge/>
            <w:shd w:val="clear" w:color="auto" w:fill="001F5F"/>
          </w:tcPr>
          <w:p>
            <w:pPr/>
          </w:p>
        </w:tc>
        <w:tc>
          <w:tcPr>
            <w:tcW w:w="1577" w:type="dxa"/>
            <w:vMerge/>
            <w:shd w:val="clear" w:color="auto" w:fill="001F5F"/>
          </w:tcPr>
          <w:p>
            <w:pPr/>
          </w:p>
        </w:tc>
        <w:tc>
          <w:tcPr>
            <w:tcW w:w="1279" w:type="dxa"/>
            <w:shd w:val="clear" w:color="auto" w:fill="2F5395"/>
          </w:tcPr>
          <w:p>
            <w:pPr>
              <w:pStyle w:val="TableParagraph"/>
              <w:spacing w:line="240" w:lineRule="auto" w:before="82"/>
              <w:ind w:left="61" w:right="63"/>
              <w:rPr>
                <w:b/>
                <w:sz w:val="24"/>
              </w:rPr>
            </w:pPr>
            <w:r>
              <w:rPr>
                <w:b/>
                <w:color w:val="FFFFFF"/>
                <w:sz w:val="24"/>
              </w:rPr>
              <w:t>paso 1</w:t>
            </w:r>
          </w:p>
        </w:tc>
        <w:tc>
          <w:tcPr>
            <w:tcW w:w="1280" w:type="dxa"/>
            <w:shd w:val="clear" w:color="auto" w:fill="2F5395"/>
          </w:tcPr>
          <w:p>
            <w:pPr>
              <w:pStyle w:val="TableParagraph"/>
              <w:spacing w:line="240" w:lineRule="auto" w:before="82"/>
              <w:ind w:left="62" w:right="62"/>
              <w:rPr>
                <w:b/>
                <w:sz w:val="24"/>
              </w:rPr>
            </w:pPr>
            <w:r>
              <w:rPr>
                <w:b/>
                <w:color w:val="FFFFFF"/>
                <w:sz w:val="24"/>
              </w:rPr>
              <w:t>paso 2</w:t>
            </w:r>
          </w:p>
        </w:tc>
        <w:tc>
          <w:tcPr>
            <w:tcW w:w="1282" w:type="dxa"/>
            <w:tcBorders>
              <w:right w:val="nil"/>
            </w:tcBorders>
            <w:shd w:val="clear" w:color="auto" w:fill="2F5395"/>
          </w:tcPr>
          <w:p>
            <w:pPr>
              <w:pStyle w:val="TableParagraph"/>
              <w:spacing w:line="240" w:lineRule="auto" w:before="82"/>
              <w:ind w:left="249"/>
              <w:jc w:val="left"/>
              <w:rPr>
                <w:b/>
                <w:sz w:val="24"/>
              </w:rPr>
            </w:pPr>
            <w:r>
              <w:rPr>
                <w:b/>
                <w:color w:val="FFFFFF"/>
                <w:sz w:val="24"/>
              </w:rPr>
              <w:t>paso 3</w:t>
            </w:r>
          </w:p>
        </w:tc>
        <w:tc>
          <w:tcPr>
            <w:tcW w:w="2297" w:type="dxa"/>
            <w:vMerge/>
            <w:tcBorders>
              <w:left w:val="nil"/>
            </w:tcBorders>
            <w:shd w:val="clear" w:color="auto" w:fill="001F5F"/>
          </w:tcPr>
          <w:p>
            <w:pPr/>
          </w:p>
        </w:tc>
      </w:tr>
      <w:tr>
        <w:trPr>
          <w:trHeight w:val="653" w:hRule="exact"/>
        </w:trPr>
        <w:tc>
          <w:tcPr>
            <w:tcW w:w="972" w:type="dxa"/>
            <w:shd w:val="clear" w:color="auto" w:fill="FFE699"/>
          </w:tcPr>
          <w:p>
            <w:pPr>
              <w:pStyle w:val="TableParagraph"/>
              <w:spacing w:line="240" w:lineRule="auto" w:before="168"/>
              <w:ind w:left="137" w:right="135"/>
              <w:rPr>
                <w:b/>
                <w:sz w:val="24"/>
              </w:rPr>
            </w:pPr>
            <w:r>
              <w:rPr>
                <w:b/>
                <w:sz w:val="24"/>
              </w:rPr>
              <w:t>XXXX</w:t>
            </w:r>
          </w:p>
        </w:tc>
        <w:tc>
          <w:tcPr>
            <w:tcW w:w="1577" w:type="dxa"/>
            <w:shd w:val="clear" w:color="auto" w:fill="FFE699"/>
          </w:tcPr>
          <w:p>
            <w:pPr>
              <w:pStyle w:val="TableParagraph"/>
              <w:spacing w:line="240" w:lineRule="auto" w:before="168"/>
              <w:ind w:left="264" w:right="266"/>
              <w:rPr>
                <w:b/>
                <w:sz w:val="24"/>
              </w:rPr>
            </w:pPr>
            <w:r>
              <w:rPr>
                <w:b/>
                <w:sz w:val="24"/>
              </w:rPr>
              <w:t>Receta 1</w:t>
            </w:r>
          </w:p>
        </w:tc>
        <w:tc>
          <w:tcPr>
            <w:tcW w:w="1279" w:type="dxa"/>
            <w:shd w:val="clear" w:color="auto" w:fill="FFE699"/>
          </w:tcPr>
          <w:p>
            <w:pPr>
              <w:pStyle w:val="TableParagraph"/>
              <w:spacing w:line="240" w:lineRule="auto" w:before="168"/>
              <w:ind w:left="61" w:right="61"/>
              <w:rPr>
                <w:b/>
                <w:sz w:val="24"/>
              </w:rPr>
            </w:pPr>
            <w:r>
              <w:rPr>
                <w:b/>
                <w:sz w:val="24"/>
              </w:rPr>
              <w:t>1 min</w:t>
            </w:r>
          </w:p>
        </w:tc>
        <w:tc>
          <w:tcPr>
            <w:tcW w:w="1280" w:type="dxa"/>
            <w:shd w:val="clear" w:color="auto" w:fill="FFE699"/>
          </w:tcPr>
          <w:p>
            <w:pPr>
              <w:pStyle w:val="TableParagraph"/>
              <w:spacing w:line="240" w:lineRule="auto" w:before="168"/>
              <w:ind w:left="62" w:right="63"/>
              <w:rPr>
                <w:b/>
                <w:sz w:val="24"/>
              </w:rPr>
            </w:pPr>
            <w:r>
              <w:rPr>
                <w:b/>
                <w:sz w:val="24"/>
              </w:rPr>
              <w:t>1 min</w:t>
            </w:r>
          </w:p>
        </w:tc>
        <w:tc>
          <w:tcPr>
            <w:tcW w:w="1282" w:type="dxa"/>
            <w:shd w:val="clear" w:color="auto" w:fill="FFE699"/>
          </w:tcPr>
          <w:p>
            <w:pPr>
              <w:pStyle w:val="TableParagraph"/>
              <w:spacing w:line="240" w:lineRule="auto" w:before="168"/>
              <w:ind w:left="328"/>
              <w:jc w:val="left"/>
              <w:rPr>
                <w:b/>
                <w:sz w:val="24"/>
              </w:rPr>
            </w:pPr>
            <w:r>
              <w:rPr>
                <w:b/>
                <w:sz w:val="24"/>
              </w:rPr>
              <w:t>50 s</w:t>
            </w:r>
          </w:p>
        </w:tc>
        <w:tc>
          <w:tcPr>
            <w:tcW w:w="2297" w:type="dxa"/>
            <w:shd w:val="clear" w:color="auto" w:fill="FFE699"/>
          </w:tcPr>
          <w:p>
            <w:pPr>
              <w:pStyle w:val="TableParagraph"/>
              <w:spacing w:line="240" w:lineRule="auto" w:before="168"/>
              <w:ind w:left="491" w:right="493"/>
              <w:rPr>
                <w:b/>
                <w:sz w:val="24"/>
              </w:rPr>
            </w:pPr>
            <w:r>
              <w:rPr>
                <w:b/>
                <w:sz w:val="24"/>
              </w:rPr>
              <w:t>de XX a XX</w:t>
            </w:r>
          </w:p>
        </w:tc>
      </w:tr>
      <w:tr>
        <w:trPr>
          <w:trHeight w:val="662" w:hRule="exact"/>
        </w:trPr>
        <w:tc>
          <w:tcPr>
            <w:tcW w:w="972" w:type="dxa"/>
            <w:shd w:val="clear" w:color="auto" w:fill="BE8F00"/>
          </w:tcPr>
          <w:p>
            <w:pPr>
              <w:pStyle w:val="TableParagraph"/>
              <w:spacing w:line="240" w:lineRule="auto" w:before="178"/>
              <w:ind w:left="137" w:right="135"/>
              <w:rPr>
                <w:b/>
                <w:sz w:val="24"/>
              </w:rPr>
            </w:pPr>
            <w:r>
              <w:rPr>
                <w:b/>
                <w:sz w:val="24"/>
              </w:rPr>
              <w:t>XXXX</w:t>
            </w:r>
          </w:p>
        </w:tc>
        <w:tc>
          <w:tcPr>
            <w:tcW w:w="1577" w:type="dxa"/>
            <w:shd w:val="clear" w:color="auto" w:fill="BE8F00"/>
          </w:tcPr>
          <w:p>
            <w:pPr>
              <w:pStyle w:val="TableParagraph"/>
              <w:spacing w:line="240" w:lineRule="auto" w:before="178"/>
              <w:ind w:left="264" w:right="266"/>
              <w:rPr>
                <w:b/>
                <w:sz w:val="24"/>
              </w:rPr>
            </w:pPr>
            <w:r>
              <w:rPr>
                <w:b/>
                <w:sz w:val="24"/>
              </w:rPr>
              <w:t>Receta 4</w:t>
            </w:r>
          </w:p>
        </w:tc>
        <w:tc>
          <w:tcPr>
            <w:tcW w:w="1279" w:type="dxa"/>
            <w:shd w:val="clear" w:color="auto" w:fill="BE8F00"/>
          </w:tcPr>
          <w:p>
            <w:pPr>
              <w:pStyle w:val="TableParagraph"/>
              <w:spacing w:line="240" w:lineRule="auto" w:before="178"/>
              <w:ind w:left="61" w:right="65"/>
              <w:rPr>
                <w:b/>
                <w:sz w:val="24"/>
              </w:rPr>
            </w:pPr>
            <w:r>
              <w:rPr>
                <w:b/>
                <w:sz w:val="24"/>
              </w:rPr>
              <w:t>2 min 30s</w:t>
            </w:r>
          </w:p>
        </w:tc>
        <w:tc>
          <w:tcPr>
            <w:tcW w:w="1280" w:type="dxa"/>
            <w:shd w:val="clear" w:color="auto" w:fill="BE8F00"/>
          </w:tcPr>
          <w:p>
            <w:pPr>
              <w:pStyle w:val="TableParagraph"/>
              <w:spacing w:line="240" w:lineRule="auto" w:before="178"/>
              <w:ind w:left="62" w:right="62"/>
              <w:rPr>
                <w:b/>
                <w:sz w:val="24"/>
              </w:rPr>
            </w:pPr>
            <w:r>
              <w:rPr>
                <w:b/>
                <w:sz w:val="24"/>
              </w:rPr>
              <w:t>2 min 30s</w:t>
            </w:r>
          </w:p>
        </w:tc>
        <w:tc>
          <w:tcPr>
            <w:tcW w:w="1282" w:type="dxa"/>
            <w:shd w:val="clear" w:color="auto" w:fill="BE8F00"/>
          </w:tcPr>
          <w:p>
            <w:pPr>
              <w:pStyle w:val="TableParagraph"/>
              <w:spacing w:line="240" w:lineRule="auto" w:before="178"/>
              <w:ind w:left="81"/>
              <w:jc w:val="left"/>
              <w:rPr>
                <w:b/>
                <w:sz w:val="24"/>
              </w:rPr>
            </w:pPr>
            <w:r>
              <w:rPr>
                <w:b/>
                <w:sz w:val="24"/>
              </w:rPr>
              <w:t>2 min 30s</w:t>
            </w:r>
          </w:p>
        </w:tc>
        <w:tc>
          <w:tcPr>
            <w:tcW w:w="2297" w:type="dxa"/>
            <w:shd w:val="clear" w:color="auto" w:fill="BE8F00"/>
          </w:tcPr>
          <w:p>
            <w:pPr>
              <w:pStyle w:val="TableParagraph"/>
              <w:spacing w:line="240" w:lineRule="auto" w:before="178"/>
              <w:ind w:left="491" w:right="493"/>
              <w:rPr>
                <w:b/>
                <w:sz w:val="24"/>
              </w:rPr>
            </w:pPr>
            <w:r>
              <w:rPr>
                <w:b/>
                <w:sz w:val="24"/>
              </w:rPr>
              <w:t>de XX a XX</w:t>
            </w:r>
          </w:p>
        </w:tc>
      </w:tr>
      <w:tr>
        <w:trPr>
          <w:trHeight w:val="662" w:hRule="exact"/>
        </w:trPr>
        <w:tc>
          <w:tcPr>
            <w:tcW w:w="972" w:type="dxa"/>
            <w:shd w:val="clear" w:color="auto" w:fill="D9E0F1"/>
          </w:tcPr>
          <w:p>
            <w:pPr>
              <w:pStyle w:val="TableParagraph"/>
              <w:spacing w:line="240" w:lineRule="auto" w:before="178"/>
              <w:ind w:left="137" w:right="135"/>
              <w:rPr>
                <w:b/>
                <w:sz w:val="24"/>
              </w:rPr>
            </w:pPr>
            <w:r>
              <w:rPr>
                <w:b/>
                <w:sz w:val="24"/>
              </w:rPr>
              <w:t>XXXX</w:t>
            </w:r>
          </w:p>
        </w:tc>
        <w:tc>
          <w:tcPr>
            <w:tcW w:w="1577" w:type="dxa"/>
            <w:shd w:val="clear" w:color="auto" w:fill="D9E0F1"/>
          </w:tcPr>
          <w:p>
            <w:pPr>
              <w:pStyle w:val="TableParagraph"/>
              <w:spacing w:line="240" w:lineRule="auto" w:before="178"/>
              <w:ind w:left="264" w:right="266"/>
              <w:rPr>
                <w:b/>
                <w:sz w:val="24"/>
              </w:rPr>
            </w:pPr>
            <w:r>
              <w:rPr>
                <w:b/>
                <w:sz w:val="24"/>
              </w:rPr>
              <w:t>Receta 5</w:t>
            </w:r>
          </w:p>
        </w:tc>
        <w:tc>
          <w:tcPr>
            <w:tcW w:w="1279" w:type="dxa"/>
            <w:shd w:val="clear" w:color="auto" w:fill="D9E0F1"/>
          </w:tcPr>
          <w:p>
            <w:pPr>
              <w:pStyle w:val="TableParagraph"/>
              <w:spacing w:line="240" w:lineRule="auto" w:before="178"/>
              <w:ind w:left="60" w:right="65"/>
              <w:rPr>
                <w:b/>
                <w:sz w:val="24"/>
              </w:rPr>
            </w:pPr>
            <w:r>
              <w:rPr>
                <w:b/>
                <w:sz w:val="24"/>
              </w:rPr>
              <w:t>2 min</w:t>
            </w:r>
          </w:p>
        </w:tc>
        <w:tc>
          <w:tcPr>
            <w:tcW w:w="1280" w:type="dxa"/>
            <w:shd w:val="clear" w:color="auto" w:fill="D9E0F1"/>
          </w:tcPr>
          <w:p>
            <w:pPr>
              <w:pStyle w:val="TableParagraph"/>
              <w:spacing w:line="240" w:lineRule="auto" w:before="178"/>
              <w:ind w:left="62" w:right="63"/>
              <w:rPr>
                <w:b/>
                <w:sz w:val="24"/>
              </w:rPr>
            </w:pPr>
            <w:r>
              <w:rPr>
                <w:b/>
                <w:sz w:val="24"/>
              </w:rPr>
              <w:t>1 min 30s</w:t>
            </w:r>
          </w:p>
        </w:tc>
        <w:tc>
          <w:tcPr>
            <w:tcW w:w="1282" w:type="dxa"/>
            <w:shd w:val="clear" w:color="auto" w:fill="D9E0F1"/>
          </w:tcPr>
          <w:p>
            <w:pPr>
              <w:pStyle w:val="TableParagraph"/>
              <w:spacing w:line="240" w:lineRule="auto" w:before="178"/>
              <w:ind w:left="314"/>
              <w:jc w:val="left"/>
              <w:rPr>
                <w:b/>
                <w:sz w:val="24"/>
              </w:rPr>
            </w:pPr>
            <w:r>
              <w:rPr>
                <w:b/>
                <w:sz w:val="24"/>
              </w:rPr>
              <w:t>1 min</w:t>
            </w:r>
          </w:p>
        </w:tc>
        <w:tc>
          <w:tcPr>
            <w:tcW w:w="2297" w:type="dxa"/>
            <w:shd w:val="clear" w:color="auto" w:fill="D9E0F1"/>
          </w:tcPr>
          <w:p>
            <w:pPr>
              <w:pStyle w:val="TableParagraph"/>
              <w:spacing w:line="240" w:lineRule="auto" w:before="178"/>
              <w:ind w:left="491" w:right="493"/>
              <w:rPr>
                <w:b/>
                <w:sz w:val="24"/>
              </w:rPr>
            </w:pPr>
            <w:r>
              <w:rPr>
                <w:b/>
                <w:sz w:val="24"/>
              </w:rPr>
              <w:t>de XX a XX</w:t>
            </w:r>
          </w:p>
        </w:tc>
      </w:tr>
    </w:tbl>
    <w:p>
      <w:pPr>
        <w:spacing w:line="252" w:lineRule="exact" w:before="0"/>
        <w:ind w:left="182" w:right="218" w:firstLine="0"/>
        <w:jc w:val="left"/>
        <w:rPr>
          <w:sz w:val="22"/>
        </w:rPr>
      </w:pPr>
      <w:r>
        <w:rPr>
          <w:sz w:val="22"/>
        </w:rPr>
        <w:t>Fuente: Elaboración propia</w:t>
      </w:r>
    </w:p>
    <w:p>
      <w:pPr>
        <w:spacing w:after="0" w:line="252" w:lineRule="exact"/>
        <w:jc w:val="left"/>
        <w:rPr>
          <w:sz w:val="22"/>
        </w:rPr>
        <w:sectPr>
          <w:pgSz w:w="11910" w:h="16840"/>
          <w:pgMar w:header="0" w:footer="1043" w:top="1580" w:bottom="1240" w:left="1520" w:right="1460"/>
        </w:sectPr>
      </w:pPr>
    </w:p>
    <w:p>
      <w:pPr>
        <w:pStyle w:val="BodyText"/>
        <w:spacing w:line="360" w:lineRule="auto" w:before="56"/>
        <w:ind w:left="102" w:right="196"/>
        <w:jc w:val="both"/>
      </w:pPr>
      <w:r>
        <w:rPr/>
        <w:t>También se propuso realizar una automatización de los mezcladores para que los operadores no puedan manipular los tiempos de mezclado ya que una vez controlada la temperatura del ingrediente principal se puede estandarizar el tiempo de mezclado de los ingredientes y de esta forma quitar el error humano de dicha actividad.</w:t>
      </w:r>
    </w:p>
    <w:p>
      <w:pPr>
        <w:pStyle w:val="BodyText"/>
      </w:pPr>
    </w:p>
    <w:p>
      <w:pPr>
        <w:pStyle w:val="BodyText"/>
        <w:spacing w:line="360" w:lineRule="auto" w:before="142"/>
        <w:ind w:left="102" w:right="193"/>
        <w:jc w:val="both"/>
      </w:pPr>
      <w:r>
        <w:rPr/>
        <w:t>Como parte de disminuir el error humano, se realizó también la capacitación  de los operadores para que pudieran conocer los efectos que tiene el regalar producto aumentando el peso de los cubos y cómo pueden realizar el control de peso en sus</w:t>
      </w:r>
      <w:r>
        <w:rPr>
          <w:spacing w:val="-8"/>
        </w:rPr>
        <w:t> </w:t>
      </w:r>
      <w:r>
        <w:rPr/>
        <w:t>líneas.</w:t>
      </w:r>
    </w:p>
    <w:p>
      <w:pPr>
        <w:pStyle w:val="BodyText"/>
      </w:pPr>
    </w:p>
    <w:p>
      <w:pPr>
        <w:pStyle w:val="BodyText"/>
        <w:spacing w:line="360" w:lineRule="auto" w:before="142"/>
        <w:ind w:left="102" w:right="193"/>
        <w:jc w:val="both"/>
      </w:pPr>
      <w:r>
        <w:rPr/>
        <w:t>Aunado a lo anterior, el indicador de merma por sobrellenado se introdujo a los objetivos de los operadores de forma que si trabaja en mantener el peso  dentro de los límites operacionales que se le establecen para su línea él puede obtener un bono económico al finalizar el año (el cual es mucho menor a la pérdida económica que la empresa tenía por este</w:t>
      </w:r>
      <w:r>
        <w:rPr>
          <w:spacing w:val="-21"/>
        </w:rPr>
        <w:t> </w:t>
      </w:r>
      <w:r>
        <w:rPr/>
        <w:t>problema)</w:t>
      </w:r>
    </w:p>
    <w:p>
      <w:pPr>
        <w:pStyle w:val="BodyText"/>
      </w:pPr>
    </w:p>
    <w:p>
      <w:pPr>
        <w:pStyle w:val="BodyText"/>
        <w:spacing w:line="360" w:lineRule="auto" w:before="142"/>
        <w:ind w:left="102" w:right="197"/>
        <w:jc w:val="both"/>
      </w:pPr>
      <w:r>
        <w:rPr/>
        <w:t>La instrucción de trabajo para el control de peso generada por los mismo operadores así como la LUTI (por sus siglas en inglés: Learn, Use, Teach, Inspect) son procedimientos que ya se encuentran dentro de los manuales de operación de las máquinas y en el manual de capacitación de operadores regulado por el área de Recursos Humanos</w:t>
      </w:r>
    </w:p>
    <w:p>
      <w:pPr>
        <w:spacing w:after="0" w:line="360" w:lineRule="auto"/>
        <w:jc w:val="both"/>
        <w:sectPr>
          <w:pgSz w:w="11910" w:h="16840"/>
          <w:pgMar w:header="0" w:footer="1043" w:top="1340" w:bottom="1240" w:left="1600" w:right="1580"/>
        </w:sectPr>
      </w:pPr>
    </w:p>
    <w:p>
      <w:pPr>
        <w:spacing w:before="53"/>
        <w:ind w:left="222" w:right="0" w:firstLine="0"/>
        <w:jc w:val="left"/>
        <w:rPr>
          <w:b/>
          <w:sz w:val="22"/>
        </w:rPr>
      </w:pPr>
      <w:r>
        <w:rPr>
          <w:b/>
          <w:sz w:val="22"/>
        </w:rPr>
        <w:t>Figura 19. Instrucción de trabajo para el control de peso de la línea</w:t>
      </w:r>
    </w:p>
    <w:p>
      <w:pPr>
        <w:pStyle w:val="BodyText"/>
        <w:spacing w:before="2" w:after="1"/>
        <w:rPr>
          <w:b/>
          <w:sz w:val="26"/>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84"/>
        <w:gridCol w:w="3560"/>
      </w:tblGrid>
      <w:tr>
        <w:trPr>
          <w:trHeight w:val="466" w:hRule="exact"/>
        </w:trPr>
        <w:tc>
          <w:tcPr>
            <w:tcW w:w="5084" w:type="dxa"/>
            <w:shd w:val="clear" w:color="auto" w:fill="000000"/>
          </w:tcPr>
          <w:p>
            <w:pPr>
              <w:pStyle w:val="TableParagraph"/>
              <w:spacing w:line="240" w:lineRule="auto" w:before="82"/>
              <w:ind w:left="1841" w:right="2121"/>
              <w:rPr>
                <w:b/>
                <w:sz w:val="24"/>
              </w:rPr>
            </w:pPr>
            <w:r>
              <w:rPr>
                <w:b/>
                <w:color w:val="FFFFFF"/>
                <w:sz w:val="24"/>
              </w:rPr>
              <w:t>Actividad</w:t>
            </w:r>
          </w:p>
        </w:tc>
        <w:tc>
          <w:tcPr>
            <w:tcW w:w="3560" w:type="dxa"/>
            <w:shd w:val="clear" w:color="auto" w:fill="000000"/>
          </w:tcPr>
          <w:p>
            <w:pPr>
              <w:pStyle w:val="TableParagraph"/>
              <w:spacing w:line="240" w:lineRule="auto" w:before="82"/>
              <w:ind w:left="1201" w:right="1478"/>
              <w:rPr>
                <w:b/>
                <w:sz w:val="24"/>
              </w:rPr>
            </w:pPr>
            <w:r>
              <w:rPr>
                <w:b/>
                <w:color w:val="FFFFFF"/>
                <w:sz w:val="24"/>
              </w:rPr>
              <w:t>Imagen</w:t>
            </w:r>
          </w:p>
        </w:tc>
      </w:tr>
      <w:tr>
        <w:trPr>
          <w:trHeight w:val="1817" w:hRule="exact"/>
        </w:trPr>
        <w:tc>
          <w:tcPr>
            <w:tcW w:w="5084"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5"/>
              <w:jc w:val="left"/>
              <w:rPr>
                <w:b/>
                <w:sz w:val="24"/>
              </w:rPr>
            </w:pPr>
          </w:p>
          <w:p>
            <w:pPr>
              <w:pStyle w:val="TableParagraph"/>
              <w:spacing w:line="240" w:lineRule="auto"/>
              <w:ind w:left="820" w:right="378" w:hanging="360"/>
              <w:jc w:val="both"/>
              <w:rPr>
                <w:sz w:val="24"/>
              </w:rPr>
            </w:pPr>
            <w:r>
              <w:rPr>
                <w:sz w:val="24"/>
              </w:rPr>
              <w:t>a) Revisar cada 30 min la pantalla de  la báscula dinámica de la corazza para observar si los pesos están dentro de los límites</w:t>
            </w:r>
            <w:r>
              <w:rPr>
                <w:spacing w:val="-11"/>
                <w:sz w:val="24"/>
              </w:rPr>
              <w:t> </w:t>
            </w:r>
            <w:r>
              <w:rPr>
                <w:sz w:val="24"/>
              </w:rPr>
              <w:t>operacionales</w:t>
            </w:r>
          </w:p>
        </w:tc>
        <w:tc>
          <w:tcPr>
            <w:tcW w:w="356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478"/>
              <w:jc w:val="left"/>
              <w:rPr>
                <w:sz w:val="20"/>
              </w:rPr>
            </w:pPr>
            <w:r>
              <w:rPr>
                <w:sz w:val="20"/>
              </w:rPr>
              <w:drawing>
                <wp:inline distT="0" distB="0" distL="0" distR="0">
                  <wp:extent cx="1457328" cy="1101852"/>
                  <wp:effectExtent l="0" t="0" r="0" b="0"/>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40" cstate="print"/>
                          <a:stretch>
                            <a:fillRect/>
                          </a:stretch>
                        </pic:blipFill>
                        <pic:spPr>
                          <a:xfrm>
                            <a:off x="0" y="0"/>
                            <a:ext cx="1457328" cy="1101852"/>
                          </a:xfrm>
                          <a:prstGeom prst="rect">
                            <a:avLst/>
                          </a:prstGeom>
                        </pic:spPr>
                      </pic:pic>
                    </a:graphicData>
                  </a:graphic>
                </wp:inline>
              </w:drawing>
            </w:r>
            <w:r>
              <w:rPr>
                <w:sz w:val="20"/>
              </w:rPr>
            </w:r>
          </w:p>
        </w:tc>
      </w:tr>
      <w:tr>
        <w:trPr>
          <w:trHeight w:val="2161" w:hRule="exact"/>
        </w:trPr>
        <w:tc>
          <w:tcPr>
            <w:tcW w:w="5084"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
              <w:jc w:val="left"/>
              <w:rPr>
                <w:b/>
                <w:sz w:val="23"/>
              </w:rPr>
            </w:pPr>
          </w:p>
          <w:p>
            <w:pPr>
              <w:pStyle w:val="TableParagraph"/>
              <w:spacing w:line="240" w:lineRule="auto"/>
              <w:ind w:left="820" w:right="376" w:hanging="360"/>
              <w:jc w:val="both"/>
              <w:rPr>
                <w:sz w:val="24"/>
              </w:rPr>
            </w:pPr>
            <w:r>
              <w:rPr>
                <w:sz w:val="24"/>
              </w:rPr>
              <w:t>b) Si se observan variaciones  se  deben tomar de 3 a 5 estuches y llevarlos al área donde se encuentra la báscula</w:t>
            </w:r>
            <w:r>
              <w:rPr>
                <w:spacing w:val="-6"/>
                <w:sz w:val="24"/>
              </w:rPr>
              <w:t> </w:t>
            </w:r>
            <w:r>
              <w:rPr>
                <w:sz w:val="24"/>
              </w:rPr>
              <w:t>estática</w:t>
            </w:r>
          </w:p>
        </w:tc>
        <w:tc>
          <w:tcPr>
            <w:tcW w:w="356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759"/>
              <w:jc w:val="left"/>
              <w:rPr>
                <w:sz w:val="20"/>
              </w:rPr>
            </w:pPr>
            <w:r>
              <w:rPr>
                <w:sz w:val="20"/>
              </w:rPr>
              <w:drawing>
                <wp:inline distT="0" distB="0" distL="0" distR="0">
                  <wp:extent cx="1103412" cy="1321307"/>
                  <wp:effectExtent l="0" t="0" r="0" b="0"/>
                  <wp:docPr id="33" name="image17.jpeg" descr=""/>
                  <wp:cNvGraphicFramePr>
                    <a:graphicFrameLocks noChangeAspect="1"/>
                  </wp:cNvGraphicFramePr>
                  <a:graphic>
                    <a:graphicData uri="http://schemas.openxmlformats.org/drawingml/2006/picture">
                      <pic:pic>
                        <pic:nvPicPr>
                          <pic:cNvPr id="34" name="image17.jpeg"/>
                          <pic:cNvPicPr/>
                        </pic:nvPicPr>
                        <pic:blipFill>
                          <a:blip r:embed="rId41" cstate="print"/>
                          <a:stretch>
                            <a:fillRect/>
                          </a:stretch>
                        </pic:blipFill>
                        <pic:spPr>
                          <a:xfrm>
                            <a:off x="0" y="0"/>
                            <a:ext cx="1103412" cy="1321307"/>
                          </a:xfrm>
                          <a:prstGeom prst="rect">
                            <a:avLst/>
                          </a:prstGeom>
                        </pic:spPr>
                      </pic:pic>
                    </a:graphicData>
                  </a:graphic>
                </wp:inline>
              </w:drawing>
            </w:r>
            <w:r>
              <w:rPr>
                <w:sz w:val="20"/>
              </w:rPr>
            </w:r>
          </w:p>
        </w:tc>
      </w:tr>
      <w:tr>
        <w:trPr>
          <w:trHeight w:val="2314" w:hRule="exact"/>
        </w:trPr>
        <w:tc>
          <w:tcPr>
            <w:tcW w:w="5084"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820" w:right="377" w:hanging="360"/>
              <w:jc w:val="both"/>
              <w:rPr>
                <w:sz w:val="24"/>
              </w:rPr>
            </w:pPr>
            <w:r>
              <w:rPr>
                <w:sz w:val="24"/>
              </w:rPr>
              <w:t>c) Pesar los estuches en la báscula estática para corroborar el peso exacto de los estuches y verificar que no haya diferencia significativa entre lo que reporta esta vs la báscula dinámica de la línea</w:t>
            </w:r>
          </w:p>
        </w:tc>
        <w:tc>
          <w:tcPr>
            <w:tcW w:w="356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828"/>
              <w:jc w:val="left"/>
              <w:rPr>
                <w:sz w:val="20"/>
              </w:rPr>
            </w:pPr>
            <w:r>
              <w:rPr>
                <w:sz w:val="20"/>
              </w:rPr>
              <w:drawing>
                <wp:inline distT="0" distB="0" distL="0" distR="0">
                  <wp:extent cx="1017533" cy="1412748"/>
                  <wp:effectExtent l="0" t="0" r="0" b="0"/>
                  <wp:docPr id="35" name="image18.jpeg" descr=""/>
                  <wp:cNvGraphicFramePr>
                    <a:graphicFrameLocks noChangeAspect="1"/>
                  </wp:cNvGraphicFramePr>
                  <a:graphic>
                    <a:graphicData uri="http://schemas.openxmlformats.org/drawingml/2006/picture">
                      <pic:pic>
                        <pic:nvPicPr>
                          <pic:cNvPr id="36" name="image18.jpeg"/>
                          <pic:cNvPicPr/>
                        </pic:nvPicPr>
                        <pic:blipFill>
                          <a:blip r:embed="rId42" cstate="print"/>
                          <a:stretch>
                            <a:fillRect/>
                          </a:stretch>
                        </pic:blipFill>
                        <pic:spPr>
                          <a:xfrm>
                            <a:off x="0" y="0"/>
                            <a:ext cx="1017533" cy="1412748"/>
                          </a:xfrm>
                          <a:prstGeom prst="rect">
                            <a:avLst/>
                          </a:prstGeom>
                        </pic:spPr>
                      </pic:pic>
                    </a:graphicData>
                  </a:graphic>
                </wp:inline>
              </w:drawing>
            </w:r>
            <w:r>
              <w:rPr>
                <w:sz w:val="20"/>
              </w:rPr>
            </w:r>
          </w:p>
        </w:tc>
      </w:tr>
      <w:tr>
        <w:trPr>
          <w:trHeight w:val="2160" w:hRule="exact"/>
        </w:trPr>
        <w:tc>
          <w:tcPr>
            <w:tcW w:w="5084"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
              <w:jc w:val="left"/>
              <w:rPr>
                <w:b/>
                <w:sz w:val="23"/>
              </w:rPr>
            </w:pPr>
          </w:p>
          <w:p>
            <w:pPr>
              <w:pStyle w:val="TableParagraph"/>
              <w:spacing w:line="240" w:lineRule="auto"/>
              <w:ind w:left="820" w:right="377" w:hanging="360"/>
              <w:jc w:val="both"/>
              <w:rPr>
                <w:sz w:val="24"/>
              </w:rPr>
            </w:pPr>
            <w:r>
              <w:rPr>
                <w:sz w:val="24"/>
              </w:rPr>
              <w:t>d) Regresar y ajustar el peso en el tablero de la báscula mediante el botón controlador de peso, ya sea ajustando el peso hacia arriba o hacia abajo</w:t>
            </w:r>
          </w:p>
        </w:tc>
        <w:tc>
          <w:tcPr>
            <w:tcW w:w="356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418"/>
              <w:jc w:val="left"/>
              <w:rPr>
                <w:sz w:val="20"/>
              </w:rPr>
            </w:pPr>
            <w:r>
              <w:rPr>
                <w:sz w:val="20"/>
              </w:rPr>
              <w:drawing>
                <wp:inline distT="0" distB="0" distL="0" distR="0">
                  <wp:extent cx="1535633" cy="1243584"/>
                  <wp:effectExtent l="0" t="0" r="0" b="0"/>
                  <wp:docPr id="37" name="image19.jpeg" descr=""/>
                  <wp:cNvGraphicFramePr>
                    <a:graphicFrameLocks noChangeAspect="1"/>
                  </wp:cNvGraphicFramePr>
                  <a:graphic>
                    <a:graphicData uri="http://schemas.openxmlformats.org/drawingml/2006/picture">
                      <pic:pic>
                        <pic:nvPicPr>
                          <pic:cNvPr id="38" name="image19.jpeg"/>
                          <pic:cNvPicPr/>
                        </pic:nvPicPr>
                        <pic:blipFill>
                          <a:blip r:embed="rId43" cstate="print"/>
                          <a:stretch>
                            <a:fillRect/>
                          </a:stretch>
                        </pic:blipFill>
                        <pic:spPr>
                          <a:xfrm>
                            <a:off x="0" y="0"/>
                            <a:ext cx="1535633" cy="1243584"/>
                          </a:xfrm>
                          <a:prstGeom prst="rect">
                            <a:avLst/>
                          </a:prstGeom>
                        </pic:spPr>
                      </pic:pic>
                    </a:graphicData>
                  </a:graphic>
                </wp:inline>
              </w:drawing>
            </w:r>
            <w:r>
              <w:rPr>
                <w:sz w:val="20"/>
              </w:rPr>
            </w:r>
          </w:p>
          <w:p>
            <w:pPr>
              <w:pStyle w:val="TableParagraph"/>
              <w:spacing w:line="240" w:lineRule="auto" w:before="2"/>
              <w:jc w:val="left"/>
              <w:rPr>
                <w:b/>
                <w:sz w:val="16"/>
              </w:rPr>
            </w:pPr>
          </w:p>
        </w:tc>
      </w:tr>
      <w:tr>
        <w:trPr>
          <w:trHeight w:val="2415" w:hRule="exact"/>
        </w:trPr>
        <w:tc>
          <w:tcPr>
            <w:tcW w:w="5084"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820" w:right="377" w:hanging="360"/>
              <w:jc w:val="both"/>
              <w:rPr>
                <w:sz w:val="24"/>
              </w:rPr>
            </w:pPr>
            <w:r>
              <w:rPr>
                <w:sz w:val="24"/>
              </w:rPr>
              <w:t>e) Pasar nuevamente otros estuches y verificar que el peso se haya ajustado correctamente. Regresar  al paso anterior en caso de que siga habiendo variación de peso en la línea</w:t>
            </w:r>
          </w:p>
        </w:tc>
        <w:tc>
          <w:tcPr>
            <w:tcW w:w="356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596"/>
              <w:jc w:val="left"/>
              <w:rPr>
                <w:sz w:val="20"/>
              </w:rPr>
            </w:pPr>
            <w:r>
              <w:rPr>
                <w:sz w:val="20"/>
              </w:rPr>
              <w:drawing>
                <wp:inline distT="0" distB="0" distL="0" distR="0">
                  <wp:extent cx="1309322" cy="1508760"/>
                  <wp:effectExtent l="0" t="0" r="0" b="0"/>
                  <wp:docPr id="39" name="image20.jpeg" descr=""/>
                  <wp:cNvGraphicFramePr>
                    <a:graphicFrameLocks noChangeAspect="1"/>
                  </wp:cNvGraphicFramePr>
                  <a:graphic>
                    <a:graphicData uri="http://schemas.openxmlformats.org/drawingml/2006/picture">
                      <pic:pic>
                        <pic:nvPicPr>
                          <pic:cNvPr id="40" name="image20.jpeg"/>
                          <pic:cNvPicPr/>
                        </pic:nvPicPr>
                        <pic:blipFill>
                          <a:blip r:embed="rId44" cstate="print"/>
                          <a:stretch>
                            <a:fillRect/>
                          </a:stretch>
                        </pic:blipFill>
                        <pic:spPr>
                          <a:xfrm>
                            <a:off x="0" y="0"/>
                            <a:ext cx="1309322" cy="1508760"/>
                          </a:xfrm>
                          <a:prstGeom prst="rect">
                            <a:avLst/>
                          </a:prstGeom>
                        </pic:spPr>
                      </pic:pic>
                    </a:graphicData>
                  </a:graphic>
                </wp:inline>
              </w:drawing>
            </w:r>
            <w:r>
              <w:rPr>
                <w:sz w:val="20"/>
              </w:rPr>
            </w:r>
          </w:p>
        </w:tc>
      </w:tr>
    </w:tbl>
    <w:p>
      <w:pPr>
        <w:spacing w:line="251" w:lineRule="exact" w:before="0"/>
        <w:ind w:left="222" w:right="0" w:firstLine="0"/>
        <w:jc w:val="left"/>
        <w:rPr>
          <w:sz w:val="22"/>
        </w:rPr>
      </w:pPr>
      <w:r>
        <w:rPr>
          <w:sz w:val="22"/>
        </w:rPr>
        <w:t>Fuente: Manual de operación de la línea 4 (2015)</w:t>
      </w:r>
    </w:p>
    <w:p>
      <w:pPr>
        <w:spacing w:after="0" w:line="251" w:lineRule="exact"/>
        <w:jc w:val="left"/>
        <w:rPr>
          <w:sz w:val="22"/>
        </w:rPr>
        <w:sectPr>
          <w:pgSz w:w="11910" w:h="16840"/>
          <w:pgMar w:header="0" w:footer="1043" w:top="1340" w:bottom="1240" w:left="1480" w:right="1540"/>
        </w:sectPr>
      </w:pPr>
    </w:p>
    <w:p>
      <w:pPr>
        <w:spacing w:before="53"/>
        <w:ind w:left="102" w:right="0" w:firstLine="0"/>
        <w:jc w:val="both"/>
        <w:rPr>
          <w:b/>
          <w:sz w:val="22"/>
        </w:rPr>
      </w:pPr>
      <w:r>
        <w:rPr/>
        <w:drawing>
          <wp:anchor distT="0" distB="0" distL="0" distR="0" allowOverlap="1" layoutInCell="1" locked="0" behindDoc="0" simplePos="0" relativeHeight="1288">
            <wp:simplePos x="0" y="0"/>
            <wp:positionH relativeFrom="page">
              <wp:posOffset>1127760</wp:posOffset>
            </wp:positionH>
            <wp:positionV relativeFrom="paragraph">
              <wp:posOffset>279245</wp:posOffset>
            </wp:positionV>
            <wp:extent cx="5412228" cy="3819048"/>
            <wp:effectExtent l="0" t="0" r="0" b="0"/>
            <wp:wrapTopAndBottom/>
            <wp:docPr id="41" name="image21.jpeg" descr=""/>
            <wp:cNvGraphicFramePr>
              <a:graphicFrameLocks noChangeAspect="1"/>
            </wp:cNvGraphicFramePr>
            <a:graphic>
              <a:graphicData uri="http://schemas.openxmlformats.org/drawingml/2006/picture">
                <pic:pic>
                  <pic:nvPicPr>
                    <pic:cNvPr id="42" name="image21.jpeg"/>
                    <pic:cNvPicPr/>
                  </pic:nvPicPr>
                  <pic:blipFill>
                    <a:blip r:embed="rId45" cstate="print"/>
                    <a:stretch>
                      <a:fillRect/>
                    </a:stretch>
                  </pic:blipFill>
                  <pic:spPr>
                    <a:xfrm>
                      <a:off x="0" y="0"/>
                      <a:ext cx="5412228" cy="3819048"/>
                    </a:xfrm>
                    <a:prstGeom prst="rect">
                      <a:avLst/>
                    </a:prstGeom>
                  </pic:spPr>
                </pic:pic>
              </a:graphicData>
            </a:graphic>
          </wp:anchor>
        </w:drawing>
      </w:r>
      <w:r>
        <w:rPr>
          <w:b/>
          <w:sz w:val="22"/>
        </w:rPr>
        <w:t>Figura 20. LUTI de la línea 4 para el control de peso</w:t>
      </w:r>
    </w:p>
    <w:p>
      <w:pPr>
        <w:spacing w:before="91"/>
        <w:ind w:left="176" w:right="0" w:firstLine="0"/>
        <w:jc w:val="both"/>
        <w:rPr>
          <w:sz w:val="22"/>
        </w:rPr>
      </w:pPr>
      <w:r>
        <w:rPr>
          <w:sz w:val="22"/>
        </w:rPr>
        <w:t>Fuente: Manual de operación de la línea 4 (2015)</w:t>
      </w:r>
    </w:p>
    <w:p>
      <w:pPr>
        <w:pStyle w:val="BodyText"/>
        <w:rPr>
          <w:sz w:val="22"/>
        </w:rPr>
      </w:pPr>
    </w:p>
    <w:p>
      <w:pPr>
        <w:pStyle w:val="BodyText"/>
        <w:spacing w:before="1"/>
        <w:rPr>
          <w:sz w:val="25"/>
        </w:rPr>
      </w:pPr>
    </w:p>
    <w:p>
      <w:pPr>
        <w:pStyle w:val="BodyText"/>
        <w:spacing w:line="360" w:lineRule="auto" w:before="1"/>
        <w:ind w:left="176" w:right="251"/>
        <w:jc w:val="both"/>
      </w:pPr>
      <w:r>
        <w:rPr/>
        <w:t>Para el departamento de control de calidad también se realizó la propuesta de dejar fijos los límites operacionales de control de peso, ya que anteriormente se cambiaban mes a mes de acuerdo a los resultados obtenidos por el operador, sin embargo no se tomaba en cuenta la habilidad de la máquina.</w:t>
      </w:r>
    </w:p>
    <w:p>
      <w:pPr>
        <w:pStyle w:val="BodyText"/>
      </w:pPr>
    </w:p>
    <w:p>
      <w:pPr>
        <w:pStyle w:val="BodyText"/>
        <w:spacing w:line="360" w:lineRule="auto" w:before="142"/>
        <w:ind w:left="176" w:right="256"/>
        <w:jc w:val="both"/>
      </w:pPr>
      <w:r>
        <w:rPr/>
        <w:t>Una vez que se realizó la reducción de sobrellenado se observó que la línea tenía la habilidad de dar los pesos cercanos a la media por lo que se fijaron límites operacionales más cerrados y estos parámetros ya no se mueven  cada mes, se mantienen fijos y los operadores han tenido que ajustar su proceso a</w:t>
      </w:r>
      <w:r>
        <w:rPr>
          <w:spacing w:val="-4"/>
        </w:rPr>
        <w:t> </w:t>
      </w:r>
      <w:r>
        <w:rPr/>
        <w:t>éstos.</w:t>
      </w:r>
    </w:p>
    <w:p>
      <w:pPr>
        <w:pStyle w:val="BodyText"/>
      </w:pPr>
    </w:p>
    <w:p>
      <w:pPr>
        <w:pStyle w:val="BodyText"/>
        <w:spacing w:line="360" w:lineRule="auto" w:before="142"/>
        <w:ind w:left="176" w:right="254"/>
        <w:jc w:val="both"/>
      </w:pPr>
      <w:r>
        <w:rPr/>
        <w:t>Por otro lado como parte de la propuesta innovadora se observó que no solo es necesario aplicar el control de calidad directo en el área de procesos, ya que para controlar algunas variables como la temperatura del ingrediente principal, es necesario tener un adecuado plan de producción que permita asegurar que dicho ingrediente pueda estar bajo los parámetros  establecidos</w:t>
      </w:r>
    </w:p>
    <w:p>
      <w:pPr>
        <w:spacing w:after="0" w:line="360" w:lineRule="auto"/>
        <w:jc w:val="both"/>
        <w:sectPr>
          <w:pgSz w:w="11910" w:h="16840"/>
          <w:pgMar w:header="0" w:footer="1043" w:top="1340" w:bottom="1240" w:left="1600" w:right="1520"/>
        </w:sectPr>
      </w:pPr>
    </w:p>
    <w:p>
      <w:pPr>
        <w:pStyle w:val="BodyText"/>
        <w:spacing w:line="360" w:lineRule="auto" w:before="56"/>
        <w:ind w:left="116" w:right="193"/>
        <w:jc w:val="both"/>
      </w:pPr>
      <w:r>
        <w:rPr/>
        <w:t>por lo que siguiendo la cadena de suministro se observó que para que esto se cumpla es necesario involucrar a otros departamentos como el área de Planeación, que al no tener un plan de control para sus inventarios muchas veces afecta el tiempo de entrega del material y por lo tanto el proveedor no puede cumplir con la especificación del material, por lo que se sugiere que la empresa se vea como un sistema y aplique el control de calidad no solo en sus procesos productivos sino en toda su cadena de producción para que se puedan mantener los resultados logrados.</w:t>
      </w:r>
    </w:p>
    <w:p>
      <w:pPr>
        <w:spacing w:after="0" w:line="360" w:lineRule="auto"/>
        <w:jc w:val="both"/>
        <w:sectPr>
          <w:pgSz w:w="11910" w:h="16840"/>
          <w:pgMar w:header="0" w:footer="1043" w:top="1340" w:bottom="1240" w:left="1660" w:right="1580"/>
        </w:sectPr>
      </w:pPr>
    </w:p>
    <w:p>
      <w:pPr>
        <w:pStyle w:val="Heading1"/>
        <w:ind w:left="2742"/>
      </w:pPr>
      <w:r>
        <w:rPr/>
        <w:t>CONCLUSIONES</w:t>
      </w:r>
    </w:p>
    <w:p>
      <w:pPr>
        <w:pStyle w:val="BodyText"/>
        <w:spacing w:before="1"/>
        <w:rPr>
          <w:b/>
          <w:sz w:val="56"/>
        </w:rPr>
      </w:pPr>
    </w:p>
    <w:p>
      <w:pPr>
        <w:pStyle w:val="BodyText"/>
        <w:spacing w:line="360" w:lineRule="auto"/>
        <w:ind w:left="102" w:right="116"/>
        <w:jc w:val="both"/>
      </w:pPr>
      <w:r>
        <w:rPr/>
        <w:t>El trabajo terminal cumplió con el objetivo de determinar mediante el uso de herramientas estadísticas, las variables de proceso que tienen mayor impacto sobre los costos de sobrellenado de producto terminado en los caldos extruidos elaborados por una empresa de giro alimenticio y realizar una propuesta para reducir los costos asociados al fenómeno, a través del control de dichas variables.</w:t>
      </w:r>
    </w:p>
    <w:p>
      <w:pPr>
        <w:pStyle w:val="BodyText"/>
      </w:pPr>
    </w:p>
    <w:p>
      <w:pPr>
        <w:pStyle w:val="BodyText"/>
        <w:spacing w:line="360" w:lineRule="auto" w:before="142"/>
        <w:ind w:left="102" w:right="120"/>
        <w:jc w:val="both"/>
      </w:pPr>
      <w:r>
        <w:rPr/>
        <w:t>Se dio respuesta a las preguntas de investigación ya que se encontraron las variables de proceso que tienen un mayor impacto en el sobrellenado de las líneas de elaboración de caldos extruidos, que son la temperatura del ingrediente principal (expresada en grados centígrados) y el tiempo de mezclado (expresado en minutos). Se encontró que la que mayor afección  tiene en los costos de sobrellenado es la temperatura del ingrediente principal. La reducción del 62% de sobrellenado que resultó de este trabajo dio un ahorro a las compañía de más de 300 mil euros al</w:t>
      </w:r>
      <w:r>
        <w:rPr>
          <w:spacing w:val="-16"/>
        </w:rPr>
        <w:t> </w:t>
      </w:r>
      <w:r>
        <w:rPr/>
        <w:t>año.</w:t>
      </w:r>
    </w:p>
    <w:p>
      <w:pPr>
        <w:pStyle w:val="BodyText"/>
      </w:pPr>
    </w:p>
    <w:p>
      <w:pPr>
        <w:pStyle w:val="BodyText"/>
        <w:spacing w:line="360" w:lineRule="auto" w:before="142"/>
        <w:ind w:left="102" w:right="122"/>
        <w:jc w:val="both"/>
      </w:pPr>
      <w:r>
        <w:rPr/>
        <w:t>Se establecieron los parámetros operacionales para controlar las variables de proceso, así como se realizó la capacitación del personal operativo para disminuir el error humano ayudando con la generación de estándares, procedimientos y ayudas visuales</w:t>
      </w:r>
    </w:p>
    <w:p>
      <w:pPr>
        <w:pStyle w:val="BodyText"/>
      </w:pPr>
    </w:p>
    <w:p>
      <w:pPr>
        <w:pStyle w:val="BodyText"/>
        <w:spacing w:line="360" w:lineRule="auto" w:before="142"/>
        <w:ind w:left="102" w:right="117"/>
        <w:jc w:val="both"/>
      </w:pPr>
      <w:r>
        <w:rPr/>
        <w:t>Los costos de la no calidad referentes a la pérdida por sobrellenado no eran considerados dentro de la organización debido a que el porcentaje de la  pérdida era muy pequeño, por lo que los ojos de los directivos estaban enfocados en pérdidas de mayor porcentaje en donde se pudiera justificar el poner recursos para trabajar en eliminarlas, sin embargo cuando se realizó el análisis de la perdida, se observó que al multiplicar el porcentaje de sobrellenado por el volumen total de fabricación de los caldos extruidos la pérdida era grande, aunque no lo suficientemente significativa para poner esfuerzos en</w:t>
      </w:r>
      <w:r>
        <w:rPr>
          <w:spacing w:val="-7"/>
        </w:rPr>
        <w:t> </w:t>
      </w:r>
      <w:r>
        <w:rPr/>
        <w:t>ella.</w:t>
      </w:r>
    </w:p>
    <w:p>
      <w:pPr>
        <w:spacing w:after="0" w:line="360" w:lineRule="auto"/>
        <w:jc w:val="both"/>
        <w:sectPr>
          <w:pgSz w:w="11910" w:h="16840"/>
          <w:pgMar w:header="0" w:footer="1043" w:top="1360" w:bottom="1240" w:left="1600" w:right="1580"/>
        </w:sectPr>
      </w:pPr>
    </w:p>
    <w:p>
      <w:pPr>
        <w:pStyle w:val="BodyText"/>
        <w:rPr>
          <w:sz w:val="14"/>
        </w:rPr>
      </w:pPr>
    </w:p>
    <w:p>
      <w:pPr>
        <w:pStyle w:val="BodyText"/>
        <w:spacing w:line="360" w:lineRule="auto" w:before="70"/>
        <w:ind w:left="102" w:right="116"/>
        <w:jc w:val="both"/>
      </w:pPr>
      <w:r>
        <w:rPr/>
        <w:t>Con este trabajo se pudo comprobar como pequeñas acciones hacen gran diferencia, ya que es uno de los mayores ahorros para la planta y ahora se está realizando la réplica para las siguientes líneas que manejan el mismo sistema de dosificado, no solo para la región de México sino para las plantas de Latinoamérica y Caribe</w:t>
      </w:r>
    </w:p>
    <w:p>
      <w:pPr>
        <w:pStyle w:val="BodyText"/>
      </w:pPr>
    </w:p>
    <w:p>
      <w:pPr>
        <w:pStyle w:val="BodyText"/>
        <w:spacing w:line="360" w:lineRule="auto" w:before="142"/>
        <w:ind w:left="102" w:right="120"/>
        <w:jc w:val="both"/>
      </w:pPr>
      <w:r>
        <w:rPr/>
        <w:t>Por otro lado, este trabajo permitió a la organización darse cuenta que el sistema administrativo de calidad se debe aplicar a toda la cadena de  suministro para lograr mantener las mejoras implementadas ya que todas las áreas tienen influencia en el proceso productivo y por lo tanto las actividades que realizan tienen un impacto positivo o negativo en los problemas del siguiente eslabón de la cadena de sumistro, por lo que es necesario trabajar en conjunto para lograr mantener las metas</w:t>
      </w:r>
      <w:r>
        <w:rPr>
          <w:spacing w:val="-16"/>
        </w:rPr>
        <w:t> </w:t>
      </w:r>
      <w:r>
        <w:rPr/>
        <w:t>alcanzadas.</w:t>
      </w:r>
    </w:p>
    <w:p>
      <w:pPr>
        <w:spacing w:after="0" w:line="360" w:lineRule="auto"/>
        <w:jc w:val="both"/>
        <w:sectPr>
          <w:pgSz w:w="11910" w:h="16840"/>
          <w:pgMar w:header="0" w:footer="1043" w:top="1580" w:bottom="1240" w:left="1600" w:right="1580"/>
        </w:sectPr>
      </w:pPr>
    </w:p>
    <w:p>
      <w:pPr>
        <w:pStyle w:val="Heading1"/>
        <w:ind w:right="694"/>
        <w:jc w:val="center"/>
      </w:pPr>
      <w:r>
        <w:rPr/>
        <w:t>BIBLIOGRAFÍA</w:t>
      </w:r>
    </w:p>
    <w:p>
      <w:pPr>
        <w:pStyle w:val="BodyText"/>
        <w:rPr>
          <w:b/>
          <w:sz w:val="40"/>
        </w:rPr>
      </w:pPr>
    </w:p>
    <w:p>
      <w:pPr>
        <w:spacing w:line="360" w:lineRule="auto" w:before="355"/>
        <w:ind w:left="102" w:right="119" w:firstLine="0"/>
        <w:jc w:val="both"/>
        <w:rPr>
          <w:sz w:val="24"/>
        </w:rPr>
      </w:pPr>
      <w:r>
        <w:rPr>
          <w:sz w:val="24"/>
        </w:rPr>
        <w:t>Berkawitz, D. (2010). </w:t>
      </w:r>
      <w:r>
        <w:rPr>
          <w:i/>
          <w:sz w:val="24"/>
        </w:rPr>
        <w:t>Procesos de la Industria alimentaria</w:t>
      </w:r>
      <w:r>
        <w:rPr>
          <w:sz w:val="24"/>
        </w:rPr>
        <w:t>. En Enciclopedia de la Industria Alimentaria (3, 67) España: Sector de Recursos</w:t>
      </w:r>
      <w:r>
        <w:rPr>
          <w:spacing w:val="-28"/>
          <w:sz w:val="24"/>
        </w:rPr>
        <w:t> </w:t>
      </w:r>
      <w:r>
        <w:rPr>
          <w:sz w:val="24"/>
        </w:rPr>
        <w:t>Biológicos.</w:t>
      </w:r>
    </w:p>
    <w:p>
      <w:pPr>
        <w:pStyle w:val="BodyText"/>
        <w:spacing w:line="360" w:lineRule="auto" w:before="122"/>
        <w:ind w:left="102" w:right="116"/>
        <w:jc w:val="both"/>
      </w:pPr>
      <w:r>
        <w:rPr/>
        <w:t>Carró, R &amp; González, D. (2011). </w:t>
      </w:r>
      <w:r>
        <w:rPr>
          <w:i/>
        </w:rPr>
        <w:t>Administración de la calidad</w:t>
      </w:r>
      <w:r>
        <w:rPr/>
        <w:t>. Argentina: Facultad de Ciencias Económicas y Sociales de la Universidad de Mar del Plata.</w:t>
      </w:r>
    </w:p>
    <w:p>
      <w:pPr>
        <w:pStyle w:val="BodyText"/>
        <w:spacing w:line="360" w:lineRule="auto" w:before="123"/>
        <w:ind w:left="102" w:right="127"/>
        <w:jc w:val="both"/>
      </w:pPr>
      <w:r>
        <w:rPr/>
        <w:t>Castañeda, L. (2009) La calidad la hacemos todos: guía de calidad total para empleados. México: Ediciones Poder. P.24</w:t>
      </w:r>
    </w:p>
    <w:p>
      <w:pPr>
        <w:spacing w:line="362" w:lineRule="auto" w:before="120"/>
        <w:ind w:left="102" w:right="115" w:firstLine="0"/>
        <w:jc w:val="both"/>
        <w:rPr>
          <w:sz w:val="24"/>
        </w:rPr>
      </w:pPr>
      <w:r>
        <w:rPr>
          <w:sz w:val="24"/>
        </w:rPr>
        <w:t>Chiavenato, I. (2014). </w:t>
      </w:r>
      <w:r>
        <w:rPr>
          <w:i/>
          <w:sz w:val="24"/>
        </w:rPr>
        <w:t>Introducción a la teoría general de la administración</w:t>
      </w:r>
      <w:r>
        <w:rPr>
          <w:sz w:val="24"/>
        </w:rPr>
        <w:t>. México: Editorial Mac Graw Hill. Pp.90, 334-336.</w:t>
      </w:r>
    </w:p>
    <w:p>
      <w:pPr>
        <w:spacing w:line="362" w:lineRule="auto" w:before="117"/>
        <w:ind w:left="102" w:right="117" w:firstLine="0"/>
        <w:jc w:val="both"/>
        <w:rPr>
          <w:sz w:val="24"/>
        </w:rPr>
      </w:pPr>
      <w:r>
        <w:rPr>
          <w:sz w:val="24"/>
        </w:rPr>
        <w:t>Crosby, P. (2000) </w:t>
      </w:r>
      <w:r>
        <w:rPr>
          <w:i/>
          <w:sz w:val="24"/>
        </w:rPr>
        <w:t>Cutting the cost of quality: New edition</w:t>
      </w:r>
      <w:r>
        <w:rPr>
          <w:sz w:val="24"/>
        </w:rPr>
        <w:t>. Instituto de  Educación Industrial, Boston: Farnsworth</w:t>
      </w:r>
      <w:r>
        <w:rPr>
          <w:spacing w:val="-21"/>
          <w:sz w:val="24"/>
        </w:rPr>
        <w:t> </w:t>
      </w:r>
      <w:r>
        <w:rPr>
          <w:sz w:val="24"/>
        </w:rPr>
        <w:t>Publishing.</w:t>
      </w:r>
    </w:p>
    <w:p>
      <w:pPr>
        <w:pStyle w:val="BodyText"/>
        <w:spacing w:line="362" w:lineRule="auto" w:before="117"/>
        <w:ind w:left="102" w:right="119"/>
        <w:jc w:val="both"/>
      </w:pPr>
      <w:r>
        <w:rPr/>
        <w:t>Evans, J. (2008). </w:t>
      </w:r>
      <w:r>
        <w:rPr>
          <w:i/>
        </w:rPr>
        <w:t>Administración de procesos</w:t>
      </w:r>
      <w:r>
        <w:rPr/>
        <w:t>. En: Administración y Control de la Calidad. (p.330). México: Cengage Learning Editores, S.A de C.V.</w:t>
      </w:r>
    </w:p>
    <w:p>
      <w:pPr>
        <w:pStyle w:val="BodyText"/>
        <w:spacing w:line="360" w:lineRule="auto" w:before="120"/>
        <w:ind w:left="102" w:right="124"/>
        <w:jc w:val="both"/>
      </w:pPr>
      <w:r>
        <w:rPr/>
        <w:t>Feigenbaum, A. (1991). Quality Costs. En: Total Quality Control. Nueva York. Editorial Mc Graw Hill. Pp 154-168.</w:t>
      </w:r>
    </w:p>
    <w:p>
      <w:pPr>
        <w:spacing w:line="360" w:lineRule="auto" w:before="120"/>
        <w:ind w:left="102" w:right="120" w:firstLine="0"/>
        <w:jc w:val="both"/>
        <w:rPr>
          <w:sz w:val="24"/>
        </w:rPr>
      </w:pPr>
      <w:r>
        <w:rPr>
          <w:sz w:val="24"/>
        </w:rPr>
        <w:t>Ferdows, K. &amp; Meyer, A. (1990, Marzo 16). </w:t>
      </w:r>
      <w:r>
        <w:rPr>
          <w:i/>
          <w:sz w:val="24"/>
        </w:rPr>
        <w:t>Lasting Improvements in </w:t>
      </w:r>
      <w:r>
        <w:rPr>
          <w:i/>
          <w:sz w:val="24"/>
        </w:rPr>
        <w:t>Manufacturing Performance: In search of a New Theory</w:t>
      </w:r>
      <w:r>
        <w:rPr>
          <w:sz w:val="24"/>
        </w:rPr>
        <w:t>. En: Journal of Operations Management. 9,16.</w:t>
      </w:r>
    </w:p>
    <w:p>
      <w:pPr>
        <w:spacing w:line="362" w:lineRule="auto" w:before="122"/>
        <w:ind w:left="102" w:right="115" w:firstLine="0"/>
        <w:jc w:val="both"/>
        <w:rPr>
          <w:sz w:val="24"/>
        </w:rPr>
      </w:pPr>
      <w:r>
        <w:rPr>
          <w:sz w:val="24"/>
        </w:rPr>
        <w:t>García, M. (2003, agosto 01). </w:t>
      </w:r>
      <w:r>
        <w:rPr>
          <w:i/>
          <w:sz w:val="24"/>
        </w:rPr>
        <w:t>Mejora continua de la calidad en los procesos </w:t>
      </w:r>
      <w:r>
        <w:rPr>
          <w:i/>
          <w:sz w:val="24"/>
        </w:rPr>
        <w:t>industriales. </w:t>
      </w:r>
      <w:r>
        <w:rPr>
          <w:sz w:val="24"/>
        </w:rPr>
        <w:t>En Revista de la Universidad Nacional Mayor de San Marcos. Perú.</w:t>
      </w:r>
      <w:r>
        <w:rPr>
          <w:spacing w:val="-3"/>
          <w:sz w:val="24"/>
        </w:rPr>
        <w:t> </w:t>
      </w:r>
      <w:r>
        <w:rPr>
          <w:sz w:val="24"/>
        </w:rPr>
        <w:t>6,89.</w:t>
      </w:r>
    </w:p>
    <w:p>
      <w:pPr>
        <w:spacing w:line="360" w:lineRule="auto" w:before="117"/>
        <w:ind w:left="102" w:right="120" w:firstLine="0"/>
        <w:jc w:val="both"/>
        <w:rPr>
          <w:sz w:val="24"/>
        </w:rPr>
      </w:pPr>
      <w:r>
        <w:rPr>
          <w:sz w:val="24"/>
        </w:rPr>
        <w:t>Gutiérrez, M. (2015). </w:t>
      </w:r>
      <w:r>
        <w:rPr>
          <w:i/>
          <w:sz w:val="24"/>
        </w:rPr>
        <w:t>Administrar para la calidad. Conceptos administrativos del </w:t>
      </w:r>
      <w:r>
        <w:rPr>
          <w:i/>
          <w:sz w:val="24"/>
        </w:rPr>
        <w:t>control de calidad total. </w:t>
      </w:r>
      <w:r>
        <w:rPr>
          <w:sz w:val="24"/>
        </w:rPr>
        <w:t>México: Editorial Limusa. Pp.61-80</w:t>
      </w:r>
    </w:p>
    <w:p>
      <w:pPr>
        <w:spacing w:line="362" w:lineRule="auto" w:before="122"/>
        <w:ind w:left="102" w:right="124" w:firstLine="0"/>
        <w:jc w:val="both"/>
        <w:rPr>
          <w:sz w:val="24"/>
        </w:rPr>
      </w:pPr>
      <w:r>
        <w:rPr>
          <w:sz w:val="24"/>
        </w:rPr>
        <w:t>Harrington, J. (1990) </w:t>
      </w:r>
      <w:r>
        <w:rPr>
          <w:i/>
          <w:sz w:val="24"/>
        </w:rPr>
        <w:t>El coste de la mala calidad</w:t>
      </w:r>
      <w:r>
        <w:rPr>
          <w:sz w:val="24"/>
        </w:rPr>
        <w:t>. Madrid. Ediciones Díaz de Santos, S.A.</w:t>
      </w:r>
    </w:p>
    <w:p>
      <w:pPr>
        <w:spacing w:line="362" w:lineRule="auto" w:before="117"/>
        <w:ind w:left="102" w:right="115" w:firstLine="0"/>
        <w:jc w:val="both"/>
        <w:rPr>
          <w:sz w:val="24"/>
        </w:rPr>
      </w:pPr>
      <w:r>
        <w:rPr>
          <w:sz w:val="24"/>
        </w:rPr>
        <w:t>Ishikawa, K. (1995). </w:t>
      </w:r>
      <w:r>
        <w:rPr>
          <w:i/>
          <w:sz w:val="24"/>
        </w:rPr>
        <w:t>What is total quality control? The japanese way</w:t>
      </w:r>
      <w:r>
        <w:rPr>
          <w:sz w:val="24"/>
        </w:rPr>
        <w:t>.  Englewood Cliffs: Editorial Prentice Hall. Pp</w:t>
      </w:r>
      <w:r>
        <w:rPr>
          <w:spacing w:val="-14"/>
          <w:sz w:val="24"/>
        </w:rPr>
        <w:t> </w:t>
      </w:r>
      <w:r>
        <w:rPr>
          <w:sz w:val="24"/>
        </w:rPr>
        <w:t>02-25</w:t>
      </w:r>
    </w:p>
    <w:p>
      <w:pPr>
        <w:spacing w:after="0" w:line="362" w:lineRule="auto"/>
        <w:jc w:val="both"/>
        <w:rPr>
          <w:sz w:val="24"/>
        </w:rPr>
        <w:sectPr>
          <w:pgSz w:w="11910" w:h="16840"/>
          <w:pgMar w:header="0" w:footer="1043" w:top="1360" w:bottom="1240" w:left="1600" w:right="1580"/>
        </w:sectPr>
      </w:pPr>
    </w:p>
    <w:p>
      <w:pPr>
        <w:pStyle w:val="BodyText"/>
        <w:spacing w:line="360" w:lineRule="auto" w:before="56"/>
        <w:ind w:left="102" w:right="119"/>
        <w:jc w:val="both"/>
      </w:pPr>
      <w:r>
        <w:rPr/>
        <w:t>ISO 9001:2015. (2015) </w:t>
      </w:r>
      <w:r>
        <w:rPr>
          <w:color w:val="242424"/>
        </w:rPr>
        <w:t>Comité ISO/TC 176/SC 2. British Standards Institution (BSI).Publicada en septiembre de 2015</w:t>
      </w:r>
      <w:r>
        <w:rPr/>
        <w:t>.</w:t>
      </w:r>
    </w:p>
    <w:p>
      <w:pPr>
        <w:spacing w:line="360" w:lineRule="auto" w:before="120"/>
        <w:ind w:left="102" w:right="118" w:firstLine="0"/>
        <w:jc w:val="both"/>
        <w:rPr>
          <w:sz w:val="24"/>
        </w:rPr>
      </w:pPr>
      <w:r>
        <w:rPr>
          <w:sz w:val="24"/>
        </w:rPr>
        <w:t>Kume, H. (2002). </w:t>
      </w:r>
      <w:r>
        <w:rPr>
          <w:i/>
          <w:sz w:val="24"/>
        </w:rPr>
        <w:t>Herramientas estadísticas básicas para el mejoramiento de la </w:t>
      </w:r>
      <w:r>
        <w:rPr>
          <w:i/>
          <w:sz w:val="24"/>
        </w:rPr>
        <w:t>calidad. </w:t>
      </w:r>
      <w:r>
        <w:rPr>
          <w:sz w:val="24"/>
        </w:rPr>
        <w:t>Bogotá: Grupo Editorial Norma. Pp.35-56.</w:t>
      </w:r>
    </w:p>
    <w:p>
      <w:pPr>
        <w:spacing w:line="362" w:lineRule="auto" w:before="122"/>
        <w:ind w:left="102" w:right="119" w:firstLine="0"/>
        <w:jc w:val="both"/>
        <w:rPr>
          <w:sz w:val="24"/>
        </w:rPr>
      </w:pPr>
      <w:r>
        <w:rPr>
          <w:sz w:val="24"/>
        </w:rPr>
        <w:t>Melinkoff, R. (1990) </w:t>
      </w:r>
      <w:r>
        <w:rPr>
          <w:i/>
          <w:sz w:val="24"/>
        </w:rPr>
        <w:t>Los Procesos Administrativos</w:t>
      </w:r>
      <w:r>
        <w:rPr>
          <w:sz w:val="24"/>
        </w:rPr>
        <w:t>. Caracas: Editorial Panapo, C.A.</w:t>
      </w:r>
    </w:p>
    <w:p>
      <w:pPr>
        <w:spacing w:line="362" w:lineRule="auto" w:before="117"/>
        <w:ind w:left="102" w:right="120" w:firstLine="0"/>
        <w:jc w:val="both"/>
        <w:rPr>
          <w:sz w:val="24"/>
        </w:rPr>
      </w:pPr>
      <w:r>
        <w:rPr>
          <w:sz w:val="24"/>
        </w:rPr>
        <w:t>Munch, L. (2005) </w:t>
      </w:r>
      <w:r>
        <w:rPr>
          <w:i/>
          <w:sz w:val="24"/>
        </w:rPr>
        <w:t>Calidad y Mejora Continua</w:t>
      </w:r>
      <w:r>
        <w:rPr>
          <w:sz w:val="24"/>
        </w:rPr>
        <w:t>. México. Editorial Trillas, S.A de C.V.</w:t>
      </w:r>
    </w:p>
    <w:p>
      <w:pPr>
        <w:spacing w:line="360" w:lineRule="auto" w:before="118"/>
        <w:ind w:left="102" w:right="115" w:firstLine="0"/>
        <w:jc w:val="both"/>
        <w:rPr>
          <w:sz w:val="24"/>
        </w:rPr>
      </w:pPr>
      <w:r>
        <w:rPr>
          <w:sz w:val="24"/>
        </w:rPr>
        <w:t>Noori, H &amp; Radford, R. (1997). </w:t>
      </w:r>
      <w:r>
        <w:rPr>
          <w:i/>
          <w:sz w:val="24"/>
        </w:rPr>
        <w:t>Administración de Operaciones y Producción, </w:t>
      </w:r>
      <w:r>
        <w:rPr>
          <w:i/>
          <w:sz w:val="24"/>
        </w:rPr>
        <w:t>Calidad total y respuesta sensible rápida</w:t>
      </w:r>
      <w:r>
        <w:rPr>
          <w:sz w:val="24"/>
        </w:rPr>
        <w:t>. Bogotá: Editorial McGraw Hill. Pp. 119-126.</w:t>
      </w:r>
    </w:p>
    <w:p>
      <w:pPr>
        <w:spacing w:line="360" w:lineRule="auto" w:before="122"/>
        <w:ind w:left="102" w:right="119" w:firstLine="0"/>
        <w:jc w:val="both"/>
        <w:rPr>
          <w:sz w:val="24"/>
        </w:rPr>
      </w:pPr>
      <w:r>
        <w:rPr>
          <w:sz w:val="24"/>
        </w:rPr>
        <w:t>Pedraza, L. (2010, septiembre 21). </w:t>
      </w:r>
      <w:r>
        <w:rPr>
          <w:i/>
          <w:sz w:val="24"/>
        </w:rPr>
        <w:t>Mejoramiento productivo aplicando </w:t>
      </w:r>
      <w:r>
        <w:rPr>
          <w:i/>
          <w:sz w:val="24"/>
        </w:rPr>
        <w:t>herramientas de manufactura esbelta</w:t>
      </w:r>
      <w:r>
        <w:rPr>
          <w:sz w:val="24"/>
        </w:rPr>
        <w:t>. Revista Soluciones de Postgrado EIA, 15,</w:t>
      </w:r>
      <w:r>
        <w:rPr>
          <w:spacing w:val="-3"/>
          <w:sz w:val="24"/>
        </w:rPr>
        <w:t> </w:t>
      </w:r>
      <w:r>
        <w:rPr>
          <w:sz w:val="24"/>
        </w:rPr>
        <w:t>17.</w:t>
      </w:r>
    </w:p>
    <w:p>
      <w:pPr>
        <w:spacing w:line="362" w:lineRule="auto" w:before="120"/>
        <w:ind w:left="102" w:right="114" w:firstLine="0"/>
        <w:jc w:val="both"/>
        <w:rPr>
          <w:sz w:val="24"/>
        </w:rPr>
      </w:pPr>
      <w:r>
        <w:rPr>
          <w:sz w:val="24"/>
        </w:rPr>
        <w:t>Pulido, H. (2014). </w:t>
      </w:r>
      <w:r>
        <w:rPr>
          <w:i/>
          <w:sz w:val="24"/>
        </w:rPr>
        <w:t>Cultura de la calidad y los grandes maestros</w:t>
      </w:r>
      <w:r>
        <w:rPr>
          <w:sz w:val="24"/>
        </w:rPr>
        <w:t>. En: Calidad y Productividad (pp.29-44). Guadalajara, México: Editorial Mc Graw Hill.</w:t>
      </w:r>
    </w:p>
    <w:p>
      <w:pPr>
        <w:spacing w:line="362" w:lineRule="auto" w:before="117"/>
        <w:ind w:left="102" w:right="118" w:firstLine="0"/>
        <w:jc w:val="both"/>
        <w:rPr>
          <w:sz w:val="24"/>
        </w:rPr>
      </w:pPr>
      <w:r>
        <w:rPr>
          <w:sz w:val="24"/>
        </w:rPr>
        <w:t>Ramírez, R (2004). </w:t>
      </w:r>
      <w:r>
        <w:rPr>
          <w:i/>
          <w:sz w:val="24"/>
        </w:rPr>
        <w:t>Contabilidad Administrativa</w:t>
      </w:r>
      <w:r>
        <w:rPr>
          <w:sz w:val="24"/>
        </w:rPr>
        <w:t>. México: Editorial Mc Graw Hill. Pp.68-71</w:t>
      </w:r>
    </w:p>
    <w:p>
      <w:pPr>
        <w:spacing w:line="362" w:lineRule="auto" w:before="117"/>
        <w:ind w:left="102" w:right="118" w:firstLine="0"/>
        <w:jc w:val="both"/>
        <w:rPr>
          <w:sz w:val="24"/>
        </w:rPr>
      </w:pPr>
      <w:r>
        <w:rPr>
          <w:sz w:val="24"/>
        </w:rPr>
        <w:t>Render, B. (2006) </w:t>
      </w:r>
      <w:r>
        <w:rPr>
          <w:i/>
          <w:sz w:val="24"/>
        </w:rPr>
        <w:t>Principios de Administración de Operaciones</w:t>
      </w:r>
      <w:r>
        <w:rPr>
          <w:sz w:val="24"/>
        </w:rPr>
        <w:t>. México: Editorial McGraw Hill. Pp .09-13</w:t>
      </w:r>
    </w:p>
    <w:p>
      <w:pPr>
        <w:spacing w:line="362" w:lineRule="auto" w:before="117"/>
        <w:ind w:left="102" w:right="118" w:firstLine="0"/>
        <w:jc w:val="both"/>
        <w:rPr>
          <w:sz w:val="24"/>
        </w:rPr>
      </w:pPr>
      <w:r>
        <w:rPr>
          <w:sz w:val="24"/>
        </w:rPr>
        <w:t>Resendiz, A. (2013). Tesis de Maestría: </w:t>
      </w:r>
      <w:r>
        <w:rPr>
          <w:i/>
          <w:sz w:val="24"/>
        </w:rPr>
        <w:t>Reducción de costos por sobrellenado </w:t>
      </w:r>
      <w:r>
        <w:rPr>
          <w:i/>
          <w:sz w:val="24"/>
        </w:rPr>
        <w:t>de producto terminado en la fabricación de papillas infantiles a través de la aplicación de la metodología DMAIC. </w:t>
      </w:r>
      <w:r>
        <w:rPr>
          <w:sz w:val="24"/>
        </w:rPr>
        <w:t>Querétaro: Facultad de Ingeniería de la Universidad Autónoma de Querétaro.</w:t>
      </w:r>
    </w:p>
    <w:p>
      <w:pPr>
        <w:spacing w:line="360" w:lineRule="auto" w:before="117"/>
        <w:ind w:left="102" w:right="119" w:firstLine="0"/>
        <w:jc w:val="both"/>
        <w:rPr>
          <w:sz w:val="24"/>
        </w:rPr>
      </w:pPr>
      <w:r>
        <w:rPr>
          <w:sz w:val="24"/>
        </w:rPr>
        <w:t>Robbins, S &amp; Coulter,M. (2005). </w:t>
      </w:r>
      <w:r>
        <w:rPr>
          <w:i/>
          <w:sz w:val="24"/>
        </w:rPr>
        <w:t>Introducción a la administración y las </w:t>
      </w:r>
      <w:r>
        <w:rPr>
          <w:i/>
          <w:sz w:val="24"/>
        </w:rPr>
        <w:t>organizaciones. </w:t>
      </w:r>
      <w:r>
        <w:rPr>
          <w:sz w:val="24"/>
        </w:rPr>
        <w:t>En: Administración. (p.34). México: Editorial Prentice Hall.</w:t>
      </w:r>
    </w:p>
    <w:p>
      <w:pPr>
        <w:pStyle w:val="BodyText"/>
        <w:spacing w:line="362" w:lineRule="auto" w:before="122"/>
        <w:ind w:left="102" w:right="118"/>
        <w:jc w:val="both"/>
      </w:pPr>
      <w:r>
        <w:rPr/>
        <w:t>Stonner, J. (1996). </w:t>
      </w:r>
      <w:r>
        <w:rPr>
          <w:i/>
        </w:rPr>
        <w:t>Administración. </w:t>
      </w:r>
      <w:r>
        <w:rPr/>
        <w:t>México. Editorial Prentice Hall Hispanoamericana S.A. p.15</w:t>
      </w:r>
    </w:p>
    <w:p>
      <w:pPr>
        <w:pStyle w:val="BodyText"/>
        <w:spacing w:line="362" w:lineRule="auto" w:before="117"/>
        <w:ind w:left="102" w:right="115"/>
        <w:jc w:val="both"/>
      </w:pPr>
      <w:r>
        <w:rPr/>
        <w:t>Summers, D. (2006). </w:t>
      </w:r>
      <w:r>
        <w:rPr>
          <w:i/>
        </w:rPr>
        <w:t>Sistemas de Calidad</w:t>
      </w:r>
      <w:r>
        <w:rPr/>
        <w:t>. En: Administración de la calidad. (pp.44-55). México: Editorial Pearson Prentice Hall</w:t>
      </w:r>
    </w:p>
    <w:p>
      <w:pPr>
        <w:spacing w:after="0" w:line="362" w:lineRule="auto"/>
        <w:jc w:val="both"/>
        <w:sectPr>
          <w:footerReference w:type="default" r:id="rId46"/>
          <w:pgSz w:w="11910" w:h="16840"/>
          <w:pgMar w:footer="1043" w:header="0" w:top="1340" w:bottom="1240" w:left="1600" w:right="1580"/>
        </w:sectPr>
      </w:pPr>
    </w:p>
    <w:p>
      <w:pPr>
        <w:spacing w:line="360" w:lineRule="auto" w:before="53"/>
        <w:ind w:left="102" w:right="122" w:firstLine="0"/>
        <w:jc w:val="both"/>
        <w:rPr>
          <w:sz w:val="24"/>
        </w:rPr>
      </w:pPr>
      <w:r>
        <w:rPr>
          <w:sz w:val="24"/>
        </w:rPr>
        <w:t>Tejeda, A. (2011, junio 13) </w:t>
      </w:r>
      <w:r>
        <w:rPr>
          <w:i/>
          <w:sz w:val="24"/>
        </w:rPr>
        <w:t>Mejoras de Lean Manufacturing en los sistemas </w:t>
      </w:r>
      <w:r>
        <w:rPr>
          <w:i/>
          <w:sz w:val="24"/>
        </w:rPr>
        <w:t>productivos Ciencia y Sociedad, </w:t>
      </w:r>
      <w:r>
        <w:rPr>
          <w:sz w:val="24"/>
        </w:rPr>
        <w:t>En: Instituto Tecnológico de Santo Domingo, República Dominicana. XXXVI, 2.</w:t>
      </w:r>
    </w:p>
    <w:p>
      <w:pPr>
        <w:pStyle w:val="BodyText"/>
        <w:spacing w:line="360" w:lineRule="auto" w:before="125"/>
        <w:ind w:left="102" w:right="115"/>
        <w:jc w:val="both"/>
      </w:pPr>
      <w:r>
        <w:rPr/>
        <w:t>UL Documents Office. (2015). Manual Introductorio de la Empresa.  Enero, 2016, Empresa de Estudio Sitio web: Base de datos de la empresa</w:t>
      </w:r>
    </w:p>
    <w:p>
      <w:pPr>
        <w:pStyle w:val="BodyText"/>
        <w:spacing w:line="360" w:lineRule="auto" w:before="125"/>
        <w:ind w:left="102" w:right="120"/>
        <w:jc w:val="both"/>
      </w:pPr>
      <w:r>
        <w:rPr/>
        <w:t>UL Documents Office. (2014). Código de Negocios de la compañía. Diciembre, 2015, Empresa de Estudio Sitio web: Base de datos de la empresa</w:t>
      </w:r>
    </w:p>
    <w:p>
      <w:pPr>
        <w:pStyle w:val="BodyText"/>
        <w:spacing w:line="362" w:lineRule="auto" w:before="122"/>
        <w:ind w:left="102" w:right="115"/>
        <w:jc w:val="both"/>
      </w:pPr>
      <w:r>
        <w:rPr/>
        <w:t>Vignoni, J. (2002). </w:t>
      </w:r>
      <w:r>
        <w:rPr>
          <w:i/>
        </w:rPr>
        <w:t>Control de Procesos. </w:t>
      </w:r>
      <w:r>
        <w:rPr/>
        <w:t>Marzo 24, 2016, de WCM UL Center Sitio web: </w:t>
      </w:r>
      <w:hyperlink r:id="rId48">
        <w:r>
          <w:rPr/>
          <w:t>http://docplayer.es/4424004-Control-de-procesos-ing-jose-roberto-</w:t>
        </w:r>
      </w:hyperlink>
      <w:r>
        <w:rPr/>
        <w:t> vignoni-ano-2002-instrumentacion-y-comunicaciones-industriales.html</w:t>
      </w:r>
    </w:p>
    <w:p>
      <w:pPr>
        <w:pStyle w:val="BodyText"/>
        <w:spacing w:line="360" w:lineRule="auto" w:before="120"/>
        <w:ind w:left="102" w:right="115"/>
        <w:jc w:val="both"/>
      </w:pPr>
      <w:r>
        <w:rPr/>
        <w:t>Warren, C. &amp; Reeves, J. (2010) Introducción a la contabilidad administrativa y los sistemas de costos por órdenes de trabajo. En: Contabilidad administrativa. México Editorial Thomson. Pp. 19-22.</w:t>
      </w:r>
    </w:p>
    <w:p>
      <w:pPr>
        <w:spacing w:after="0" w:line="360" w:lineRule="auto"/>
        <w:jc w:val="both"/>
        <w:sectPr>
          <w:footerReference w:type="default" r:id="rId47"/>
          <w:pgSz w:w="11910" w:h="16840"/>
          <w:pgMar w:footer="1043" w:header="0" w:top="1340" w:bottom="1240" w:left="1600" w:right="1580"/>
          <w:pgNumType w:start="71"/>
        </w:sectPr>
      </w:pPr>
    </w:p>
    <w:p>
      <w:pPr>
        <w:pStyle w:val="Heading1"/>
        <w:ind w:left="3407" w:right="3405"/>
        <w:jc w:val="center"/>
      </w:pPr>
      <w:r>
        <w:rPr/>
        <w:t>ANEXOS</w:t>
      </w:r>
    </w:p>
    <w:p>
      <w:pPr>
        <w:pStyle w:val="BodyText"/>
        <w:spacing w:before="9"/>
        <w:rPr>
          <w:b/>
          <w:sz w:val="44"/>
        </w:rPr>
      </w:pPr>
    </w:p>
    <w:p>
      <w:pPr>
        <w:pStyle w:val="Heading2"/>
        <w:ind w:left="162"/>
      </w:pPr>
      <w:r>
        <w:rPr/>
        <w:t>ANEXO 1. NORMA OFICIAL PARA EL CONTROL DE PESO</w:t>
      </w:r>
    </w:p>
    <w:p>
      <w:pPr>
        <w:pStyle w:val="BodyText"/>
        <w:rPr>
          <w:b/>
        </w:rPr>
      </w:pPr>
    </w:p>
    <w:p>
      <w:pPr>
        <w:pStyle w:val="BodyText"/>
        <w:rPr>
          <w:b/>
        </w:rPr>
      </w:pPr>
    </w:p>
    <w:p>
      <w:pPr>
        <w:pStyle w:val="BodyText"/>
        <w:spacing w:before="10"/>
        <w:rPr>
          <w:b/>
          <w:sz w:val="20"/>
        </w:rPr>
      </w:pPr>
    </w:p>
    <w:p>
      <w:pPr>
        <w:spacing w:line="242" w:lineRule="auto" w:before="0"/>
        <w:ind w:left="162" w:right="0" w:firstLine="0"/>
        <w:jc w:val="left"/>
        <w:rPr>
          <w:b/>
          <w:sz w:val="24"/>
        </w:rPr>
      </w:pPr>
      <w:r>
        <w:rPr>
          <w:b/>
          <w:color w:val="2E2E2E"/>
          <w:sz w:val="24"/>
        </w:rPr>
        <w:t>NORMA Oficial Mexicana NOM-002-SCFI-2011, Productos preenvasados- Contenido neto-Tolerancias y métodos de verificación.</w:t>
      </w:r>
    </w:p>
    <w:p>
      <w:pPr>
        <w:pStyle w:val="BodyText"/>
        <w:spacing w:line="29" w:lineRule="exact"/>
        <w:ind w:left="118"/>
        <w:rPr>
          <w:sz w:val="2"/>
        </w:rPr>
      </w:pPr>
      <w:r>
        <w:rPr>
          <w:position w:val="0"/>
          <w:sz w:val="2"/>
        </w:rPr>
        <w:pict>
          <v:group style="width:429.6pt;height:1.45pt;mso-position-horizontal-relative:char;mso-position-vertical-relative:line" coordorigin="0,0" coordsize="8592,29">
            <v:line style="position:absolute" from="15,15" to="8577,15" stroked="true" strokeweight="1.44pt" strokecolor="#000000"/>
          </v:group>
        </w:pict>
      </w:r>
      <w:r>
        <w:rPr>
          <w:position w:val="0"/>
          <w:sz w:val="2"/>
        </w:rPr>
      </w:r>
    </w:p>
    <w:p>
      <w:pPr>
        <w:pStyle w:val="BodyText"/>
        <w:ind w:left="162" w:right="157" w:firstLine="288"/>
        <w:jc w:val="both"/>
      </w:pPr>
      <w:r>
        <w:rPr>
          <w:color w:val="2E2E2E"/>
        </w:rPr>
        <w:t>NORMA OFICIAL MEXICANA NOM-002-SCFI-2011 "PRODUCTOS PREENVASADOS-CONTENIDO NETO-TOLERANCIAS Y METODOS DE VERIFICACION".</w:t>
      </w:r>
    </w:p>
    <w:p>
      <w:pPr>
        <w:pStyle w:val="BodyText"/>
        <w:ind w:left="162" w:right="157" w:firstLine="288"/>
        <w:jc w:val="both"/>
      </w:pPr>
      <w:r>
        <w:rPr>
          <w:color w:val="2E2E2E"/>
        </w:rPr>
        <w:t>La Secretaría de Economía, por conducto de la Dirección General de Normas, con fundamento en los artículos 34 fracciones II, XIII y XXXI de la Ley Orgánica de la Administración Pública Federal; 4 de la Ley Federal de Procedimiento Administrativo; 2 fracción I inciso d), 21, 22, 23, 38 fracciones I, II, III y IV, 41 y 47 fracción IV de la Ley Federal sobre Metrología y Normalización; 17 y 28 del Reglamento de la Ley Federal sobre Metrología y Normalización; y 19 fracciones I, XIV y XV del Reglamento Interior de esta Secretaría, y</w:t>
      </w:r>
    </w:p>
    <w:p>
      <w:pPr>
        <w:pStyle w:val="Heading2"/>
        <w:ind w:left="3407" w:right="3408"/>
        <w:jc w:val="center"/>
      </w:pPr>
      <w:r>
        <w:rPr>
          <w:color w:val="2E2E2E"/>
        </w:rPr>
        <w:t>CONSIDERANDO</w:t>
      </w:r>
    </w:p>
    <w:p>
      <w:pPr>
        <w:pStyle w:val="BodyText"/>
        <w:ind w:left="162" w:right="160" w:firstLine="288"/>
        <w:jc w:val="both"/>
      </w:pPr>
      <w:r>
        <w:rPr>
          <w:color w:val="2E2E2E"/>
        </w:rPr>
        <w:t>Que es responsabilidad del Gobierno Federal procurar las medidas que sean necesarias para garantizar que los productos y servicios que se comercialicen en el territorio nacional contengan la cantidad exacta de mercancía que  aparece en la superficie principal de exhibición, para que los consumidores puedan tomar apropiadamente sus decisiones de compra y recibir la cantidad de producto por la que pagan y se asegure la exactitud de las mediciones que se realicen en las transacciones</w:t>
      </w:r>
      <w:r>
        <w:rPr>
          <w:color w:val="2E2E2E"/>
          <w:spacing w:val="-16"/>
        </w:rPr>
        <w:t> </w:t>
      </w:r>
      <w:r>
        <w:rPr>
          <w:color w:val="2E2E2E"/>
        </w:rPr>
        <w:t>comerciales;</w:t>
      </w:r>
    </w:p>
    <w:p>
      <w:pPr>
        <w:pStyle w:val="BodyText"/>
        <w:ind w:left="162" w:right="156" w:firstLine="288"/>
        <w:jc w:val="both"/>
      </w:pPr>
      <w:r>
        <w:rPr>
          <w:color w:val="2E2E2E"/>
        </w:rPr>
        <w:t>Que con fecha el 24 de febrero de 2011, el Comité Consultivo Nacional de Normalización de Seguridad al Usuario, Información Comercial y Prácticas de Comercio (CCNNSUICPC) aprobó la publicación del proyecto de norma oficial mexicana PROY-NOM-002-SCFI-2011 "Productos preenvasados-Contenido neto-Tolerancias y métodos de verificación", lo cual se realizó en el Diario Oficial de la Federación el 12 de septiembre de 2011;</w:t>
      </w:r>
    </w:p>
    <w:p>
      <w:pPr>
        <w:pStyle w:val="BodyText"/>
        <w:ind w:left="450"/>
      </w:pPr>
      <w:r>
        <w:rPr>
          <w:color w:val="2E2E2E"/>
        </w:rPr>
        <w:t>Que la manifestación de impacto regulatorio a que hace referencia el artículo</w:t>
      </w:r>
    </w:p>
    <w:p>
      <w:pPr>
        <w:pStyle w:val="BodyText"/>
        <w:ind w:left="162" w:right="157"/>
        <w:jc w:val="both"/>
      </w:pPr>
      <w:r>
        <w:rPr>
          <w:color w:val="2E2E2E"/>
        </w:rPr>
        <w:t>45 de la Ley Federal sobre Metrología y Normalización, fue sometida a la consideración de la Comisión Federal de Mejora Regulatoria, emitiéndose el dictamen final aprobatorio por parte de dicha Comisión el 20 de julio de 2011;</w:t>
      </w:r>
    </w:p>
    <w:p>
      <w:pPr>
        <w:pStyle w:val="BodyText"/>
        <w:ind w:left="162" w:right="155" w:firstLine="288"/>
        <w:jc w:val="both"/>
      </w:pPr>
      <w:r>
        <w:rPr>
          <w:color w:val="2E2E2E"/>
        </w:rPr>
        <w:t>Que durante el plazo de 60 días naturales contados a partir de la fecha de publicación de dicho proyecto de norma oficial mexicana, los interesados presentaron comentarios sobre el contenido del citado proyecto, mismos que fueron analizados por el CCNNSUICPC, realizándose las modificaciones conducentes;</w:t>
      </w:r>
    </w:p>
    <w:p>
      <w:pPr>
        <w:pStyle w:val="BodyText"/>
        <w:ind w:left="162" w:right="166" w:firstLine="288"/>
        <w:jc w:val="both"/>
      </w:pPr>
      <w:r>
        <w:rPr>
          <w:color w:val="2E2E2E"/>
        </w:rPr>
        <w:t>Que con fecha 9 de marzo de 2012 el CCNNSUICPC aprobó por mayoría la norma referida, y</w:t>
      </w:r>
    </w:p>
    <w:p>
      <w:pPr>
        <w:pStyle w:val="BodyText"/>
        <w:ind w:left="162" w:right="162" w:firstLine="288"/>
        <w:jc w:val="both"/>
      </w:pPr>
      <w:r>
        <w:rPr>
          <w:color w:val="2E2E2E"/>
        </w:rPr>
        <w:t>Que la Ley Federal sobre Metrología y Normalización establece que las Normas Oficiales Mexicanas se constituyen como el instrumento idóneo para la prosecución de estos objetivos, he tenido a bien expedir la siguiente:</w:t>
      </w:r>
    </w:p>
    <w:p>
      <w:pPr>
        <w:spacing w:after="0"/>
        <w:jc w:val="both"/>
        <w:sectPr>
          <w:pgSz w:w="11910" w:h="16840"/>
          <w:pgMar w:header="0" w:footer="1043" w:top="1480" w:bottom="1240" w:left="1540" w:right="1540"/>
        </w:sectPr>
      </w:pPr>
    </w:p>
    <w:p>
      <w:pPr>
        <w:pStyle w:val="Heading2"/>
        <w:spacing w:before="53"/>
        <w:ind w:left="682" w:right="700"/>
        <w:jc w:val="center"/>
      </w:pPr>
      <w:r>
        <w:rPr>
          <w:color w:val="2E2E2E"/>
        </w:rPr>
        <w:t>NORMA OFICIAL MEXICANA NOM-002-SCFI-2011 "PRODUCTOS PREENVASADOS-CONTENIDO</w:t>
      </w:r>
    </w:p>
    <w:p>
      <w:pPr>
        <w:spacing w:before="0"/>
        <w:ind w:left="677" w:right="700" w:firstLine="0"/>
        <w:jc w:val="center"/>
        <w:rPr>
          <w:b/>
          <w:sz w:val="24"/>
        </w:rPr>
      </w:pPr>
      <w:r>
        <w:rPr>
          <w:b/>
          <w:color w:val="2E2E2E"/>
          <w:sz w:val="24"/>
        </w:rPr>
        <w:t>NETO-TOLERANCIAS Y METODOS DE VERIFICACION"</w:t>
      </w:r>
    </w:p>
    <w:p>
      <w:pPr>
        <w:pStyle w:val="BodyText"/>
        <w:ind w:left="102" w:right="118" w:firstLine="288"/>
        <w:jc w:val="both"/>
      </w:pPr>
      <w:r>
        <w:rPr>
          <w:color w:val="2E2E2E"/>
        </w:rPr>
        <w:t>México, D.F., a 24 de mayo de 2012.- El Director General de Normas y Presidente del Comité Consultivo Nacional de Normalización de Seguridad al Usuario, Información Comercial y Prácticas de Comercio, </w:t>
      </w:r>
      <w:r>
        <w:rPr>
          <w:b/>
          <w:color w:val="2E2E2E"/>
        </w:rPr>
        <w:t>Christian Turégano Roldán</w:t>
      </w:r>
      <w:r>
        <w:rPr>
          <w:color w:val="2E2E2E"/>
        </w:rPr>
        <w:t>.- Rúbrica.</w:t>
      </w:r>
    </w:p>
    <w:p>
      <w:pPr>
        <w:pStyle w:val="BodyText"/>
      </w:pPr>
    </w:p>
    <w:p>
      <w:pPr>
        <w:pStyle w:val="Heading2"/>
        <w:numPr>
          <w:ilvl w:val="0"/>
          <w:numId w:val="16"/>
        </w:numPr>
        <w:tabs>
          <w:tab w:pos="750" w:val="left" w:leader="none"/>
        </w:tabs>
        <w:spacing w:line="240" w:lineRule="auto" w:before="0" w:after="0"/>
        <w:ind w:left="750" w:right="0" w:hanging="360"/>
        <w:jc w:val="left"/>
      </w:pPr>
      <w:r>
        <w:rPr>
          <w:color w:val="2E2E2E"/>
        </w:rPr>
        <w:t>Objetivo y campo de</w:t>
      </w:r>
      <w:r>
        <w:rPr>
          <w:color w:val="2E2E2E"/>
          <w:spacing w:val="-7"/>
        </w:rPr>
        <w:t> </w:t>
      </w:r>
      <w:r>
        <w:rPr>
          <w:color w:val="2E2E2E"/>
        </w:rPr>
        <w:t>aplicación</w:t>
      </w:r>
    </w:p>
    <w:p>
      <w:pPr>
        <w:pStyle w:val="BodyText"/>
        <w:rPr>
          <w:b/>
        </w:rPr>
      </w:pPr>
    </w:p>
    <w:p>
      <w:pPr>
        <w:pStyle w:val="ListParagraph"/>
        <w:numPr>
          <w:ilvl w:val="1"/>
          <w:numId w:val="16"/>
        </w:numPr>
        <w:tabs>
          <w:tab w:pos="794" w:val="left" w:leader="none"/>
        </w:tabs>
        <w:spacing w:line="240" w:lineRule="auto" w:before="0" w:after="0"/>
        <w:ind w:left="793" w:right="0" w:hanging="403"/>
        <w:jc w:val="left"/>
        <w:rPr>
          <w:sz w:val="24"/>
        </w:rPr>
      </w:pPr>
      <w:r>
        <w:rPr>
          <w:color w:val="2E2E2E"/>
          <w:sz w:val="24"/>
        </w:rPr>
        <w:t>Objetivo</w:t>
      </w:r>
    </w:p>
    <w:p>
      <w:pPr>
        <w:pStyle w:val="BodyText"/>
        <w:ind w:left="102" w:right="117" w:firstLine="288"/>
        <w:jc w:val="both"/>
      </w:pPr>
      <w:r>
        <w:rPr>
          <w:color w:val="2E2E2E"/>
        </w:rPr>
        <w:t>Esta Norma Oficial Mexicana establece las tolerancias y los métodos de prueba para la verificación de los contenidos netos de productos preenvasados y los planes de muestreo usados en la verificación de productos que declaran su contenido neto en unidades de masa o volumen.</w:t>
      </w:r>
    </w:p>
    <w:p>
      <w:pPr>
        <w:pStyle w:val="ListParagraph"/>
        <w:numPr>
          <w:ilvl w:val="1"/>
          <w:numId w:val="16"/>
        </w:numPr>
        <w:tabs>
          <w:tab w:pos="794" w:val="left" w:leader="none"/>
        </w:tabs>
        <w:spacing w:line="240" w:lineRule="auto" w:before="0" w:after="0"/>
        <w:ind w:left="793" w:right="0" w:hanging="403"/>
        <w:jc w:val="left"/>
        <w:rPr>
          <w:sz w:val="24"/>
        </w:rPr>
      </w:pPr>
      <w:r>
        <w:rPr>
          <w:color w:val="2E2E2E"/>
          <w:sz w:val="24"/>
        </w:rPr>
        <w:t>Campo de</w:t>
      </w:r>
      <w:r>
        <w:rPr>
          <w:color w:val="2E2E2E"/>
          <w:spacing w:val="-7"/>
          <w:sz w:val="24"/>
        </w:rPr>
        <w:t> </w:t>
      </w:r>
      <w:r>
        <w:rPr>
          <w:color w:val="2E2E2E"/>
          <w:sz w:val="24"/>
        </w:rPr>
        <w:t>aplicación</w:t>
      </w:r>
    </w:p>
    <w:p>
      <w:pPr>
        <w:pStyle w:val="BodyText"/>
        <w:ind w:left="102" w:right="125" w:firstLine="288"/>
        <w:jc w:val="both"/>
      </w:pPr>
      <w:r>
        <w:rPr>
          <w:color w:val="2E2E2E"/>
        </w:rPr>
        <w:t>Esta Norma Oficial Mexicana se aplica tanto a productos de fabricación nacional como de importación que se comercialicen en Territorio Nacional.</w:t>
      </w:r>
    </w:p>
    <w:p>
      <w:pPr>
        <w:pStyle w:val="ListParagraph"/>
        <w:numPr>
          <w:ilvl w:val="2"/>
          <w:numId w:val="16"/>
        </w:numPr>
        <w:tabs>
          <w:tab w:pos="993" w:val="left" w:leader="none"/>
        </w:tabs>
        <w:spacing w:line="240" w:lineRule="auto" w:before="0" w:after="0"/>
        <w:ind w:left="102" w:right="125" w:firstLine="288"/>
        <w:jc w:val="both"/>
        <w:rPr>
          <w:sz w:val="24"/>
        </w:rPr>
      </w:pPr>
      <w:r>
        <w:rPr>
          <w:color w:val="2E2E2E"/>
          <w:sz w:val="24"/>
        </w:rPr>
        <w:t>La presente Norma Oficial Mexicana no es aplicable a los productos a granel.</w:t>
      </w:r>
    </w:p>
    <w:p>
      <w:pPr>
        <w:pStyle w:val="BodyText"/>
      </w:pPr>
    </w:p>
    <w:p>
      <w:pPr>
        <w:pStyle w:val="Heading2"/>
        <w:numPr>
          <w:ilvl w:val="0"/>
          <w:numId w:val="16"/>
        </w:numPr>
        <w:tabs>
          <w:tab w:pos="731" w:val="left" w:leader="none"/>
        </w:tabs>
        <w:spacing w:line="240" w:lineRule="auto" w:before="0" w:after="0"/>
        <w:ind w:left="730" w:right="0" w:hanging="268"/>
        <w:jc w:val="left"/>
      </w:pPr>
      <w:r>
        <w:rPr>
          <w:color w:val="2E2E2E"/>
        </w:rPr>
        <w:t>Referencias</w:t>
      </w:r>
    </w:p>
    <w:p>
      <w:pPr>
        <w:pStyle w:val="BodyText"/>
        <w:rPr>
          <w:b/>
        </w:rPr>
      </w:pPr>
    </w:p>
    <w:p>
      <w:pPr>
        <w:pStyle w:val="BodyText"/>
        <w:ind w:left="102" w:right="119" w:firstLine="288"/>
        <w:jc w:val="both"/>
      </w:pPr>
      <w:r>
        <w:rPr>
          <w:color w:val="2E2E2E"/>
        </w:rPr>
        <w:t>Para la correcta aplicación de esta Norma Oficial Mexicana, se deben aplicar las siguientes normas oficiales mexicanas y normas mexicanas vigentes o las que las sustituyan:</w:t>
      </w:r>
    </w:p>
    <w:p>
      <w:pPr>
        <w:pStyle w:val="BodyText"/>
        <w:ind w:left="102" w:right="122" w:firstLine="288"/>
        <w:jc w:val="both"/>
      </w:pPr>
      <w:r>
        <w:rPr>
          <w:color w:val="2E2E2E"/>
        </w:rPr>
        <w:t>NOM-008-SCFI-2002 Sistema General de Unidades de Medida, publicada  en el Diario Oficial de la Federación el día 27 de noviembre de</w:t>
      </w:r>
      <w:r>
        <w:rPr>
          <w:color w:val="2E2E2E"/>
          <w:spacing w:val="-24"/>
        </w:rPr>
        <w:t> </w:t>
      </w:r>
      <w:r>
        <w:rPr>
          <w:color w:val="2E2E2E"/>
        </w:rPr>
        <w:t>2002.</w:t>
      </w:r>
    </w:p>
    <w:p>
      <w:pPr>
        <w:pStyle w:val="BodyText"/>
        <w:ind w:left="102" w:right="116" w:firstLine="288"/>
        <w:jc w:val="both"/>
      </w:pPr>
      <w:r>
        <w:rPr>
          <w:color w:val="2E2E2E"/>
        </w:rPr>
        <w:t>NOM-030-SCFI-2006 Información comercial declaración de cantidad en la etiqueta-Especificaciones, publicada en el Diario Oficial de la Federación el día 6 de noviembre de 2006.</w:t>
      </w:r>
    </w:p>
    <w:p>
      <w:pPr>
        <w:pStyle w:val="BodyText"/>
        <w:ind w:left="390"/>
      </w:pPr>
      <w:r>
        <w:rPr>
          <w:color w:val="2E2E2E"/>
        </w:rPr>
        <w:t>NOM-008-SESH/SCFI-2010 Recipientes transportables para contener    Gas</w:t>
      </w:r>
    </w:p>
    <w:p>
      <w:pPr>
        <w:pStyle w:val="BodyText"/>
        <w:tabs>
          <w:tab w:pos="744" w:val="left" w:leader="none"/>
          <w:tab w:pos="2742" w:val="left" w:leader="none"/>
          <w:tab w:pos="4519" w:val="left" w:leader="none"/>
          <w:tab w:pos="5840" w:val="left" w:leader="none"/>
          <w:tab w:pos="6171" w:val="left" w:leader="none"/>
          <w:tab w:pos="7308" w:val="left" w:leader="none"/>
          <w:tab w:pos="7789" w:val="left" w:leader="none"/>
        </w:tabs>
        <w:ind w:left="102" w:right="121"/>
      </w:pPr>
      <w:r>
        <w:rPr>
          <w:color w:val="2E2E2E"/>
        </w:rPr>
        <w:t>L.P.</w:t>
        <w:tab/>
        <w:t>Especificaciones</w:t>
        <w:tab/>
        <w:t>de</w:t>
      </w:r>
      <w:r>
        <w:rPr>
          <w:color w:val="2E2E2E"/>
          <w:spacing w:val="1"/>
        </w:rPr>
        <w:t> </w:t>
      </w:r>
      <w:r>
        <w:rPr>
          <w:color w:val="2E2E2E"/>
        </w:rPr>
        <w:t>fabricación,</w:t>
        <w:tab/>
        <w:t>materiales</w:t>
        <w:tab/>
        <w:t>y</w:t>
        <w:tab/>
        <w:t>métodos</w:t>
        <w:tab/>
        <w:t>de</w:t>
        <w:tab/>
        <w:t>prueba, publicada en el Diario Oficial de la Federación el día 21 de diciembre de</w:t>
      </w:r>
      <w:r>
        <w:rPr>
          <w:color w:val="2E2E2E"/>
          <w:spacing w:val="-21"/>
        </w:rPr>
        <w:t> </w:t>
      </w:r>
      <w:r>
        <w:rPr>
          <w:color w:val="2E2E2E"/>
        </w:rPr>
        <w:t>2010.</w:t>
      </w:r>
    </w:p>
    <w:p>
      <w:pPr>
        <w:pStyle w:val="BodyText"/>
        <w:ind w:left="102" w:right="116" w:firstLine="288"/>
        <w:jc w:val="both"/>
      </w:pPr>
      <w:r>
        <w:rPr>
          <w:color w:val="2E2E2E"/>
        </w:rPr>
        <w:t>NMX-Z-12/1-1987 Muestreo para la inspección por atributos-Parte 1: Información general y aplicaciones, Declaratoria de vigencia publicada en el Diario Oficial de la Federación el día 28 de octubre de 1987.</w:t>
      </w:r>
    </w:p>
    <w:p>
      <w:pPr>
        <w:pStyle w:val="BodyText"/>
        <w:ind w:left="102" w:right="116" w:firstLine="288"/>
        <w:jc w:val="both"/>
      </w:pPr>
      <w:r>
        <w:rPr>
          <w:color w:val="2E2E2E"/>
        </w:rPr>
        <w:t>NMX-Z-12-2-1987 Muestreo para la inspección por atributos-Parte 2: Métodos de muestreo, tablas y gráficas, Declaratoria de vigencia publicada en el Diario Oficial de la Federación el día 28 de octubre de</w:t>
      </w:r>
      <w:r>
        <w:rPr>
          <w:color w:val="2E2E2E"/>
          <w:spacing w:val="-23"/>
        </w:rPr>
        <w:t> </w:t>
      </w:r>
      <w:r>
        <w:rPr>
          <w:color w:val="2E2E2E"/>
        </w:rPr>
        <w:t>1987.</w:t>
      </w:r>
    </w:p>
    <w:p>
      <w:pPr>
        <w:pStyle w:val="BodyText"/>
        <w:ind w:left="102" w:right="121" w:firstLine="288"/>
        <w:jc w:val="both"/>
      </w:pPr>
      <w:r>
        <w:rPr>
          <w:color w:val="2E2E2E"/>
        </w:rPr>
        <w:t>NMX-F-315-1978 Determinación de la masa drenada o escurrida en alimentos envasados, Declaratoria de vigencia publicada en el Diario Oficial de la Federación el día 23 de febrero de 1978.</w:t>
      </w:r>
    </w:p>
    <w:p>
      <w:pPr>
        <w:pStyle w:val="BodyText"/>
        <w:ind w:left="102" w:right="121" w:firstLine="288"/>
        <w:jc w:val="both"/>
      </w:pPr>
      <w:r>
        <w:rPr>
          <w:color w:val="2E2E2E"/>
        </w:rPr>
        <w:t>NMX-F-015-SCFI-2011. Alimentos Aceites vegetales determinación de volumen de aceite envasado Método de prueba, publicada en el Diario Oficial de la Federación el día 12 de agosto de 2011.</w:t>
      </w:r>
    </w:p>
    <w:p>
      <w:pPr>
        <w:spacing w:after="0"/>
        <w:jc w:val="both"/>
        <w:sectPr>
          <w:pgSz w:w="11910" w:h="16840"/>
          <w:pgMar w:header="0" w:footer="1043" w:top="1340" w:bottom="1240" w:left="1600" w:right="1580"/>
        </w:sectPr>
      </w:pPr>
    </w:p>
    <w:p>
      <w:pPr>
        <w:pStyle w:val="Heading2"/>
        <w:numPr>
          <w:ilvl w:val="0"/>
          <w:numId w:val="16"/>
        </w:numPr>
        <w:tabs>
          <w:tab w:pos="659" w:val="left" w:leader="none"/>
        </w:tabs>
        <w:spacing w:line="240" w:lineRule="auto" w:before="53" w:after="0"/>
        <w:ind w:left="658" w:right="0" w:hanging="268"/>
        <w:jc w:val="left"/>
      </w:pPr>
      <w:r>
        <w:rPr>
          <w:color w:val="2E2E2E"/>
        </w:rPr>
        <w:t>Definiciones</w:t>
      </w:r>
    </w:p>
    <w:p>
      <w:pPr>
        <w:pStyle w:val="BodyText"/>
        <w:ind w:left="102" w:right="124" w:firstLine="288"/>
        <w:jc w:val="both"/>
      </w:pPr>
      <w:r>
        <w:rPr>
          <w:color w:val="2E2E2E"/>
        </w:rPr>
        <w:t>Para efectos de esta Norma Oficial Mexicana se establecen las siguientes definiciones:</w:t>
      </w:r>
    </w:p>
    <w:p>
      <w:pPr>
        <w:pStyle w:val="ListParagraph"/>
        <w:numPr>
          <w:ilvl w:val="1"/>
          <w:numId w:val="16"/>
        </w:numPr>
        <w:tabs>
          <w:tab w:pos="794" w:val="left" w:leader="none"/>
        </w:tabs>
        <w:spacing w:line="240" w:lineRule="auto" w:before="0" w:after="0"/>
        <w:ind w:left="793" w:right="0" w:hanging="403"/>
        <w:jc w:val="left"/>
        <w:rPr>
          <w:sz w:val="24"/>
        </w:rPr>
      </w:pPr>
      <w:r>
        <w:rPr>
          <w:color w:val="2E2E2E"/>
          <w:sz w:val="24"/>
        </w:rPr>
        <w:t>Producto</w:t>
      </w:r>
      <w:r>
        <w:rPr>
          <w:color w:val="2E2E2E"/>
          <w:spacing w:val="-15"/>
          <w:sz w:val="24"/>
        </w:rPr>
        <w:t> </w:t>
      </w:r>
      <w:r>
        <w:rPr>
          <w:color w:val="2E2E2E"/>
          <w:sz w:val="24"/>
        </w:rPr>
        <w:t>preenvasado</w:t>
      </w:r>
    </w:p>
    <w:p>
      <w:pPr>
        <w:pStyle w:val="BodyText"/>
        <w:ind w:left="102" w:right="119" w:firstLine="288"/>
        <w:jc w:val="both"/>
      </w:pPr>
      <w:r>
        <w:rPr>
          <w:color w:val="2E2E2E"/>
        </w:rPr>
        <w:t>Producto que cuando es colocado en un envase de cualquier naturaleza, no se encuentra presente el consumidor y la cantidad de producto contenido en él, no puede ser alterado a menos que el envase sea abierto o modificado perceptiblemente.</w:t>
      </w:r>
    </w:p>
    <w:p>
      <w:pPr>
        <w:pStyle w:val="ListParagraph"/>
        <w:numPr>
          <w:ilvl w:val="1"/>
          <w:numId w:val="16"/>
        </w:numPr>
        <w:tabs>
          <w:tab w:pos="794" w:val="left" w:leader="none"/>
        </w:tabs>
        <w:spacing w:line="240" w:lineRule="auto" w:before="0" w:after="0"/>
        <w:ind w:left="793" w:right="0" w:hanging="403"/>
        <w:jc w:val="left"/>
        <w:rPr>
          <w:sz w:val="24"/>
        </w:rPr>
      </w:pPr>
      <w:r>
        <w:rPr>
          <w:color w:val="2E2E2E"/>
          <w:sz w:val="24"/>
        </w:rPr>
        <w:t>Unidad de</w:t>
      </w:r>
      <w:r>
        <w:rPr>
          <w:color w:val="2E2E2E"/>
          <w:spacing w:val="-12"/>
          <w:sz w:val="24"/>
        </w:rPr>
        <w:t> </w:t>
      </w:r>
      <w:r>
        <w:rPr>
          <w:color w:val="2E2E2E"/>
          <w:sz w:val="24"/>
        </w:rPr>
        <w:t>producto</w:t>
      </w:r>
    </w:p>
    <w:p>
      <w:pPr>
        <w:pStyle w:val="BodyText"/>
        <w:ind w:left="102" w:right="121" w:firstLine="288"/>
        <w:jc w:val="both"/>
      </w:pPr>
      <w:r>
        <w:rPr>
          <w:color w:val="2E2E2E"/>
        </w:rPr>
        <w:t>Envase o unidad que se inspecciona para determinar el contenido neto del producto que contiene.</w:t>
      </w:r>
    </w:p>
    <w:p>
      <w:pPr>
        <w:pStyle w:val="ListParagraph"/>
        <w:numPr>
          <w:ilvl w:val="1"/>
          <w:numId w:val="16"/>
        </w:numPr>
        <w:tabs>
          <w:tab w:pos="791" w:val="left" w:leader="none"/>
        </w:tabs>
        <w:spacing w:line="240" w:lineRule="auto" w:before="0" w:after="0"/>
        <w:ind w:left="790" w:right="0" w:hanging="400"/>
        <w:jc w:val="left"/>
        <w:rPr>
          <w:sz w:val="24"/>
        </w:rPr>
      </w:pPr>
      <w:r>
        <w:rPr>
          <w:color w:val="2E2E2E"/>
          <w:sz w:val="24"/>
        </w:rPr>
        <w:t>Lote o</w:t>
      </w:r>
      <w:r>
        <w:rPr>
          <w:color w:val="2E2E2E"/>
          <w:spacing w:val="-7"/>
          <w:sz w:val="24"/>
        </w:rPr>
        <w:t> </w:t>
      </w:r>
      <w:r>
        <w:rPr>
          <w:color w:val="2E2E2E"/>
          <w:sz w:val="24"/>
        </w:rPr>
        <w:t>partida</w:t>
      </w:r>
    </w:p>
    <w:p>
      <w:pPr>
        <w:pStyle w:val="BodyText"/>
        <w:ind w:left="102" w:right="124" w:firstLine="288"/>
        <w:jc w:val="both"/>
      </w:pPr>
      <w:r>
        <w:rPr>
          <w:color w:val="2E2E2E"/>
        </w:rPr>
        <w:t>Conjunto de unidades de producto del cual se toma la muestra para inspección y determinación de la conformidad del criterio de aceptación.</w:t>
      </w:r>
    </w:p>
    <w:p>
      <w:pPr>
        <w:pStyle w:val="ListParagraph"/>
        <w:numPr>
          <w:ilvl w:val="2"/>
          <w:numId w:val="16"/>
        </w:numPr>
        <w:tabs>
          <w:tab w:pos="993" w:val="left" w:leader="none"/>
        </w:tabs>
        <w:spacing w:line="240" w:lineRule="auto" w:before="0" w:after="0"/>
        <w:ind w:left="992" w:right="0" w:hanging="602"/>
        <w:jc w:val="left"/>
        <w:rPr>
          <w:sz w:val="24"/>
        </w:rPr>
      </w:pPr>
      <w:r>
        <w:rPr>
          <w:color w:val="2E2E2E"/>
          <w:sz w:val="24"/>
        </w:rPr>
        <w:t>Formación de lotes o</w:t>
      </w:r>
      <w:r>
        <w:rPr>
          <w:color w:val="2E2E2E"/>
          <w:spacing w:val="-7"/>
          <w:sz w:val="24"/>
        </w:rPr>
        <w:t> </w:t>
      </w:r>
      <w:r>
        <w:rPr>
          <w:color w:val="2E2E2E"/>
          <w:sz w:val="24"/>
        </w:rPr>
        <w:t>partidas</w:t>
      </w:r>
    </w:p>
    <w:p>
      <w:pPr>
        <w:pStyle w:val="BodyText"/>
        <w:ind w:left="102" w:right="120" w:firstLine="288"/>
        <w:jc w:val="both"/>
      </w:pPr>
      <w:r>
        <w:rPr>
          <w:color w:val="2E2E2E"/>
        </w:rPr>
        <w:t>En lo posible cada lote o partida debe estar constituido por unidades de producto de un solo tipo, grado, clase, tamaño y composición, fabricados esencialmente bajo las mismas condiciones y en el mismo periodo.</w:t>
      </w:r>
    </w:p>
    <w:p>
      <w:pPr>
        <w:pStyle w:val="ListParagraph"/>
        <w:numPr>
          <w:ilvl w:val="1"/>
          <w:numId w:val="17"/>
        </w:numPr>
        <w:tabs>
          <w:tab w:pos="794" w:val="left" w:leader="none"/>
        </w:tabs>
        <w:spacing w:line="240" w:lineRule="auto" w:before="0" w:after="0"/>
        <w:ind w:left="793" w:right="0" w:hanging="403"/>
        <w:jc w:val="left"/>
        <w:rPr>
          <w:sz w:val="24"/>
        </w:rPr>
      </w:pPr>
      <w:r>
        <w:rPr>
          <w:color w:val="2E2E2E"/>
          <w:sz w:val="24"/>
        </w:rPr>
        <w:t>Muestra</w:t>
      </w:r>
    </w:p>
    <w:p>
      <w:pPr>
        <w:pStyle w:val="BodyText"/>
        <w:ind w:left="102" w:right="120" w:firstLine="288"/>
        <w:jc w:val="both"/>
      </w:pPr>
      <w:r>
        <w:rPr>
          <w:color w:val="2E2E2E"/>
        </w:rPr>
        <w:t>Consistente de una o más unidades del producto tomadas de un lote o partida. Estas deben tomarse estrictamente al azar, sin considerar su calidad.  El número de unidades de producto en la muestra corresponde al tamaño de la misma.</w:t>
      </w:r>
    </w:p>
    <w:p>
      <w:pPr>
        <w:pStyle w:val="ListParagraph"/>
        <w:numPr>
          <w:ilvl w:val="1"/>
          <w:numId w:val="17"/>
        </w:numPr>
        <w:tabs>
          <w:tab w:pos="794" w:val="left" w:leader="none"/>
        </w:tabs>
        <w:spacing w:line="240" w:lineRule="auto" w:before="0" w:after="0"/>
        <w:ind w:left="793" w:right="0" w:hanging="403"/>
        <w:jc w:val="left"/>
        <w:rPr>
          <w:sz w:val="24"/>
        </w:rPr>
      </w:pPr>
      <w:r>
        <w:rPr>
          <w:color w:val="2E2E2E"/>
          <w:sz w:val="24"/>
        </w:rPr>
        <w:t>Unidad fuera de</w:t>
      </w:r>
      <w:r>
        <w:rPr>
          <w:color w:val="2E2E2E"/>
          <w:spacing w:val="-13"/>
          <w:sz w:val="24"/>
        </w:rPr>
        <w:t> </w:t>
      </w:r>
      <w:r>
        <w:rPr>
          <w:color w:val="2E2E2E"/>
          <w:sz w:val="24"/>
        </w:rPr>
        <w:t>tolerancia</w:t>
      </w:r>
    </w:p>
    <w:p>
      <w:pPr>
        <w:pStyle w:val="BodyText"/>
        <w:ind w:left="102" w:right="125" w:firstLine="288"/>
        <w:jc w:val="both"/>
      </w:pPr>
      <w:r>
        <w:rPr>
          <w:color w:val="2E2E2E"/>
        </w:rPr>
        <w:t>Es aquella unidad de producto cuyo contenido neto real es menor al del contenido neto declarado menos la tolerancia respectiva.</w:t>
      </w:r>
    </w:p>
    <w:p>
      <w:pPr>
        <w:pStyle w:val="ListParagraph"/>
        <w:numPr>
          <w:ilvl w:val="1"/>
          <w:numId w:val="17"/>
        </w:numPr>
        <w:tabs>
          <w:tab w:pos="794" w:val="left" w:leader="none"/>
        </w:tabs>
        <w:spacing w:line="240" w:lineRule="auto" w:before="0" w:after="0"/>
        <w:ind w:left="793" w:right="0" w:hanging="403"/>
        <w:jc w:val="left"/>
        <w:rPr>
          <w:sz w:val="24"/>
        </w:rPr>
      </w:pPr>
      <w:r>
        <w:rPr>
          <w:color w:val="2E2E2E"/>
          <w:sz w:val="24"/>
        </w:rPr>
        <w:t>Producto a</w:t>
      </w:r>
      <w:r>
        <w:rPr>
          <w:color w:val="2E2E2E"/>
          <w:spacing w:val="-10"/>
          <w:sz w:val="24"/>
        </w:rPr>
        <w:t> </w:t>
      </w:r>
      <w:r>
        <w:rPr>
          <w:color w:val="2E2E2E"/>
          <w:sz w:val="24"/>
        </w:rPr>
        <w:t>granel</w:t>
      </w:r>
    </w:p>
    <w:p>
      <w:pPr>
        <w:pStyle w:val="BodyText"/>
        <w:ind w:left="102" w:right="117" w:firstLine="288"/>
        <w:jc w:val="both"/>
      </w:pPr>
      <w:r>
        <w:rPr>
          <w:color w:val="2E2E2E"/>
        </w:rPr>
        <w:t>Producto colocado en un envase de cualquier naturaleza y cuyo contenido neto puede ser variable, debiéndose pesar o medir en presencia del consumidor al momento de su</w:t>
      </w:r>
      <w:r>
        <w:rPr>
          <w:color w:val="2E2E2E"/>
          <w:spacing w:val="-12"/>
        </w:rPr>
        <w:t> </w:t>
      </w:r>
      <w:r>
        <w:rPr>
          <w:color w:val="2E2E2E"/>
        </w:rPr>
        <w:t>venta.</w:t>
      </w:r>
    </w:p>
    <w:p>
      <w:pPr>
        <w:pStyle w:val="ListParagraph"/>
        <w:numPr>
          <w:ilvl w:val="1"/>
          <w:numId w:val="17"/>
        </w:numPr>
        <w:tabs>
          <w:tab w:pos="794" w:val="left" w:leader="none"/>
        </w:tabs>
        <w:spacing w:line="240" w:lineRule="auto" w:before="0" w:after="0"/>
        <w:ind w:left="793" w:right="0" w:hanging="403"/>
        <w:jc w:val="left"/>
        <w:rPr>
          <w:sz w:val="24"/>
        </w:rPr>
      </w:pPr>
      <w:r>
        <w:rPr>
          <w:color w:val="2E2E2E"/>
          <w:sz w:val="24"/>
        </w:rPr>
        <w:t>Contenido</w:t>
      </w:r>
      <w:r>
        <w:rPr>
          <w:color w:val="2E2E2E"/>
          <w:spacing w:val="-7"/>
          <w:sz w:val="24"/>
        </w:rPr>
        <w:t> </w:t>
      </w:r>
      <w:r>
        <w:rPr>
          <w:color w:val="2E2E2E"/>
          <w:sz w:val="24"/>
        </w:rPr>
        <w:t>neto</w:t>
      </w:r>
    </w:p>
    <w:p>
      <w:pPr>
        <w:pStyle w:val="BodyText"/>
        <w:ind w:left="102" w:right="130" w:firstLine="288"/>
        <w:jc w:val="both"/>
      </w:pPr>
      <w:r>
        <w:rPr>
          <w:color w:val="2E2E2E"/>
        </w:rPr>
        <w:t>Cantidad de producto preenvasado que permanece después de que se han hecho todas las deducciones de tara cuando sea el caso.</w:t>
      </w:r>
    </w:p>
    <w:p>
      <w:pPr>
        <w:pStyle w:val="ListParagraph"/>
        <w:numPr>
          <w:ilvl w:val="1"/>
          <w:numId w:val="17"/>
        </w:numPr>
        <w:tabs>
          <w:tab w:pos="794" w:val="left" w:leader="none"/>
        </w:tabs>
        <w:spacing w:line="240" w:lineRule="auto" w:before="0" w:after="0"/>
        <w:ind w:left="793" w:right="0" w:hanging="403"/>
        <w:jc w:val="left"/>
        <w:rPr>
          <w:sz w:val="24"/>
        </w:rPr>
      </w:pPr>
      <w:r>
        <w:rPr>
          <w:color w:val="2E2E2E"/>
          <w:sz w:val="24"/>
        </w:rPr>
        <w:t>Contenido neto declarado</w:t>
      </w:r>
      <w:r>
        <w:rPr>
          <w:color w:val="2E2E2E"/>
          <w:spacing w:val="-11"/>
          <w:sz w:val="24"/>
        </w:rPr>
        <w:t> </w:t>
      </w:r>
      <w:r>
        <w:rPr>
          <w:color w:val="2E2E2E"/>
          <w:sz w:val="24"/>
        </w:rPr>
        <w:t>(CNd)</w:t>
      </w:r>
    </w:p>
    <w:p>
      <w:pPr>
        <w:pStyle w:val="BodyText"/>
        <w:ind w:left="390"/>
      </w:pPr>
      <w:r>
        <w:rPr>
          <w:color w:val="2E2E2E"/>
        </w:rPr>
        <w:t>Cantidad de producto preenvasado declarado en la etiqueta del envase.</w:t>
      </w:r>
    </w:p>
    <w:p>
      <w:pPr>
        <w:pStyle w:val="ListParagraph"/>
        <w:numPr>
          <w:ilvl w:val="1"/>
          <w:numId w:val="17"/>
        </w:numPr>
        <w:tabs>
          <w:tab w:pos="794" w:val="left" w:leader="none"/>
        </w:tabs>
        <w:spacing w:line="240" w:lineRule="auto" w:before="0" w:after="0"/>
        <w:ind w:left="793" w:right="0" w:hanging="403"/>
        <w:jc w:val="left"/>
        <w:rPr>
          <w:sz w:val="24"/>
        </w:rPr>
      </w:pPr>
      <w:r>
        <w:rPr>
          <w:color w:val="2E2E2E"/>
          <w:sz w:val="24"/>
        </w:rPr>
        <w:t>Etiqueta</w:t>
      </w:r>
    </w:p>
    <w:p>
      <w:pPr>
        <w:pStyle w:val="BodyText"/>
        <w:ind w:left="102" w:right="118" w:firstLine="288"/>
        <w:jc w:val="both"/>
      </w:pPr>
      <w:r>
        <w:rPr>
          <w:color w:val="2E2E2E"/>
        </w:rPr>
        <w:t>Cualquier rótulo, marbete, inscripción, imagen u otra materia descriptiva o gráfica, escrita, impresa, estarcida, marcada, grabada en alto o bajo relieve, adherida, sobrepuesta o fijada al producto a su envase o, cuando no  sea posible por las características del producto o su envase, al embalaje.</w:t>
      </w:r>
    </w:p>
    <w:p>
      <w:pPr>
        <w:pStyle w:val="ListParagraph"/>
        <w:numPr>
          <w:ilvl w:val="1"/>
          <w:numId w:val="17"/>
        </w:numPr>
        <w:tabs>
          <w:tab w:pos="993" w:val="left" w:leader="none"/>
        </w:tabs>
        <w:spacing w:line="240" w:lineRule="auto" w:before="0" w:after="0"/>
        <w:ind w:left="992" w:right="0" w:hanging="535"/>
        <w:jc w:val="left"/>
        <w:rPr>
          <w:sz w:val="24"/>
        </w:rPr>
      </w:pPr>
      <w:r>
        <w:rPr>
          <w:color w:val="2E2E2E"/>
          <w:sz w:val="24"/>
        </w:rPr>
        <w:t>Masa</w:t>
      </w:r>
      <w:r>
        <w:rPr>
          <w:color w:val="2E2E2E"/>
          <w:spacing w:val="-6"/>
          <w:sz w:val="24"/>
        </w:rPr>
        <w:t> </w:t>
      </w:r>
      <w:r>
        <w:rPr>
          <w:color w:val="2E2E2E"/>
          <w:sz w:val="24"/>
        </w:rPr>
        <w:t>drenada</w:t>
      </w:r>
    </w:p>
    <w:p>
      <w:pPr>
        <w:pStyle w:val="BodyText"/>
        <w:ind w:left="102" w:right="117" w:firstLine="288"/>
        <w:jc w:val="both"/>
      </w:pPr>
      <w:r>
        <w:rPr>
          <w:color w:val="2E2E2E"/>
        </w:rPr>
        <w:t>Cantidad de producto sólido o semisólido suspendido en un líquido que representa el contenido neto de un envase, después de que el líquido ha sido removido por algún método prescrito.</w:t>
      </w:r>
    </w:p>
    <w:p>
      <w:pPr>
        <w:pStyle w:val="ListParagraph"/>
        <w:numPr>
          <w:ilvl w:val="1"/>
          <w:numId w:val="17"/>
        </w:numPr>
        <w:tabs>
          <w:tab w:pos="926" w:val="left" w:leader="none"/>
        </w:tabs>
        <w:spacing w:line="240" w:lineRule="auto" w:before="0" w:after="0"/>
        <w:ind w:left="925" w:right="0" w:hanging="535"/>
        <w:jc w:val="left"/>
        <w:rPr>
          <w:sz w:val="24"/>
        </w:rPr>
      </w:pPr>
      <w:r>
        <w:rPr>
          <w:color w:val="2E2E2E"/>
          <w:sz w:val="24"/>
        </w:rPr>
        <w:t>Masa</w:t>
      </w:r>
      <w:r>
        <w:rPr>
          <w:color w:val="2E2E2E"/>
          <w:spacing w:val="-4"/>
          <w:sz w:val="24"/>
        </w:rPr>
        <w:t> </w:t>
      </w:r>
      <w:r>
        <w:rPr>
          <w:color w:val="2E2E2E"/>
          <w:sz w:val="24"/>
        </w:rPr>
        <w:t>bruta</w:t>
      </w:r>
    </w:p>
    <w:p>
      <w:pPr>
        <w:pStyle w:val="BodyText"/>
        <w:ind w:left="102" w:right="126" w:firstLine="288"/>
        <w:jc w:val="both"/>
      </w:pPr>
      <w:r>
        <w:rPr>
          <w:color w:val="2E2E2E"/>
        </w:rPr>
        <w:t>Producto empacado o envasado incluyendo contenido, material del envase, etiquetas y accesorios.</w:t>
      </w:r>
    </w:p>
    <w:p>
      <w:pPr>
        <w:pStyle w:val="ListParagraph"/>
        <w:numPr>
          <w:ilvl w:val="1"/>
          <w:numId w:val="17"/>
        </w:numPr>
        <w:tabs>
          <w:tab w:pos="926" w:val="left" w:leader="none"/>
        </w:tabs>
        <w:spacing w:line="240" w:lineRule="auto" w:before="0" w:after="0"/>
        <w:ind w:left="925" w:right="0" w:hanging="535"/>
        <w:jc w:val="left"/>
        <w:rPr>
          <w:sz w:val="24"/>
        </w:rPr>
      </w:pPr>
      <w:r>
        <w:rPr>
          <w:color w:val="2E2E2E"/>
          <w:sz w:val="24"/>
        </w:rPr>
        <w:t>Tara</w:t>
      </w:r>
    </w:p>
    <w:p>
      <w:pPr>
        <w:pStyle w:val="BodyText"/>
        <w:ind w:left="102" w:right="125" w:firstLine="288"/>
        <w:jc w:val="both"/>
      </w:pPr>
      <w:r>
        <w:rPr>
          <w:color w:val="2E2E2E"/>
        </w:rPr>
        <w:t>Masa que corresponde al envase y que se deduce para determinar el contenido neto de un producto preenvasado.</w:t>
      </w:r>
    </w:p>
    <w:p>
      <w:pPr>
        <w:spacing w:after="0"/>
        <w:jc w:val="both"/>
        <w:sectPr>
          <w:pgSz w:w="11910" w:h="16840"/>
          <w:pgMar w:header="0" w:footer="1043" w:top="1340" w:bottom="1240" w:left="1600" w:right="1580"/>
        </w:sectPr>
      </w:pPr>
    </w:p>
    <w:p>
      <w:pPr>
        <w:spacing w:before="53"/>
        <w:ind w:left="390" w:right="0" w:firstLine="0"/>
        <w:jc w:val="left"/>
        <w:rPr>
          <w:sz w:val="24"/>
        </w:rPr>
      </w:pPr>
      <w:r>
        <w:rPr>
          <w:b/>
          <w:color w:val="2E2E2E"/>
          <w:sz w:val="24"/>
        </w:rPr>
        <w:t>3.12.1 </w:t>
      </w:r>
      <w:r>
        <w:rPr>
          <w:color w:val="2E2E2E"/>
          <w:sz w:val="24"/>
        </w:rPr>
        <w:t>Placa de tara</w:t>
      </w:r>
    </w:p>
    <w:p>
      <w:pPr>
        <w:pStyle w:val="BodyText"/>
        <w:ind w:left="102" w:right="279" w:firstLine="288"/>
      </w:pPr>
      <w:r>
        <w:rPr>
          <w:color w:val="2E2E2E"/>
        </w:rPr>
        <w:t>Placa adherida al cuello del recipiente transportable, que contiene grabada su tara.</w:t>
      </w:r>
    </w:p>
    <w:p>
      <w:pPr>
        <w:spacing w:before="0"/>
        <w:ind w:left="390" w:right="0" w:firstLine="0"/>
        <w:jc w:val="left"/>
        <w:rPr>
          <w:sz w:val="24"/>
        </w:rPr>
      </w:pPr>
      <w:r>
        <w:rPr>
          <w:b/>
          <w:color w:val="2E2E2E"/>
          <w:sz w:val="24"/>
        </w:rPr>
        <w:t>3.13 </w:t>
      </w:r>
      <w:r>
        <w:rPr>
          <w:color w:val="2E2E2E"/>
          <w:sz w:val="24"/>
        </w:rPr>
        <w:t>Envase</w:t>
      </w:r>
    </w:p>
    <w:p>
      <w:pPr>
        <w:pStyle w:val="BodyText"/>
        <w:ind w:left="102" w:right="124" w:firstLine="288"/>
      </w:pPr>
      <w:r>
        <w:rPr>
          <w:color w:val="2E2E2E"/>
        </w:rPr>
        <w:t>Cualquier recipiente o envoltura en el cual está contenido el producto, para su venta al consumidor.</w:t>
      </w:r>
    </w:p>
    <w:p>
      <w:pPr>
        <w:pStyle w:val="BodyText"/>
        <w:ind w:left="390"/>
      </w:pPr>
      <w:r>
        <w:rPr>
          <w:b/>
          <w:color w:val="2E2E2E"/>
        </w:rPr>
        <w:t>3.13.1 </w:t>
      </w:r>
      <w:r>
        <w:rPr>
          <w:color w:val="2E2E2E"/>
        </w:rPr>
        <w:t>Recipiente transportable para gas L.P.</w:t>
      </w:r>
    </w:p>
    <w:p>
      <w:pPr>
        <w:pStyle w:val="BodyText"/>
        <w:ind w:left="102" w:right="120" w:firstLine="288"/>
        <w:jc w:val="both"/>
      </w:pPr>
      <w:r>
        <w:rPr>
          <w:color w:val="2E2E2E"/>
        </w:rPr>
        <w:t>Envase utilizado para contener Gas L.P., a presión, y que por sus características de seguridad, peso y dimensiones, una vez llenado, debe ser manejado  manualmente   por   personal   capacitado   para   llevar   a   cabo   la</w:t>
      </w:r>
      <w:r>
        <w:rPr>
          <w:color w:val="2E2E2E"/>
          <w:spacing w:val="-5"/>
        </w:rPr>
        <w:t> </w:t>
      </w:r>
      <w:r>
        <w:rPr>
          <w:color w:val="2E2E2E"/>
        </w:rPr>
        <w:t>distribución.</w:t>
      </w:r>
    </w:p>
    <w:p>
      <w:pPr>
        <w:pStyle w:val="ListParagraph"/>
        <w:numPr>
          <w:ilvl w:val="1"/>
          <w:numId w:val="18"/>
        </w:numPr>
        <w:tabs>
          <w:tab w:pos="926" w:val="left" w:leader="none"/>
        </w:tabs>
        <w:spacing w:line="240" w:lineRule="auto" w:before="0" w:after="0"/>
        <w:ind w:left="925" w:right="0" w:hanging="535"/>
        <w:jc w:val="left"/>
        <w:rPr>
          <w:sz w:val="24"/>
        </w:rPr>
      </w:pPr>
      <w:r>
        <w:rPr>
          <w:color w:val="2E2E2E"/>
          <w:sz w:val="24"/>
        </w:rPr>
        <w:t>Tolerancia</w:t>
      </w:r>
    </w:p>
    <w:p>
      <w:pPr>
        <w:pStyle w:val="BodyText"/>
        <w:ind w:left="102" w:firstLine="288"/>
      </w:pPr>
      <w:r>
        <w:rPr>
          <w:color w:val="2E2E2E"/>
        </w:rPr>
        <w:t>Cantidad o porcentaje máximo permitido de desviación en la unidad de producto respecto al contenido neto declarado.</w:t>
      </w:r>
    </w:p>
    <w:p>
      <w:pPr>
        <w:pStyle w:val="ListParagraph"/>
        <w:numPr>
          <w:ilvl w:val="1"/>
          <w:numId w:val="18"/>
        </w:numPr>
        <w:tabs>
          <w:tab w:pos="926" w:val="left" w:leader="none"/>
        </w:tabs>
        <w:spacing w:line="240" w:lineRule="auto" w:before="0" w:after="0"/>
        <w:ind w:left="925" w:right="0" w:hanging="535"/>
        <w:jc w:val="left"/>
        <w:rPr>
          <w:sz w:val="24"/>
        </w:rPr>
      </w:pPr>
      <w:r>
        <w:rPr>
          <w:color w:val="2E2E2E"/>
          <w:sz w:val="24"/>
        </w:rPr>
        <w:t>Verificación</w:t>
      </w:r>
    </w:p>
    <w:p>
      <w:pPr>
        <w:pStyle w:val="BodyText"/>
        <w:ind w:left="102" w:right="120" w:firstLine="288"/>
        <w:jc w:val="both"/>
      </w:pPr>
      <w:r>
        <w:rPr>
          <w:color w:val="2E2E2E"/>
        </w:rPr>
        <w:t>La constatación ocular o comprobación mediante muestreo, medición, pruebas de laboratorio, o examen de documentos que se realizan para evaluar la conformidad en un momento determinado.</w:t>
      </w:r>
    </w:p>
    <w:p>
      <w:pPr>
        <w:pStyle w:val="ListParagraph"/>
        <w:numPr>
          <w:ilvl w:val="2"/>
          <w:numId w:val="18"/>
        </w:numPr>
        <w:tabs>
          <w:tab w:pos="1127" w:val="left" w:leader="none"/>
        </w:tabs>
        <w:spacing w:line="240" w:lineRule="auto" w:before="0" w:after="0"/>
        <w:ind w:left="1126" w:right="0" w:hanging="736"/>
        <w:jc w:val="left"/>
        <w:rPr>
          <w:sz w:val="24"/>
        </w:rPr>
      </w:pPr>
      <w:r>
        <w:rPr>
          <w:color w:val="2E2E2E"/>
          <w:sz w:val="24"/>
        </w:rPr>
        <w:t>Verificación por prueba</w:t>
      </w:r>
      <w:r>
        <w:rPr>
          <w:color w:val="2E2E2E"/>
          <w:spacing w:val="-16"/>
          <w:sz w:val="24"/>
        </w:rPr>
        <w:t> </w:t>
      </w:r>
      <w:r>
        <w:rPr>
          <w:color w:val="2E2E2E"/>
          <w:sz w:val="24"/>
        </w:rPr>
        <w:t>destructiva</w:t>
      </w:r>
    </w:p>
    <w:p>
      <w:pPr>
        <w:pStyle w:val="BodyText"/>
        <w:ind w:left="102" w:firstLine="288"/>
      </w:pPr>
      <w:r>
        <w:rPr>
          <w:color w:val="2E2E2E"/>
        </w:rPr>
        <w:t>Verificación del contenido neto que comprende la apertura o destrucción del envase.</w:t>
      </w:r>
    </w:p>
    <w:p>
      <w:pPr>
        <w:pStyle w:val="ListParagraph"/>
        <w:numPr>
          <w:ilvl w:val="2"/>
          <w:numId w:val="18"/>
        </w:numPr>
        <w:tabs>
          <w:tab w:pos="1127" w:val="left" w:leader="none"/>
        </w:tabs>
        <w:spacing w:line="240" w:lineRule="auto" w:before="0" w:after="0"/>
        <w:ind w:left="1126" w:right="0" w:hanging="736"/>
        <w:jc w:val="left"/>
        <w:rPr>
          <w:sz w:val="24"/>
        </w:rPr>
      </w:pPr>
      <w:r>
        <w:rPr>
          <w:color w:val="2E2E2E"/>
          <w:sz w:val="24"/>
        </w:rPr>
        <w:t>Verificación por prueba no</w:t>
      </w:r>
      <w:r>
        <w:rPr>
          <w:color w:val="2E2E2E"/>
          <w:spacing w:val="-17"/>
          <w:sz w:val="24"/>
        </w:rPr>
        <w:t> </w:t>
      </w:r>
      <w:r>
        <w:rPr>
          <w:color w:val="2E2E2E"/>
          <w:sz w:val="24"/>
        </w:rPr>
        <w:t>destructiva</w:t>
      </w:r>
    </w:p>
    <w:p>
      <w:pPr>
        <w:pStyle w:val="BodyText"/>
        <w:ind w:left="102" w:right="124" w:firstLine="288"/>
      </w:pPr>
      <w:r>
        <w:rPr>
          <w:color w:val="2E2E2E"/>
        </w:rPr>
        <w:t>Verificación del contenido neto, que no implica la apertura ni la destrucción del envase.</w:t>
      </w:r>
    </w:p>
    <w:p>
      <w:pPr>
        <w:pStyle w:val="BodyText"/>
      </w:pPr>
    </w:p>
    <w:p>
      <w:pPr>
        <w:pStyle w:val="Heading2"/>
        <w:numPr>
          <w:ilvl w:val="0"/>
          <w:numId w:val="16"/>
        </w:numPr>
        <w:tabs>
          <w:tab w:pos="659" w:val="left" w:leader="none"/>
        </w:tabs>
        <w:spacing w:line="240" w:lineRule="auto" w:before="0" w:after="0"/>
        <w:ind w:left="658" w:right="0" w:hanging="268"/>
        <w:jc w:val="left"/>
      </w:pPr>
      <w:r>
        <w:rPr>
          <w:color w:val="2E2E2E"/>
        </w:rPr>
        <w:t>Terminología</w:t>
      </w:r>
    </w:p>
    <w:p>
      <w:pPr>
        <w:pStyle w:val="BodyText"/>
        <w:tabs>
          <w:tab w:pos="872" w:val="left" w:leader="none"/>
        </w:tabs>
        <w:ind w:left="102" w:right="124" w:firstLine="288"/>
      </w:pPr>
      <w:r>
        <w:rPr>
          <w:color w:val="2E2E2E"/>
        </w:rPr>
        <w:t>T</w:t>
        <w:tab/>
        <w:t>tolerancia que se aplica a los artículos individuales en %, o</w:t>
      </w:r>
      <w:r>
        <w:rPr>
          <w:color w:val="2E2E2E"/>
          <w:spacing w:val="58"/>
        </w:rPr>
        <w:t> </w:t>
      </w:r>
      <w:r>
        <w:rPr>
          <w:color w:val="2E2E2E"/>
        </w:rPr>
        <w:t>en</w:t>
      </w:r>
      <w:r>
        <w:rPr>
          <w:color w:val="2E2E2E"/>
          <w:spacing w:val="4"/>
        </w:rPr>
        <w:t> </w:t>
      </w:r>
      <w:r>
        <w:rPr>
          <w:color w:val="2E2E2E"/>
        </w:rPr>
        <w:t>unidades </w:t>
      </w:r>
      <w:r>
        <w:rPr>
          <w:color w:val="2E2E2E"/>
        </w:rPr>
        <w:t>de masa o</w:t>
      </w:r>
      <w:r>
        <w:rPr>
          <w:color w:val="2E2E2E"/>
          <w:spacing w:val="-4"/>
        </w:rPr>
        <w:t> </w:t>
      </w:r>
      <w:r>
        <w:rPr>
          <w:color w:val="2E2E2E"/>
        </w:rPr>
        <w:t>volumen;</w:t>
      </w:r>
    </w:p>
    <w:p>
      <w:pPr>
        <w:pStyle w:val="BodyText"/>
        <w:ind w:left="390"/>
      </w:pPr>
      <w:r>
        <w:rPr>
          <w:color w:val="2E2E2E"/>
        </w:rPr>
        <w:t>CNd contenido neto declarado en la etiqueta;</w:t>
      </w:r>
    </w:p>
    <w:p>
      <w:pPr>
        <w:pStyle w:val="BodyText"/>
        <w:spacing w:before="1" w:after="3"/>
        <w:ind w:left="390"/>
      </w:pPr>
      <w:r>
        <w:rPr/>
        <w:drawing>
          <wp:inline distT="0" distB="0" distL="0" distR="0">
            <wp:extent cx="208280" cy="172085"/>
            <wp:effectExtent l="0" t="0" r="0" b="0"/>
            <wp:docPr id="43" name="image22.png" descr=""/>
            <wp:cNvGraphicFramePr>
              <a:graphicFrameLocks noChangeAspect="1"/>
            </wp:cNvGraphicFramePr>
            <a:graphic>
              <a:graphicData uri="http://schemas.openxmlformats.org/drawingml/2006/picture">
                <pic:pic>
                  <pic:nvPicPr>
                    <pic:cNvPr id="44" name="image22.png"/>
                    <pic:cNvPicPr/>
                  </pic:nvPicPr>
                  <pic:blipFill>
                    <a:blip r:embed="rId49" cstate="print"/>
                    <a:stretch>
                      <a:fillRect/>
                    </a:stretch>
                  </pic:blipFill>
                  <pic:spPr>
                    <a:xfrm>
                      <a:off x="0" y="0"/>
                      <a:ext cx="208280" cy="172085"/>
                    </a:xfrm>
                    <a:prstGeom prst="rect">
                      <a:avLst/>
                    </a:prstGeom>
                  </pic:spPr>
                </pic:pic>
              </a:graphicData>
            </a:graphic>
          </wp:inline>
        </w:drawing>
      </w:r>
      <w:r>
        <w:rPr/>
      </w:r>
      <w:r>
        <w:rPr>
          <w:color w:val="2E2E2E"/>
        </w:rPr>
        <w:t>contenido neto promedio obtenido en la</w:t>
      </w:r>
      <w:r>
        <w:rPr>
          <w:color w:val="2E2E2E"/>
          <w:spacing w:val="-18"/>
        </w:rPr>
        <w:t> </w:t>
      </w:r>
      <w:r>
        <w:rPr>
          <w:color w:val="2E2E2E"/>
        </w:rPr>
        <w:t>muestra;</w:t>
      </w:r>
    </w:p>
    <w:p>
      <w:pPr>
        <w:pStyle w:val="BodyText"/>
        <w:ind w:left="2545"/>
        <w:rPr>
          <w:sz w:val="20"/>
        </w:rPr>
      </w:pPr>
      <w:r>
        <w:rPr>
          <w:sz w:val="20"/>
        </w:rPr>
        <w:drawing>
          <wp:inline distT="0" distB="0" distL="0" distR="0">
            <wp:extent cx="2281627" cy="367760"/>
            <wp:effectExtent l="0" t="0" r="0" b="0"/>
            <wp:docPr id="45" name="image23.png" descr=""/>
            <wp:cNvGraphicFramePr>
              <a:graphicFrameLocks noChangeAspect="1"/>
            </wp:cNvGraphicFramePr>
            <a:graphic>
              <a:graphicData uri="http://schemas.openxmlformats.org/drawingml/2006/picture">
                <pic:pic>
                  <pic:nvPicPr>
                    <pic:cNvPr id="46" name="image23.png"/>
                    <pic:cNvPicPr/>
                  </pic:nvPicPr>
                  <pic:blipFill>
                    <a:blip r:embed="rId50" cstate="print"/>
                    <a:stretch>
                      <a:fillRect/>
                    </a:stretch>
                  </pic:blipFill>
                  <pic:spPr>
                    <a:xfrm>
                      <a:off x="0" y="0"/>
                      <a:ext cx="2281627" cy="367760"/>
                    </a:xfrm>
                    <a:prstGeom prst="rect">
                      <a:avLst/>
                    </a:prstGeom>
                  </pic:spPr>
                </pic:pic>
              </a:graphicData>
            </a:graphic>
          </wp:inline>
        </w:drawing>
      </w:r>
      <w:r>
        <w:rPr>
          <w:sz w:val="20"/>
        </w:rPr>
      </w:r>
    </w:p>
    <w:p>
      <w:pPr>
        <w:pStyle w:val="BodyText"/>
        <w:tabs>
          <w:tab w:pos="857" w:val="left" w:leader="none"/>
        </w:tabs>
        <w:ind w:left="390"/>
      </w:pPr>
      <w:r>
        <w:rPr>
          <w:color w:val="2E2E2E"/>
        </w:rPr>
        <w:t>n</w:t>
        <w:tab/>
        <w:t>número de unidades de producto que componen la</w:t>
      </w:r>
      <w:r>
        <w:rPr>
          <w:color w:val="2E2E2E"/>
          <w:spacing w:val="-21"/>
        </w:rPr>
        <w:t> </w:t>
      </w:r>
      <w:r>
        <w:rPr>
          <w:color w:val="2E2E2E"/>
        </w:rPr>
        <w:t>muestra;</w:t>
      </w:r>
    </w:p>
    <w:p>
      <w:pPr>
        <w:pStyle w:val="ListParagraph"/>
        <w:numPr>
          <w:ilvl w:val="0"/>
          <w:numId w:val="19"/>
        </w:numPr>
        <w:tabs>
          <w:tab w:pos="910" w:val="left" w:leader="none"/>
          <w:tab w:pos="911" w:val="left" w:leader="none"/>
        </w:tabs>
        <w:spacing w:line="240" w:lineRule="auto" w:before="0" w:after="3"/>
        <w:ind w:left="102" w:right="130" w:firstLine="288"/>
        <w:jc w:val="left"/>
        <w:rPr>
          <w:sz w:val="24"/>
        </w:rPr>
      </w:pPr>
      <w:r>
        <w:rPr>
          <w:color w:val="2E2E2E"/>
          <w:sz w:val="24"/>
        </w:rPr>
        <w:t>desviación estándar de los valores del contenido neto de los artículos que componen la muestra, ésta se calcula de la siguiente</w:t>
      </w:r>
      <w:r>
        <w:rPr>
          <w:color w:val="2E2E2E"/>
          <w:spacing w:val="-17"/>
          <w:sz w:val="24"/>
        </w:rPr>
        <w:t> </w:t>
      </w:r>
      <w:r>
        <w:rPr>
          <w:color w:val="2E2E2E"/>
          <w:sz w:val="24"/>
        </w:rPr>
        <w:t>forma:</w:t>
      </w:r>
    </w:p>
    <w:p>
      <w:pPr>
        <w:pStyle w:val="BodyText"/>
        <w:ind w:left="721"/>
        <w:rPr>
          <w:sz w:val="20"/>
        </w:rPr>
      </w:pPr>
      <w:r>
        <w:rPr>
          <w:sz w:val="20"/>
        </w:rPr>
        <w:drawing>
          <wp:inline distT="0" distB="0" distL="0" distR="0">
            <wp:extent cx="4575423" cy="565785"/>
            <wp:effectExtent l="0" t="0" r="0" b="0"/>
            <wp:docPr id="47" name="image24.png" descr=""/>
            <wp:cNvGraphicFramePr>
              <a:graphicFrameLocks noChangeAspect="1"/>
            </wp:cNvGraphicFramePr>
            <a:graphic>
              <a:graphicData uri="http://schemas.openxmlformats.org/drawingml/2006/picture">
                <pic:pic>
                  <pic:nvPicPr>
                    <pic:cNvPr id="48" name="image24.png"/>
                    <pic:cNvPicPr/>
                  </pic:nvPicPr>
                  <pic:blipFill>
                    <a:blip r:embed="rId51" cstate="print"/>
                    <a:stretch>
                      <a:fillRect/>
                    </a:stretch>
                  </pic:blipFill>
                  <pic:spPr>
                    <a:xfrm>
                      <a:off x="0" y="0"/>
                      <a:ext cx="4575423" cy="565785"/>
                    </a:xfrm>
                    <a:prstGeom prst="rect">
                      <a:avLst/>
                    </a:prstGeom>
                  </pic:spPr>
                </pic:pic>
              </a:graphicData>
            </a:graphic>
          </wp:inline>
        </w:drawing>
      </w:r>
      <w:r>
        <w:rPr>
          <w:sz w:val="20"/>
        </w:rPr>
      </w:r>
    </w:p>
    <w:p>
      <w:pPr>
        <w:pStyle w:val="ListParagraph"/>
        <w:numPr>
          <w:ilvl w:val="0"/>
          <w:numId w:val="19"/>
        </w:numPr>
        <w:tabs>
          <w:tab w:pos="857" w:val="left" w:leader="none"/>
          <w:tab w:pos="858" w:val="left" w:leader="none"/>
        </w:tabs>
        <w:spacing w:line="240" w:lineRule="auto" w:before="4" w:after="0"/>
        <w:ind w:left="102" w:right="127" w:firstLine="288"/>
        <w:jc w:val="left"/>
        <w:rPr>
          <w:sz w:val="24"/>
        </w:rPr>
      </w:pPr>
      <w:r>
        <w:rPr>
          <w:color w:val="2E2E2E"/>
          <w:sz w:val="24"/>
        </w:rPr>
        <w:t>es el valor de la estadística t (t de Student) a un nivel de confianza de 99,5% con n-1 grados de libertad obtenido de</w:t>
      </w:r>
      <w:r>
        <w:rPr>
          <w:color w:val="2E2E2E"/>
          <w:spacing w:val="-18"/>
          <w:sz w:val="24"/>
        </w:rPr>
        <w:t> </w:t>
      </w:r>
      <w:r>
        <w:rPr>
          <w:color w:val="2E2E2E"/>
          <w:sz w:val="24"/>
        </w:rPr>
        <w:t>tablas;</w:t>
      </w:r>
    </w:p>
    <w:p>
      <w:pPr>
        <w:pStyle w:val="BodyText"/>
      </w:pPr>
    </w:p>
    <w:p>
      <w:pPr>
        <w:pStyle w:val="BodyText"/>
        <w:tabs>
          <w:tab w:pos="910" w:val="left" w:leader="none"/>
        </w:tabs>
        <w:ind w:left="102" w:right="122" w:firstLine="288"/>
      </w:pPr>
      <w:r>
        <w:rPr>
          <w:color w:val="2E2E2E"/>
        </w:rPr>
        <w:t>tc</w:t>
        <w:tab/>
        <w:t>es el valor de la estadística t (t de Student), obtenido de los  </w:t>
      </w:r>
      <w:r>
        <w:rPr>
          <w:color w:val="2E2E2E"/>
          <w:spacing w:val="39"/>
        </w:rPr>
        <w:t> </w:t>
      </w:r>
      <w:r>
        <w:rPr>
          <w:color w:val="2E2E2E"/>
        </w:rPr>
        <w:t>valores</w:t>
      </w:r>
      <w:r>
        <w:rPr>
          <w:color w:val="2E2E2E"/>
          <w:spacing w:val="12"/>
        </w:rPr>
        <w:t> </w:t>
      </w:r>
      <w:r>
        <w:rPr>
          <w:color w:val="2E2E2E"/>
        </w:rPr>
        <w:t>de</w:t>
      </w:r>
      <w:r>
        <w:rPr>
          <w:color w:val="2E2E2E"/>
          <w:w w:val="99"/>
        </w:rPr>
        <w:t> </w:t>
      </w:r>
      <w:r>
        <w:rPr>
          <w:color w:val="2E2E2E"/>
        </w:rPr>
        <w:t>la</w:t>
      </w:r>
      <w:r>
        <w:rPr>
          <w:color w:val="2E2E2E"/>
          <w:spacing w:val="-2"/>
        </w:rPr>
        <w:t> </w:t>
      </w:r>
      <w:r>
        <w:rPr>
          <w:color w:val="2E2E2E"/>
        </w:rPr>
        <w:t>muestra;</w:t>
      </w:r>
    </w:p>
    <w:p>
      <w:pPr>
        <w:pStyle w:val="BodyText"/>
      </w:pPr>
    </w:p>
    <w:p>
      <w:pPr>
        <w:pStyle w:val="Heading2"/>
        <w:numPr>
          <w:ilvl w:val="0"/>
          <w:numId w:val="16"/>
        </w:numPr>
        <w:tabs>
          <w:tab w:pos="659" w:val="left" w:leader="none"/>
        </w:tabs>
        <w:spacing w:line="240" w:lineRule="auto" w:before="0" w:after="0"/>
        <w:ind w:left="658" w:right="0" w:hanging="268"/>
        <w:jc w:val="left"/>
      </w:pPr>
      <w:r>
        <w:rPr>
          <w:color w:val="2E2E2E"/>
        </w:rPr>
        <w:t>Tolerancias</w:t>
      </w:r>
    </w:p>
    <w:p>
      <w:pPr>
        <w:pStyle w:val="ListParagraph"/>
        <w:numPr>
          <w:ilvl w:val="1"/>
          <w:numId w:val="16"/>
        </w:numPr>
        <w:tabs>
          <w:tab w:pos="794" w:val="left" w:leader="none"/>
        </w:tabs>
        <w:spacing w:line="240" w:lineRule="auto" w:before="0" w:after="0"/>
        <w:ind w:left="102" w:right="117" w:firstLine="288"/>
        <w:jc w:val="both"/>
        <w:rPr>
          <w:sz w:val="24"/>
        </w:rPr>
      </w:pPr>
      <w:r>
        <w:rPr>
          <w:color w:val="2E2E2E"/>
          <w:sz w:val="24"/>
        </w:rPr>
        <w:t>Para fines de la comprobación del contenido neto de los productos preenvasados, se fijan las tolerancias que se indican en la Tabla 1, la cual no es aplicable a los productos señalados en el Apéndice D de esta Norma Oficial Mexicana.</w:t>
      </w:r>
    </w:p>
    <w:p>
      <w:pPr>
        <w:spacing w:after="0" w:line="240" w:lineRule="auto"/>
        <w:jc w:val="both"/>
        <w:rPr>
          <w:sz w:val="24"/>
        </w:rPr>
        <w:sectPr>
          <w:pgSz w:w="11910" w:h="16840"/>
          <w:pgMar w:header="0" w:footer="1043" w:top="1340" w:bottom="1240" w:left="1600" w:right="1580"/>
        </w:sectPr>
      </w:pPr>
    </w:p>
    <w:tbl>
      <w:tblPr>
        <w:tblW w:w="0" w:type="auto"/>
        <w:jc w:val="left"/>
        <w:tblInd w:w="131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527"/>
        <w:gridCol w:w="991"/>
        <w:gridCol w:w="1560"/>
        <w:gridCol w:w="1985"/>
      </w:tblGrid>
      <w:tr>
        <w:trPr>
          <w:trHeight w:val="423" w:hRule="exact"/>
        </w:trPr>
        <w:tc>
          <w:tcPr>
            <w:tcW w:w="6064" w:type="dxa"/>
            <w:gridSpan w:val="4"/>
          </w:tcPr>
          <w:p>
            <w:pPr>
              <w:pStyle w:val="TableParagraph"/>
              <w:spacing w:line="240" w:lineRule="auto" w:before="13"/>
              <w:ind w:left="2498" w:right="2498"/>
              <w:rPr>
                <w:b/>
                <w:sz w:val="24"/>
              </w:rPr>
            </w:pPr>
            <w:r>
              <w:rPr>
                <w:b/>
                <w:sz w:val="24"/>
              </w:rPr>
              <w:t>TABLA 1</w:t>
            </w:r>
          </w:p>
        </w:tc>
      </w:tr>
      <w:tr>
        <w:trPr>
          <w:trHeight w:val="598" w:hRule="exact"/>
        </w:trPr>
        <w:tc>
          <w:tcPr>
            <w:tcW w:w="4079" w:type="dxa"/>
            <w:gridSpan w:val="3"/>
          </w:tcPr>
          <w:p>
            <w:pPr>
              <w:pStyle w:val="TableParagraph"/>
              <w:spacing w:line="240" w:lineRule="auto" w:before="10"/>
              <w:ind w:left="1783" w:right="256" w:hanging="1515"/>
              <w:jc w:val="left"/>
              <w:rPr>
                <w:b/>
                <w:sz w:val="24"/>
              </w:rPr>
            </w:pPr>
            <w:r>
              <w:rPr>
                <w:b/>
                <w:sz w:val="24"/>
              </w:rPr>
              <w:t>Contenido neto declarado en g o ml</w:t>
            </w:r>
          </w:p>
        </w:tc>
        <w:tc>
          <w:tcPr>
            <w:tcW w:w="1985" w:type="dxa"/>
          </w:tcPr>
          <w:p>
            <w:pPr>
              <w:pStyle w:val="TableParagraph"/>
              <w:spacing w:line="240" w:lineRule="auto" w:before="10"/>
              <w:ind w:left="275"/>
              <w:jc w:val="left"/>
              <w:rPr>
                <w:b/>
                <w:sz w:val="24"/>
              </w:rPr>
            </w:pPr>
            <w:r>
              <w:rPr>
                <w:b/>
                <w:sz w:val="24"/>
              </w:rPr>
              <w:t>Tolerancia T</w:t>
            </w:r>
          </w:p>
        </w:tc>
      </w:tr>
      <w:tr>
        <w:trPr>
          <w:trHeight w:val="322" w:hRule="exact"/>
        </w:trPr>
        <w:tc>
          <w:tcPr>
            <w:tcW w:w="2518" w:type="dxa"/>
            <w:gridSpan w:val="2"/>
          </w:tcPr>
          <w:p>
            <w:pPr>
              <w:pStyle w:val="TableParagraph"/>
              <w:spacing w:line="240" w:lineRule="auto" w:before="7"/>
              <w:ind w:left="64"/>
              <w:jc w:val="left"/>
              <w:rPr>
                <w:sz w:val="24"/>
              </w:rPr>
            </w:pPr>
            <w:r>
              <w:rPr>
                <w:sz w:val="24"/>
              </w:rPr>
              <w:t>Hasta</w:t>
            </w:r>
          </w:p>
        </w:tc>
        <w:tc>
          <w:tcPr>
            <w:tcW w:w="1560" w:type="dxa"/>
          </w:tcPr>
          <w:p>
            <w:pPr>
              <w:pStyle w:val="TableParagraph"/>
              <w:spacing w:line="240" w:lineRule="auto" w:before="7"/>
              <w:ind w:right="60"/>
              <w:jc w:val="right"/>
              <w:rPr>
                <w:sz w:val="24"/>
              </w:rPr>
            </w:pPr>
            <w:r>
              <w:rPr>
                <w:sz w:val="24"/>
              </w:rPr>
              <w:t>50</w:t>
            </w:r>
          </w:p>
        </w:tc>
        <w:tc>
          <w:tcPr>
            <w:tcW w:w="1985" w:type="dxa"/>
          </w:tcPr>
          <w:p>
            <w:pPr>
              <w:pStyle w:val="TableParagraph"/>
              <w:spacing w:line="240" w:lineRule="auto" w:before="7"/>
              <w:ind w:right="64"/>
              <w:jc w:val="right"/>
              <w:rPr>
                <w:sz w:val="24"/>
              </w:rPr>
            </w:pPr>
            <w:r>
              <w:rPr>
                <w:sz w:val="24"/>
              </w:rPr>
              <w:t>9,0%</w:t>
            </w:r>
          </w:p>
        </w:tc>
      </w:tr>
      <w:tr>
        <w:trPr>
          <w:trHeight w:val="319" w:hRule="exact"/>
        </w:trPr>
        <w:tc>
          <w:tcPr>
            <w:tcW w:w="1527" w:type="dxa"/>
          </w:tcPr>
          <w:p>
            <w:pPr>
              <w:pStyle w:val="TableParagraph"/>
              <w:spacing w:line="240" w:lineRule="auto" w:before="7"/>
              <w:ind w:left="64"/>
              <w:jc w:val="left"/>
              <w:rPr>
                <w:sz w:val="24"/>
              </w:rPr>
            </w:pPr>
            <w:r>
              <w:rPr>
                <w:sz w:val="24"/>
              </w:rPr>
              <w:t>50</w:t>
            </w:r>
          </w:p>
        </w:tc>
        <w:tc>
          <w:tcPr>
            <w:tcW w:w="991" w:type="dxa"/>
          </w:tcPr>
          <w:p>
            <w:pPr>
              <w:pStyle w:val="TableParagraph"/>
              <w:spacing w:line="240" w:lineRule="auto" w:before="7"/>
              <w:ind w:left="192"/>
              <w:jc w:val="left"/>
              <w:rPr>
                <w:sz w:val="24"/>
              </w:rPr>
            </w:pPr>
            <w:r>
              <w:rPr>
                <w:sz w:val="24"/>
              </w:rPr>
              <w:t>hasta</w:t>
            </w:r>
          </w:p>
        </w:tc>
        <w:tc>
          <w:tcPr>
            <w:tcW w:w="1560" w:type="dxa"/>
          </w:tcPr>
          <w:p>
            <w:pPr>
              <w:pStyle w:val="TableParagraph"/>
              <w:spacing w:line="240" w:lineRule="auto" w:before="7"/>
              <w:ind w:right="60"/>
              <w:jc w:val="right"/>
              <w:rPr>
                <w:sz w:val="24"/>
              </w:rPr>
            </w:pPr>
            <w:r>
              <w:rPr>
                <w:w w:val="95"/>
                <w:sz w:val="24"/>
              </w:rPr>
              <w:t>100</w:t>
            </w:r>
          </w:p>
        </w:tc>
        <w:tc>
          <w:tcPr>
            <w:tcW w:w="1985" w:type="dxa"/>
          </w:tcPr>
          <w:p>
            <w:pPr>
              <w:pStyle w:val="TableParagraph"/>
              <w:spacing w:line="240" w:lineRule="auto" w:before="7"/>
              <w:ind w:right="61"/>
              <w:jc w:val="right"/>
              <w:rPr>
                <w:sz w:val="24"/>
              </w:rPr>
            </w:pPr>
            <w:r>
              <w:rPr>
                <w:sz w:val="24"/>
              </w:rPr>
              <w:t>4,5 g o ml</w:t>
            </w:r>
          </w:p>
        </w:tc>
      </w:tr>
      <w:tr>
        <w:trPr>
          <w:trHeight w:val="322" w:hRule="exact"/>
        </w:trPr>
        <w:tc>
          <w:tcPr>
            <w:tcW w:w="1527" w:type="dxa"/>
          </w:tcPr>
          <w:p>
            <w:pPr>
              <w:pStyle w:val="TableParagraph"/>
              <w:spacing w:line="240" w:lineRule="auto" w:before="10"/>
              <w:ind w:left="64"/>
              <w:jc w:val="left"/>
              <w:rPr>
                <w:sz w:val="24"/>
              </w:rPr>
            </w:pPr>
            <w:r>
              <w:rPr>
                <w:sz w:val="24"/>
              </w:rPr>
              <w:t>100</w:t>
            </w:r>
          </w:p>
        </w:tc>
        <w:tc>
          <w:tcPr>
            <w:tcW w:w="991" w:type="dxa"/>
          </w:tcPr>
          <w:p>
            <w:pPr>
              <w:pStyle w:val="TableParagraph"/>
              <w:spacing w:line="240" w:lineRule="auto" w:before="10"/>
              <w:ind w:left="192"/>
              <w:jc w:val="left"/>
              <w:rPr>
                <w:sz w:val="24"/>
              </w:rPr>
            </w:pPr>
            <w:r>
              <w:rPr>
                <w:sz w:val="24"/>
              </w:rPr>
              <w:t>hasta</w:t>
            </w:r>
          </w:p>
        </w:tc>
        <w:tc>
          <w:tcPr>
            <w:tcW w:w="1560" w:type="dxa"/>
          </w:tcPr>
          <w:p>
            <w:pPr>
              <w:pStyle w:val="TableParagraph"/>
              <w:spacing w:line="240" w:lineRule="auto" w:before="10"/>
              <w:ind w:right="60"/>
              <w:jc w:val="right"/>
              <w:rPr>
                <w:sz w:val="24"/>
              </w:rPr>
            </w:pPr>
            <w:r>
              <w:rPr>
                <w:w w:val="95"/>
                <w:sz w:val="24"/>
              </w:rPr>
              <w:t>200</w:t>
            </w:r>
          </w:p>
        </w:tc>
        <w:tc>
          <w:tcPr>
            <w:tcW w:w="1985" w:type="dxa"/>
          </w:tcPr>
          <w:p>
            <w:pPr>
              <w:pStyle w:val="TableParagraph"/>
              <w:spacing w:line="240" w:lineRule="auto" w:before="10"/>
              <w:ind w:right="64"/>
              <w:jc w:val="right"/>
              <w:rPr>
                <w:sz w:val="24"/>
              </w:rPr>
            </w:pPr>
            <w:r>
              <w:rPr>
                <w:sz w:val="24"/>
              </w:rPr>
              <w:t>4,5%</w:t>
            </w:r>
          </w:p>
        </w:tc>
      </w:tr>
      <w:tr>
        <w:trPr>
          <w:trHeight w:val="322" w:hRule="exact"/>
        </w:trPr>
        <w:tc>
          <w:tcPr>
            <w:tcW w:w="1527" w:type="dxa"/>
          </w:tcPr>
          <w:p>
            <w:pPr>
              <w:pStyle w:val="TableParagraph"/>
              <w:spacing w:line="240" w:lineRule="auto" w:before="10"/>
              <w:ind w:left="64"/>
              <w:jc w:val="left"/>
              <w:rPr>
                <w:sz w:val="24"/>
              </w:rPr>
            </w:pPr>
            <w:r>
              <w:rPr>
                <w:sz w:val="24"/>
              </w:rPr>
              <w:t>200</w:t>
            </w:r>
          </w:p>
        </w:tc>
        <w:tc>
          <w:tcPr>
            <w:tcW w:w="991" w:type="dxa"/>
          </w:tcPr>
          <w:p>
            <w:pPr>
              <w:pStyle w:val="TableParagraph"/>
              <w:spacing w:line="240" w:lineRule="auto" w:before="10"/>
              <w:ind w:left="192"/>
              <w:jc w:val="left"/>
              <w:rPr>
                <w:sz w:val="24"/>
              </w:rPr>
            </w:pPr>
            <w:r>
              <w:rPr>
                <w:sz w:val="24"/>
              </w:rPr>
              <w:t>hasta</w:t>
            </w:r>
          </w:p>
        </w:tc>
        <w:tc>
          <w:tcPr>
            <w:tcW w:w="1560" w:type="dxa"/>
          </w:tcPr>
          <w:p>
            <w:pPr>
              <w:pStyle w:val="TableParagraph"/>
              <w:spacing w:line="240" w:lineRule="auto" w:before="10"/>
              <w:ind w:right="60"/>
              <w:jc w:val="right"/>
              <w:rPr>
                <w:sz w:val="24"/>
              </w:rPr>
            </w:pPr>
            <w:r>
              <w:rPr>
                <w:w w:val="95"/>
                <w:sz w:val="24"/>
              </w:rPr>
              <w:t>300</w:t>
            </w:r>
          </w:p>
        </w:tc>
        <w:tc>
          <w:tcPr>
            <w:tcW w:w="1985" w:type="dxa"/>
          </w:tcPr>
          <w:p>
            <w:pPr>
              <w:pStyle w:val="TableParagraph"/>
              <w:spacing w:line="240" w:lineRule="auto" w:before="10"/>
              <w:ind w:right="61"/>
              <w:jc w:val="right"/>
              <w:rPr>
                <w:sz w:val="24"/>
              </w:rPr>
            </w:pPr>
            <w:r>
              <w:rPr>
                <w:sz w:val="24"/>
              </w:rPr>
              <w:t>9 g o ml</w:t>
            </w:r>
          </w:p>
        </w:tc>
      </w:tr>
      <w:tr>
        <w:trPr>
          <w:trHeight w:val="322" w:hRule="exact"/>
        </w:trPr>
        <w:tc>
          <w:tcPr>
            <w:tcW w:w="1527" w:type="dxa"/>
          </w:tcPr>
          <w:p>
            <w:pPr>
              <w:pStyle w:val="TableParagraph"/>
              <w:spacing w:line="240" w:lineRule="auto" w:before="7"/>
              <w:ind w:left="64"/>
              <w:jc w:val="left"/>
              <w:rPr>
                <w:sz w:val="24"/>
              </w:rPr>
            </w:pPr>
            <w:r>
              <w:rPr>
                <w:sz w:val="24"/>
              </w:rPr>
              <w:t>300</w:t>
            </w:r>
          </w:p>
        </w:tc>
        <w:tc>
          <w:tcPr>
            <w:tcW w:w="991" w:type="dxa"/>
          </w:tcPr>
          <w:p>
            <w:pPr>
              <w:pStyle w:val="TableParagraph"/>
              <w:spacing w:line="240" w:lineRule="auto" w:before="7"/>
              <w:ind w:left="192"/>
              <w:jc w:val="left"/>
              <w:rPr>
                <w:sz w:val="24"/>
              </w:rPr>
            </w:pPr>
            <w:r>
              <w:rPr>
                <w:sz w:val="24"/>
              </w:rPr>
              <w:t>hasta</w:t>
            </w:r>
          </w:p>
        </w:tc>
        <w:tc>
          <w:tcPr>
            <w:tcW w:w="1560" w:type="dxa"/>
          </w:tcPr>
          <w:p>
            <w:pPr>
              <w:pStyle w:val="TableParagraph"/>
              <w:spacing w:line="240" w:lineRule="auto" w:before="7"/>
              <w:ind w:right="60"/>
              <w:jc w:val="right"/>
              <w:rPr>
                <w:sz w:val="24"/>
              </w:rPr>
            </w:pPr>
            <w:r>
              <w:rPr>
                <w:w w:val="95"/>
                <w:sz w:val="24"/>
              </w:rPr>
              <w:t>500</w:t>
            </w:r>
          </w:p>
        </w:tc>
        <w:tc>
          <w:tcPr>
            <w:tcW w:w="1985" w:type="dxa"/>
          </w:tcPr>
          <w:p>
            <w:pPr>
              <w:pStyle w:val="TableParagraph"/>
              <w:spacing w:line="240" w:lineRule="auto" w:before="7"/>
              <w:ind w:right="64"/>
              <w:jc w:val="right"/>
              <w:rPr>
                <w:sz w:val="24"/>
              </w:rPr>
            </w:pPr>
            <w:r>
              <w:rPr>
                <w:sz w:val="24"/>
              </w:rPr>
              <w:t>3,0%</w:t>
            </w:r>
          </w:p>
        </w:tc>
      </w:tr>
      <w:tr>
        <w:trPr>
          <w:trHeight w:val="319" w:hRule="exact"/>
        </w:trPr>
        <w:tc>
          <w:tcPr>
            <w:tcW w:w="1527" w:type="dxa"/>
          </w:tcPr>
          <w:p>
            <w:pPr>
              <w:pStyle w:val="TableParagraph"/>
              <w:spacing w:line="240" w:lineRule="auto" w:before="7"/>
              <w:ind w:left="64"/>
              <w:jc w:val="left"/>
              <w:rPr>
                <w:sz w:val="24"/>
              </w:rPr>
            </w:pPr>
            <w:r>
              <w:rPr>
                <w:sz w:val="24"/>
              </w:rPr>
              <w:t>500</w:t>
            </w:r>
          </w:p>
        </w:tc>
        <w:tc>
          <w:tcPr>
            <w:tcW w:w="991" w:type="dxa"/>
          </w:tcPr>
          <w:p>
            <w:pPr>
              <w:pStyle w:val="TableParagraph"/>
              <w:spacing w:line="240" w:lineRule="auto" w:before="7"/>
              <w:ind w:left="192"/>
              <w:jc w:val="left"/>
              <w:rPr>
                <w:sz w:val="24"/>
              </w:rPr>
            </w:pPr>
            <w:r>
              <w:rPr>
                <w:sz w:val="24"/>
              </w:rPr>
              <w:t>hasta</w:t>
            </w:r>
          </w:p>
        </w:tc>
        <w:tc>
          <w:tcPr>
            <w:tcW w:w="1560" w:type="dxa"/>
          </w:tcPr>
          <w:p>
            <w:pPr>
              <w:pStyle w:val="TableParagraph"/>
              <w:spacing w:line="240" w:lineRule="auto" w:before="7"/>
              <w:ind w:right="62"/>
              <w:jc w:val="right"/>
              <w:rPr>
                <w:sz w:val="24"/>
              </w:rPr>
            </w:pPr>
            <w:r>
              <w:rPr>
                <w:sz w:val="24"/>
              </w:rPr>
              <w:t>1 000</w:t>
            </w:r>
          </w:p>
        </w:tc>
        <w:tc>
          <w:tcPr>
            <w:tcW w:w="1985" w:type="dxa"/>
          </w:tcPr>
          <w:p>
            <w:pPr>
              <w:pStyle w:val="TableParagraph"/>
              <w:spacing w:line="240" w:lineRule="auto" w:before="7"/>
              <w:ind w:right="61"/>
              <w:jc w:val="right"/>
              <w:rPr>
                <w:sz w:val="24"/>
              </w:rPr>
            </w:pPr>
            <w:r>
              <w:rPr>
                <w:sz w:val="24"/>
              </w:rPr>
              <w:t>15 g o ml</w:t>
            </w:r>
          </w:p>
        </w:tc>
      </w:tr>
      <w:tr>
        <w:trPr>
          <w:trHeight w:val="322" w:hRule="exact"/>
        </w:trPr>
        <w:tc>
          <w:tcPr>
            <w:tcW w:w="1527" w:type="dxa"/>
          </w:tcPr>
          <w:p>
            <w:pPr>
              <w:pStyle w:val="TableParagraph"/>
              <w:spacing w:line="240" w:lineRule="auto" w:before="10"/>
              <w:ind w:left="64"/>
              <w:jc w:val="left"/>
              <w:rPr>
                <w:sz w:val="24"/>
              </w:rPr>
            </w:pPr>
            <w:r>
              <w:rPr>
                <w:sz w:val="24"/>
              </w:rPr>
              <w:t>1 000</w:t>
            </w:r>
          </w:p>
        </w:tc>
        <w:tc>
          <w:tcPr>
            <w:tcW w:w="991" w:type="dxa"/>
          </w:tcPr>
          <w:p>
            <w:pPr>
              <w:pStyle w:val="TableParagraph"/>
              <w:spacing w:line="240" w:lineRule="auto" w:before="10"/>
              <w:ind w:left="192"/>
              <w:jc w:val="left"/>
              <w:rPr>
                <w:sz w:val="24"/>
              </w:rPr>
            </w:pPr>
            <w:r>
              <w:rPr>
                <w:sz w:val="24"/>
              </w:rPr>
              <w:t>hasta</w:t>
            </w:r>
          </w:p>
        </w:tc>
        <w:tc>
          <w:tcPr>
            <w:tcW w:w="1560" w:type="dxa"/>
          </w:tcPr>
          <w:p>
            <w:pPr>
              <w:pStyle w:val="TableParagraph"/>
              <w:spacing w:line="240" w:lineRule="auto" w:before="10"/>
              <w:ind w:right="62"/>
              <w:jc w:val="right"/>
              <w:rPr>
                <w:sz w:val="24"/>
              </w:rPr>
            </w:pPr>
            <w:r>
              <w:rPr>
                <w:sz w:val="24"/>
              </w:rPr>
              <w:t>10 000</w:t>
            </w:r>
          </w:p>
        </w:tc>
        <w:tc>
          <w:tcPr>
            <w:tcW w:w="1985" w:type="dxa"/>
          </w:tcPr>
          <w:p>
            <w:pPr>
              <w:pStyle w:val="TableParagraph"/>
              <w:spacing w:line="240" w:lineRule="auto" w:before="10"/>
              <w:ind w:right="64"/>
              <w:jc w:val="right"/>
              <w:rPr>
                <w:sz w:val="24"/>
              </w:rPr>
            </w:pPr>
            <w:r>
              <w:rPr>
                <w:sz w:val="24"/>
              </w:rPr>
              <w:t>1,5%</w:t>
            </w:r>
          </w:p>
        </w:tc>
      </w:tr>
      <w:tr>
        <w:trPr>
          <w:trHeight w:val="322" w:hRule="exact"/>
        </w:trPr>
        <w:tc>
          <w:tcPr>
            <w:tcW w:w="1527" w:type="dxa"/>
          </w:tcPr>
          <w:p>
            <w:pPr>
              <w:pStyle w:val="TableParagraph"/>
              <w:spacing w:line="240" w:lineRule="auto" w:before="10"/>
              <w:ind w:left="64"/>
              <w:jc w:val="left"/>
              <w:rPr>
                <w:sz w:val="24"/>
              </w:rPr>
            </w:pPr>
            <w:r>
              <w:rPr>
                <w:sz w:val="24"/>
              </w:rPr>
              <w:t>10 000</w:t>
            </w:r>
          </w:p>
        </w:tc>
        <w:tc>
          <w:tcPr>
            <w:tcW w:w="991" w:type="dxa"/>
          </w:tcPr>
          <w:p>
            <w:pPr>
              <w:pStyle w:val="TableParagraph"/>
              <w:spacing w:line="240" w:lineRule="auto" w:before="10"/>
              <w:ind w:left="192"/>
              <w:jc w:val="left"/>
              <w:rPr>
                <w:sz w:val="24"/>
              </w:rPr>
            </w:pPr>
            <w:r>
              <w:rPr>
                <w:sz w:val="24"/>
              </w:rPr>
              <w:t>hasta</w:t>
            </w:r>
          </w:p>
        </w:tc>
        <w:tc>
          <w:tcPr>
            <w:tcW w:w="1560" w:type="dxa"/>
          </w:tcPr>
          <w:p>
            <w:pPr>
              <w:pStyle w:val="TableParagraph"/>
              <w:spacing w:line="240" w:lineRule="auto" w:before="10"/>
              <w:ind w:right="62"/>
              <w:jc w:val="right"/>
              <w:rPr>
                <w:sz w:val="24"/>
              </w:rPr>
            </w:pPr>
            <w:r>
              <w:rPr>
                <w:sz w:val="24"/>
              </w:rPr>
              <w:t>15 000</w:t>
            </w:r>
          </w:p>
        </w:tc>
        <w:tc>
          <w:tcPr>
            <w:tcW w:w="1985" w:type="dxa"/>
          </w:tcPr>
          <w:p>
            <w:pPr>
              <w:pStyle w:val="TableParagraph"/>
              <w:spacing w:line="240" w:lineRule="auto" w:before="10"/>
              <w:ind w:right="61"/>
              <w:jc w:val="right"/>
              <w:rPr>
                <w:sz w:val="24"/>
              </w:rPr>
            </w:pPr>
            <w:r>
              <w:rPr>
                <w:sz w:val="24"/>
              </w:rPr>
              <w:t>150 g o ml</w:t>
            </w:r>
          </w:p>
        </w:tc>
      </w:tr>
      <w:tr>
        <w:trPr>
          <w:trHeight w:val="322" w:hRule="exact"/>
        </w:trPr>
        <w:tc>
          <w:tcPr>
            <w:tcW w:w="1527" w:type="dxa"/>
          </w:tcPr>
          <w:p>
            <w:pPr>
              <w:pStyle w:val="TableParagraph"/>
              <w:spacing w:line="240" w:lineRule="auto" w:before="7"/>
              <w:ind w:left="64"/>
              <w:jc w:val="left"/>
              <w:rPr>
                <w:sz w:val="24"/>
              </w:rPr>
            </w:pPr>
            <w:r>
              <w:rPr>
                <w:sz w:val="24"/>
              </w:rPr>
              <w:t>15 000</w:t>
            </w:r>
          </w:p>
        </w:tc>
        <w:tc>
          <w:tcPr>
            <w:tcW w:w="991" w:type="dxa"/>
          </w:tcPr>
          <w:p>
            <w:pPr>
              <w:pStyle w:val="TableParagraph"/>
              <w:spacing w:line="240" w:lineRule="auto" w:before="7"/>
              <w:ind w:left="192"/>
              <w:jc w:val="left"/>
              <w:rPr>
                <w:sz w:val="24"/>
              </w:rPr>
            </w:pPr>
            <w:r>
              <w:rPr>
                <w:sz w:val="24"/>
              </w:rPr>
              <w:t>hasta</w:t>
            </w:r>
          </w:p>
        </w:tc>
        <w:tc>
          <w:tcPr>
            <w:tcW w:w="1560" w:type="dxa"/>
          </w:tcPr>
          <w:p>
            <w:pPr>
              <w:pStyle w:val="TableParagraph"/>
              <w:spacing w:line="240" w:lineRule="auto" w:before="7"/>
              <w:ind w:right="62"/>
              <w:jc w:val="right"/>
              <w:rPr>
                <w:sz w:val="24"/>
              </w:rPr>
            </w:pPr>
            <w:r>
              <w:rPr>
                <w:sz w:val="24"/>
              </w:rPr>
              <w:t>50 000</w:t>
            </w:r>
          </w:p>
        </w:tc>
        <w:tc>
          <w:tcPr>
            <w:tcW w:w="1985" w:type="dxa"/>
          </w:tcPr>
          <w:p>
            <w:pPr>
              <w:pStyle w:val="TableParagraph"/>
              <w:spacing w:line="240" w:lineRule="auto" w:before="7"/>
              <w:ind w:right="64"/>
              <w:jc w:val="right"/>
              <w:rPr>
                <w:sz w:val="24"/>
              </w:rPr>
            </w:pPr>
            <w:r>
              <w:rPr>
                <w:sz w:val="24"/>
              </w:rPr>
              <w:t>1,0%</w:t>
            </w:r>
          </w:p>
        </w:tc>
      </w:tr>
    </w:tbl>
    <w:p>
      <w:pPr>
        <w:pStyle w:val="BodyText"/>
        <w:spacing w:before="4"/>
        <w:rPr>
          <w:sz w:val="17"/>
        </w:rPr>
      </w:pPr>
    </w:p>
    <w:p>
      <w:pPr>
        <w:pStyle w:val="ListParagraph"/>
        <w:numPr>
          <w:ilvl w:val="1"/>
          <w:numId w:val="16"/>
        </w:numPr>
        <w:tabs>
          <w:tab w:pos="791" w:val="left" w:leader="none"/>
        </w:tabs>
        <w:spacing w:line="240" w:lineRule="auto" w:before="69" w:after="0"/>
        <w:ind w:left="102" w:right="117" w:firstLine="288"/>
        <w:jc w:val="both"/>
        <w:rPr>
          <w:sz w:val="24"/>
        </w:rPr>
      </w:pPr>
      <w:r>
        <w:rPr>
          <w:color w:val="2E2E2E"/>
          <w:sz w:val="24"/>
        </w:rPr>
        <w:t>Las tolerancias indicadas en el inciso precedente, sólo se aplicarán a las unidades de producto que en su verificación resulten con contenidos netos menores al contenido neto declarado en la etiqueta, envase, empaque o envoltura.</w:t>
      </w:r>
    </w:p>
    <w:p>
      <w:pPr>
        <w:pStyle w:val="BodyText"/>
      </w:pPr>
    </w:p>
    <w:p>
      <w:pPr>
        <w:pStyle w:val="Heading2"/>
        <w:numPr>
          <w:ilvl w:val="0"/>
          <w:numId w:val="16"/>
        </w:numPr>
        <w:tabs>
          <w:tab w:pos="659" w:val="left" w:leader="none"/>
        </w:tabs>
        <w:spacing w:line="240" w:lineRule="auto" w:before="0" w:after="0"/>
        <w:ind w:left="658" w:right="0" w:hanging="268"/>
        <w:jc w:val="left"/>
      </w:pPr>
      <w:r>
        <w:rPr>
          <w:color w:val="2E2E2E"/>
        </w:rPr>
        <w:t>Muestreo</w:t>
      </w:r>
    </w:p>
    <w:p>
      <w:pPr>
        <w:pStyle w:val="ListParagraph"/>
        <w:numPr>
          <w:ilvl w:val="1"/>
          <w:numId w:val="16"/>
        </w:numPr>
        <w:tabs>
          <w:tab w:pos="791" w:val="left" w:leader="none"/>
        </w:tabs>
        <w:spacing w:line="240" w:lineRule="auto" w:before="0" w:after="4"/>
        <w:ind w:left="102" w:right="118" w:firstLine="288"/>
        <w:jc w:val="both"/>
        <w:rPr>
          <w:sz w:val="24"/>
        </w:rPr>
      </w:pPr>
      <w:r>
        <w:rPr>
          <w:color w:val="2E2E2E"/>
          <w:sz w:val="24"/>
        </w:rPr>
        <w:t>La verificación del contenido neto de productos preenvasados se debe efectuar mediante muestreo aleatorio, normal sencillo, con nivel de inspección S-4 y nivel de calidad aceptable 4.0 y tomando muestras por duplicado. Cada muestra estará compuesta por el número de unidades de producto que se establece en la Tabla 2, (NMX-Z-12/2-1987, véase Tablas I-A y</w:t>
      </w:r>
      <w:r>
        <w:rPr>
          <w:color w:val="2E2E2E"/>
          <w:spacing w:val="-25"/>
          <w:sz w:val="24"/>
        </w:rPr>
        <w:t> </w:t>
      </w:r>
      <w:r>
        <w:rPr>
          <w:color w:val="2E2E2E"/>
          <w:sz w:val="24"/>
        </w:rPr>
        <w:t>II-A).</w:t>
      </w:r>
    </w:p>
    <w:tbl>
      <w:tblPr>
        <w:tblW w:w="0" w:type="auto"/>
        <w:jc w:val="left"/>
        <w:tblInd w:w="17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552"/>
        <w:gridCol w:w="2698"/>
      </w:tblGrid>
      <w:tr>
        <w:trPr>
          <w:trHeight w:val="422" w:hRule="exact"/>
        </w:trPr>
        <w:tc>
          <w:tcPr>
            <w:tcW w:w="5250" w:type="dxa"/>
            <w:gridSpan w:val="2"/>
          </w:tcPr>
          <w:p>
            <w:pPr>
              <w:pStyle w:val="TableParagraph"/>
              <w:spacing w:line="240" w:lineRule="auto" w:before="12"/>
              <w:ind w:left="2090" w:right="2092"/>
              <w:rPr>
                <w:b/>
                <w:sz w:val="24"/>
              </w:rPr>
            </w:pPr>
            <w:r>
              <w:rPr>
                <w:b/>
                <w:sz w:val="24"/>
              </w:rPr>
              <w:t>TABLA 2</w:t>
            </w:r>
          </w:p>
        </w:tc>
      </w:tr>
      <w:tr>
        <w:trPr>
          <w:trHeight w:val="1147" w:hRule="exact"/>
        </w:trPr>
        <w:tc>
          <w:tcPr>
            <w:tcW w:w="2552" w:type="dxa"/>
          </w:tcPr>
          <w:p>
            <w:pPr>
              <w:pStyle w:val="TableParagraph"/>
              <w:spacing w:line="240" w:lineRule="auto" w:before="10"/>
              <w:ind w:left="180"/>
              <w:jc w:val="left"/>
              <w:rPr>
                <w:b/>
                <w:sz w:val="24"/>
              </w:rPr>
            </w:pPr>
            <w:r>
              <w:rPr>
                <w:b/>
                <w:sz w:val="24"/>
              </w:rPr>
              <w:t>Lote de inspección</w:t>
            </w:r>
          </w:p>
        </w:tc>
        <w:tc>
          <w:tcPr>
            <w:tcW w:w="2698" w:type="dxa"/>
          </w:tcPr>
          <w:p>
            <w:pPr>
              <w:pStyle w:val="TableParagraph"/>
              <w:spacing w:line="240" w:lineRule="auto" w:before="10"/>
              <w:ind w:left="271" w:right="276"/>
              <w:rPr>
                <w:b/>
                <w:sz w:val="24"/>
              </w:rPr>
            </w:pPr>
            <w:r>
              <w:rPr>
                <w:b/>
                <w:sz w:val="24"/>
              </w:rPr>
              <w:t>Muestra de prueba (número</w:t>
            </w:r>
          </w:p>
          <w:p>
            <w:pPr>
              <w:pStyle w:val="TableParagraph"/>
              <w:spacing w:line="240" w:lineRule="auto"/>
              <w:ind w:left="271" w:right="273"/>
              <w:rPr>
                <w:b/>
                <w:sz w:val="24"/>
              </w:rPr>
            </w:pPr>
            <w:r>
              <w:rPr>
                <w:b/>
                <w:sz w:val="24"/>
              </w:rPr>
              <w:t>de unidades de producto)</w:t>
            </w:r>
          </w:p>
        </w:tc>
      </w:tr>
      <w:tr>
        <w:trPr>
          <w:trHeight w:val="322" w:hRule="exact"/>
        </w:trPr>
        <w:tc>
          <w:tcPr>
            <w:tcW w:w="2552" w:type="dxa"/>
          </w:tcPr>
          <w:p>
            <w:pPr>
              <w:pStyle w:val="TableParagraph"/>
              <w:spacing w:line="240" w:lineRule="auto" w:before="12"/>
              <w:ind w:left="64"/>
              <w:jc w:val="left"/>
              <w:rPr>
                <w:sz w:val="24"/>
              </w:rPr>
            </w:pPr>
            <w:r>
              <w:rPr>
                <w:sz w:val="24"/>
              </w:rPr>
              <w:t>De 2 a 8</w:t>
            </w:r>
          </w:p>
        </w:tc>
        <w:tc>
          <w:tcPr>
            <w:tcW w:w="2698" w:type="dxa"/>
          </w:tcPr>
          <w:p>
            <w:pPr>
              <w:pStyle w:val="TableParagraph"/>
              <w:spacing w:line="240" w:lineRule="auto" w:before="12"/>
              <w:ind w:right="3"/>
              <w:rPr>
                <w:sz w:val="24"/>
              </w:rPr>
            </w:pPr>
            <w:r>
              <w:rPr>
                <w:w w:val="99"/>
                <w:sz w:val="24"/>
              </w:rPr>
              <w:t>2</w:t>
            </w:r>
          </w:p>
        </w:tc>
      </w:tr>
      <w:tr>
        <w:trPr>
          <w:trHeight w:val="322" w:hRule="exact"/>
        </w:trPr>
        <w:tc>
          <w:tcPr>
            <w:tcW w:w="2552" w:type="dxa"/>
          </w:tcPr>
          <w:p>
            <w:pPr>
              <w:pStyle w:val="TableParagraph"/>
              <w:spacing w:line="240" w:lineRule="auto" w:before="12"/>
              <w:ind w:left="64"/>
              <w:jc w:val="left"/>
              <w:rPr>
                <w:sz w:val="24"/>
              </w:rPr>
            </w:pPr>
            <w:r>
              <w:rPr>
                <w:sz w:val="24"/>
              </w:rPr>
              <w:t>De 9 a 15</w:t>
            </w:r>
          </w:p>
        </w:tc>
        <w:tc>
          <w:tcPr>
            <w:tcW w:w="2698" w:type="dxa"/>
          </w:tcPr>
          <w:p>
            <w:pPr>
              <w:pStyle w:val="TableParagraph"/>
              <w:spacing w:line="240" w:lineRule="auto" w:before="12"/>
              <w:ind w:right="3"/>
              <w:rPr>
                <w:sz w:val="24"/>
              </w:rPr>
            </w:pPr>
            <w:r>
              <w:rPr>
                <w:w w:val="99"/>
                <w:sz w:val="24"/>
              </w:rPr>
              <w:t>2</w:t>
            </w:r>
          </w:p>
        </w:tc>
      </w:tr>
      <w:tr>
        <w:trPr>
          <w:trHeight w:val="322" w:hRule="exact"/>
        </w:trPr>
        <w:tc>
          <w:tcPr>
            <w:tcW w:w="2552" w:type="dxa"/>
          </w:tcPr>
          <w:p>
            <w:pPr>
              <w:pStyle w:val="TableParagraph"/>
              <w:spacing w:line="240" w:lineRule="auto" w:before="10"/>
              <w:ind w:left="64"/>
              <w:jc w:val="left"/>
              <w:rPr>
                <w:sz w:val="24"/>
              </w:rPr>
            </w:pPr>
            <w:r>
              <w:rPr>
                <w:sz w:val="24"/>
              </w:rPr>
              <w:t>De 16 a 25</w:t>
            </w:r>
          </w:p>
        </w:tc>
        <w:tc>
          <w:tcPr>
            <w:tcW w:w="2698" w:type="dxa"/>
          </w:tcPr>
          <w:p>
            <w:pPr>
              <w:pStyle w:val="TableParagraph"/>
              <w:spacing w:line="240" w:lineRule="auto" w:before="10"/>
              <w:ind w:right="3"/>
              <w:rPr>
                <w:sz w:val="24"/>
              </w:rPr>
            </w:pPr>
            <w:r>
              <w:rPr>
                <w:w w:val="99"/>
                <w:sz w:val="24"/>
              </w:rPr>
              <w:t>3</w:t>
            </w:r>
          </w:p>
        </w:tc>
      </w:tr>
      <w:tr>
        <w:trPr>
          <w:trHeight w:val="320" w:hRule="exact"/>
        </w:trPr>
        <w:tc>
          <w:tcPr>
            <w:tcW w:w="2552" w:type="dxa"/>
          </w:tcPr>
          <w:p>
            <w:pPr>
              <w:pStyle w:val="TableParagraph"/>
              <w:spacing w:line="240" w:lineRule="auto" w:before="10"/>
              <w:ind w:left="64"/>
              <w:jc w:val="left"/>
              <w:rPr>
                <w:sz w:val="24"/>
              </w:rPr>
            </w:pPr>
            <w:r>
              <w:rPr>
                <w:sz w:val="24"/>
              </w:rPr>
              <w:t>De 26 a 50</w:t>
            </w:r>
          </w:p>
        </w:tc>
        <w:tc>
          <w:tcPr>
            <w:tcW w:w="2698" w:type="dxa"/>
          </w:tcPr>
          <w:p>
            <w:pPr>
              <w:pStyle w:val="TableParagraph"/>
              <w:spacing w:line="240" w:lineRule="auto" w:before="10"/>
              <w:ind w:right="3"/>
              <w:rPr>
                <w:sz w:val="24"/>
              </w:rPr>
            </w:pPr>
            <w:r>
              <w:rPr>
                <w:w w:val="99"/>
                <w:sz w:val="24"/>
              </w:rPr>
              <w:t>5</w:t>
            </w:r>
          </w:p>
        </w:tc>
      </w:tr>
      <w:tr>
        <w:trPr>
          <w:trHeight w:val="322" w:hRule="exact"/>
        </w:trPr>
        <w:tc>
          <w:tcPr>
            <w:tcW w:w="2552" w:type="dxa"/>
          </w:tcPr>
          <w:p>
            <w:pPr>
              <w:pStyle w:val="TableParagraph"/>
              <w:spacing w:line="240" w:lineRule="auto" w:before="12"/>
              <w:ind w:left="64"/>
              <w:jc w:val="left"/>
              <w:rPr>
                <w:sz w:val="24"/>
              </w:rPr>
            </w:pPr>
            <w:r>
              <w:rPr>
                <w:sz w:val="24"/>
              </w:rPr>
              <w:t>De 51 a 90</w:t>
            </w:r>
          </w:p>
        </w:tc>
        <w:tc>
          <w:tcPr>
            <w:tcW w:w="2698" w:type="dxa"/>
          </w:tcPr>
          <w:p>
            <w:pPr>
              <w:pStyle w:val="TableParagraph"/>
              <w:spacing w:line="240" w:lineRule="auto" w:before="12"/>
              <w:ind w:right="3"/>
              <w:rPr>
                <w:sz w:val="24"/>
              </w:rPr>
            </w:pPr>
            <w:r>
              <w:rPr>
                <w:w w:val="99"/>
                <w:sz w:val="24"/>
              </w:rPr>
              <w:t>5</w:t>
            </w:r>
          </w:p>
        </w:tc>
      </w:tr>
      <w:tr>
        <w:trPr>
          <w:trHeight w:val="322" w:hRule="exact"/>
        </w:trPr>
        <w:tc>
          <w:tcPr>
            <w:tcW w:w="2552" w:type="dxa"/>
          </w:tcPr>
          <w:p>
            <w:pPr>
              <w:pStyle w:val="TableParagraph"/>
              <w:spacing w:line="240" w:lineRule="auto" w:before="12"/>
              <w:ind w:left="64"/>
              <w:jc w:val="left"/>
              <w:rPr>
                <w:sz w:val="24"/>
              </w:rPr>
            </w:pPr>
            <w:r>
              <w:rPr>
                <w:sz w:val="24"/>
              </w:rPr>
              <w:t>De 91 a 150</w:t>
            </w:r>
          </w:p>
        </w:tc>
        <w:tc>
          <w:tcPr>
            <w:tcW w:w="2698" w:type="dxa"/>
          </w:tcPr>
          <w:p>
            <w:pPr>
              <w:pStyle w:val="TableParagraph"/>
              <w:spacing w:line="240" w:lineRule="auto" w:before="12"/>
              <w:ind w:right="3"/>
              <w:rPr>
                <w:sz w:val="24"/>
              </w:rPr>
            </w:pPr>
            <w:r>
              <w:rPr>
                <w:w w:val="99"/>
                <w:sz w:val="24"/>
              </w:rPr>
              <w:t>8</w:t>
            </w:r>
          </w:p>
        </w:tc>
      </w:tr>
      <w:tr>
        <w:trPr>
          <w:trHeight w:val="319" w:hRule="exact"/>
        </w:trPr>
        <w:tc>
          <w:tcPr>
            <w:tcW w:w="2552" w:type="dxa"/>
          </w:tcPr>
          <w:p>
            <w:pPr>
              <w:pStyle w:val="TableParagraph"/>
              <w:spacing w:line="240" w:lineRule="auto" w:before="10"/>
              <w:ind w:left="64"/>
              <w:jc w:val="left"/>
              <w:rPr>
                <w:sz w:val="24"/>
              </w:rPr>
            </w:pPr>
            <w:r>
              <w:rPr>
                <w:sz w:val="24"/>
              </w:rPr>
              <w:t>De 151 a 500</w:t>
            </w:r>
          </w:p>
        </w:tc>
        <w:tc>
          <w:tcPr>
            <w:tcW w:w="2698" w:type="dxa"/>
          </w:tcPr>
          <w:p>
            <w:pPr>
              <w:pStyle w:val="TableParagraph"/>
              <w:spacing w:line="240" w:lineRule="auto" w:before="10"/>
              <w:ind w:right="1205"/>
              <w:jc w:val="right"/>
              <w:rPr>
                <w:sz w:val="24"/>
              </w:rPr>
            </w:pPr>
            <w:r>
              <w:rPr>
                <w:sz w:val="24"/>
              </w:rPr>
              <w:t>13</w:t>
            </w:r>
          </w:p>
        </w:tc>
      </w:tr>
      <w:tr>
        <w:trPr>
          <w:trHeight w:val="322" w:hRule="exact"/>
        </w:trPr>
        <w:tc>
          <w:tcPr>
            <w:tcW w:w="2552" w:type="dxa"/>
          </w:tcPr>
          <w:p>
            <w:pPr>
              <w:pStyle w:val="TableParagraph"/>
              <w:spacing w:line="240" w:lineRule="auto" w:before="12"/>
              <w:ind w:left="64"/>
              <w:jc w:val="left"/>
              <w:rPr>
                <w:sz w:val="24"/>
              </w:rPr>
            </w:pPr>
            <w:r>
              <w:rPr>
                <w:sz w:val="24"/>
              </w:rPr>
              <w:t>De 501 a 1 200</w:t>
            </w:r>
          </w:p>
        </w:tc>
        <w:tc>
          <w:tcPr>
            <w:tcW w:w="2698" w:type="dxa"/>
          </w:tcPr>
          <w:p>
            <w:pPr>
              <w:pStyle w:val="TableParagraph"/>
              <w:spacing w:line="240" w:lineRule="auto" w:before="12"/>
              <w:ind w:right="1205"/>
              <w:jc w:val="right"/>
              <w:rPr>
                <w:sz w:val="24"/>
              </w:rPr>
            </w:pPr>
            <w:r>
              <w:rPr>
                <w:sz w:val="24"/>
              </w:rPr>
              <w:t>20</w:t>
            </w:r>
          </w:p>
        </w:tc>
      </w:tr>
      <w:tr>
        <w:trPr>
          <w:trHeight w:val="322" w:hRule="exact"/>
        </w:trPr>
        <w:tc>
          <w:tcPr>
            <w:tcW w:w="2552" w:type="dxa"/>
          </w:tcPr>
          <w:p>
            <w:pPr>
              <w:pStyle w:val="TableParagraph"/>
              <w:spacing w:line="240" w:lineRule="auto" w:before="12"/>
              <w:ind w:left="64"/>
              <w:jc w:val="left"/>
              <w:rPr>
                <w:sz w:val="24"/>
              </w:rPr>
            </w:pPr>
            <w:r>
              <w:rPr>
                <w:sz w:val="24"/>
              </w:rPr>
              <w:t>De 1 201 a 10 000</w:t>
            </w:r>
          </w:p>
        </w:tc>
        <w:tc>
          <w:tcPr>
            <w:tcW w:w="2698" w:type="dxa"/>
          </w:tcPr>
          <w:p>
            <w:pPr>
              <w:pStyle w:val="TableParagraph"/>
              <w:spacing w:line="240" w:lineRule="auto" w:before="12"/>
              <w:ind w:right="1205"/>
              <w:jc w:val="right"/>
              <w:rPr>
                <w:sz w:val="24"/>
              </w:rPr>
            </w:pPr>
            <w:r>
              <w:rPr>
                <w:sz w:val="24"/>
              </w:rPr>
              <w:t>32</w:t>
            </w:r>
          </w:p>
        </w:tc>
      </w:tr>
      <w:tr>
        <w:trPr>
          <w:trHeight w:val="322" w:hRule="exact"/>
        </w:trPr>
        <w:tc>
          <w:tcPr>
            <w:tcW w:w="2552" w:type="dxa"/>
          </w:tcPr>
          <w:p>
            <w:pPr>
              <w:pStyle w:val="TableParagraph"/>
              <w:spacing w:line="240" w:lineRule="auto" w:before="10"/>
              <w:ind w:left="64"/>
              <w:jc w:val="left"/>
              <w:rPr>
                <w:sz w:val="24"/>
              </w:rPr>
            </w:pPr>
            <w:r>
              <w:rPr>
                <w:sz w:val="24"/>
              </w:rPr>
              <w:t>De 10 001 a 35 000</w:t>
            </w:r>
          </w:p>
        </w:tc>
        <w:tc>
          <w:tcPr>
            <w:tcW w:w="2698" w:type="dxa"/>
          </w:tcPr>
          <w:p>
            <w:pPr>
              <w:pStyle w:val="TableParagraph"/>
              <w:spacing w:line="240" w:lineRule="auto" w:before="10"/>
              <w:ind w:right="1205"/>
              <w:jc w:val="right"/>
              <w:rPr>
                <w:sz w:val="24"/>
              </w:rPr>
            </w:pPr>
            <w:r>
              <w:rPr>
                <w:sz w:val="24"/>
              </w:rPr>
              <w:t>50</w:t>
            </w:r>
          </w:p>
        </w:tc>
      </w:tr>
      <w:tr>
        <w:trPr>
          <w:trHeight w:val="319" w:hRule="exact"/>
        </w:trPr>
        <w:tc>
          <w:tcPr>
            <w:tcW w:w="2552" w:type="dxa"/>
          </w:tcPr>
          <w:p>
            <w:pPr>
              <w:pStyle w:val="TableParagraph"/>
              <w:spacing w:line="240" w:lineRule="auto" w:before="10"/>
              <w:ind w:left="64"/>
              <w:jc w:val="left"/>
              <w:rPr>
                <w:sz w:val="24"/>
              </w:rPr>
            </w:pPr>
            <w:r>
              <w:rPr>
                <w:sz w:val="24"/>
              </w:rPr>
              <w:t>De 35 001 a 500 000</w:t>
            </w:r>
          </w:p>
        </w:tc>
        <w:tc>
          <w:tcPr>
            <w:tcW w:w="2698" w:type="dxa"/>
          </w:tcPr>
          <w:p>
            <w:pPr>
              <w:pStyle w:val="TableParagraph"/>
              <w:spacing w:line="240" w:lineRule="auto" w:before="10"/>
              <w:ind w:right="1205"/>
              <w:jc w:val="right"/>
              <w:rPr>
                <w:sz w:val="24"/>
              </w:rPr>
            </w:pPr>
            <w:r>
              <w:rPr>
                <w:sz w:val="24"/>
              </w:rPr>
              <w:t>80</w:t>
            </w:r>
          </w:p>
        </w:tc>
      </w:tr>
      <w:tr>
        <w:trPr>
          <w:trHeight w:val="322" w:hRule="exact"/>
        </w:trPr>
        <w:tc>
          <w:tcPr>
            <w:tcW w:w="2552" w:type="dxa"/>
          </w:tcPr>
          <w:p>
            <w:pPr>
              <w:pStyle w:val="TableParagraph"/>
              <w:spacing w:line="240" w:lineRule="auto" w:before="12"/>
              <w:ind w:left="64"/>
              <w:jc w:val="left"/>
              <w:rPr>
                <w:sz w:val="24"/>
              </w:rPr>
            </w:pPr>
            <w:r>
              <w:rPr>
                <w:sz w:val="24"/>
              </w:rPr>
              <w:t>más de 500 000</w:t>
            </w:r>
          </w:p>
        </w:tc>
        <w:tc>
          <w:tcPr>
            <w:tcW w:w="2698" w:type="dxa"/>
          </w:tcPr>
          <w:p>
            <w:pPr>
              <w:pStyle w:val="TableParagraph"/>
              <w:spacing w:line="240" w:lineRule="auto" w:before="12"/>
              <w:ind w:right="1139"/>
              <w:jc w:val="right"/>
              <w:rPr>
                <w:sz w:val="24"/>
              </w:rPr>
            </w:pPr>
            <w:r>
              <w:rPr>
                <w:w w:val="95"/>
                <w:sz w:val="24"/>
              </w:rPr>
              <w:t>125</w:t>
            </w:r>
          </w:p>
        </w:tc>
      </w:tr>
    </w:tbl>
    <w:p>
      <w:pPr>
        <w:pStyle w:val="BodyText"/>
        <w:rPr>
          <w:sz w:val="20"/>
        </w:rPr>
      </w:pPr>
    </w:p>
    <w:p>
      <w:pPr>
        <w:pStyle w:val="BodyText"/>
        <w:spacing w:before="7"/>
        <w:rPr>
          <w:sz w:val="21"/>
        </w:rPr>
      </w:pPr>
    </w:p>
    <w:p>
      <w:pPr>
        <w:pStyle w:val="ListParagraph"/>
        <w:numPr>
          <w:ilvl w:val="1"/>
          <w:numId w:val="16"/>
        </w:numPr>
        <w:tabs>
          <w:tab w:pos="791" w:val="left" w:leader="none"/>
        </w:tabs>
        <w:spacing w:line="240" w:lineRule="auto" w:before="69" w:after="0"/>
        <w:ind w:left="102" w:right="120" w:firstLine="288"/>
        <w:jc w:val="left"/>
        <w:rPr>
          <w:sz w:val="24"/>
        </w:rPr>
      </w:pPr>
      <w:r>
        <w:rPr>
          <w:color w:val="2E2E2E"/>
          <w:sz w:val="24"/>
        </w:rPr>
        <w:t>La verificación del contenido neto de productos preenvasados se debe efectuar mediante muestreo aleatorio y de conformidad con el numeral 7.1.4</w:t>
      </w:r>
      <w:r>
        <w:rPr>
          <w:color w:val="2E2E2E"/>
          <w:spacing w:val="10"/>
          <w:sz w:val="24"/>
        </w:rPr>
        <w:t> </w:t>
      </w:r>
      <w:r>
        <w:rPr>
          <w:color w:val="2E2E2E"/>
          <w:sz w:val="24"/>
        </w:rPr>
        <w:t>de</w:t>
      </w:r>
    </w:p>
    <w:p>
      <w:pPr>
        <w:spacing w:after="0" w:line="240" w:lineRule="auto"/>
        <w:jc w:val="left"/>
        <w:rPr>
          <w:sz w:val="24"/>
        </w:rPr>
        <w:sectPr>
          <w:pgSz w:w="11910" w:h="16840"/>
          <w:pgMar w:header="0" w:footer="1043" w:top="1400" w:bottom="1240" w:left="1600" w:right="1580"/>
        </w:sectPr>
      </w:pPr>
    </w:p>
    <w:p>
      <w:pPr>
        <w:pStyle w:val="BodyText"/>
        <w:spacing w:before="53"/>
        <w:ind w:left="542" w:right="117"/>
        <w:jc w:val="both"/>
      </w:pPr>
      <w:r>
        <w:rPr>
          <w:color w:val="2E2E2E"/>
        </w:rPr>
        <w:t>esta Norma Oficial Mexicana, en términos de lo dispuesto por la Ley Federal de Protección al Consumidor. Cada muestra estará compuesta por el número de unidades que se establece en la Tabla 2.</w:t>
      </w:r>
    </w:p>
    <w:p>
      <w:pPr>
        <w:pStyle w:val="BodyText"/>
      </w:pPr>
    </w:p>
    <w:p>
      <w:pPr>
        <w:pStyle w:val="Heading2"/>
        <w:numPr>
          <w:ilvl w:val="0"/>
          <w:numId w:val="16"/>
        </w:numPr>
        <w:tabs>
          <w:tab w:pos="1099" w:val="left" w:leader="none"/>
        </w:tabs>
        <w:spacing w:line="240" w:lineRule="auto" w:before="0" w:after="0"/>
        <w:ind w:left="1098" w:right="0" w:hanging="268"/>
        <w:jc w:val="left"/>
      </w:pPr>
      <w:r>
        <w:rPr>
          <w:color w:val="2E2E2E"/>
        </w:rPr>
        <w:t>Métodos de</w:t>
      </w:r>
      <w:r>
        <w:rPr>
          <w:color w:val="2E2E2E"/>
          <w:spacing w:val="-9"/>
        </w:rPr>
        <w:t> </w:t>
      </w:r>
      <w:r>
        <w:rPr>
          <w:color w:val="2E2E2E"/>
        </w:rPr>
        <w:t>prueba</w:t>
      </w:r>
    </w:p>
    <w:p>
      <w:pPr>
        <w:pStyle w:val="ListParagraph"/>
        <w:numPr>
          <w:ilvl w:val="1"/>
          <w:numId w:val="16"/>
        </w:numPr>
        <w:tabs>
          <w:tab w:pos="1234" w:val="left" w:leader="none"/>
        </w:tabs>
        <w:spacing w:line="240" w:lineRule="auto" w:before="0" w:after="0"/>
        <w:ind w:left="542" w:right="124" w:firstLine="288"/>
        <w:jc w:val="both"/>
        <w:rPr>
          <w:sz w:val="24"/>
        </w:rPr>
      </w:pPr>
      <w:r>
        <w:rPr>
          <w:color w:val="2E2E2E"/>
          <w:sz w:val="24"/>
        </w:rPr>
        <w:t>Antes de iniciar la verificación del contenido neto deben cuidarse los siguientes</w:t>
      </w:r>
      <w:r>
        <w:rPr>
          <w:color w:val="2E2E2E"/>
          <w:spacing w:val="-5"/>
          <w:sz w:val="24"/>
        </w:rPr>
        <w:t> </w:t>
      </w:r>
      <w:r>
        <w:rPr>
          <w:color w:val="2E2E2E"/>
          <w:sz w:val="24"/>
        </w:rPr>
        <w:t>aspectos:</w:t>
      </w:r>
    </w:p>
    <w:p>
      <w:pPr>
        <w:pStyle w:val="ListParagraph"/>
        <w:numPr>
          <w:ilvl w:val="2"/>
          <w:numId w:val="16"/>
        </w:numPr>
        <w:tabs>
          <w:tab w:pos="1433" w:val="left" w:leader="none"/>
        </w:tabs>
        <w:spacing w:line="240" w:lineRule="auto" w:before="0" w:after="0"/>
        <w:ind w:left="542" w:right="121" w:firstLine="288"/>
        <w:jc w:val="both"/>
        <w:rPr>
          <w:sz w:val="24"/>
        </w:rPr>
      </w:pPr>
      <w:r>
        <w:rPr>
          <w:color w:val="2E2E2E"/>
          <w:sz w:val="24"/>
        </w:rPr>
        <w:t>Que el contenido neto del producto preenvasado esté debidamente expresado en unidades que correspondan a las establecidas en la Norma Oficial Mexicana</w:t>
      </w:r>
      <w:r>
        <w:rPr>
          <w:color w:val="2E2E2E"/>
          <w:spacing w:val="-9"/>
          <w:sz w:val="24"/>
        </w:rPr>
        <w:t> </w:t>
      </w:r>
      <w:r>
        <w:rPr>
          <w:color w:val="2E2E2E"/>
          <w:sz w:val="24"/>
        </w:rPr>
        <w:t>NOM-008-SCFI-2002.</w:t>
      </w:r>
    </w:p>
    <w:p>
      <w:pPr>
        <w:pStyle w:val="ListParagraph"/>
        <w:numPr>
          <w:ilvl w:val="2"/>
          <w:numId w:val="16"/>
        </w:numPr>
        <w:tabs>
          <w:tab w:pos="1433" w:val="left" w:leader="none"/>
        </w:tabs>
        <w:spacing w:line="240" w:lineRule="auto" w:before="0" w:after="0"/>
        <w:ind w:left="542" w:right="121" w:firstLine="288"/>
        <w:jc w:val="both"/>
        <w:rPr>
          <w:sz w:val="24"/>
        </w:rPr>
      </w:pPr>
      <w:r>
        <w:rPr>
          <w:color w:val="2E2E2E"/>
          <w:sz w:val="24"/>
        </w:rPr>
        <w:t>Que los instrumentos de medición que se utilicen para verificar el contenido neto por cualquiera de los métodos, tengan dictamen o certificado de calibración</w:t>
      </w:r>
      <w:r>
        <w:rPr>
          <w:color w:val="2E2E2E"/>
          <w:spacing w:val="-5"/>
          <w:sz w:val="24"/>
        </w:rPr>
        <w:t> </w:t>
      </w:r>
      <w:r>
        <w:rPr>
          <w:color w:val="2E2E2E"/>
          <w:sz w:val="24"/>
        </w:rPr>
        <w:t>vigente.</w:t>
      </w:r>
    </w:p>
    <w:p>
      <w:pPr>
        <w:pStyle w:val="ListParagraph"/>
        <w:numPr>
          <w:ilvl w:val="2"/>
          <w:numId w:val="16"/>
        </w:numPr>
        <w:tabs>
          <w:tab w:pos="1433" w:val="left" w:leader="none"/>
        </w:tabs>
        <w:spacing w:line="240" w:lineRule="auto" w:before="0" w:after="0"/>
        <w:ind w:left="542" w:right="117" w:firstLine="288"/>
        <w:jc w:val="both"/>
        <w:rPr>
          <w:sz w:val="24"/>
        </w:rPr>
      </w:pPr>
      <w:r>
        <w:rPr>
          <w:color w:val="2E2E2E"/>
          <w:sz w:val="24"/>
        </w:rPr>
        <w:t>Que la incertidumbre de los instrumentos de medición, la cual se obtendrá del dictamen o certificado de calibración vigente expedido por un laboratorio de calibración acreditado, y en su caso aprobado, no sea mayor a la décima parte de la tolerancia correspondiente (0,1</w:t>
      </w:r>
      <w:r>
        <w:rPr>
          <w:color w:val="2E2E2E"/>
          <w:spacing w:val="-16"/>
          <w:sz w:val="24"/>
        </w:rPr>
        <w:t> </w:t>
      </w:r>
      <w:r>
        <w:rPr>
          <w:color w:val="2E2E2E"/>
          <w:sz w:val="24"/>
        </w:rPr>
        <w:t>T).</w:t>
      </w:r>
    </w:p>
    <w:p>
      <w:pPr>
        <w:pStyle w:val="ListParagraph"/>
        <w:numPr>
          <w:ilvl w:val="2"/>
          <w:numId w:val="16"/>
        </w:numPr>
        <w:tabs>
          <w:tab w:pos="1433" w:val="left" w:leader="none"/>
        </w:tabs>
        <w:spacing w:line="240" w:lineRule="auto" w:before="0" w:after="0"/>
        <w:ind w:left="542" w:right="117" w:firstLine="288"/>
        <w:jc w:val="both"/>
        <w:rPr>
          <w:sz w:val="24"/>
        </w:rPr>
      </w:pPr>
      <w:r>
        <w:rPr>
          <w:color w:val="2E2E2E"/>
          <w:sz w:val="24"/>
        </w:rPr>
        <w:t>La verificación del contenido neto se realizará solamente a productos terminados listos para su comercialización, en los lugares donde se administren, almacenen, transporten, distribuyan o expendan productos o mercancías o en los que se presten servicios, incluyendo aquéllos en tránsito, y se efectuará por la Secretaría de Economía, por conducto de la Dirección General de Normas, o por la Procuraduría Federal del Consumidor, conforme a lo establecido por las disposiciones legales</w:t>
      </w:r>
      <w:r>
        <w:rPr>
          <w:color w:val="2E2E2E"/>
          <w:spacing w:val="-13"/>
          <w:sz w:val="24"/>
        </w:rPr>
        <w:t> </w:t>
      </w:r>
      <w:r>
        <w:rPr>
          <w:color w:val="2E2E2E"/>
          <w:sz w:val="24"/>
        </w:rPr>
        <w:t>aplicables.</w:t>
      </w:r>
    </w:p>
    <w:p>
      <w:pPr>
        <w:pStyle w:val="ListParagraph"/>
        <w:numPr>
          <w:ilvl w:val="1"/>
          <w:numId w:val="20"/>
        </w:numPr>
        <w:tabs>
          <w:tab w:pos="1234" w:val="left" w:leader="none"/>
        </w:tabs>
        <w:spacing w:line="240" w:lineRule="auto" w:before="0" w:after="0"/>
        <w:ind w:left="542" w:right="120" w:firstLine="288"/>
        <w:jc w:val="both"/>
        <w:rPr>
          <w:sz w:val="24"/>
        </w:rPr>
      </w:pPr>
      <w:r>
        <w:rPr>
          <w:color w:val="2E2E2E"/>
          <w:sz w:val="24"/>
        </w:rPr>
        <w:t>En lo posible, cada lote o partida debe estar constituido por unidades de producto de un solo tipo, clase, tamaño y composición, fabricados esencialmente bajo las mismas condiciones y en el mismo</w:t>
      </w:r>
      <w:r>
        <w:rPr>
          <w:color w:val="2E2E2E"/>
          <w:spacing w:val="-25"/>
          <w:sz w:val="24"/>
        </w:rPr>
        <w:t> </w:t>
      </w:r>
      <w:r>
        <w:rPr>
          <w:color w:val="2E2E2E"/>
          <w:sz w:val="24"/>
        </w:rPr>
        <w:t>tiempo.</w:t>
      </w:r>
    </w:p>
    <w:p>
      <w:pPr>
        <w:pStyle w:val="ListParagraph"/>
        <w:numPr>
          <w:ilvl w:val="1"/>
          <w:numId w:val="20"/>
        </w:numPr>
        <w:tabs>
          <w:tab w:pos="1234" w:val="left" w:leader="none"/>
        </w:tabs>
        <w:spacing w:line="240" w:lineRule="auto" w:before="0" w:after="0"/>
        <w:ind w:left="542" w:right="121" w:firstLine="288"/>
        <w:jc w:val="both"/>
        <w:rPr>
          <w:sz w:val="24"/>
        </w:rPr>
      </w:pPr>
      <w:r>
        <w:rPr>
          <w:color w:val="2E2E2E"/>
          <w:sz w:val="24"/>
        </w:rPr>
        <w:t>De acuerdo con la Tabla 2, se obtiene el tamaño de la muestra correspondiente.</w:t>
      </w:r>
    </w:p>
    <w:p>
      <w:pPr>
        <w:pStyle w:val="ListParagraph"/>
        <w:numPr>
          <w:ilvl w:val="1"/>
          <w:numId w:val="20"/>
        </w:numPr>
        <w:tabs>
          <w:tab w:pos="1234" w:val="left" w:leader="none"/>
        </w:tabs>
        <w:spacing w:line="240" w:lineRule="auto" w:before="0" w:after="0"/>
        <w:ind w:left="542" w:right="116" w:firstLine="288"/>
        <w:jc w:val="both"/>
        <w:rPr>
          <w:sz w:val="24"/>
        </w:rPr>
      </w:pPr>
      <w:r>
        <w:rPr>
          <w:color w:val="2E2E2E"/>
          <w:sz w:val="24"/>
        </w:rPr>
        <w:t>Se extraen las unidades de producto hasta completar el tamaño de muestra previsto. La extracción debe ser aleatoria. Para esto se recomienda lo indicado en el capítulo 15 de la NMX-Z-12 /1-1987 (Véase Sección 2. Referencias).</w:t>
      </w:r>
    </w:p>
    <w:p>
      <w:pPr>
        <w:pStyle w:val="ListParagraph"/>
        <w:numPr>
          <w:ilvl w:val="1"/>
          <w:numId w:val="20"/>
        </w:numPr>
        <w:tabs>
          <w:tab w:pos="1234" w:val="left" w:leader="none"/>
        </w:tabs>
        <w:spacing w:line="240" w:lineRule="auto" w:before="0" w:after="0"/>
        <w:ind w:left="542" w:right="121" w:firstLine="288"/>
        <w:jc w:val="both"/>
        <w:rPr>
          <w:sz w:val="24"/>
        </w:rPr>
      </w:pPr>
      <w:r>
        <w:rPr>
          <w:color w:val="2E2E2E"/>
          <w:sz w:val="24"/>
        </w:rPr>
        <w:t>Determinar el contenido neto de cada unidad de producto con una exactitud mínima equivalente al 10% del valor de la tolerancia que  corresponda,  siguiendo  alguno   de   los   siguientes   métodos   elegido   por el</w:t>
      </w:r>
      <w:r>
        <w:rPr>
          <w:color w:val="2E2E2E"/>
          <w:spacing w:val="-6"/>
          <w:sz w:val="24"/>
        </w:rPr>
        <w:t> </w:t>
      </w:r>
      <w:r>
        <w:rPr>
          <w:color w:val="2E2E2E"/>
          <w:sz w:val="24"/>
        </w:rPr>
        <w:t>interesado:</w:t>
      </w:r>
    </w:p>
    <w:p>
      <w:pPr>
        <w:pStyle w:val="ListParagraph"/>
        <w:numPr>
          <w:ilvl w:val="2"/>
          <w:numId w:val="20"/>
        </w:numPr>
        <w:tabs>
          <w:tab w:pos="1433" w:val="left" w:leader="none"/>
        </w:tabs>
        <w:spacing w:line="240" w:lineRule="auto" w:before="0" w:after="0"/>
        <w:ind w:left="1432" w:right="0" w:hanging="602"/>
        <w:jc w:val="left"/>
        <w:rPr>
          <w:sz w:val="24"/>
        </w:rPr>
      </w:pPr>
      <w:r>
        <w:rPr>
          <w:color w:val="2E2E2E"/>
          <w:sz w:val="24"/>
        </w:rPr>
        <w:t>Masa</w:t>
      </w:r>
    </w:p>
    <w:p>
      <w:pPr>
        <w:pStyle w:val="ListParagraph"/>
        <w:numPr>
          <w:ilvl w:val="3"/>
          <w:numId w:val="20"/>
        </w:numPr>
        <w:tabs>
          <w:tab w:pos="1632" w:val="left" w:leader="none"/>
        </w:tabs>
        <w:spacing w:line="240" w:lineRule="auto" w:before="0" w:after="0"/>
        <w:ind w:left="1631" w:right="0" w:hanging="801"/>
        <w:jc w:val="left"/>
        <w:rPr>
          <w:sz w:val="24"/>
        </w:rPr>
      </w:pPr>
      <w:r>
        <w:rPr>
          <w:color w:val="2E2E2E"/>
          <w:sz w:val="24"/>
        </w:rPr>
        <w:t>Prueba</w:t>
      </w:r>
      <w:r>
        <w:rPr>
          <w:color w:val="2E2E2E"/>
          <w:spacing w:val="-11"/>
          <w:sz w:val="24"/>
        </w:rPr>
        <w:t> </w:t>
      </w:r>
      <w:r>
        <w:rPr>
          <w:color w:val="2E2E2E"/>
          <w:sz w:val="24"/>
        </w:rPr>
        <w:t>Destructiva</w:t>
      </w:r>
    </w:p>
    <w:p>
      <w:pPr>
        <w:pStyle w:val="ListParagraph"/>
        <w:numPr>
          <w:ilvl w:val="0"/>
          <w:numId w:val="21"/>
        </w:numPr>
        <w:tabs>
          <w:tab w:pos="660" w:val="left" w:leader="none"/>
        </w:tabs>
        <w:spacing w:line="240" w:lineRule="auto" w:before="0" w:after="0"/>
        <w:ind w:left="542" w:right="127" w:hanging="432"/>
        <w:jc w:val="both"/>
        <w:rPr>
          <w:sz w:val="24"/>
        </w:rPr>
      </w:pPr>
      <w:r>
        <w:rPr>
          <w:color w:val="2E2E2E"/>
          <w:sz w:val="24"/>
        </w:rPr>
        <w:t>Vaciar completamente el contenido del envase en un recipiente tarado, y determinar el contenido neto, restando el valor de la</w:t>
      </w:r>
      <w:r>
        <w:rPr>
          <w:color w:val="2E2E2E"/>
          <w:spacing w:val="-19"/>
          <w:sz w:val="24"/>
        </w:rPr>
        <w:t> </w:t>
      </w:r>
      <w:r>
        <w:rPr>
          <w:color w:val="2E2E2E"/>
          <w:sz w:val="24"/>
        </w:rPr>
        <w:t>tara.</w:t>
      </w:r>
    </w:p>
    <w:p>
      <w:pPr>
        <w:pStyle w:val="ListParagraph"/>
        <w:numPr>
          <w:ilvl w:val="0"/>
          <w:numId w:val="21"/>
        </w:numPr>
        <w:tabs>
          <w:tab w:pos="605" w:val="left" w:leader="none"/>
        </w:tabs>
        <w:spacing w:line="240" w:lineRule="auto" w:before="0" w:after="0"/>
        <w:ind w:left="542" w:right="125" w:hanging="432"/>
        <w:jc w:val="both"/>
        <w:rPr>
          <w:sz w:val="24"/>
        </w:rPr>
      </w:pPr>
      <w:r>
        <w:rPr>
          <w:color w:val="2E2E2E"/>
          <w:sz w:val="24"/>
        </w:rPr>
        <w:t>Pesar el envase con producto, vaciar su contenido totalmente, limpiando el envase si fuera necesario; pesar el envase vacío y por diferencia, calcular el contenido</w:t>
      </w:r>
      <w:r>
        <w:rPr>
          <w:color w:val="2E2E2E"/>
          <w:spacing w:val="-5"/>
          <w:sz w:val="24"/>
        </w:rPr>
        <w:t> </w:t>
      </w:r>
      <w:r>
        <w:rPr>
          <w:color w:val="2E2E2E"/>
          <w:sz w:val="24"/>
        </w:rPr>
        <w:t>neto.</w:t>
      </w:r>
    </w:p>
    <w:p>
      <w:pPr>
        <w:pStyle w:val="ListParagraph"/>
        <w:numPr>
          <w:ilvl w:val="3"/>
          <w:numId w:val="20"/>
        </w:numPr>
        <w:tabs>
          <w:tab w:pos="1632" w:val="left" w:leader="none"/>
        </w:tabs>
        <w:spacing w:line="240" w:lineRule="auto" w:before="0" w:after="0"/>
        <w:ind w:left="1631" w:right="0" w:hanging="801"/>
        <w:jc w:val="left"/>
        <w:rPr>
          <w:sz w:val="24"/>
        </w:rPr>
      </w:pPr>
      <w:r>
        <w:rPr>
          <w:color w:val="2E2E2E"/>
          <w:sz w:val="24"/>
        </w:rPr>
        <w:t>Prueba no</w:t>
      </w:r>
      <w:r>
        <w:rPr>
          <w:color w:val="2E2E2E"/>
          <w:spacing w:val="-10"/>
          <w:sz w:val="24"/>
        </w:rPr>
        <w:t> </w:t>
      </w:r>
      <w:r>
        <w:rPr>
          <w:color w:val="2E2E2E"/>
          <w:sz w:val="24"/>
        </w:rPr>
        <w:t>destructiva.</w:t>
      </w:r>
    </w:p>
    <w:p>
      <w:pPr>
        <w:pStyle w:val="BodyText"/>
        <w:ind w:left="542" w:right="117" w:firstLine="288"/>
        <w:jc w:val="both"/>
      </w:pPr>
      <w:r>
        <w:rPr>
          <w:color w:val="2E2E2E"/>
        </w:rPr>
        <w:t>Pesar el envase con producto y determinar el peso neto, restándole la masa promedio del envase vacío, obtenida de una muestra representativa de 20 envases vacíos.</w:t>
      </w:r>
    </w:p>
    <w:p>
      <w:pPr>
        <w:pStyle w:val="ListParagraph"/>
        <w:numPr>
          <w:ilvl w:val="2"/>
          <w:numId w:val="22"/>
        </w:numPr>
        <w:tabs>
          <w:tab w:pos="1433" w:val="left" w:leader="none"/>
        </w:tabs>
        <w:spacing w:line="240" w:lineRule="auto" w:before="0" w:after="0"/>
        <w:ind w:left="1432" w:right="0" w:hanging="602"/>
        <w:jc w:val="left"/>
        <w:rPr>
          <w:sz w:val="24"/>
        </w:rPr>
      </w:pPr>
      <w:r>
        <w:rPr>
          <w:color w:val="2E2E2E"/>
          <w:sz w:val="24"/>
        </w:rPr>
        <w:t>Volumen.</w:t>
      </w:r>
    </w:p>
    <w:p>
      <w:pPr>
        <w:pStyle w:val="ListParagraph"/>
        <w:numPr>
          <w:ilvl w:val="3"/>
          <w:numId w:val="22"/>
        </w:numPr>
        <w:tabs>
          <w:tab w:pos="1632" w:val="left" w:leader="none"/>
        </w:tabs>
        <w:spacing w:line="240" w:lineRule="auto" w:before="0" w:after="0"/>
        <w:ind w:left="1631" w:right="0" w:hanging="801"/>
        <w:jc w:val="left"/>
        <w:rPr>
          <w:sz w:val="24"/>
        </w:rPr>
      </w:pPr>
      <w:r>
        <w:rPr>
          <w:color w:val="2E2E2E"/>
          <w:sz w:val="24"/>
        </w:rPr>
        <w:t>Prueba</w:t>
      </w:r>
      <w:r>
        <w:rPr>
          <w:color w:val="2E2E2E"/>
          <w:spacing w:val="-10"/>
          <w:sz w:val="24"/>
        </w:rPr>
        <w:t> </w:t>
      </w:r>
      <w:r>
        <w:rPr>
          <w:color w:val="2E2E2E"/>
          <w:sz w:val="24"/>
        </w:rPr>
        <w:t>destructiva</w:t>
      </w:r>
    </w:p>
    <w:p>
      <w:pPr>
        <w:spacing w:after="0" w:line="240" w:lineRule="auto"/>
        <w:jc w:val="left"/>
        <w:rPr>
          <w:sz w:val="24"/>
        </w:rPr>
        <w:sectPr>
          <w:pgSz w:w="11910" w:h="16840"/>
          <w:pgMar w:header="0" w:footer="1043" w:top="1340" w:bottom="1240" w:left="1160" w:right="1580"/>
        </w:sectPr>
      </w:pPr>
    </w:p>
    <w:p>
      <w:pPr>
        <w:pStyle w:val="ListParagraph"/>
        <w:numPr>
          <w:ilvl w:val="0"/>
          <w:numId w:val="23"/>
        </w:numPr>
        <w:tabs>
          <w:tab w:pos="660" w:val="left" w:leader="none"/>
        </w:tabs>
        <w:spacing w:line="240" w:lineRule="auto" w:before="53" w:after="0"/>
        <w:ind w:left="542" w:right="463" w:hanging="432"/>
        <w:jc w:val="both"/>
        <w:rPr>
          <w:sz w:val="24"/>
        </w:rPr>
      </w:pPr>
      <w:r>
        <w:rPr>
          <w:color w:val="2E2E2E"/>
          <w:sz w:val="24"/>
        </w:rPr>
        <w:t>Determinar el volumen neto, vaciando el contenido del envase en un recipiente calibrado y con divisiones mínimas de 1,0 ml para productos de  hasta 1,0 L y con divisiones mínimas de 5,0 ml para el resto de</w:t>
      </w:r>
      <w:r>
        <w:rPr>
          <w:color w:val="2E2E2E"/>
          <w:spacing w:val="-19"/>
          <w:sz w:val="24"/>
        </w:rPr>
        <w:t> </w:t>
      </w:r>
      <w:r>
        <w:rPr>
          <w:color w:val="2E2E2E"/>
          <w:sz w:val="24"/>
        </w:rPr>
        <w:t>presentaciones.</w:t>
      </w:r>
    </w:p>
    <w:p>
      <w:pPr>
        <w:pStyle w:val="ListParagraph"/>
        <w:numPr>
          <w:ilvl w:val="0"/>
          <w:numId w:val="23"/>
        </w:numPr>
        <w:tabs>
          <w:tab w:pos="605" w:val="left" w:leader="none"/>
        </w:tabs>
        <w:spacing w:line="240" w:lineRule="auto" w:before="0" w:after="0"/>
        <w:ind w:left="542" w:right="463" w:hanging="432"/>
        <w:jc w:val="both"/>
        <w:rPr>
          <w:sz w:val="24"/>
        </w:rPr>
      </w:pPr>
      <w:r>
        <w:rPr>
          <w:color w:val="2E2E2E"/>
          <w:sz w:val="24"/>
        </w:rPr>
        <w:t>Proceder de acuerdo a lo establecido en alguno de los incisos señalados en 7.5.1.1; relacionar la masa del contenido neto con la densidad del producto  para obtener el</w:t>
      </w:r>
      <w:r>
        <w:rPr>
          <w:color w:val="2E2E2E"/>
          <w:spacing w:val="-9"/>
          <w:sz w:val="24"/>
        </w:rPr>
        <w:t> </w:t>
      </w:r>
      <w:r>
        <w:rPr>
          <w:color w:val="2E2E2E"/>
          <w:sz w:val="24"/>
        </w:rPr>
        <w:t>volumen.</w:t>
      </w:r>
    </w:p>
    <w:p>
      <w:pPr>
        <w:pStyle w:val="ListParagraph"/>
        <w:numPr>
          <w:ilvl w:val="3"/>
          <w:numId w:val="22"/>
        </w:numPr>
        <w:tabs>
          <w:tab w:pos="1632" w:val="left" w:leader="none"/>
        </w:tabs>
        <w:spacing w:line="240" w:lineRule="auto" w:before="0" w:after="0"/>
        <w:ind w:left="1631" w:right="0" w:hanging="801"/>
        <w:jc w:val="left"/>
        <w:rPr>
          <w:sz w:val="24"/>
        </w:rPr>
      </w:pPr>
      <w:r>
        <w:rPr>
          <w:color w:val="2E2E2E"/>
          <w:sz w:val="24"/>
        </w:rPr>
        <w:t>Prueba no</w:t>
      </w:r>
      <w:r>
        <w:rPr>
          <w:color w:val="2E2E2E"/>
          <w:spacing w:val="-10"/>
          <w:sz w:val="24"/>
        </w:rPr>
        <w:t> </w:t>
      </w:r>
      <w:r>
        <w:rPr>
          <w:color w:val="2E2E2E"/>
          <w:sz w:val="24"/>
        </w:rPr>
        <w:t>destructiva</w:t>
      </w:r>
    </w:p>
    <w:p>
      <w:pPr>
        <w:pStyle w:val="BodyText"/>
        <w:ind w:left="542" w:right="414" w:firstLine="288"/>
      </w:pPr>
      <w:r>
        <w:rPr/>
        <w:pict>
          <v:shape style="position:absolute;margin-left:173.300003pt;margin-top:230.045883pt;width:249.2pt;height:283.5pt;mso-position-horizontal-relative:page;mso-position-vertical-relative:paragraph;z-index:1360"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552"/>
                    <w:gridCol w:w="2410"/>
                  </w:tblGrid>
                  <w:tr>
                    <w:trPr>
                      <w:trHeight w:val="423" w:hRule="exact"/>
                    </w:trPr>
                    <w:tc>
                      <w:tcPr>
                        <w:tcW w:w="4962" w:type="dxa"/>
                        <w:gridSpan w:val="2"/>
                      </w:tcPr>
                      <w:p>
                        <w:pPr>
                          <w:pStyle w:val="TableParagraph"/>
                          <w:spacing w:line="240" w:lineRule="auto" w:before="13"/>
                          <w:ind w:left="157" w:right="159"/>
                          <w:rPr>
                            <w:b/>
                            <w:sz w:val="24"/>
                          </w:rPr>
                        </w:pPr>
                        <w:r>
                          <w:rPr>
                            <w:b/>
                            <w:sz w:val="24"/>
                          </w:rPr>
                          <w:t>TABLA 3</w:t>
                        </w:r>
                      </w:p>
                    </w:tc>
                  </w:tr>
                  <w:tr>
                    <w:trPr>
                      <w:trHeight w:val="871" w:hRule="exact"/>
                    </w:trPr>
                    <w:tc>
                      <w:tcPr>
                        <w:tcW w:w="4962" w:type="dxa"/>
                        <w:gridSpan w:val="2"/>
                      </w:tcPr>
                      <w:p>
                        <w:pPr>
                          <w:pStyle w:val="TableParagraph"/>
                          <w:spacing w:line="240" w:lineRule="auto" w:before="10"/>
                          <w:ind w:left="158" w:right="159"/>
                          <w:rPr>
                            <w:b/>
                            <w:sz w:val="24"/>
                          </w:rPr>
                        </w:pPr>
                        <w:r>
                          <w:rPr>
                            <w:b/>
                            <w:sz w:val="24"/>
                          </w:rPr>
                          <w:t>Número máximo de unidades permitidas fuera de</w:t>
                        </w:r>
                      </w:p>
                      <w:p>
                        <w:pPr>
                          <w:pStyle w:val="TableParagraph"/>
                          <w:spacing w:line="240" w:lineRule="auto"/>
                          <w:ind w:left="158" w:right="159"/>
                          <w:rPr>
                            <w:b/>
                            <w:sz w:val="24"/>
                          </w:rPr>
                        </w:pPr>
                        <w:r>
                          <w:rPr>
                            <w:b/>
                            <w:sz w:val="24"/>
                          </w:rPr>
                          <w:t>tolerancia</w:t>
                        </w:r>
                      </w:p>
                    </w:tc>
                  </w:tr>
                  <w:tr>
                    <w:trPr>
                      <w:trHeight w:val="1150" w:hRule="exact"/>
                    </w:trPr>
                    <w:tc>
                      <w:tcPr>
                        <w:tcW w:w="2552" w:type="dxa"/>
                      </w:tcPr>
                      <w:p>
                        <w:pPr>
                          <w:pStyle w:val="TableParagraph"/>
                          <w:spacing w:line="240" w:lineRule="auto" w:before="12"/>
                          <w:ind w:left="499" w:right="501"/>
                          <w:rPr>
                            <w:b/>
                            <w:sz w:val="24"/>
                          </w:rPr>
                        </w:pPr>
                        <w:r>
                          <w:rPr>
                            <w:b/>
                            <w:sz w:val="24"/>
                          </w:rPr>
                          <w:t>Tamaño de la muestra (Unidades de producto)</w:t>
                        </w:r>
                      </w:p>
                    </w:tc>
                    <w:tc>
                      <w:tcPr>
                        <w:tcW w:w="2410" w:type="dxa"/>
                      </w:tcPr>
                      <w:p>
                        <w:pPr>
                          <w:pStyle w:val="TableParagraph"/>
                          <w:spacing w:line="240" w:lineRule="auto" w:before="12"/>
                          <w:ind w:left="482" w:right="482"/>
                          <w:rPr>
                            <w:b/>
                            <w:sz w:val="24"/>
                          </w:rPr>
                        </w:pPr>
                        <w:r>
                          <w:rPr>
                            <w:b/>
                            <w:sz w:val="24"/>
                          </w:rPr>
                          <w:t>Unidades de producto fuera de la tolerancia</w:t>
                        </w:r>
                      </w:p>
                    </w:tc>
                  </w:tr>
                  <w:tr>
                    <w:trPr>
                      <w:trHeight w:val="322" w:hRule="exact"/>
                    </w:trPr>
                    <w:tc>
                      <w:tcPr>
                        <w:tcW w:w="2552" w:type="dxa"/>
                      </w:tcPr>
                      <w:p>
                        <w:pPr>
                          <w:pStyle w:val="TableParagraph"/>
                          <w:spacing w:line="240" w:lineRule="auto" w:before="12"/>
                          <w:rPr>
                            <w:sz w:val="24"/>
                          </w:rPr>
                        </w:pPr>
                        <w:r>
                          <w:rPr>
                            <w:w w:val="99"/>
                            <w:sz w:val="24"/>
                          </w:rPr>
                          <w:t>2</w:t>
                        </w:r>
                      </w:p>
                    </w:tc>
                    <w:tc>
                      <w:tcPr>
                        <w:tcW w:w="2410" w:type="dxa"/>
                      </w:tcPr>
                      <w:p>
                        <w:pPr>
                          <w:pStyle w:val="TableParagraph"/>
                          <w:spacing w:line="240" w:lineRule="auto" w:before="12"/>
                          <w:rPr>
                            <w:sz w:val="24"/>
                          </w:rPr>
                        </w:pPr>
                        <w:r>
                          <w:rPr>
                            <w:w w:val="99"/>
                            <w:sz w:val="24"/>
                          </w:rPr>
                          <w:t>0</w:t>
                        </w:r>
                      </w:p>
                    </w:tc>
                  </w:tr>
                  <w:tr>
                    <w:trPr>
                      <w:trHeight w:val="322" w:hRule="exact"/>
                    </w:trPr>
                    <w:tc>
                      <w:tcPr>
                        <w:tcW w:w="2552" w:type="dxa"/>
                      </w:tcPr>
                      <w:p>
                        <w:pPr>
                          <w:pStyle w:val="TableParagraph"/>
                          <w:spacing w:line="240" w:lineRule="auto" w:before="10"/>
                          <w:rPr>
                            <w:sz w:val="24"/>
                          </w:rPr>
                        </w:pPr>
                        <w:r>
                          <w:rPr>
                            <w:w w:val="99"/>
                            <w:sz w:val="24"/>
                          </w:rPr>
                          <w:t>3</w:t>
                        </w:r>
                      </w:p>
                    </w:tc>
                    <w:tc>
                      <w:tcPr>
                        <w:tcW w:w="2410" w:type="dxa"/>
                      </w:tcPr>
                      <w:p>
                        <w:pPr>
                          <w:pStyle w:val="TableParagraph"/>
                          <w:spacing w:line="240" w:lineRule="auto" w:before="10"/>
                          <w:rPr>
                            <w:sz w:val="24"/>
                          </w:rPr>
                        </w:pPr>
                        <w:r>
                          <w:rPr>
                            <w:w w:val="99"/>
                            <w:sz w:val="24"/>
                          </w:rPr>
                          <w:t>0</w:t>
                        </w:r>
                      </w:p>
                    </w:tc>
                  </w:tr>
                  <w:tr>
                    <w:trPr>
                      <w:trHeight w:val="319" w:hRule="exact"/>
                    </w:trPr>
                    <w:tc>
                      <w:tcPr>
                        <w:tcW w:w="2552" w:type="dxa"/>
                      </w:tcPr>
                      <w:p>
                        <w:pPr>
                          <w:pStyle w:val="TableParagraph"/>
                          <w:spacing w:line="240" w:lineRule="auto" w:before="10"/>
                          <w:rPr>
                            <w:sz w:val="24"/>
                          </w:rPr>
                        </w:pPr>
                        <w:r>
                          <w:rPr>
                            <w:w w:val="99"/>
                            <w:sz w:val="24"/>
                          </w:rPr>
                          <w:t>5</w:t>
                        </w:r>
                      </w:p>
                    </w:tc>
                    <w:tc>
                      <w:tcPr>
                        <w:tcW w:w="2410" w:type="dxa"/>
                      </w:tcPr>
                      <w:p>
                        <w:pPr>
                          <w:pStyle w:val="TableParagraph"/>
                          <w:spacing w:line="240" w:lineRule="auto" w:before="10"/>
                          <w:rPr>
                            <w:sz w:val="24"/>
                          </w:rPr>
                        </w:pPr>
                        <w:r>
                          <w:rPr>
                            <w:w w:val="99"/>
                            <w:sz w:val="24"/>
                          </w:rPr>
                          <w:t>0</w:t>
                        </w:r>
                      </w:p>
                    </w:tc>
                  </w:tr>
                  <w:tr>
                    <w:trPr>
                      <w:trHeight w:val="322" w:hRule="exact"/>
                    </w:trPr>
                    <w:tc>
                      <w:tcPr>
                        <w:tcW w:w="2552" w:type="dxa"/>
                      </w:tcPr>
                      <w:p>
                        <w:pPr>
                          <w:pStyle w:val="TableParagraph"/>
                          <w:spacing w:line="240" w:lineRule="auto" w:before="13"/>
                          <w:rPr>
                            <w:sz w:val="24"/>
                          </w:rPr>
                        </w:pPr>
                        <w:r>
                          <w:rPr>
                            <w:w w:val="99"/>
                            <w:sz w:val="24"/>
                          </w:rPr>
                          <w:t>8</w:t>
                        </w:r>
                      </w:p>
                    </w:tc>
                    <w:tc>
                      <w:tcPr>
                        <w:tcW w:w="2410" w:type="dxa"/>
                      </w:tcPr>
                      <w:p>
                        <w:pPr>
                          <w:pStyle w:val="TableParagraph"/>
                          <w:spacing w:line="240" w:lineRule="auto" w:before="13"/>
                          <w:rPr>
                            <w:sz w:val="24"/>
                          </w:rPr>
                        </w:pPr>
                        <w:r>
                          <w:rPr>
                            <w:w w:val="99"/>
                            <w:sz w:val="24"/>
                          </w:rPr>
                          <w:t>1</w:t>
                        </w:r>
                      </w:p>
                    </w:tc>
                  </w:tr>
                  <w:tr>
                    <w:trPr>
                      <w:trHeight w:val="322" w:hRule="exact"/>
                    </w:trPr>
                    <w:tc>
                      <w:tcPr>
                        <w:tcW w:w="2552" w:type="dxa"/>
                      </w:tcPr>
                      <w:p>
                        <w:pPr>
                          <w:pStyle w:val="TableParagraph"/>
                          <w:spacing w:line="240" w:lineRule="auto" w:before="12"/>
                          <w:ind w:left="499" w:right="496"/>
                          <w:rPr>
                            <w:sz w:val="24"/>
                          </w:rPr>
                        </w:pPr>
                        <w:r>
                          <w:rPr>
                            <w:sz w:val="24"/>
                          </w:rPr>
                          <w:t>13</w:t>
                        </w:r>
                      </w:p>
                    </w:tc>
                    <w:tc>
                      <w:tcPr>
                        <w:tcW w:w="2410" w:type="dxa"/>
                      </w:tcPr>
                      <w:p>
                        <w:pPr>
                          <w:pStyle w:val="TableParagraph"/>
                          <w:spacing w:line="240" w:lineRule="auto" w:before="12"/>
                          <w:rPr>
                            <w:sz w:val="24"/>
                          </w:rPr>
                        </w:pPr>
                        <w:r>
                          <w:rPr>
                            <w:w w:val="99"/>
                            <w:sz w:val="24"/>
                          </w:rPr>
                          <w:t>1</w:t>
                        </w:r>
                      </w:p>
                    </w:tc>
                  </w:tr>
                  <w:tr>
                    <w:trPr>
                      <w:trHeight w:val="322" w:hRule="exact"/>
                    </w:trPr>
                    <w:tc>
                      <w:tcPr>
                        <w:tcW w:w="2552" w:type="dxa"/>
                      </w:tcPr>
                      <w:p>
                        <w:pPr>
                          <w:pStyle w:val="TableParagraph"/>
                          <w:spacing w:line="240" w:lineRule="auto" w:before="10"/>
                          <w:ind w:left="499" w:right="496"/>
                          <w:rPr>
                            <w:sz w:val="24"/>
                          </w:rPr>
                        </w:pPr>
                        <w:r>
                          <w:rPr>
                            <w:sz w:val="24"/>
                          </w:rPr>
                          <w:t>20</w:t>
                        </w:r>
                      </w:p>
                    </w:tc>
                    <w:tc>
                      <w:tcPr>
                        <w:tcW w:w="2410" w:type="dxa"/>
                      </w:tcPr>
                      <w:p>
                        <w:pPr>
                          <w:pStyle w:val="TableParagraph"/>
                          <w:spacing w:line="240" w:lineRule="auto" w:before="10"/>
                          <w:rPr>
                            <w:sz w:val="24"/>
                          </w:rPr>
                        </w:pPr>
                        <w:r>
                          <w:rPr>
                            <w:w w:val="99"/>
                            <w:sz w:val="24"/>
                          </w:rPr>
                          <w:t>2</w:t>
                        </w:r>
                      </w:p>
                    </w:tc>
                  </w:tr>
                  <w:tr>
                    <w:trPr>
                      <w:trHeight w:val="319" w:hRule="exact"/>
                    </w:trPr>
                    <w:tc>
                      <w:tcPr>
                        <w:tcW w:w="2552" w:type="dxa"/>
                      </w:tcPr>
                      <w:p>
                        <w:pPr>
                          <w:pStyle w:val="TableParagraph"/>
                          <w:spacing w:line="240" w:lineRule="auto" w:before="10"/>
                          <w:ind w:left="499" w:right="496"/>
                          <w:rPr>
                            <w:sz w:val="24"/>
                          </w:rPr>
                        </w:pPr>
                        <w:r>
                          <w:rPr>
                            <w:sz w:val="24"/>
                          </w:rPr>
                          <w:t>32</w:t>
                        </w:r>
                      </w:p>
                    </w:tc>
                    <w:tc>
                      <w:tcPr>
                        <w:tcW w:w="2410" w:type="dxa"/>
                      </w:tcPr>
                      <w:p>
                        <w:pPr>
                          <w:pStyle w:val="TableParagraph"/>
                          <w:spacing w:line="240" w:lineRule="auto" w:before="10"/>
                          <w:rPr>
                            <w:sz w:val="24"/>
                          </w:rPr>
                        </w:pPr>
                        <w:r>
                          <w:rPr>
                            <w:w w:val="99"/>
                            <w:sz w:val="24"/>
                          </w:rPr>
                          <w:t>3</w:t>
                        </w:r>
                      </w:p>
                    </w:tc>
                  </w:tr>
                  <w:tr>
                    <w:trPr>
                      <w:trHeight w:val="322" w:hRule="exact"/>
                    </w:trPr>
                    <w:tc>
                      <w:tcPr>
                        <w:tcW w:w="2552" w:type="dxa"/>
                      </w:tcPr>
                      <w:p>
                        <w:pPr>
                          <w:pStyle w:val="TableParagraph"/>
                          <w:spacing w:line="240" w:lineRule="auto" w:before="12"/>
                          <w:ind w:left="499" w:right="496"/>
                          <w:rPr>
                            <w:sz w:val="24"/>
                          </w:rPr>
                        </w:pPr>
                        <w:r>
                          <w:rPr>
                            <w:sz w:val="24"/>
                          </w:rPr>
                          <w:t>50</w:t>
                        </w:r>
                      </w:p>
                    </w:tc>
                    <w:tc>
                      <w:tcPr>
                        <w:tcW w:w="2410" w:type="dxa"/>
                      </w:tcPr>
                      <w:p>
                        <w:pPr>
                          <w:pStyle w:val="TableParagraph"/>
                          <w:spacing w:line="240" w:lineRule="auto" w:before="12"/>
                          <w:rPr>
                            <w:sz w:val="24"/>
                          </w:rPr>
                        </w:pPr>
                        <w:r>
                          <w:rPr>
                            <w:w w:val="99"/>
                            <w:sz w:val="24"/>
                          </w:rPr>
                          <w:t>5</w:t>
                        </w:r>
                      </w:p>
                    </w:tc>
                  </w:tr>
                  <w:tr>
                    <w:trPr>
                      <w:trHeight w:val="322" w:hRule="exact"/>
                    </w:trPr>
                    <w:tc>
                      <w:tcPr>
                        <w:tcW w:w="2552" w:type="dxa"/>
                      </w:tcPr>
                      <w:p>
                        <w:pPr>
                          <w:pStyle w:val="TableParagraph"/>
                          <w:spacing w:line="240" w:lineRule="auto" w:before="12"/>
                          <w:ind w:left="499" w:right="496"/>
                          <w:rPr>
                            <w:sz w:val="24"/>
                          </w:rPr>
                        </w:pPr>
                        <w:r>
                          <w:rPr>
                            <w:sz w:val="24"/>
                          </w:rPr>
                          <w:t>80</w:t>
                        </w:r>
                      </w:p>
                    </w:tc>
                    <w:tc>
                      <w:tcPr>
                        <w:tcW w:w="2410" w:type="dxa"/>
                      </w:tcPr>
                      <w:p>
                        <w:pPr>
                          <w:pStyle w:val="TableParagraph"/>
                          <w:spacing w:line="240" w:lineRule="auto" w:before="12"/>
                          <w:rPr>
                            <w:sz w:val="24"/>
                          </w:rPr>
                        </w:pPr>
                        <w:r>
                          <w:rPr>
                            <w:w w:val="99"/>
                            <w:sz w:val="24"/>
                          </w:rPr>
                          <w:t>7</w:t>
                        </w:r>
                      </w:p>
                    </w:tc>
                  </w:tr>
                  <w:tr>
                    <w:trPr>
                      <w:trHeight w:val="322" w:hRule="exact"/>
                    </w:trPr>
                    <w:tc>
                      <w:tcPr>
                        <w:tcW w:w="2552" w:type="dxa"/>
                      </w:tcPr>
                      <w:p>
                        <w:pPr>
                          <w:pStyle w:val="TableParagraph"/>
                          <w:spacing w:line="240" w:lineRule="auto" w:before="10"/>
                          <w:ind w:left="499" w:right="496"/>
                          <w:rPr>
                            <w:sz w:val="24"/>
                          </w:rPr>
                        </w:pPr>
                        <w:r>
                          <w:rPr>
                            <w:sz w:val="24"/>
                          </w:rPr>
                          <w:t>125</w:t>
                        </w:r>
                      </w:p>
                    </w:tc>
                    <w:tc>
                      <w:tcPr>
                        <w:tcW w:w="2410" w:type="dxa"/>
                      </w:tcPr>
                      <w:p>
                        <w:pPr>
                          <w:pStyle w:val="TableParagraph"/>
                          <w:spacing w:line="240" w:lineRule="auto" w:before="10"/>
                          <w:ind w:left="482" w:right="482"/>
                          <w:rPr>
                            <w:sz w:val="24"/>
                          </w:rPr>
                        </w:pPr>
                        <w:r>
                          <w:rPr>
                            <w:sz w:val="24"/>
                          </w:rPr>
                          <w:t>10</w:t>
                        </w:r>
                      </w:p>
                    </w:tc>
                  </w:tr>
                </w:tbl>
                <w:p>
                  <w:pPr>
                    <w:pStyle w:val="BodyText"/>
                  </w:pPr>
                </w:p>
              </w:txbxContent>
            </v:textbox>
            <w10:wrap type="none"/>
          </v:shape>
        </w:pict>
      </w:r>
      <w:r>
        <w:rPr>
          <w:color w:val="2E2E2E"/>
        </w:rPr>
        <w:t>Proceder como se indica en 7.5.1.2; relacionar la masa del contenido neto con la densidad del producto para obtener el volumen.</w:t>
      </w:r>
    </w:p>
    <w:p>
      <w:pPr>
        <w:pStyle w:val="BodyText"/>
        <w:spacing w:before="10"/>
        <w:rPr>
          <w:sz w:val="20"/>
        </w:rPr>
      </w:pPr>
      <w:r>
        <w:rPr/>
        <w:drawing>
          <wp:anchor distT="0" distB="0" distL="0" distR="0" allowOverlap="1" layoutInCell="1" locked="0" behindDoc="0" simplePos="0" relativeHeight="1336">
            <wp:simplePos x="0" y="0"/>
            <wp:positionH relativeFrom="page">
              <wp:posOffset>1080769</wp:posOffset>
            </wp:positionH>
            <wp:positionV relativeFrom="paragraph">
              <wp:posOffset>177761</wp:posOffset>
            </wp:positionV>
            <wp:extent cx="5615910" cy="2390775"/>
            <wp:effectExtent l="0" t="0" r="0" b="0"/>
            <wp:wrapTopAndBottom/>
            <wp:docPr id="49" name="image25.jpeg" descr=""/>
            <wp:cNvGraphicFramePr>
              <a:graphicFrameLocks noChangeAspect="1"/>
            </wp:cNvGraphicFramePr>
            <a:graphic>
              <a:graphicData uri="http://schemas.openxmlformats.org/drawingml/2006/picture">
                <pic:pic>
                  <pic:nvPicPr>
                    <pic:cNvPr id="50" name="image25.jpeg"/>
                    <pic:cNvPicPr/>
                  </pic:nvPicPr>
                  <pic:blipFill>
                    <a:blip r:embed="rId52" cstate="print"/>
                    <a:stretch>
                      <a:fillRect/>
                    </a:stretch>
                  </pic:blipFill>
                  <pic:spPr>
                    <a:xfrm>
                      <a:off x="0" y="0"/>
                      <a:ext cx="5615910" cy="2390775"/>
                    </a:xfrm>
                    <a:prstGeom prst="rect">
                      <a:avLst/>
                    </a:prstGeom>
                  </pic:spPr>
                </pic:pic>
              </a:graphicData>
            </a:graphic>
          </wp:anchor>
        </w:drawing>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34"/>
        </w:rPr>
      </w:pPr>
    </w:p>
    <w:p>
      <w:pPr>
        <w:pStyle w:val="ListParagraph"/>
        <w:numPr>
          <w:ilvl w:val="1"/>
          <w:numId w:val="24"/>
        </w:numPr>
        <w:tabs>
          <w:tab w:pos="1234" w:val="left" w:leader="none"/>
        </w:tabs>
        <w:spacing w:line="240" w:lineRule="auto" w:before="0" w:after="0"/>
        <w:ind w:left="542" w:right="456" w:firstLine="288"/>
        <w:jc w:val="left"/>
        <w:rPr>
          <w:sz w:val="24"/>
        </w:rPr>
      </w:pPr>
      <w:r>
        <w:rPr>
          <w:color w:val="2E2E2E"/>
          <w:sz w:val="24"/>
        </w:rPr>
        <w:t>Ninguna unidad de producto debe resultar  con  un  contenido  menor  </w:t>
      </w:r>
      <w:r>
        <w:rPr>
          <w:color w:val="2E2E2E"/>
          <w:spacing w:val="-1"/>
          <w:sz w:val="24"/>
        </w:rPr>
        <w:t>que </w:t>
      </w:r>
      <w:r>
        <w:rPr>
          <w:color w:val="2E2E2E"/>
          <w:spacing w:val="1"/>
          <w:sz w:val="24"/>
        </w:rPr>
        <w:drawing>
          <wp:inline distT="0" distB="0" distL="0" distR="0">
            <wp:extent cx="561975" cy="200025"/>
            <wp:effectExtent l="0" t="0" r="0" b="0"/>
            <wp:docPr id="51" name="image26.png" descr=""/>
            <wp:cNvGraphicFramePr>
              <a:graphicFrameLocks noChangeAspect="1"/>
            </wp:cNvGraphicFramePr>
            <a:graphic>
              <a:graphicData uri="http://schemas.openxmlformats.org/drawingml/2006/picture">
                <pic:pic>
                  <pic:nvPicPr>
                    <pic:cNvPr id="52" name="image26.png"/>
                    <pic:cNvPicPr/>
                  </pic:nvPicPr>
                  <pic:blipFill>
                    <a:blip r:embed="rId53" cstate="print"/>
                    <a:stretch>
                      <a:fillRect/>
                    </a:stretch>
                  </pic:blipFill>
                  <pic:spPr>
                    <a:xfrm>
                      <a:off x="0" y="0"/>
                      <a:ext cx="561975" cy="200025"/>
                    </a:xfrm>
                    <a:prstGeom prst="rect">
                      <a:avLst/>
                    </a:prstGeom>
                  </pic:spPr>
                </pic:pic>
              </a:graphicData>
            </a:graphic>
          </wp:inline>
        </w:drawing>
      </w:r>
      <w:r>
        <w:rPr>
          <w:color w:val="2E2E2E"/>
          <w:spacing w:val="1"/>
          <w:sz w:val="24"/>
        </w:rPr>
      </w:r>
    </w:p>
    <w:p>
      <w:pPr>
        <w:pStyle w:val="ListParagraph"/>
        <w:numPr>
          <w:ilvl w:val="1"/>
          <w:numId w:val="24"/>
        </w:numPr>
        <w:tabs>
          <w:tab w:pos="1234" w:val="left" w:leader="none"/>
        </w:tabs>
        <w:spacing w:line="240" w:lineRule="auto" w:before="0" w:after="0"/>
        <w:ind w:left="542" w:right="460" w:firstLine="288"/>
        <w:jc w:val="left"/>
        <w:rPr>
          <w:sz w:val="24"/>
        </w:rPr>
      </w:pPr>
      <w:r>
        <w:rPr>
          <w:color w:val="2E2E2E"/>
          <w:sz w:val="24"/>
        </w:rPr>
        <w:t>Cuando el promedio de la suma algebraica de los contenidos netos no cumpla</w:t>
      </w:r>
      <w:r>
        <w:rPr>
          <w:color w:val="2E2E2E"/>
          <w:spacing w:val="48"/>
          <w:sz w:val="24"/>
        </w:rPr>
        <w:t> </w:t>
      </w:r>
      <w:r>
        <w:rPr>
          <w:color w:val="2E2E2E"/>
          <w:sz w:val="24"/>
        </w:rPr>
        <w:t>con</w:t>
      </w:r>
      <w:r>
        <w:rPr>
          <w:color w:val="2E2E2E"/>
          <w:spacing w:val="48"/>
          <w:sz w:val="24"/>
        </w:rPr>
        <w:t> </w:t>
      </w:r>
      <w:r>
        <w:rPr>
          <w:color w:val="2E2E2E"/>
          <w:sz w:val="24"/>
        </w:rPr>
        <w:t>el</w:t>
      </w:r>
      <w:r>
        <w:rPr>
          <w:color w:val="2E2E2E"/>
          <w:spacing w:val="47"/>
          <w:sz w:val="24"/>
        </w:rPr>
        <w:t> </w:t>
      </w:r>
      <w:r>
        <w:rPr>
          <w:color w:val="2E2E2E"/>
          <w:sz w:val="24"/>
        </w:rPr>
        <w:t>criterio establecido</w:t>
      </w:r>
      <w:r>
        <w:rPr>
          <w:color w:val="2E2E2E"/>
          <w:spacing w:val="48"/>
          <w:sz w:val="24"/>
        </w:rPr>
        <w:t> </w:t>
      </w:r>
      <w:r>
        <w:rPr>
          <w:color w:val="2E2E2E"/>
          <w:sz w:val="24"/>
        </w:rPr>
        <w:t>en</w:t>
      </w:r>
      <w:r>
        <w:rPr>
          <w:color w:val="2E2E2E"/>
          <w:spacing w:val="48"/>
          <w:sz w:val="24"/>
        </w:rPr>
        <w:t> </w:t>
      </w:r>
      <w:r>
        <w:rPr>
          <w:color w:val="2E2E2E"/>
          <w:sz w:val="24"/>
        </w:rPr>
        <w:t>8.1,</w:t>
      </w:r>
      <w:r>
        <w:rPr>
          <w:color w:val="2E2E2E"/>
          <w:spacing w:val="48"/>
          <w:sz w:val="24"/>
        </w:rPr>
        <w:t> </w:t>
      </w:r>
      <w:r>
        <w:rPr>
          <w:color w:val="2E2E2E"/>
          <w:sz w:val="24"/>
        </w:rPr>
        <w:t>se</w:t>
      </w:r>
      <w:r>
        <w:rPr>
          <w:color w:val="2E2E2E"/>
          <w:spacing w:val="52"/>
          <w:sz w:val="24"/>
        </w:rPr>
        <w:t> </w:t>
      </w:r>
      <w:r>
        <w:rPr>
          <w:color w:val="2E2E2E"/>
          <w:sz w:val="24"/>
        </w:rPr>
        <w:t>procede</w:t>
      </w:r>
      <w:r>
        <w:rPr>
          <w:color w:val="2E2E2E"/>
          <w:spacing w:val="48"/>
          <w:sz w:val="24"/>
        </w:rPr>
        <w:t> </w:t>
      </w:r>
      <w:r>
        <w:rPr>
          <w:color w:val="2E2E2E"/>
          <w:sz w:val="24"/>
        </w:rPr>
        <w:t>a</w:t>
      </w:r>
      <w:r>
        <w:rPr>
          <w:color w:val="2E2E2E"/>
          <w:spacing w:val="48"/>
          <w:sz w:val="24"/>
        </w:rPr>
        <w:t> </w:t>
      </w:r>
      <w:r>
        <w:rPr>
          <w:color w:val="2E2E2E"/>
          <w:sz w:val="24"/>
        </w:rPr>
        <w:t>realizar</w:t>
      </w:r>
      <w:r>
        <w:rPr>
          <w:color w:val="2E2E2E"/>
          <w:spacing w:val="47"/>
          <w:sz w:val="24"/>
        </w:rPr>
        <w:t> </w:t>
      </w:r>
      <w:r>
        <w:rPr>
          <w:color w:val="2E2E2E"/>
          <w:sz w:val="24"/>
        </w:rPr>
        <w:t>la</w:t>
      </w:r>
      <w:r>
        <w:rPr>
          <w:color w:val="2E2E2E"/>
          <w:spacing w:val="48"/>
          <w:sz w:val="24"/>
        </w:rPr>
        <w:t> </w:t>
      </w:r>
      <w:r>
        <w:rPr>
          <w:color w:val="2E2E2E"/>
          <w:sz w:val="24"/>
        </w:rPr>
        <w:t>siguiente</w:t>
      </w:r>
    </w:p>
    <w:p>
      <w:pPr>
        <w:spacing w:after="0" w:line="240" w:lineRule="auto"/>
        <w:jc w:val="left"/>
        <w:rPr>
          <w:sz w:val="24"/>
        </w:rPr>
        <w:sectPr>
          <w:pgSz w:w="11910" w:h="16840"/>
          <w:pgMar w:header="0" w:footer="1043" w:top="1340" w:bottom="1240" w:left="1160" w:right="1240"/>
        </w:sectPr>
      </w:pPr>
    </w:p>
    <w:p>
      <w:pPr>
        <w:pStyle w:val="BodyText"/>
        <w:spacing w:before="53"/>
        <w:ind w:left="102" w:right="124"/>
      </w:pPr>
      <w:r>
        <w:rPr>
          <w:color w:val="2E2E2E"/>
        </w:rPr>
        <w:t>prueba, aceptando el lote por dicho criterio, si se satisface la siguiente condición:</w:t>
      </w:r>
    </w:p>
    <w:p>
      <w:pPr>
        <w:spacing w:line="274" w:lineRule="exact" w:before="0"/>
        <w:ind w:left="390" w:right="0" w:firstLine="0"/>
        <w:jc w:val="left"/>
        <w:rPr>
          <w:i/>
          <w:sz w:val="24"/>
        </w:rPr>
      </w:pPr>
      <w:r>
        <w:rPr>
          <w:i/>
          <w:color w:val="2E2E2E"/>
          <w:sz w:val="24"/>
        </w:rPr>
        <w:t>tc t</w:t>
      </w:r>
    </w:p>
    <w:p>
      <w:pPr>
        <w:pStyle w:val="BodyText"/>
        <w:spacing w:before="2" w:after="4"/>
        <w:ind w:left="390"/>
      </w:pPr>
      <w:r>
        <w:rPr>
          <w:color w:val="2E2E2E"/>
        </w:rPr>
        <w:t>Donde:</w:t>
      </w:r>
    </w:p>
    <w:p>
      <w:pPr>
        <w:pStyle w:val="BodyText"/>
        <w:ind w:left="390"/>
        <w:rPr>
          <w:sz w:val="20"/>
        </w:rPr>
      </w:pPr>
      <w:r>
        <w:rPr>
          <w:sz w:val="20"/>
        </w:rPr>
        <w:drawing>
          <wp:inline distT="0" distB="0" distL="0" distR="0">
            <wp:extent cx="750357" cy="561975"/>
            <wp:effectExtent l="0" t="0" r="0" b="0"/>
            <wp:docPr id="53" name="image27.png" descr=""/>
            <wp:cNvGraphicFramePr>
              <a:graphicFrameLocks noChangeAspect="1"/>
            </wp:cNvGraphicFramePr>
            <a:graphic>
              <a:graphicData uri="http://schemas.openxmlformats.org/drawingml/2006/picture">
                <pic:pic>
                  <pic:nvPicPr>
                    <pic:cNvPr id="54" name="image27.png"/>
                    <pic:cNvPicPr/>
                  </pic:nvPicPr>
                  <pic:blipFill>
                    <a:blip r:embed="rId54" cstate="print"/>
                    <a:stretch>
                      <a:fillRect/>
                    </a:stretch>
                  </pic:blipFill>
                  <pic:spPr>
                    <a:xfrm>
                      <a:off x="0" y="0"/>
                      <a:ext cx="750357" cy="561975"/>
                    </a:xfrm>
                    <a:prstGeom prst="rect">
                      <a:avLst/>
                    </a:prstGeom>
                  </pic:spPr>
                </pic:pic>
              </a:graphicData>
            </a:graphic>
          </wp:inline>
        </w:drawing>
      </w:r>
      <w:r>
        <w:rPr>
          <w:sz w:val="20"/>
        </w:rPr>
      </w:r>
    </w:p>
    <w:p>
      <w:pPr>
        <w:pStyle w:val="BodyText"/>
        <w:spacing w:after="4"/>
        <w:ind w:left="390"/>
      </w:pPr>
      <w:r>
        <w:rPr>
          <w:color w:val="2E2E2E"/>
        </w:rPr>
        <w:t>Y el valor de t se obtiene de la Tabla 4</w:t>
      </w:r>
    </w:p>
    <w:tbl>
      <w:tblPr>
        <w:tblW w:w="0" w:type="auto"/>
        <w:jc w:val="left"/>
        <w:tblInd w:w="28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416"/>
        <w:gridCol w:w="1560"/>
      </w:tblGrid>
      <w:tr>
        <w:trPr>
          <w:trHeight w:val="444" w:hRule="exact"/>
        </w:trPr>
        <w:tc>
          <w:tcPr>
            <w:tcW w:w="2976" w:type="dxa"/>
            <w:gridSpan w:val="2"/>
            <w:tcBorders>
              <w:bottom w:val="single" w:sz="12" w:space="0" w:color="000000"/>
            </w:tcBorders>
          </w:tcPr>
          <w:p>
            <w:pPr>
              <w:pStyle w:val="TableParagraph"/>
              <w:spacing w:line="240" w:lineRule="auto" w:before="15"/>
              <w:ind w:left="239"/>
              <w:jc w:val="left"/>
              <w:rPr>
                <w:b/>
                <w:sz w:val="24"/>
              </w:rPr>
            </w:pPr>
            <w:r>
              <w:rPr>
                <w:b/>
                <w:sz w:val="24"/>
              </w:rPr>
              <w:t>Tabla 4 Valores de "t"</w:t>
            </w:r>
          </w:p>
        </w:tc>
      </w:tr>
      <w:tr>
        <w:trPr>
          <w:trHeight w:val="824" w:hRule="exact"/>
        </w:trPr>
        <w:tc>
          <w:tcPr>
            <w:tcW w:w="1416" w:type="dxa"/>
            <w:tcBorders>
              <w:top w:val="single" w:sz="12" w:space="0" w:color="000000"/>
            </w:tcBorders>
          </w:tcPr>
          <w:p>
            <w:pPr>
              <w:pStyle w:val="TableParagraph"/>
              <w:spacing w:line="240" w:lineRule="auto" w:before="17"/>
              <w:rPr>
                <w:b/>
                <w:sz w:val="24"/>
              </w:rPr>
            </w:pPr>
            <w:r>
              <w:rPr>
                <w:b/>
                <w:sz w:val="24"/>
              </w:rPr>
              <w:t>n</w:t>
            </w:r>
          </w:p>
        </w:tc>
        <w:tc>
          <w:tcPr>
            <w:tcW w:w="1560" w:type="dxa"/>
            <w:tcBorders>
              <w:top w:val="single" w:sz="12" w:space="0" w:color="000000"/>
            </w:tcBorders>
          </w:tcPr>
          <w:p>
            <w:pPr>
              <w:pStyle w:val="TableParagraph"/>
              <w:spacing w:line="240" w:lineRule="auto" w:before="17"/>
              <w:ind w:left="218" w:right="200" w:firstLine="514"/>
              <w:jc w:val="left"/>
              <w:rPr>
                <w:b/>
                <w:sz w:val="24"/>
              </w:rPr>
            </w:pPr>
            <w:r>
              <w:rPr>
                <w:b/>
                <w:sz w:val="24"/>
              </w:rPr>
              <w:t>t 0.995; n-1</w:t>
            </w:r>
          </w:p>
        </w:tc>
      </w:tr>
      <w:tr>
        <w:trPr>
          <w:trHeight w:val="427" w:hRule="exact"/>
        </w:trPr>
        <w:tc>
          <w:tcPr>
            <w:tcW w:w="1416" w:type="dxa"/>
          </w:tcPr>
          <w:p>
            <w:pPr>
              <w:pStyle w:val="TableParagraph"/>
              <w:spacing w:line="240" w:lineRule="auto" w:before="10"/>
              <w:rPr>
                <w:sz w:val="24"/>
              </w:rPr>
            </w:pPr>
            <w:r>
              <w:rPr>
                <w:w w:val="99"/>
                <w:sz w:val="24"/>
              </w:rPr>
              <w:t>2</w:t>
            </w:r>
          </w:p>
        </w:tc>
        <w:tc>
          <w:tcPr>
            <w:tcW w:w="1560" w:type="dxa"/>
          </w:tcPr>
          <w:p>
            <w:pPr>
              <w:pStyle w:val="TableParagraph"/>
              <w:spacing w:line="240" w:lineRule="auto" w:before="10"/>
              <w:ind w:left="537" w:right="200"/>
              <w:jc w:val="left"/>
              <w:rPr>
                <w:sz w:val="24"/>
              </w:rPr>
            </w:pPr>
            <w:r>
              <w:rPr>
                <w:sz w:val="24"/>
              </w:rPr>
              <w:t>9,92</w:t>
            </w:r>
          </w:p>
        </w:tc>
      </w:tr>
      <w:tr>
        <w:trPr>
          <w:trHeight w:val="427" w:hRule="exact"/>
        </w:trPr>
        <w:tc>
          <w:tcPr>
            <w:tcW w:w="1416" w:type="dxa"/>
          </w:tcPr>
          <w:p>
            <w:pPr>
              <w:pStyle w:val="TableParagraph"/>
              <w:spacing w:line="240" w:lineRule="auto" w:before="10"/>
              <w:rPr>
                <w:sz w:val="24"/>
              </w:rPr>
            </w:pPr>
            <w:r>
              <w:rPr>
                <w:w w:val="99"/>
                <w:sz w:val="24"/>
              </w:rPr>
              <w:t>3</w:t>
            </w:r>
          </w:p>
        </w:tc>
        <w:tc>
          <w:tcPr>
            <w:tcW w:w="1560" w:type="dxa"/>
          </w:tcPr>
          <w:p>
            <w:pPr>
              <w:pStyle w:val="TableParagraph"/>
              <w:spacing w:line="240" w:lineRule="auto" w:before="10"/>
              <w:ind w:left="537" w:right="200"/>
              <w:jc w:val="left"/>
              <w:rPr>
                <w:sz w:val="24"/>
              </w:rPr>
            </w:pPr>
            <w:r>
              <w:rPr>
                <w:sz w:val="24"/>
              </w:rPr>
              <w:t>5,84</w:t>
            </w:r>
          </w:p>
        </w:tc>
      </w:tr>
      <w:tr>
        <w:trPr>
          <w:trHeight w:val="427" w:hRule="exact"/>
        </w:trPr>
        <w:tc>
          <w:tcPr>
            <w:tcW w:w="1416" w:type="dxa"/>
          </w:tcPr>
          <w:p>
            <w:pPr>
              <w:pStyle w:val="TableParagraph"/>
              <w:spacing w:line="240" w:lineRule="auto" w:before="10"/>
              <w:rPr>
                <w:sz w:val="24"/>
              </w:rPr>
            </w:pPr>
            <w:r>
              <w:rPr>
                <w:w w:val="99"/>
                <w:sz w:val="24"/>
              </w:rPr>
              <w:t>5</w:t>
            </w:r>
          </w:p>
        </w:tc>
        <w:tc>
          <w:tcPr>
            <w:tcW w:w="1560" w:type="dxa"/>
          </w:tcPr>
          <w:p>
            <w:pPr>
              <w:pStyle w:val="TableParagraph"/>
              <w:spacing w:line="240" w:lineRule="auto" w:before="10"/>
              <w:ind w:left="537" w:right="200"/>
              <w:jc w:val="left"/>
              <w:rPr>
                <w:sz w:val="24"/>
              </w:rPr>
            </w:pPr>
            <w:r>
              <w:rPr>
                <w:sz w:val="24"/>
              </w:rPr>
              <w:t>4,03</w:t>
            </w:r>
          </w:p>
        </w:tc>
      </w:tr>
      <w:tr>
        <w:trPr>
          <w:trHeight w:val="427" w:hRule="exact"/>
        </w:trPr>
        <w:tc>
          <w:tcPr>
            <w:tcW w:w="1416" w:type="dxa"/>
          </w:tcPr>
          <w:p>
            <w:pPr>
              <w:pStyle w:val="TableParagraph"/>
              <w:spacing w:line="240" w:lineRule="auto" w:before="10"/>
              <w:rPr>
                <w:sz w:val="24"/>
              </w:rPr>
            </w:pPr>
            <w:r>
              <w:rPr>
                <w:w w:val="99"/>
                <w:sz w:val="24"/>
              </w:rPr>
              <w:t>8</w:t>
            </w:r>
          </w:p>
        </w:tc>
        <w:tc>
          <w:tcPr>
            <w:tcW w:w="1560" w:type="dxa"/>
          </w:tcPr>
          <w:p>
            <w:pPr>
              <w:pStyle w:val="TableParagraph"/>
              <w:spacing w:line="240" w:lineRule="auto" w:before="10"/>
              <w:ind w:left="537" w:right="200"/>
              <w:jc w:val="left"/>
              <w:rPr>
                <w:sz w:val="24"/>
              </w:rPr>
            </w:pPr>
            <w:r>
              <w:rPr>
                <w:sz w:val="24"/>
              </w:rPr>
              <w:t>3,35</w:t>
            </w:r>
          </w:p>
        </w:tc>
      </w:tr>
      <w:tr>
        <w:trPr>
          <w:trHeight w:val="425" w:hRule="exact"/>
        </w:trPr>
        <w:tc>
          <w:tcPr>
            <w:tcW w:w="1416" w:type="dxa"/>
          </w:tcPr>
          <w:p>
            <w:pPr>
              <w:pStyle w:val="TableParagraph"/>
              <w:spacing w:line="240" w:lineRule="auto" w:before="10"/>
              <w:ind w:left="480" w:right="480"/>
              <w:rPr>
                <w:sz w:val="24"/>
              </w:rPr>
            </w:pPr>
            <w:r>
              <w:rPr>
                <w:sz w:val="24"/>
              </w:rPr>
              <w:t>13</w:t>
            </w:r>
          </w:p>
        </w:tc>
        <w:tc>
          <w:tcPr>
            <w:tcW w:w="1560" w:type="dxa"/>
          </w:tcPr>
          <w:p>
            <w:pPr>
              <w:pStyle w:val="TableParagraph"/>
              <w:spacing w:line="240" w:lineRule="auto" w:before="10"/>
              <w:ind w:left="537" w:right="200"/>
              <w:jc w:val="left"/>
              <w:rPr>
                <w:sz w:val="24"/>
              </w:rPr>
            </w:pPr>
            <w:r>
              <w:rPr>
                <w:sz w:val="24"/>
              </w:rPr>
              <w:t>3,01</w:t>
            </w:r>
          </w:p>
        </w:tc>
      </w:tr>
      <w:tr>
        <w:trPr>
          <w:trHeight w:val="427" w:hRule="exact"/>
        </w:trPr>
        <w:tc>
          <w:tcPr>
            <w:tcW w:w="1416" w:type="dxa"/>
          </w:tcPr>
          <w:p>
            <w:pPr>
              <w:pStyle w:val="TableParagraph"/>
              <w:spacing w:line="240" w:lineRule="auto" w:before="12"/>
              <w:ind w:left="480" w:right="480"/>
              <w:rPr>
                <w:sz w:val="24"/>
              </w:rPr>
            </w:pPr>
            <w:r>
              <w:rPr>
                <w:sz w:val="24"/>
              </w:rPr>
              <w:t>20</w:t>
            </w:r>
          </w:p>
        </w:tc>
        <w:tc>
          <w:tcPr>
            <w:tcW w:w="1560" w:type="dxa"/>
          </w:tcPr>
          <w:p>
            <w:pPr>
              <w:pStyle w:val="TableParagraph"/>
              <w:spacing w:line="240" w:lineRule="auto" w:before="12"/>
              <w:ind w:left="537" w:right="200"/>
              <w:jc w:val="left"/>
              <w:rPr>
                <w:sz w:val="24"/>
              </w:rPr>
            </w:pPr>
            <w:r>
              <w:rPr>
                <w:sz w:val="24"/>
              </w:rPr>
              <w:t>2,84</w:t>
            </w:r>
          </w:p>
        </w:tc>
      </w:tr>
      <w:tr>
        <w:trPr>
          <w:trHeight w:val="427" w:hRule="exact"/>
        </w:trPr>
        <w:tc>
          <w:tcPr>
            <w:tcW w:w="1416" w:type="dxa"/>
          </w:tcPr>
          <w:p>
            <w:pPr>
              <w:pStyle w:val="TableParagraph"/>
              <w:spacing w:line="240" w:lineRule="auto" w:before="12"/>
              <w:ind w:left="480" w:right="480"/>
              <w:rPr>
                <w:sz w:val="24"/>
              </w:rPr>
            </w:pPr>
            <w:r>
              <w:rPr>
                <w:sz w:val="24"/>
              </w:rPr>
              <w:t>32</w:t>
            </w:r>
          </w:p>
        </w:tc>
        <w:tc>
          <w:tcPr>
            <w:tcW w:w="1560" w:type="dxa"/>
          </w:tcPr>
          <w:p>
            <w:pPr>
              <w:pStyle w:val="TableParagraph"/>
              <w:spacing w:line="240" w:lineRule="auto" w:before="12"/>
              <w:ind w:left="537" w:right="200"/>
              <w:jc w:val="left"/>
              <w:rPr>
                <w:sz w:val="24"/>
              </w:rPr>
            </w:pPr>
            <w:r>
              <w:rPr>
                <w:sz w:val="24"/>
              </w:rPr>
              <w:t>2,73</w:t>
            </w:r>
          </w:p>
        </w:tc>
      </w:tr>
      <w:tr>
        <w:trPr>
          <w:trHeight w:val="428" w:hRule="exact"/>
        </w:trPr>
        <w:tc>
          <w:tcPr>
            <w:tcW w:w="1416" w:type="dxa"/>
          </w:tcPr>
          <w:p>
            <w:pPr>
              <w:pStyle w:val="TableParagraph"/>
              <w:spacing w:line="240" w:lineRule="auto" w:before="13"/>
              <w:ind w:left="480" w:right="480"/>
              <w:rPr>
                <w:sz w:val="24"/>
              </w:rPr>
            </w:pPr>
            <w:r>
              <w:rPr>
                <w:sz w:val="24"/>
              </w:rPr>
              <w:t>50</w:t>
            </w:r>
          </w:p>
        </w:tc>
        <w:tc>
          <w:tcPr>
            <w:tcW w:w="1560" w:type="dxa"/>
          </w:tcPr>
          <w:p>
            <w:pPr>
              <w:pStyle w:val="TableParagraph"/>
              <w:spacing w:line="240" w:lineRule="auto" w:before="13"/>
              <w:ind w:left="537" w:right="200"/>
              <w:jc w:val="left"/>
              <w:rPr>
                <w:sz w:val="24"/>
              </w:rPr>
            </w:pPr>
            <w:r>
              <w:rPr>
                <w:sz w:val="24"/>
              </w:rPr>
              <w:t>2,67</w:t>
            </w:r>
          </w:p>
        </w:tc>
      </w:tr>
      <w:tr>
        <w:trPr>
          <w:trHeight w:val="427" w:hRule="exact"/>
        </w:trPr>
        <w:tc>
          <w:tcPr>
            <w:tcW w:w="1416" w:type="dxa"/>
          </w:tcPr>
          <w:p>
            <w:pPr>
              <w:pStyle w:val="TableParagraph"/>
              <w:spacing w:line="240" w:lineRule="auto" w:before="12"/>
              <w:ind w:left="480" w:right="480"/>
              <w:rPr>
                <w:sz w:val="24"/>
              </w:rPr>
            </w:pPr>
            <w:r>
              <w:rPr>
                <w:sz w:val="24"/>
              </w:rPr>
              <w:t>80</w:t>
            </w:r>
          </w:p>
        </w:tc>
        <w:tc>
          <w:tcPr>
            <w:tcW w:w="1560" w:type="dxa"/>
          </w:tcPr>
          <w:p>
            <w:pPr>
              <w:pStyle w:val="TableParagraph"/>
              <w:spacing w:line="240" w:lineRule="auto" w:before="12"/>
              <w:ind w:left="537" w:right="200"/>
              <w:jc w:val="left"/>
              <w:rPr>
                <w:sz w:val="24"/>
              </w:rPr>
            </w:pPr>
            <w:r>
              <w:rPr>
                <w:sz w:val="24"/>
              </w:rPr>
              <w:t>2,64</w:t>
            </w:r>
          </w:p>
        </w:tc>
      </w:tr>
      <w:tr>
        <w:trPr>
          <w:trHeight w:val="444" w:hRule="exact"/>
        </w:trPr>
        <w:tc>
          <w:tcPr>
            <w:tcW w:w="1416" w:type="dxa"/>
          </w:tcPr>
          <w:p>
            <w:pPr>
              <w:pStyle w:val="TableParagraph"/>
              <w:spacing w:line="240" w:lineRule="auto" w:before="12"/>
              <w:ind w:left="480" w:right="480"/>
              <w:rPr>
                <w:sz w:val="24"/>
              </w:rPr>
            </w:pPr>
            <w:r>
              <w:rPr>
                <w:sz w:val="24"/>
              </w:rPr>
              <w:t>125</w:t>
            </w:r>
          </w:p>
        </w:tc>
        <w:tc>
          <w:tcPr>
            <w:tcW w:w="1560" w:type="dxa"/>
          </w:tcPr>
          <w:p>
            <w:pPr>
              <w:pStyle w:val="TableParagraph"/>
              <w:spacing w:line="240" w:lineRule="auto" w:before="12"/>
              <w:ind w:left="537" w:right="200"/>
              <w:jc w:val="left"/>
              <w:rPr>
                <w:sz w:val="24"/>
              </w:rPr>
            </w:pPr>
            <w:r>
              <w:rPr>
                <w:sz w:val="24"/>
              </w:rPr>
              <w:t>2,61</w:t>
            </w:r>
          </w:p>
        </w:tc>
      </w:tr>
    </w:tbl>
    <w:p>
      <w:pPr>
        <w:pStyle w:val="BodyText"/>
        <w:spacing w:before="6"/>
        <w:rPr>
          <w:sz w:val="17"/>
        </w:rPr>
      </w:pPr>
    </w:p>
    <w:p>
      <w:pPr>
        <w:pStyle w:val="ListParagraph"/>
        <w:numPr>
          <w:ilvl w:val="2"/>
          <w:numId w:val="25"/>
        </w:numPr>
        <w:tabs>
          <w:tab w:pos="993" w:val="left" w:leader="none"/>
        </w:tabs>
        <w:spacing w:line="240" w:lineRule="auto" w:before="70" w:after="0"/>
        <w:ind w:left="102" w:right="0" w:firstLine="288"/>
        <w:jc w:val="left"/>
        <w:rPr>
          <w:sz w:val="24"/>
        </w:rPr>
      </w:pPr>
      <w:r>
        <w:rPr>
          <w:color w:val="2E2E2E"/>
          <w:sz w:val="24"/>
        </w:rPr>
        <w:t>Si el valor de tc &gt; t, el lote no cumple con el criterio</w:t>
      </w:r>
      <w:r>
        <w:rPr>
          <w:color w:val="2E2E2E"/>
          <w:spacing w:val="-19"/>
          <w:sz w:val="24"/>
        </w:rPr>
        <w:t> </w:t>
      </w:r>
      <w:r>
        <w:rPr>
          <w:color w:val="2E2E2E"/>
          <w:sz w:val="24"/>
        </w:rPr>
        <w:t>8.1.</w:t>
      </w:r>
    </w:p>
    <w:p>
      <w:pPr>
        <w:pStyle w:val="ListParagraph"/>
        <w:numPr>
          <w:ilvl w:val="2"/>
          <w:numId w:val="25"/>
        </w:numPr>
        <w:tabs>
          <w:tab w:pos="993" w:val="left" w:leader="none"/>
        </w:tabs>
        <w:spacing w:line="240" w:lineRule="auto" w:before="0" w:after="0"/>
        <w:ind w:left="102" w:right="123" w:firstLine="288"/>
        <w:jc w:val="left"/>
        <w:rPr>
          <w:sz w:val="24"/>
        </w:rPr>
      </w:pPr>
      <w:r>
        <w:rPr>
          <w:color w:val="2E2E2E"/>
          <w:sz w:val="24"/>
        </w:rPr>
        <w:t>Si el valor de tc t el lote cumple con el criterio 8.1 y debe además cumplir los requisitos establecidos en los incisos 8.2 y</w:t>
      </w:r>
      <w:r>
        <w:rPr>
          <w:color w:val="2E2E2E"/>
          <w:spacing w:val="-12"/>
          <w:sz w:val="24"/>
        </w:rPr>
        <w:t> </w:t>
      </w:r>
      <w:r>
        <w:rPr>
          <w:color w:val="2E2E2E"/>
          <w:sz w:val="24"/>
        </w:rPr>
        <w:t>8.3.</w:t>
      </w:r>
    </w:p>
    <w:p>
      <w:pPr>
        <w:pStyle w:val="BodyText"/>
        <w:spacing w:line="274" w:lineRule="exact" w:before="6"/>
        <w:ind w:left="102" w:firstLine="288"/>
      </w:pPr>
      <w:r>
        <w:rPr>
          <w:b/>
          <w:color w:val="2E2E2E"/>
        </w:rPr>
        <w:t>8.5 </w:t>
      </w:r>
      <w:r>
        <w:rPr>
          <w:color w:val="2E2E2E"/>
        </w:rPr>
        <w:t>Del análisis de los resultados, se puede deducir si un lote cumple con los tres criterios, con algunos de ellos o con ninguno.</w:t>
      </w:r>
    </w:p>
    <w:p>
      <w:pPr>
        <w:pStyle w:val="BodyText"/>
        <w:spacing w:before="7"/>
        <w:rPr>
          <w:sz w:val="23"/>
        </w:rPr>
      </w:pPr>
    </w:p>
    <w:p>
      <w:pPr>
        <w:pStyle w:val="Heading2"/>
        <w:numPr>
          <w:ilvl w:val="0"/>
          <w:numId w:val="26"/>
        </w:numPr>
        <w:tabs>
          <w:tab w:pos="659" w:val="left" w:leader="none"/>
        </w:tabs>
        <w:spacing w:line="240" w:lineRule="auto" w:before="0" w:after="0"/>
        <w:ind w:left="658" w:right="0" w:hanging="268"/>
        <w:jc w:val="left"/>
      </w:pPr>
      <w:r>
        <w:rPr>
          <w:color w:val="2E2E2E"/>
        </w:rPr>
        <w:t>Verificación y</w:t>
      </w:r>
      <w:r>
        <w:rPr>
          <w:color w:val="2E2E2E"/>
          <w:spacing w:val="-10"/>
        </w:rPr>
        <w:t> </w:t>
      </w:r>
      <w:r>
        <w:rPr>
          <w:color w:val="2E2E2E"/>
        </w:rPr>
        <w:t>vigilancia</w:t>
      </w:r>
    </w:p>
    <w:p>
      <w:pPr>
        <w:pStyle w:val="BodyText"/>
        <w:ind w:left="102" w:right="117" w:firstLine="288"/>
        <w:jc w:val="both"/>
      </w:pPr>
      <w:r>
        <w:rPr>
          <w:color w:val="2E2E2E"/>
        </w:rPr>
        <w:t>La verificación y vigilancia de la presente Norma Oficial Mexicana estará a cargo de la Secretaría de Economía, por conducto de la Dirección General de Normas, y de la Procuraduría Federal del Consumidor, conforme a sus respectivas atribuciones.</w:t>
      </w:r>
    </w:p>
    <w:p>
      <w:pPr>
        <w:pStyle w:val="BodyText"/>
      </w:pPr>
    </w:p>
    <w:p>
      <w:pPr>
        <w:pStyle w:val="Heading2"/>
        <w:numPr>
          <w:ilvl w:val="0"/>
          <w:numId w:val="26"/>
        </w:numPr>
        <w:tabs>
          <w:tab w:pos="794" w:val="left" w:leader="none"/>
        </w:tabs>
        <w:spacing w:line="240" w:lineRule="auto" w:before="0" w:after="0"/>
        <w:ind w:left="793" w:right="0" w:hanging="403"/>
        <w:jc w:val="left"/>
      </w:pPr>
      <w:r>
        <w:rPr>
          <w:color w:val="2E2E2E"/>
        </w:rPr>
        <w:t>Bibliografía</w:t>
      </w:r>
    </w:p>
    <w:p>
      <w:pPr>
        <w:pStyle w:val="BodyText"/>
        <w:ind w:left="102" w:firstLine="288"/>
      </w:pPr>
      <w:r>
        <w:rPr>
          <w:color w:val="2E2E2E"/>
        </w:rPr>
        <w:t>International Recommendation OIML R-87-2004 Quantity of product in prepackages.</w:t>
      </w:r>
    </w:p>
    <w:p>
      <w:pPr>
        <w:pStyle w:val="BodyText"/>
        <w:ind w:left="102" w:firstLine="288"/>
      </w:pPr>
      <w:r>
        <w:rPr>
          <w:color w:val="2E2E2E"/>
        </w:rPr>
        <w:t>National Institute of Standards and Technology, Handbook 133 Checking the net contents of packaged Goods.</w:t>
      </w:r>
    </w:p>
    <w:p>
      <w:pPr>
        <w:spacing w:after="0"/>
        <w:sectPr>
          <w:pgSz w:w="11910" w:h="16840"/>
          <w:pgMar w:header="0" w:footer="1043" w:top="1340" w:bottom="1240" w:left="1600" w:right="1580"/>
        </w:sectPr>
      </w:pPr>
    </w:p>
    <w:p>
      <w:pPr>
        <w:pStyle w:val="Heading2"/>
        <w:numPr>
          <w:ilvl w:val="0"/>
          <w:numId w:val="26"/>
        </w:numPr>
        <w:tabs>
          <w:tab w:pos="794" w:val="left" w:leader="none"/>
        </w:tabs>
        <w:spacing w:line="240" w:lineRule="auto" w:before="53" w:after="0"/>
        <w:ind w:left="793" w:right="0" w:hanging="403"/>
        <w:jc w:val="left"/>
      </w:pPr>
      <w:r>
        <w:rPr>
          <w:color w:val="2E2E2E"/>
        </w:rPr>
        <w:t>Concordancia con normas</w:t>
      </w:r>
      <w:r>
        <w:rPr>
          <w:color w:val="2E2E2E"/>
          <w:spacing w:val="-11"/>
        </w:rPr>
        <w:t> </w:t>
      </w:r>
      <w:r>
        <w:rPr>
          <w:color w:val="2E2E2E"/>
        </w:rPr>
        <w:t>internacionales</w:t>
      </w:r>
    </w:p>
    <w:p>
      <w:pPr>
        <w:pStyle w:val="BodyText"/>
        <w:ind w:left="102" w:right="122" w:firstLine="288"/>
        <w:jc w:val="both"/>
      </w:pPr>
      <w:r>
        <w:rPr>
          <w:color w:val="2E2E2E"/>
        </w:rPr>
        <w:t>Esta Norma Oficial Mexicana concuerda parcialmente con la  Recomendación de la Organización Internacional de Metrología Legal (OIML), mencionada en la</w:t>
      </w:r>
      <w:r>
        <w:rPr>
          <w:color w:val="2E2E2E"/>
          <w:spacing w:val="-14"/>
        </w:rPr>
        <w:t> </w:t>
      </w:r>
      <w:r>
        <w:rPr>
          <w:color w:val="2E2E2E"/>
        </w:rPr>
        <w:t>Bibliografía.</w:t>
      </w:r>
    </w:p>
    <w:p>
      <w:pPr>
        <w:pStyle w:val="BodyText"/>
      </w:pPr>
    </w:p>
    <w:p>
      <w:pPr>
        <w:pStyle w:val="Heading2"/>
        <w:ind w:left="3714" w:right="524" w:hanging="3195"/>
      </w:pPr>
      <w:r>
        <w:rPr>
          <w:color w:val="2E2E2E"/>
        </w:rPr>
        <w:t>TODOS LOS APENDICES FORMAN PARTE DE LA NORMA OFICIAL MEXICANA</w:t>
      </w:r>
    </w:p>
    <w:p>
      <w:pPr>
        <w:spacing w:before="0"/>
        <w:ind w:left="390" w:right="0" w:firstLine="0"/>
        <w:jc w:val="left"/>
        <w:rPr>
          <w:b/>
          <w:sz w:val="24"/>
        </w:rPr>
      </w:pPr>
      <w:r>
        <w:rPr>
          <w:b/>
          <w:color w:val="2E2E2E"/>
          <w:sz w:val="24"/>
        </w:rPr>
        <w:t>Apéndice A</w:t>
      </w:r>
    </w:p>
    <w:p>
      <w:pPr>
        <w:pStyle w:val="BodyText"/>
        <w:ind w:left="102" w:right="121" w:firstLine="288"/>
        <w:jc w:val="both"/>
      </w:pPr>
      <w:r>
        <w:rPr>
          <w:color w:val="2E2E2E"/>
        </w:rPr>
        <w:t>Cuando en la verificación de la primera muestra del producto se apruebe el lote correspondiente, la otra muestra del mismo lote quedará sin efecto y se pondrá a la disposición de la persona de quien se haya obtenido, en caso de no aprobarse, a solicitud del interesado se realizará una nueva verificación sobre la segunda muestra mencionada en el inciso 6.1. Este resultado se tomará como</w:t>
      </w:r>
      <w:r>
        <w:rPr>
          <w:color w:val="2E2E2E"/>
          <w:spacing w:val="-7"/>
        </w:rPr>
        <w:t> </w:t>
      </w:r>
      <w:r>
        <w:rPr>
          <w:color w:val="2E2E2E"/>
        </w:rPr>
        <w:t>definitivo.</w:t>
      </w:r>
    </w:p>
    <w:p>
      <w:pPr>
        <w:pStyle w:val="Heading2"/>
        <w:ind w:left="390"/>
      </w:pPr>
      <w:r>
        <w:rPr>
          <w:color w:val="2E2E2E"/>
        </w:rPr>
        <w:t>Apéndice B</w:t>
      </w:r>
    </w:p>
    <w:p>
      <w:pPr>
        <w:pStyle w:val="BodyText"/>
        <w:ind w:left="102" w:right="118" w:firstLine="288"/>
        <w:jc w:val="both"/>
      </w:pPr>
      <w:r>
        <w:rPr>
          <w:color w:val="2E2E2E"/>
        </w:rPr>
        <w:t>El método sugerido para determinar el volumen de aceite vegetal envasado comestible es el establecido en la NMX-F-015-SCFI-2011. Alimentos Aceites vegetales determinación de volumen de aceite envasado Método de prueba. Los resultados se deben evaluar conforme a las tablas de tolerancias indicadas en la presente Norma Oficial Mexicana.</w:t>
      </w:r>
    </w:p>
    <w:p>
      <w:pPr>
        <w:pStyle w:val="Heading2"/>
        <w:ind w:left="390"/>
      </w:pPr>
      <w:r>
        <w:rPr>
          <w:color w:val="2E2E2E"/>
        </w:rPr>
        <w:t>Apéndice C</w:t>
      </w:r>
    </w:p>
    <w:p>
      <w:pPr>
        <w:pStyle w:val="ListParagraph"/>
        <w:numPr>
          <w:ilvl w:val="1"/>
          <w:numId w:val="27"/>
        </w:numPr>
        <w:tabs>
          <w:tab w:pos="832" w:val="left" w:leader="none"/>
        </w:tabs>
        <w:spacing w:line="240" w:lineRule="auto" w:before="0" w:after="0"/>
        <w:ind w:left="102" w:right="120" w:firstLine="288"/>
        <w:jc w:val="both"/>
        <w:rPr>
          <w:sz w:val="24"/>
        </w:rPr>
      </w:pPr>
      <w:r>
        <w:rPr>
          <w:color w:val="2E2E2E"/>
          <w:sz w:val="24"/>
        </w:rPr>
        <w:t>La verificación del contenido neto de gas LP se realizará sólo en recipientes transportables listos para venta, por lo que éstos deberán contar con:</w:t>
      </w:r>
    </w:p>
    <w:p>
      <w:pPr>
        <w:pStyle w:val="ListParagraph"/>
        <w:numPr>
          <w:ilvl w:val="0"/>
          <w:numId w:val="28"/>
        </w:numPr>
        <w:tabs>
          <w:tab w:pos="671" w:val="left" w:leader="none"/>
        </w:tabs>
        <w:spacing w:line="240" w:lineRule="auto" w:before="0" w:after="0"/>
        <w:ind w:left="102" w:right="0" w:firstLine="288"/>
        <w:jc w:val="left"/>
        <w:rPr>
          <w:sz w:val="24"/>
        </w:rPr>
      </w:pPr>
      <w:r>
        <w:rPr>
          <w:color w:val="2E2E2E"/>
          <w:sz w:val="24"/>
        </w:rPr>
        <w:t>Sello de garantía adherido a su válvula (esto se comprobará</w:t>
      </w:r>
      <w:r>
        <w:rPr>
          <w:color w:val="2E2E2E"/>
          <w:spacing w:val="-25"/>
          <w:sz w:val="24"/>
        </w:rPr>
        <w:t> </w:t>
      </w:r>
      <w:r>
        <w:rPr>
          <w:color w:val="2E2E2E"/>
          <w:sz w:val="24"/>
        </w:rPr>
        <w:t>visualmente).</w:t>
      </w:r>
    </w:p>
    <w:p>
      <w:pPr>
        <w:pStyle w:val="ListParagraph"/>
        <w:numPr>
          <w:ilvl w:val="0"/>
          <w:numId w:val="28"/>
        </w:numPr>
        <w:tabs>
          <w:tab w:pos="683" w:val="left" w:leader="none"/>
        </w:tabs>
        <w:spacing w:line="240" w:lineRule="auto" w:before="0" w:after="0"/>
        <w:ind w:left="102" w:right="116" w:firstLine="288"/>
        <w:jc w:val="both"/>
        <w:rPr>
          <w:sz w:val="24"/>
        </w:rPr>
      </w:pPr>
      <w:r>
        <w:rPr>
          <w:color w:val="2E2E2E"/>
          <w:sz w:val="24"/>
        </w:rPr>
        <w:t>Etiqueta de información comercial; que podrá formar parte del sello de garantía, o bien, estar adherida a los recipientes transportables (esto se verificará visualmente). La información comercial deberá ser</w:t>
      </w:r>
      <w:r>
        <w:rPr>
          <w:color w:val="2E2E2E"/>
          <w:spacing w:val="-25"/>
          <w:sz w:val="24"/>
        </w:rPr>
        <w:t> </w:t>
      </w:r>
      <w:r>
        <w:rPr>
          <w:color w:val="2E2E2E"/>
          <w:sz w:val="24"/>
        </w:rPr>
        <w:t>legible.</w:t>
      </w:r>
    </w:p>
    <w:p>
      <w:pPr>
        <w:pStyle w:val="ListParagraph"/>
        <w:numPr>
          <w:ilvl w:val="1"/>
          <w:numId w:val="27"/>
        </w:numPr>
        <w:tabs>
          <w:tab w:pos="832" w:val="left" w:leader="none"/>
        </w:tabs>
        <w:spacing w:line="240" w:lineRule="auto" w:before="0" w:after="0"/>
        <w:ind w:left="102" w:right="125" w:firstLine="288"/>
        <w:jc w:val="both"/>
        <w:rPr>
          <w:sz w:val="24"/>
        </w:rPr>
      </w:pPr>
      <w:r>
        <w:rPr>
          <w:color w:val="2E2E2E"/>
          <w:sz w:val="24"/>
        </w:rPr>
        <w:t>La obtención de la muestra de los recipientes transportables listos para venta debe observar lo indicado en 7.2 a</w:t>
      </w:r>
      <w:r>
        <w:rPr>
          <w:color w:val="2E2E2E"/>
          <w:spacing w:val="-14"/>
          <w:sz w:val="24"/>
        </w:rPr>
        <w:t> </w:t>
      </w:r>
      <w:r>
        <w:rPr>
          <w:color w:val="2E2E2E"/>
          <w:sz w:val="24"/>
        </w:rPr>
        <w:t>7.4.</w:t>
      </w:r>
    </w:p>
    <w:p>
      <w:pPr>
        <w:pStyle w:val="ListParagraph"/>
        <w:numPr>
          <w:ilvl w:val="1"/>
          <w:numId w:val="27"/>
        </w:numPr>
        <w:tabs>
          <w:tab w:pos="832" w:val="left" w:leader="none"/>
        </w:tabs>
        <w:spacing w:line="240" w:lineRule="auto" w:before="0" w:after="0"/>
        <w:ind w:left="102" w:right="127" w:firstLine="288"/>
        <w:jc w:val="both"/>
        <w:rPr>
          <w:sz w:val="24"/>
        </w:rPr>
      </w:pPr>
      <w:r>
        <w:rPr>
          <w:color w:val="2E2E2E"/>
          <w:sz w:val="24"/>
        </w:rPr>
        <w:t>La etiqueta debe señalar el contenido neto declarado y la masa bruta en kg del recipiente transportable (esto se verificará</w:t>
      </w:r>
      <w:r>
        <w:rPr>
          <w:color w:val="2E2E2E"/>
          <w:spacing w:val="-16"/>
          <w:sz w:val="24"/>
        </w:rPr>
        <w:t> </w:t>
      </w:r>
      <w:r>
        <w:rPr>
          <w:color w:val="2E2E2E"/>
          <w:sz w:val="24"/>
        </w:rPr>
        <w:t>visualmente).</w:t>
      </w:r>
    </w:p>
    <w:p>
      <w:pPr>
        <w:pStyle w:val="ListParagraph"/>
        <w:numPr>
          <w:ilvl w:val="1"/>
          <w:numId w:val="27"/>
        </w:numPr>
        <w:tabs>
          <w:tab w:pos="832" w:val="left" w:leader="none"/>
        </w:tabs>
        <w:spacing w:line="240" w:lineRule="auto" w:before="0" w:after="0"/>
        <w:ind w:left="102" w:right="125" w:firstLine="288"/>
        <w:jc w:val="both"/>
        <w:rPr>
          <w:sz w:val="24"/>
        </w:rPr>
      </w:pPr>
      <w:r>
        <w:rPr>
          <w:color w:val="2E2E2E"/>
          <w:sz w:val="24"/>
        </w:rPr>
        <w:t>El contenido neto de cada recipiente transportable de la muestra será determinado conforme al método no destructivo</w:t>
      </w:r>
      <w:r>
        <w:rPr>
          <w:color w:val="2E2E2E"/>
          <w:spacing w:val="-18"/>
          <w:sz w:val="24"/>
        </w:rPr>
        <w:t> </w:t>
      </w:r>
      <w:r>
        <w:rPr>
          <w:color w:val="2E2E2E"/>
          <w:sz w:val="24"/>
        </w:rPr>
        <w:t>siguiente:</w:t>
      </w:r>
    </w:p>
    <w:p>
      <w:pPr>
        <w:pStyle w:val="ListParagraph"/>
        <w:numPr>
          <w:ilvl w:val="2"/>
          <w:numId w:val="27"/>
        </w:numPr>
        <w:tabs>
          <w:tab w:pos="1034" w:val="left" w:leader="none"/>
        </w:tabs>
        <w:spacing w:line="240" w:lineRule="auto" w:before="0" w:after="0"/>
        <w:ind w:left="102" w:right="122" w:firstLine="288"/>
        <w:jc w:val="both"/>
        <w:rPr>
          <w:sz w:val="24"/>
        </w:rPr>
      </w:pPr>
      <w:r>
        <w:rPr>
          <w:color w:val="2E2E2E"/>
          <w:sz w:val="24"/>
        </w:rPr>
        <w:t>Pesar el recipiente transportable con producto y determinar el contenido neto, restándole la tara del recipiente transportable que señala su placa o marca de tara, atendiendo a 7.1.2 y</w:t>
      </w:r>
      <w:r>
        <w:rPr>
          <w:color w:val="2E2E2E"/>
          <w:spacing w:val="-13"/>
          <w:sz w:val="24"/>
        </w:rPr>
        <w:t> </w:t>
      </w:r>
      <w:r>
        <w:rPr>
          <w:color w:val="2E2E2E"/>
          <w:sz w:val="24"/>
        </w:rPr>
        <w:t>7.1.3.</w:t>
      </w:r>
    </w:p>
    <w:p>
      <w:pPr>
        <w:pStyle w:val="ListParagraph"/>
        <w:numPr>
          <w:ilvl w:val="2"/>
          <w:numId w:val="27"/>
        </w:numPr>
        <w:tabs>
          <w:tab w:pos="1034" w:val="left" w:leader="none"/>
        </w:tabs>
        <w:spacing w:line="240" w:lineRule="auto" w:before="0" w:after="0"/>
        <w:ind w:left="1033" w:right="0" w:hanging="643"/>
        <w:jc w:val="left"/>
        <w:rPr>
          <w:sz w:val="24"/>
        </w:rPr>
      </w:pPr>
      <w:r>
        <w:rPr>
          <w:color w:val="2E2E2E"/>
          <w:sz w:val="24"/>
        </w:rPr>
        <w:t>Proceder conforme a lo dispuesto por 7.6 y</w:t>
      </w:r>
      <w:r>
        <w:rPr>
          <w:color w:val="2E2E2E"/>
          <w:spacing w:val="-21"/>
          <w:sz w:val="24"/>
        </w:rPr>
        <w:t> </w:t>
      </w:r>
      <w:r>
        <w:rPr>
          <w:color w:val="2E2E2E"/>
          <w:sz w:val="24"/>
        </w:rPr>
        <w:t>7.7.</w:t>
      </w:r>
    </w:p>
    <w:p>
      <w:pPr>
        <w:pStyle w:val="ListParagraph"/>
        <w:numPr>
          <w:ilvl w:val="2"/>
          <w:numId w:val="27"/>
        </w:numPr>
        <w:tabs>
          <w:tab w:pos="1034" w:val="left" w:leader="none"/>
        </w:tabs>
        <w:spacing w:line="240" w:lineRule="auto" w:before="0" w:after="0"/>
        <w:ind w:left="102" w:right="121" w:firstLine="288"/>
        <w:jc w:val="both"/>
        <w:rPr>
          <w:sz w:val="24"/>
        </w:rPr>
      </w:pPr>
      <w:r>
        <w:rPr>
          <w:color w:val="2E2E2E"/>
          <w:sz w:val="24"/>
        </w:rPr>
        <w:t>El lote verificado por muestreo cumple con el contenido neto declarado sólo si satisface lo señalado en este apéndice, además de los tres criterios establecidos en 8.1 u 8.4, 8.2 y el</w:t>
      </w:r>
      <w:r>
        <w:rPr>
          <w:color w:val="2E2E2E"/>
          <w:spacing w:val="-11"/>
          <w:sz w:val="24"/>
        </w:rPr>
        <w:t> </w:t>
      </w:r>
      <w:r>
        <w:rPr>
          <w:color w:val="2E2E2E"/>
          <w:sz w:val="24"/>
        </w:rPr>
        <w:t>8.3.</w:t>
      </w:r>
    </w:p>
    <w:p>
      <w:pPr>
        <w:spacing w:after="0" w:line="240" w:lineRule="auto"/>
        <w:jc w:val="both"/>
        <w:rPr>
          <w:sz w:val="24"/>
        </w:rPr>
        <w:sectPr>
          <w:footerReference w:type="default" r:id="rId55"/>
          <w:pgSz w:w="11910" w:h="16840"/>
          <w:pgMar w:footer="1043" w:header="0" w:top="1340" w:bottom="1240" w:left="1600" w:right="1580"/>
        </w:sectPr>
      </w:pPr>
    </w:p>
    <w:p>
      <w:pPr>
        <w:pStyle w:val="Heading2"/>
        <w:spacing w:before="56"/>
      </w:pPr>
      <w:r>
        <w:rPr/>
        <w:t>ANEXO 2. CURVAS DE REGRESIÓN AJUSTADAS</w:t>
      </w:r>
    </w:p>
    <w:p>
      <w:pPr>
        <w:pStyle w:val="BodyText"/>
        <w:rPr>
          <w:b/>
        </w:rPr>
      </w:pPr>
    </w:p>
    <w:p>
      <w:pPr>
        <w:pStyle w:val="BodyText"/>
        <w:rPr>
          <w:b/>
        </w:rPr>
      </w:pPr>
    </w:p>
    <w:p>
      <w:pPr>
        <w:spacing w:before="0"/>
        <w:ind w:left="102" w:right="0" w:firstLine="0"/>
        <w:jc w:val="left"/>
        <w:rPr>
          <w:b/>
          <w:sz w:val="24"/>
        </w:rPr>
      </w:pPr>
      <w:r>
        <w:rPr>
          <w:b/>
          <w:sz w:val="24"/>
        </w:rPr>
        <w:t>Curvas ajustadas</w:t>
      </w:r>
    </w:p>
    <w:p>
      <w:pPr>
        <w:pStyle w:val="BodyText"/>
        <w:spacing w:before="9"/>
        <w:rPr>
          <w:b/>
          <w:sz w:val="8"/>
        </w:rPr>
      </w:pPr>
      <w:r>
        <w:rPr/>
        <w:drawing>
          <wp:anchor distT="0" distB="0" distL="0" distR="0" allowOverlap="1" layoutInCell="1" locked="0" behindDoc="0" simplePos="0" relativeHeight="1384">
            <wp:simplePos x="0" y="0"/>
            <wp:positionH relativeFrom="page">
              <wp:posOffset>1493519</wp:posOffset>
            </wp:positionH>
            <wp:positionV relativeFrom="paragraph">
              <wp:posOffset>89243</wp:posOffset>
            </wp:positionV>
            <wp:extent cx="4571104" cy="1944624"/>
            <wp:effectExtent l="0" t="0" r="0" b="0"/>
            <wp:wrapTopAndBottom/>
            <wp:docPr id="55" name="image28.png" descr=""/>
            <wp:cNvGraphicFramePr>
              <a:graphicFrameLocks noChangeAspect="1"/>
            </wp:cNvGraphicFramePr>
            <a:graphic>
              <a:graphicData uri="http://schemas.openxmlformats.org/drawingml/2006/picture">
                <pic:pic>
                  <pic:nvPicPr>
                    <pic:cNvPr id="56" name="image28.png"/>
                    <pic:cNvPicPr/>
                  </pic:nvPicPr>
                  <pic:blipFill>
                    <a:blip r:embed="rId57" cstate="print"/>
                    <a:stretch>
                      <a:fillRect/>
                    </a:stretch>
                  </pic:blipFill>
                  <pic:spPr>
                    <a:xfrm>
                      <a:off x="0" y="0"/>
                      <a:ext cx="4571104" cy="1944624"/>
                    </a:xfrm>
                    <a:prstGeom prst="rect">
                      <a:avLst/>
                    </a:prstGeom>
                  </pic:spPr>
                </pic:pic>
              </a:graphicData>
            </a:graphic>
          </wp:anchor>
        </w:drawing>
      </w:r>
    </w:p>
    <w:p>
      <w:pPr>
        <w:pStyle w:val="BodyText"/>
        <w:rPr>
          <w:b/>
          <w:sz w:val="20"/>
        </w:rPr>
      </w:pPr>
    </w:p>
    <w:p>
      <w:pPr>
        <w:pStyle w:val="BodyText"/>
        <w:rPr>
          <w:b/>
          <w:sz w:val="25"/>
        </w:rPr>
      </w:pPr>
      <w:r>
        <w:rPr/>
        <w:drawing>
          <wp:anchor distT="0" distB="0" distL="0" distR="0" allowOverlap="1" layoutInCell="1" locked="0" behindDoc="0" simplePos="0" relativeHeight="1408">
            <wp:simplePos x="0" y="0"/>
            <wp:positionH relativeFrom="page">
              <wp:posOffset>1493519</wp:posOffset>
            </wp:positionH>
            <wp:positionV relativeFrom="paragraph">
              <wp:posOffset>207403</wp:posOffset>
            </wp:positionV>
            <wp:extent cx="4571700" cy="1938527"/>
            <wp:effectExtent l="0" t="0" r="0" b="0"/>
            <wp:wrapTopAndBottom/>
            <wp:docPr id="57" name="image29.png" descr=""/>
            <wp:cNvGraphicFramePr>
              <a:graphicFrameLocks noChangeAspect="1"/>
            </wp:cNvGraphicFramePr>
            <a:graphic>
              <a:graphicData uri="http://schemas.openxmlformats.org/drawingml/2006/picture">
                <pic:pic>
                  <pic:nvPicPr>
                    <pic:cNvPr id="58" name="image29.png"/>
                    <pic:cNvPicPr/>
                  </pic:nvPicPr>
                  <pic:blipFill>
                    <a:blip r:embed="rId58" cstate="print"/>
                    <a:stretch>
                      <a:fillRect/>
                    </a:stretch>
                  </pic:blipFill>
                  <pic:spPr>
                    <a:xfrm>
                      <a:off x="0" y="0"/>
                      <a:ext cx="4571700" cy="1938527"/>
                    </a:xfrm>
                    <a:prstGeom prst="rect">
                      <a:avLst/>
                    </a:prstGeom>
                  </pic:spPr>
                </pic:pic>
              </a:graphicData>
            </a:graphic>
          </wp:anchor>
        </w:drawing>
      </w:r>
    </w:p>
    <w:p>
      <w:pPr>
        <w:pStyle w:val="BodyText"/>
        <w:rPr>
          <w:b/>
          <w:sz w:val="20"/>
        </w:rPr>
      </w:pPr>
    </w:p>
    <w:p>
      <w:pPr>
        <w:pStyle w:val="BodyText"/>
        <w:rPr>
          <w:b/>
          <w:sz w:val="25"/>
        </w:rPr>
      </w:pPr>
      <w:r>
        <w:rPr/>
        <w:drawing>
          <wp:anchor distT="0" distB="0" distL="0" distR="0" allowOverlap="1" layoutInCell="1" locked="0" behindDoc="0" simplePos="0" relativeHeight="1432">
            <wp:simplePos x="0" y="0"/>
            <wp:positionH relativeFrom="page">
              <wp:posOffset>1493519</wp:posOffset>
            </wp:positionH>
            <wp:positionV relativeFrom="paragraph">
              <wp:posOffset>207784</wp:posOffset>
            </wp:positionV>
            <wp:extent cx="4501742" cy="1908238"/>
            <wp:effectExtent l="0" t="0" r="0" b="0"/>
            <wp:wrapTopAndBottom/>
            <wp:docPr id="59" name="image30.png" descr=""/>
            <wp:cNvGraphicFramePr>
              <a:graphicFrameLocks noChangeAspect="1"/>
            </wp:cNvGraphicFramePr>
            <a:graphic>
              <a:graphicData uri="http://schemas.openxmlformats.org/drawingml/2006/picture">
                <pic:pic>
                  <pic:nvPicPr>
                    <pic:cNvPr id="60" name="image30.png"/>
                    <pic:cNvPicPr/>
                  </pic:nvPicPr>
                  <pic:blipFill>
                    <a:blip r:embed="rId59" cstate="print"/>
                    <a:stretch>
                      <a:fillRect/>
                    </a:stretch>
                  </pic:blipFill>
                  <pic:spPr>
                    <a:xfrm>
                      <a:off x="0" y="0"/>
                      <a:ext cx="4501742" cy="1908238"/>
                    </a:xfrm>
                    <a:prstGeom prst="rect">
                      <a:avLst/>
                    </a:prstGeom>
                  </pic:spPr>
                </pic:pic>
              </a:graphicData>
            </a:graphic>
          </wp:anchor>
        </w:drawing>
      </w:r>
    </w:p>
    <w:p>
      <w:pPr>
        <w:spacing w:after="0"/>
        <w:rPr>
          <w:sz w:val="25"/>
        </w:rPr>
        <w:sectPr>
          <w:footerReference w:type="default" r:id="rId56"/>
          <w:pgSz w:w="11910" w:h="16840"/>
          <w:pgMar w:footer="1043" w:header="0" w:top="1340" w:bottom="1240" w:left="1600" w:right="1580"/>
          <w:pgNumType w:start="81"/>
        </w:sectPr>
      </w:pPr>
    </w:p>
    <w:p>
      <w:pPr>
        <w:tabs>
          <w:tab w:pos="1296" w:val="left" w:leader="none"/>
          <w:tab w:pos="1720" w:val="left" w:leader="none"/>
          <w:tab w:pos="3289" w:val="left" w:leader="none"/>
          <w:tab w:pos="4325" w:val="left" w:leader="none"/>
          <w:tab w:pos="5713" w:val="left" w:leader="none"/>
          <w:tab w:pos="7138" w:val="left" w:leader="none"/>
          <w:tab w:pos="7521" w:val="left" w:leader="none"/>
        </w:tabs>
        <w:spacing w:line="360" w:lineRule="auto" w:before="56"/>
        <w:ind w:left="222" w:right="122" w:firstLine="0"/>
        <w:jc w:val="left"/>
        <w:rPr>
          <w:b/>
          <w:sz w:val="24"/>
        </w:rPr>
      </w:pPr>
      <w:r>
        <w:rPr/>
        <w:pict>
          <v:group style="position:absolute;margin-left:79.454002pt;margin-top:80.645859pt;width:423.7pt;height:16.1pt;mso-position-horizontal-relative:page;mso-position-vertical-relative:paragraph;z-index:-122920" coordorigin="1589,1613" coordsize="8474,322">
            <v:shape style="position:absolute;left:1594;top:1623;width:8464;height:312" coordorigin="1594,1623" coordsize="8464,312" path="m3212,1623l1594,1623,1594,1935,3212,1935,3212,1623m5766,1623l3216,1623,3216,1935,5766,1935,5766,1623m10058,1623l8073,1623,5766,1623,5766,1935,8073,1935,10058,1935,10058,1623e" filled="true" fillcolor="#f1f1f1" stroked="false">
              <v:path arrowok="t"/>
              <v:fill type="solid"/>
            </v:shape>
            <v:line style="position:absolute" from="1594,1618" to="3212,1618" stroked="true" strokeweight=".48pt" strokecolor="#7e7e7e"/>
            <v:line style="position:absolute" from="3221,1618" to="3231,1618" stroked="true" strokeweight=".48pt" strokecolor="#7e7e7e"/>
            <v:line style="position:absolute" from="3231,1618" to="5766,1618" stroked="true" strokeweight=".48pt" strokecolor="#7e7e7e"/>
            <v:line style="position:absolute" from="5766,1618" to="5775,1618" stroked="true" strokeweight=".48pt" strokecolor="#7e7e7e"/>
            <v:line style="position:absolute" from="5775,1618" to="8073,1618" stroked="true" strokeweight=".48pt" strokecolor="#7e7e7e"/>
            <v:line style="position:absolute" from="8073,1618" to="8082,1618" stroked="true" strokeweight=".48pt" strokecolor="#7e7e7e"/>
            <v:line style="position:absolute" from="8082,1618" to="10058,1618" stroked="true" strokeweight=".48pt" strokecolor="#7e7e7e"/>
            <w10:wrap type="none"/>
          </v:group>
        </w:pict>
      </w:r>
      <w:r>
        <w:rPr/>
        <w:pict>
          <v:shape style="position:absolute;margin-left:79.704002pt;margin-top:111.615829pt;width:423.2pt;height:14.9pt;mso-position-horizontal-relative:page;mso-position-vertical-relative:paragraph;z-index:-122896" coordorigin="1594,2232" coordsize="8464,298" path="m3212,2232l3108,2232,1702,2232,1594,2232,1594,2530,3212,2530,3212,2232m5766,2232l5658,2232,3324,2232,3216,2232,3216,2530,5766,2530,5766,2232m10058,2232l9950,2232,8178,2232,8073,2232,7962,2232,5874,2232,5766,2232,5766,2530,8073,2530,10058,2530,10058,2232e" filled="true" fillcolor="#f1f1f1" stroked="false">
            <v:path arrowok="t"/>
            <v:fill type="solid"/>
            <w10:wrap type="none"/>
          </v:shape>
        </w:pict>
      </w:r>
      <w:r>
        <w:rPr/>
        <w:pict>
          <v:shape style="position:absolute;margin-left:79.704002pt;margin-top:141.255829pt;width:423.2pt;height:14.9pt;mso-position-horizontal-relative:page;mso-position-vertical-relative:paragraph;z-index:-122872" coordorigin="1594,2825" coordsize="8464,298" path="m3212,2825l3108,2825,1702,2825,1594,2825,1594,3123,3212,3123,3212,2825m5766,2825l5658,2825,3324,2825,3216,2825,3216,3123,5766,3123,5766,2825m10058,2825l9950,2825,8178,2825,8073,2825,7962,2825,5874,2825,5766,2825,5766,3123,8073,3123,10058,3123,10058,2825e" filled="true" fillcolor="#f1f1f1" stroked="false">
            <v:path arrowok="t"/>
            <v:fill type="solid"/>
            <w10:wrap type="none"/>
          </v:shape>
        </w:pict>
      </w:r>
      <w:r>
        <w:rPr/>
        <w:pict>
          <v:shape style="position:absolute;margin-left:79.704002pt;margin-top:238.945953pt;width:423.2pt;height:14.95pt;mso-position-horizontal-relative:page;mso-position-vertical-relative:page;z-index:-122848" coordorigin="1594,4779" coordsize="8464,299" path="m3212,4779l1594,4779,1594,5077,3212,5077,3212,4779m5766,4779l3216,4779,3216,5077,5766,5077,5766,4779m10058,4779l8073,4779,5766,4779,5766,5077,8073,5077,10058,5077,10058,4779e" filled="true" fillcolor="#f1f1f1" stroked="false">
            <v:path arrowok="t"/>
            <v:fill type="solid"/>
            <w10:wrap type="none"/>
          </v:shape>
        </w:pict>
      </w:r>
      <w:r>
        <w:rPr/>
        <w:pict>
          <v:shape style="position:absolute;margin-left:79.704002pt;margin-top:268.609955pt;width:423.2pt;height:14.9pt;mso-position-horizontal-relative:page;mso-position-vertical-relative:page;z-index:-122824" coordorigin="1594,5372" coordsize="8464,298" path="m3212,5372l3108,5372,1702,5372,1594,5372,1594,5670,3212,5670,3212,5372m5766,5372l5658,5372,3324,5372,3216,5372,3216,5670,5766,5670,5766,5372m10058,5372l9950,5372,8178,5372,8073,5372,7962,5372,5874,5372,5766,5372,5766,5670,8073,5670,10058,5670,10058,5372e" filled="true" fillcolor="#f1f1f1" stroked="false">
            <v:path arrowok="t"/>
            <v:fill type="solid"/>
            <w10:wrap type="none"/>
          </v:shape>
        </w:pict>
      </w:r>
      <w:r>
        <w:rPr/>
        <w:pict>
          <v:shape style="position:absolute;margin-left:79.704002pt;margin-top:298.369965pt;width:423.2pt;height:14.9pt;mso-position-horizontal-relative:page;mso-position-vertical-relative:page;z-index:-122800" coordorigin="1594,5967" coordsize="8464,298" path="m3212,5967l3108,5967,1702,5967,1594,5967,1594,6265,3212,6265,3212,5967m5766,5967l5658,5967,3324,5967,3216,5967,3216,6265,5766,6265,5766,5967m10058,5967l9950,5967,8178,5967,8073,5967,7962,5967,5874,5967,5766,5967,5766,6265,8073,6265,10058,6265,10058,5967e" filled="true" fillcolor="#f1f1f1" stroked="false">
            <v:path arrowok="t"/>
            <v:fill type="solid"/>
            <w10:wrap type="none"/>
          </v:shape>
        </w:pict>
      </w:r>
      <w:r>
        <w:rPr/>
        <w:pict>
          <v:shape style="position:absolute;margin-left:79.704002pt;margin-top:328.010956pt;width:423.2pt;height:14.9pt;mso-position-horizontal-relative:page;mso-position-vertical-relative:page;z-index:-122776" coordorigin="1594,6560" coordsize="8464,298" path="m3212,6560l3108,6560,1702,6560,1594,6560,1594,6858,3212,6858,3212,6560m5766,6560l5658,6560,3324,6560,3216,6560,3216,6858,5766,6858,5766,6560m10058,6560l9950,6560,8178,6560,8073,6560,7962,6560,5874,6560,5766,6560,5766,6858,8073,6858,10058,6858,10058,6560e" filled="true" fillcolor="#f1f1f1" stroked="false">
            <v:path arrowok="t"/>
            <v:fill type="solid"/>
            <w10:wrap type="none"/>
          </v:shape>
        </w:pict>
      </w:r>
      <w:r>
        <w:rPr/>
        <w:pict>
          <v:shape style="position:absolute;margin-left:79.704002pt;margin-top:357.769958pt;width:423.2pt;height:14.9pt;mso-position-horizontal-relative:page;mso-position-vertical-relative:page;z-index:-122752" coordorigin="1594,7155" coordsize="8464,298" path="m3212,7155l3108,7155,1702,7155,1594,7155,1594,7453,3212,7453,3212,7155m5766,7155l5658,7155,3324,7155,3216,7155,3216,7453,5766,7453,5766,7155m10058,7155l9950,7155,8178,7155,8073,7155,7962,7155,5874,7155,5766,7155,5766,7453,8073,7453,10058,7453,10058,7155e" filled="true" fillcolor="#f1f1f1" stroked="false">
            <v:path arrowok="t"/>
            <v:fill type="solid"/>
            <w10:wrap type="none"/>
          </v:shape>
        </w:pict>
      </w:r>
      <w:r>
        <w:rPr/>
        <w:pict>
          <v:shape style="position:absolute;margin-left:79.704002pt;margin-top:387.409973pt;width:423.2pt;height:14.9pt;mso-position-horizontal-relative:page;mso-position-vertical-relative:page;z-index:-122728" coordorigin="1594,7748" coordsize="8464,298" path="m3212,7748l3108,7748,1702,7748,1594,7748,1594,8046,3212,8046,3212,7748m5766,7748l5658,7748,3324,7748,3216,7748,3216,8046,5766,8046,5766,7748m10058,7748l9950,7748,8178,7748,8073,7748,7962,7748,5874,7748,5766,7748,5766,8046,8073,8046,10058,8046,10058,7748e" filled="true" fillcolor="#f1f1f1" stroked="false">
            <v:path arrowok="t"/>
            <v:fill type="solid"/>
            <w10:wrap type="none"/>
          </v:shape>
        </w:pict>
      </w:r>
      <w:r>
        <w:rPr/>
        <w:pict>
          <v:shape style="position:absolute;margin-left:79.704002pt;margin-top:417.189972pt;width:423.2pt;height:14.9pt;mso-position-horizontal-relative:page;mso-position-vertical-relative:page;z-index:-122704" coordorigin="1594,8344" coordsize="8464,298" path="m3212,8344l3108,8344,1702,8344,1594,8344,1594,8641,3212,8641,3212,8344m5766,8344l5658,8344,3324,8344,3216,8344,3216,8641,5766,8641,5766,8344m10058,8344l9950,8344,8178,8344,8073,8344,7962,8344,5874,8344,5766,8344,5766,8641,8073,8641,10058,8641,10058,8344e" filled="true" fillcolor="#f1f1f1" stroked="false">
            <v:path arrowok="t"/>
            <v:fill type="solid"/>
            <w10:wrap type="none"/>
          </v:shape>
        </w:pict>
      </w:r>
      <w:r>
        <w:rPr/>
        <w:pict>
          <v:shape style="position:absolute;margin-left:79.704002pt;margin-top:446.829956pt;width:423.2pt;height:14.9pt;mso-position-horizontal-relative:page;mso-position-vertical-relative:page;z-index:-122680" coordorigin="1594,8937" coordsize="8464,298" path="m3212,8937l3108,8937,1702,8937,1594,8937,1594,9234,3212,9234,3212,8937m5766,8937l5658,8937,3324,8937,3216,8937,3216,9234,5766,9234,5766,8937m10058,8937l9950,8937,8178,8937,8073,8937,7962,8937,5874,8937,5766,8937,5766,9234,8073,9234,10058,9234,10058,8937e" filled="true" fillcolor="#f1f1f1" stroked="false">
            <v:path arrowok="t"/>
            <v:fill type="solid"/>
            <w10:wrap type="none"/>
          </v:shape>
        </w:pict>
      </w:r>
      <w:r>
        <w:rPr/>
        <w:pict>
          <v:shape style="position:absolute;margin-left:79.704002pt;margin-top:476.589966pt;width:423.2pt;height:14.9pt;mso-position-horizontal-relative:page;mso-position-vertical-relative:page;z-index:-122656" coordorigin="1594,9532" coordsize="8464,298" path="m3212,9532l3108,9532,1702,9532,1594,9532,1594,9829,3212,9829,3212,9532m5766,9532l5658,9532,3324,9532,3216,9532,3216,9829,5766,9829,5766,9532m10058,9532l9950,9532,8178,9532,8073,9532,7962,9532,5874,9532,5766,9532,5766,9829,8073,9829,10058,9829,10058,9532e" filled="true" fillcolor="#f1f1f1" stroked="false">
            <v:path arrowok="t"/>
            <v:fill type="solid"/>
            <w10:wrap type="none"/>
          </v:shape>
        </w:pict>
      </w:r>
      <w:r>
        <w:rPr/>
        <w:pict>
          <v:shape style="position:absolute;margin-left:79.704002pt;margin-top:506.22998pt;width:423.2pt;height:14.9pt;mso-position-horizontal-relative:page;mso-position-vertical-relative:page;z-index:-122632" coordorigin="1594,10125" coordsize="8464,298" path="m3212,10125l3108,10125,1702,10125,1594,10125,1594,10422,3212,10422,3212,10125m5766,10125l5658,10125,3324,10125,3216,10125,3216,10422,5766,10422,5766,10125m10058,10125l9950,10125,8178,10125,8073,10125,7962,10125,5874,10125,5766,10125,5766,10422,8073,10422,10058,10422,10058,10125e" filled="true" fillcolor="#f1f1f1" stroked="false">
            <v:path arrowok="t"/>
            <v:fill type="solid"/>
            <w10:wrap type="none"/>
          </v:shape>
        </w:pict>
      </w:r>
      <w:r>
        <w:rPr/>
        <w:pict>
          <v:shape style="position:absolute;margin-left:79.704002pt;margin-top:535.98999pt;width:423.2pt;height:14.9pt;mso-position-horizontal-relative:page;mso-position-vertical-relative:page;z-index:-122608" coordorigin="1594,10720" coordsize="8464,298" path="m3212,10720l3108,10720,1702,10720,1594,10720,1594,11017,3212,11017,3212,10720m5766,10720l5658,10720,3324,10720,3216,10720,3216,11017,5766,11017,5766,10720m10058,10720l9950,10720,8178,10720,8073,10720,7962,10720,5874,10720,5766,10720,5766,11017,8073,11017,10058,11017,10058,10720e" filled="true" fillcolor="#f1f1f1" stroked="false">
            <v:path arrowok="t"/>
            <v:fill type="solid"/>
            <w10:wrap type="none"/>
          </v:shape>
        </w:pict>
      </w:r>
      <w:r>
        <w:rPr/>
        <w:pict>
          <v:shape style="position:absolute;margin-left:79.704002pt;margin-top:565.635986pt;width:423.2pt;height:14.95pt;mso-position-horizontal-relative:page;mso-position-vertical-relative:page;z-index:-122584" coordorigin="1594,11313" coordsize="8464,299" path="m3212,11313l3108,11313,1702,11313,1594,11313,1594,11611,3212,11611,3212,11313m5766,11313l5658,11313,3324,11313,3216,11313,3216,11611,5766,11611,5766,11313m10058,11313l9950,11313,8178,11313,8073,11313,7962,11313,5874,11313,5766,11313,5766,11611,8073,11611,10058,11611,10058,11313e" filled="true" fillcolor="#f1f1f1" stroked="false">
            <v:path arrowok="t"/>
            <v:fill type="solid"/>
            <w10:wrap type="none"/>
          </v:shape>
        </w:pict>
      </w:r>
      <w:r>
        <w:rPr/>
        <w:pict>
          <v:shape style="position:absolute;margin-left:79.704002pt;margin-top:595.419983pt;width:423.2pt;height:14.9pt;mso-position-horizontal-relative:page;mso-position-vertical-relative:page;z-index:-122560" coordorigin="1594,11908" coordsize="8464,298" path="m3212,11908l3108,11908,1702,11908,1594,11908,1594,12206,3212,12206,3212,11908m5766,11908l5658,11908,3324,11908,3216,11908,3216,12206,5766,12206,5766,11908m10058,11908l9950,11908,8178,11908,8073,11908,7962,11908,5874,11908,5766,11908,5766,12206,8073,12206,10058,12206,10058,11908e" filled="true" fillcolor="#f1f1f1" stroked="false">
            <v:path arrowok="t"/>
            <v:fill type="solid"/>
            <w10:wrap type="none"/>
          </v:shape>
        </w:pict>
      </w:r>
      <w:r>
        <w:rPr/>
        <w:pict>
          <v:shape style="position:absolute;margin-left:79.704002pt;margin-top:625.059998pt;width:423.2pt;height:14.9pt;mso-position-horizontal-relative:page;mso-position-vertical-relative:page;z-index:-122536" coordorigin="1594,12501" coordsize="8464,298" path="m3212,12501l3108,12501,3108,12501,1702,12501,1702,12501,1594,12501,1594,12799,3212,12799,3212,12501m5766,12501l5658,12501,5658,12501,3324,12501,3324,12501,3216,12501,3216,12799,5766,12799,5766,12501m10058,12501l9950,12501,9950,12501,8178,12501,8178,12501,8073,12501,7962,12501,7962,12501,5874,12501,5874,12501,5766,12501,5766,12799,8073,12799,10058,12799,10058,12501e" filled="true" fillcolor="#f1f1f1" stroked="false">
            <v:path arrowok="t"/>
            <v:fill type="solid"/>
            <w10:wrap type="none"/>
          </v:shape>
        </w:pict>
      </w:r>
      <w:r>
        <w:rPr/>
        <w:pict>
          <v:shape style="position:absolute;margin-left:79.704002pt;margin-top:654.819946pt;width:423.2pt;height:14.9pt;mso-position-horizontal-relative:page;mso-position-vertical-relative:page;z-index:-122512" coordorigin="1594,13096" coordsize="8464,298" path="m3212,13096l3108,13096,1702,13096,1594,13096,1594,13394,3212,13394,3212,13096m5766,13096l5658,13096,3324,13096,3216,13096,3216,13394,5766,13394,5766,13096m10058,13096l9950,13096,8178,13096,8073,13096,7962,13096,5874,13096,5766,13096,5766,13394,8073,13394,10058,13394,10058,13096e" filled="true" fillcolor="#f1f1f1" stroked="false">
            <v:path arrowok="t"/>
            <v:fill type="solid"/>
            <w10:wrap type="none"/>
          </v:shape>
        </w:pict>
      </w:r>
      <w:r>
        <w:rPr/>
        <w:pict>
          <v:shape style="position:absolute;margin-left:79.704002pt;margin-top:684.459961pt;width:423.2pt;height:14.9pt;mso-position-horizontal-relative:page;mso-position-vertical-relative:page;z-index:-122488" coordorigin="1594,13689" coordsize="8464,298" path="m3212,13689l3108,13689,1702,13689,1594,13689,1594,13987,3212,13987,3212,13689m5766,13689l5658,13689,3324,13689,3216,13689,3216,13987,5766,13987,5766,13689m10058,13689l9950,13689,8178,13689,8073,13689,7962,13689,5874,13689,5766,13689,5766,13987,8073,13987,10058,13987,10058,13689e" filled="true" fillcolor="#f1f1f1" stroked="false">
            <v:path arrowok="t"/>
            <v:fill type="solid"/>
            <w10:wrap type="none"/>
          </v:shape>
        </w:pict>
      </w:r>
      <w:r>
        <w:rPr/>
        <w:pict>
          <v:shape style="position:absolute;margin-left:79.704002pt;margin-top:714.219971pt;width:423.2pt;height:14.9pt;mso-position-horizontal-relative:page;mso-position-vertical-relative:page;z-index:-122464" coordorigin="1594,14284" coordsize="8464,298" path="m3212,14284l3108,14284,3108,14284,1702,14284,1702,14284,1594,14284,1594,14582,3212,14582,3212,14284m5766,14284l5658,14284,5658,14284,3324,14284,3324,14284,3216,14284,3216,14582,5766,14582,5766,14284m10058,14284l9950,14284,9950,14284,8178,14284,8178,14284,8073,14284,7962,14284,7962,14284,5874,14284,5874,14284,5766,14284,5766,14582,8073,14582,10058,14582,10058,14284e" filled="true" fillcolor="#f1f1f1" stroked="false">
            <v:path arrowok="t"/>
            <v:fill type="solid"/>
            <w10:wrap type="none"/>
          </v:shape>
        </w:pict>
      </w:r>
      <w:r>
        <w:rPr/>
        <w:pict>
          <v:shape style="position:absolute;margin-left:79.704002pt;margin-top:743.880981pt;width:423.2pt;height:14.9pt;mso-position-horizontal-relative:page;mso-position-vertical-relative:page;z-index:-122440" coordorigin="1594,14878" coordsize="8464,298" path="m3212,14878l3108,14878,1702,14878,1594,14878,1594,15175,3212,15175,3212,14878m5766,14878l5658,14878,3324,14878,3216,14878,3216,15175,5766,15175,5766,14878m10058,14878l9950,14878,8178,14878,8073,14878,7962,14878,5874,14878,5766,14878,5766,15175,8073,15175,10058,15175,10058,14878e" filled="true" fillcolor="#f1f1f1" stroked="false">
            <v:path arrowok="t"/>
            <v:fill type="solid"/>
            <w10:wrap type="none"/>
          </v:shape>
        </w:pict>
      </w:r>
      <w:r>
        <w:rPr>
          <w:b/>
          <w:sz w:val="24"/>
        </w:rPr>
        <w:t>ANEXO</w:t>
        <w:tab/>
        <w:t>3.</w:t>
        <w:tab/>
        <w:t>VARIACIÓN</w:t>
        <w:tab/>
        <w:t>ENTRE</w:t>
        <w:tab/>
        <w:t>BÁSCULA</w:t>
        <w:tab/>
        <w:t>ESTÁTICA</w:t>
        <w:tab/>
        <w:t>Y</w:t>
        <w:tab/>
        <w:t>DINÁMICA DETECTADA DURANTE LA IMPLEMENTACIÓN DEL</w:t>
      </w:r>
      <w:r>
        <w:rPr>
          <w:b/>
          <w:spacing w:val="-16"/>
          <w:sz w:val="24"/>
        </w:rPr>
        <w:t> </w:t>
      </w:r>
      <w:r>
        <w:rPr>
          <w:b/>
          <w:sz w:val="24"/>
        </w:rPr>
        <w:t>TRABAJO</w:t>
      </w:r>
    </w:p>
    <w:p>
      <w:pPr>
        <w:pStyle w:val="BodyText"/>
        <w:rPr>
          <w:b/>
          <w:sz w:val="20"/>
        </w:rPr>
      </w:pPr>
    </w:p>
    <w:p>
      <w:pPr>
        <w:pStyle w:val="BodyText"/>
        <w:spacing w:before="9"/>
        <w:rPr>
          <w:b/>
          <w:sz w:val="18"/>
        </w:rPr>
      </w:pPr>
    </w:p>
    <w:tbl>
      <w:tblPr>
        <w:tblW w:w="0" w:type="auto"/>
        <w:jc w:val="left"/>
        <w:tblInd w:w="5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46"/>
        <w:gridCol w:w="2524"/>
        <w:gridCol w:w="2450"/>
        <w:gridCol w:w="1813"/>
      </w:tblGrid>
      <w:tr>
        <w:trPr>
          <w:trHeight w:val="290" w:hRule="exact"/>
        </w:trPr>
        <w:tc>
          <w:tcPr>
            <w:tcW w:w="1146" w:type="dxa"/>
          </w:tcPr>
          <w:p>
            <w:pPr/>
          </w:p>
        </w:tc>
        <w:tc>
          <w:tcPr>
            <w:tcW w:w="2524" w:type="dxa"/>
          </w:tcPr>
          <w:p>
            <w:pPr/>
          </w:p>
        </w:tc>
        <w:tc>
          <w:tcPr>
            <w:tcW w:w="2450" w:type="dxa"/>
          </w:tcPr>
          <w:p>
            <w:pPr>
              <w:pStyle w:val="TableParagraph"/>
              <w:spacing w:line="245" w:lineRule="exact"/>
              <w:ind w:left="435"/>
              <w:jc w:val="left"/>
              <w:rPr>
                <w:b/>
                <w:sz w:val="24"/>
              </w:rPr>
            </w:pPr>
            <w:r>
              <w:rPr>
                <w:b/>
                <w:sz w:val="24"/>
              </w:rPr>
              <w:t>LÍNEA 4</w:t>
            </w:r>
          </w:p>
        </w:tc>
        <w:tc>
          <w:tcPr>
            <w:tcW w:w="1813" w:type="dxa"/>
          </w:tcPr>
          <w:p>
            <w:pPr/>
          </w:p>
        </w:tc>
      </w:tr>
      <w:tr>
        <w:trPr>
          <w:trHeight w:val="317" w:hRule="exact"/>
        </w:trPr>
        <w:tc>
          <w:tcPr>
            <w:tcW w:w="1146" w:type="dxa"/>
            <w:tcBorders>
              <w:right w:val="single" w:sz="4" w:space="0" w:color="7E7E7E"/>
            </w:tcBorders>
            <w:shd w:val="clear" w:color="auto" w:fill="F1F1F1"/>
          </w:tcPr>
          <w:p>
            <w:pPr/>
          </w:p>
        </w:tc>
        <w:tc>
          <w:tcPr>
            <w:tcW w:w="2524" w:type="dxa"/>
            <w:tcBorders>
              <w:left w:val="single" w:sz="4" w:space="0" w:color="7E7E7E"/>
            </w:tcBorders>
            <w:shd w:val="clear" w:color="auto" w:fill="F1F1F1"/>
          </w:tcPr>
          <w:p>
            <w:pPr>
              <w:pStyle w:val="TableParagraph"/>
              <w:spacing w:line="240" w:lineRule="auto"/>
              <w:ind w:left="234" w:right="217"/>
              <w:rPr>
                <w:b/>
                <w:sz w:val="24"/>
              </w:rPr>
            </w:pPr>
            <w:r>
              <w:rPr>
                <w:b/>
                <w:sz w:val="24"/>
              </w:rPr>
              <w:t>Báscula dinámica</w:t>
            </w:r>
          </w:p>
        </w:tc>
        <w:tc>
          <w:tcPr>
            <w:tcW w:w="2450" w:type="dxa"/>
            <w:shd w:val="clear" w:color="auto" w:fill="F1F1F1"/>
          </w:tcPr>
          <w:p>
            <w:pPr>
              <w:pStyle w:val="TableParagraph"/>
              <w:spacing w:line="240" w:lineRule="auto"/>
              <w:ind w:left="236"/>
              <w:jc w:val="left"/>
              <w:rPr>
                <w:b/>
                <w:sz w:val="24"/>
              </w:rPr>
            </w:pPr>
            <w:r>
              <w:rPr>
                <w:b/>
                <w:sz w:val="24"/>
              </w:rPr>
              <w:t>Báscula estática</w:t>
            </w:r>
          </w:p>
        </w:tc>
        <w:tc>
          <w:tcPr>
            <w:tcW w:w="1813" w:type="dxa"/>
            <w:shd w:val="clear" w:color="auto" w:fill="F1F1F1"/>
          </w:tcPr>
          <w:p>
            <w:pPr>
              <w:pStyle w:val="TableParagraph"/>
              <w:spacing w:line="240" w:lineRule="auto"/>
              <w:ind w:left="313" w:right="379"/>
              <w:rPr>
                <w:b/>
                <w:sz w:val="24"/>
              </w:rPr>
            </w:pPr>
            <w:r>
              <w:rPr>
                <w:b/>
                <w:sz w:val="24"/>
              </w:rPr>
              <w:t>Variación</w:t>
            </w:r>
          </w:p>
        </w:tc>
      </w:tr>
      <w:tr>
        <w:trPr>
          <w:trHeight w:val="298" w:hRule="exact"/>
        </w:trPr>
        <w:tc>
          <w:tcPr>
            <w:tcW w:w="1146" w:type="dxa"/>
            <w:tcBorders>
              <w:right w:val="single" w:sz="4" w:space="0" w:color="7E7E7E"/>
            </w:tcBorders>
          </w:tcPr>
          <w:p>
            <w:pPr>
              <w:pStyle w:val="TableParagraph"/>
              <w:spacing w:line="272" w:lineRule="exact"/>
              <w:ind w:left="267"/>
              <w:jc w:val="left"/>
              <w:rPr>
                <w:b/>
                <w:sz w:val="24"/>
              </w:rPr>
            </w:pPr>
            <w:r>
              <w:rPr>
                <w:b/>
                <w:w w:val="99"/>
                <w:sz w:val="24"/>
              </w:rPr>
              <w:t>1</w:t>
            </w:r>
          </w:p>
        </w:tc>
        <w:tc>
          <w:tcPr>
            <w:tcW w:w="2524" w:type="dxa"/>
            <w:tcBorders>
              <w:left w:val="single" w:sz="4" w:space="0" w:color="7E7E7E"/>
            </w:tcBorders>
          </w:tcPr>
          <w:p>
            <w:pPr>
              <w:pStyle w:val="TableParagraph"/>
              <w:spacing w:line="272" w:lineRule="exact"/>
              <w:ind w:left="234" w:right="213"/>
              <w:rPr>
                <w:sz w:val="24"/>
              </w:rPr>
            </w:pPr>
            <w:r>
              <w:rPr>
                <w:sz w:val="24"/>
              </w:rPr>
              <w:t>273</w:t>
            </w:r>
          </w:p>
        </w:tc>
        <w:tc>
          <w:tcPr>
            <w:tcW w:w="2450" w:type="dxa"/>
          </w:tcPr>
          <w:p>
            <w:pPr>
              <w:pStyle w:val="TableParagraph"/>
              <w:spacing w:line="272" w:lineRule="exact"/>
              <w:ind w:left="859" w:right="950"/>
              <w:rPr>
                <w:sz w:val="24"/>
              </w:rPr>
            </w:pPr>
            <w:r>
              <w:rPr>
                <w:sz w:val="24"/>
              </w:rPr>
              <w:t>277.2</w:t>
            </w:r>
          </w:p>
        </w:tc>
        <w:tc>
          <w:tcPr>
            <w:tcW w:w="1813" w:type="dxa"/>
          </w:tcPr>
          <w:p>
            <w:pPr>
              <w:pStyle w:val="TableParagraph"/>
              <w:spacing w:line="272" w:lineRule="exact"/>
              <w:ind w:left="313" w:right="377"/>
              <w:rPr>
                <w:sz w:val="24"/>
              </w:rPr>
            </w:pPr>
            <w:r>
              <w:rPr>
                <w:sz w:val="24"/>
              </w:rPr>
              <w:t>4.2</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67"/>
              <w:jc w:val="left"/>
              <w:rPr>
                <w:b/>
                <w:sz w:val="24"/>
              </w:rPr>
            </w:pPr>
            <w:r>
              <w:rPr>
                <w:b/>
                <w:w w:val="99"/>
                <w:sz w:val="24"/>
              </w:rPr>
              <w:t>2</w:t>
            </w:r>
          </w:p>
        </w:tc>
        <w:tc>
          <w:tcPr>
            <w:tcW w:w="2524" w:type="dxa"/>
            <w:tcBorders>
              <w:left w:val="single" w:sz="4" w:space="0" w:color="7E7E7E"/>
            </w:tcBorders>
            <w:shd w:val="clear" w:color="auto" w:fill="F1F1F1"/>
          </w:tcPr>
          <w:p>
            <w:pPr>
              <w:pStyle w:val="TableParagraph"/>
              <w:spacing w:line="272" w:lineRule="exact"/>
              <w:ind w:left="234" w:right="212"/>
              <w:rPr>
                <w:sz w:val="24"/>
              </w:rPr>
            </w:pPr>
            <w:r>
              <w:rPr>
                <w:sz w:val="24"/>
              </w:rPr>
              <w:t>272.5</w:t>
            </w:r>
          </w:p>
        </w:tc>
        <w:tc>
          <w:tcPr>
            <w:tcW w:w="2450" w:type="dxa"/>
            <w:shd w:val="clear" w:color="auto" w:fill="F1F1F1"/>
          </w:tcPr>
          <w:p>
            <w:pPr>
              <w:pStyle w:val="TableParagraph"/>
              <w:spacing w:line="272" w:lineRule="exact"/>
              <w:ind w:left="859" w:right="946"/>
              <w:rPr>
                <w:sz w:val="24"/>
              </w:rPr>
            </w:pPr>
            <w:r>
              <w:rPr>
                <w:sz w:val="24"/>
              </w:rPr>
              <w:t>277</w:t>
            </w:r>
          </w:p>
        </w:tc>
        <w:tc>
          <w:tcPr>
            <w:tcW w:w="1813" w:type="dxa"/>
            <w:shd w:val="clear" w:color="auto" w:fill="F1F1F1"/>
          </w:tcPr>
          <w:p>
            <w:pPr>
              <w:pStyle w:val="TableParagraph"/>
              <w:spacing w:line="272" w:lineRule="exact"/>
              <w:ind w:left="313" w:right="377"/>
              <w:rPr>
                <w:sz w:val="24"/>
              </w:rPr>
            </w:pPr>
            <w:r>
              <w:rPr>
                <w:sz w:val="24"/>
              </w:rPr>
              <w:t>4.5</w:t>
            </w:r>
          </w:p>
        </w:tc>
      </w:tr>
      <w:tr>
        <w:trPr>
          <w:trHeight w:val="295" w:hRule="exact"/>
        </w:trPr>
        <w:tc>
          <w:tcPr>
            <w:tcW w:w="1146" w:type="dxa"/>
            <w:tcBorders>
              <w:right w:val="single" w:sz="4" w:space="0" w:color="7E7E7E"/>
            </w:tcBorders>
          </w:tcPr>
          <w:p>
            <w:pPr>
              <w:pStyle w:val="TableParagraph"/>
              <w:spacing w:line="272" w:lineRule="exact"/>
              <w:ind w:left="267"/>
              <w:jc w:val="left"/>
              <w:rPr>
                <w:b/>
                <w:sz w:val="24"/>
              </w:rPr>
            </w:pPr>
            <w:r>
              <w:rPr>
                <w:b/>
                <w:w w:val="99"/>
                <w:sz w:val="24"/>
              </w:rPr>
              <w:t>3</w:t>
            </w:r>
          </w:p>
        </w:tc>
        <w:tc>
          <w:tcPr>
            <w:tcW w:w="2524" w:type="dxa"/>
            <w:tcBorders>
              <w:left w:val="single" w:sz="4" w:space="0" w:color="7E7E7E"/>
            </w:tcBorders>
          </w:tcPr>
          <w:p>
            <w:pPr>
              <w:pStyle w:val="TableParagraph"/>
              <w:spacing w:line="272" w:lineRule="exact"/>
              <w:ind w:left="234" w:right="213"/>
              <w:rPr>
                <w:sz w:val="24"/>
              </w:rPr>
            </w:pPr>
            <w:r>
              <w:rPr>
                <w:sz w:val="24"/>
              </w:rPr>
              <w:t>269</w:t>
            </w:r>
          </w:p>
        </w:tc>
        <w:tc>
          <w:tcPr>
            <w:tcW w:w="2450" w:type="dxa"/>
          </w:tcPr>
          <w:p>
            <w:pPr>
              <w:pStyle w:val="TableParagraph"/>
              <w:spacing w:line="272" w:lineRule="exact"/>
              <w:ind w:left="859" w:right="950"/>
              <w:rPr>
                <w:sz w:val="24"/>
              </w:rPr>
            </w:pPr>
            <w:r>
              <w:rPr>
                <w:sz w:val="24"/>
              </w:rPr>
              <w:t>274.1</w:t>
            </w:r>
          </w:p>
        </w:tc>
        <w:tc>
          <w:tcPr>
            <w:tcW w:w="1813" w:type="dxa"/>
          </w:tcPr>
          <w:p>
            <w:pPr>
              <w:pStyle w:val="TableParagraph"/>
              <w:spacing w:line="272" w:lineRule="exact"/>
              <w:ind w:left="313" w:right="377"/>
              <w:rPr>
                <w:sz w:val="24"/>
              </w:rPr>
            </w:pPr>
            <w:r>
              <w:rPr>
                <w:sz w:val="24"/>
              </w:rPr>
              <w:t>5.1</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67"/>
              <w:jc w:val="left"/>
              <w:rPr>
                <w:b/>
                <w:sz w:val="24"/>
              </w:rPr>
            </w:pPr>
            <w:r>
              <w:rPr>
                <w:b/>
                <w:w w:val="99"/>
                <w:sz w:val="24"/>
              </w:rPr>
              <w:t>4</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274.5</w:t>
            </w:r>
          </w:p>
        </w:tc>
        <w:tc>
          <w:tcPr>
            <w:tcW w:w="2450" w:type="dxa"/>
            <w:shd w:val="clear" w:color="auto" w:fill="F1F1F1"/>
          </w:tcPr>
          <w:p>
            <w:pPr>
              <w:pStyle w:val="TableParagraph"/>
              <w:spacing w:line="272" w:lineRule="exact"/>
              <w:ind w:left="859" w:right="950"/>
              <w:rPr>
                <w:sz w:val="24"/>
              </w:rPr>
            </w:pPr>
            <w:r>
              <w:rPr>
                <w:sz w:val="24"/>
              </w:rPr>
              <w:t>278.8</w:t>
            </w:r>
          </w:p>
        </w:tc>
        <w:tc>
          <w:tcPr>
            <w:tcW w:w="1813" w:type="dxa"/>
            <w:shd w:val="clear" w:color="auto" w:fill="F1F1F1"/>
          </w:tcPr>
          <w:p>
            <w:pPr>
              <w:pStyle w:val="TableParagraph"/>
              <w:spacing w:line="272" w:lineRule="exact"/>
              <w:ind w:left="313" w:right="377"/>
              <w:rPr>
                <w:sz w:val="24"/>
              </w:rPr>
            </w:pPr>
            <w:r>
              <w:rPr>
                <w:sz w:val="24"/>
              </w:rPr>
              <w:t>4.3</w:t>
            </w:r>
          </w:p>
        </w:tc>
      </w:tr>
      <w:tr>
        <w:trPr>
          <w:trHeight w:val="298" w:hRule="exact"/>
        </w:trPr>
        <w:tc>
          <w:tcPr>
            <w:tcW w:w="1146" w:type="dxa"/>
            <w:tcBorders>
              <w:right w:val="single" w:sz="4" w:space="0" w:color="7E7E7E"/>
            </w:tcBorders>
          </w:tcPr>
          <w:p>
            <w:pPr>
              <w:pStyle w:val="TableParagraph"/>
              <w:spacing w:line="272" w:lineRule="exact"/>
              <w:ind w:left="267"/>
              <w:jc w:val="left"/>
              <w:rPr>
                <w:b/>
                <w:sz w:val="24"/>
              </w:rPr>
            </w:pPr>
            <w:r>
              <w:rPr>
                <w:b/>
                <w:w w:val="99"/>
                <w:sz w:val="24"/>
              </w:rPr>
              <w:t>5</w:t>
            </w:r>
          </w:p>
        </w:tc>
        <w:tc>
          <w:tcPr>
            <w:tcW w:w="2524" w:type="dxa"/>
            <w:tcBorders>
              <w:left w:val="single" w:sz="4" w:space="0" w:color="7E7E7E"/>
            </w:tcBorders>
          </w:tcPr>
          <w:p>
            <w:pPr>
              <w:pStyle w:val="TableParagraph"/>
              <w:spacing w:line="272" w:lineRule="exact"/>
              <w:ind w:left="234" w:right="213"/>
              <w:rPr>
                <w:sz w:val="24"/>
              </w:rPr>
            </w:pPr>
            <w:r>
              <w:rPr>
                <w:sz w:val="24"/>
              </w:rPr>
              <w:t>274.5</w:t>
            </w:r>
          </w:p>
        </w:tc>
        <w:tc>
          <w:tcPr>
            <w:tcW w:w="2450" w:type="dxa"/>
          </w:tcPr>
          <w:p>
            <w:pPr>
              <w:pStyle w:val="TableParagraph"/>
              <w:spacing w:line="272" w:lineRule="exact"/>
              <w:ind w:left="859" w:right="950"/>
              <w:rPr>
                <w:sz w:val="24"/>
              </w:rPr>
            </w:pPr>
            <w:r>
              <w:rPr>
                <w:sz w:val="24"/>
              </w:rPr>
              <w:t>278.5</w:t>
            </w:r>
          </w:p>
        </w:tc>
        <w:tc>
          <w:tcPr>
            <w:tcW w:w="1813" w:type="dxa"/>
          </w:tcPr>
          <w:p>
            <w:pPr>
              <w:pStyle w:val="TableParagraph"/>
              <w:spacing w:line="272" w:lineRule="exact"/>
              <w:ind w:right="68"/>
              <w:rPr>
                <w:sz w:val="24"/>
              </w:rPr>
            </w:pPr>
            <w:r>
              <w:rPr>
                <w:w w:val="99"/>
                <w:sz w:val="24"/>
              </w:rPr>
              <w:t>4</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67"/>
              <w:jc w:val="left"/>
              <w:rPr>
                <w:b/>
                <w:sz w:val="24"/>
              </w:rPr>
            </w:pPr>
            <w:r>
              <w:rPr>
                <w:b/>
                <w:w w:val="99"/>
                <w:sz w:val="24"/>
              </w:rPr>
              <w:t>6</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262</w:t>
            </w:r>
          </w:p>
        </w:tc>
        <w:tc>
          <w:tcPr>
            <w:tcW w:w="2450" w:type="dxa"/>
            <w:shd w:val="clear" w:color="auto" w:fill="F1F1F1"/>
          </w:tcPr>
          <w:p>
            <w:pPr>
              <w:pStyle w:val="TableParagraph"/>
              <w:spacing w:line="272" w:lineRule="exact"/>
              <w:ind w:left="859" w:right="950"/>
              <w:rPr>
                <w:sz w:val="24"/>
              </w:rPr>
            </w:pPr>
            <w:r>
              <w:rPr>
                <w:sz w:val="24"/>
              </w:rPr>
              <w:t>266.6</w:t>
            </w:r>
          </w:p>
        </w:tc>
        <w:tc>
          <w:tcPr>
            <w:tcW w:w="1813" w:type="dxa"/>
            <w:shd w:val="clear" w:color="auto" w:fill="F1F1F1"/>
          </w:tcPr>
          <w:p>
            <w:pPr>
              <w:pStyle w:val="TableParagraph"/>
              <w:spacing w:line="272" w:lineRule="exact"/>
              <w:ind w:left="313" w:right="377"/>
              <w:rPr>
                <w:sz w:val="24"/>
              </w:rPr>
            </w:pPr>
            <w:r>
              <w:rPr>
                <w:sz w:val="24"/>
              </w:rPr>
              <w:t>4.6</w:t>
            </w:r>
          </w:p>
        </w:tc>
      </w:tr>
      <w:tr>
        <w:trPr>
          <w:trHeight w:val="295" w:hRule="exact"/>
        </w:trPr>
        <w:tc>
          <w:tcPr>
            <w:tcW w:w="1146" w:type="dxa"/>
            <w:tcBorders>
              <w:right w:val="single" w:sz="4" w:space="0" w:color="7E7E7E"/>
            </w:tcBorders>
          </w:tcPr>
          <w:p>
            <w:pPr>
              <w:pStyle w:val="TableParagraph"/>
              <w:spacing w:line="272" w:lineRule="exact"/>
              <w:ind w:left="267"/>
              <w:jc w:val="left"/>
              <w:rPr>
                <w:b/>
                <w:sz w:val="24"/>
              </w:rPr>
            </w:pPr>
            <w:r>
              <w:rPr>
                <w:b/>
                <w:w w:val="99"/>
                <w:sz w:val="24"/>
              </w:rPr>
              <w:t>7</w:t>
            </w:r>
          </w:p>
        </w:tc>
        <w:tc>
          <w:tcPr>
            <w:tcW w:w="2524" w:type="dxa"/>
            <w:tcBorders>
              <w:left w:val="single" w:sz="4" w:space="0" w:color="7E7E7E"/>
            </w:tcBorders>
          </w:tcPr>
          <w:p>
            <w:pPr>
              <w:pStyle w:val="TableParagraph"/>
              <w:spacing w:line="272" w:lineRule="exact"/>
              <w:ind w:left="234" w:right="213"/>
              <w:rPr>
                <w:sz w:val="24"/>
              </w:rPr>
            </w:pPr>
            <w:r>
              <w:rPr>
                <w:sz w:val="24"/>
              </w:rPr>
              <w:t>272</w:t>
            </w:r>
          </w:p>
        </w:tc>
        <w:tc>
          <w:tcPr>
            <w:tcW w:w="2450" w:type="dxa"/>
          </w:tcPr>
          <w:p>
            <w:pPr>
              <w:pStyle w:val="TableParagraph"/>
              <w:spacing w:line="272" w:lineRule="exact"/>
              <w:ind w:left="859" w:right="950"/>
              <w:rPr>
                <w:sz w:val="24"/>
              </w:rPr>
            </w:pPr>
            <w:r>
              <w:rPr>
                <w:sz w:val="24"/>
              </w:rPr>
              <w:t>274.4</w:t>
            </w:r>
          </w:p>
        </w:tc>
        <w:tc>
          <w:tcPr>
            <w:tcW w:w="1813" w:type="dxa"/>
          </w:tcPr>
          <w:p>
            <w:pPr>
              <w:pStyle w:val="TableParagraph"/>
              <w:spacing w:line="272" w:lineRule="exact"/>
              <w:ind w:left="313" w:right="377"/>
              <w:rPr>
                <w:sz w:val="24"/>
              </w:rPr>
            </w:pPr>
            <w:r>
              <w:rPr>
                <w:sz w:val="24"/>
              </w:rPr>
              <w:t>2.4</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67"/>
              <w:jc w:val="left"/>
              <w:rPr>
                <w:b/>
                <w:sz w:val="24"/>
              </w:rPr>
            </w:pPr>
            <w:r>
              <w:rPr>
                <w:b/>
                <w:w w:val="99"/>
                <w:sz w:val="24"/>
              </w:rPr>
              <w:t>8</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269</w:t>
            </w:r>
          </w:p>
        </w:tc>
        <w:tc>
          <w:tcPr>
            <w:tcW w:w="2450" w:type="dxa"/>
            <w:shd w:val="clear" w:color="auto" w:fill="F1F1F1"/>
          </w:tcPr>
          <w:p>
            <w:pPr>
              <w:pStyle w:val="TableParagraph"/>
              <w:spacing w:line="272" w:lineRule="exact"/>
              <w:ind w:left="859" w:right="950"/>
              <w:rPr>
                <w:sz w:val="24"/>
              </w:rPr>
            </w:pPr>
            <w:r>
              <w:rPr>
                <w:sz w:val="24"/>
              </w:rPr>
              <w:t>271.8</w:t>
            </w:r>
          </w:p>
        </w:tc>
        <w:tc>
          <w:tcPr>
            <w:tcW w:w="1813" w:type="dxa"/>
            <w:shd w:val="clear" w:color="auto" w:fill="F1F1F1"/>
          </w:tcPr>
          <w:p>
            <w:pPr>
              <w:pStyle w:val="TableParagraph"/>
              <w:spacing w:line="272" w:lineRule="exact"/>
              <w:ind w:left="313" w:right="377"/>
              <w:rPr>
                <w:sz w:val="24"/>
              </w:rPr>
            </w:pPr>
            <w:r>
              <w:rPr>
                <w:sz w:val="24"/>
              </w:rPr>
              <w:t>2.8</w:t>
            </w:r>
          </w:p>
        </w:tc>
      </w:tr>
      <w:tr>
        <w:trPr>
          <w:trHeight w:val="298" w:hRule="exact"/>
        </w:trPr>
        <w:tc>
          <w:tcPr>
            <w:tcW w:w="1146" w:type="dxa"/>
            <w:tcBorders>
              <w:right w:val="single" w:sz="4" w:space="0" w:color="7E7E7E"/>
            </w:tcBorders>
          </w:tcPr>
          <w:p>
            <w:pPr>
              <w:pStyle w:val="TableParagraph"/>
              <w:spacing w:line="272" w:lineRule="exact"/>
              <w:ind w:left="267"/>
              <w:jc w:val="left"/>
              <w:rPr>
                <w:b/>
                <w:sz w:val="24"/>
              </w:rPr>
            </w:pPr>
            <w:r>
              <w:rPr>
                <w:b/>
                <w:w w:val="99"/>
                <w:sz w:val="24"/>
              </w:rPr>
              <w:t>9</w:t>
            </w:r>
          </w:p>
        </w:tc>
        <w:tc>
          <w:tcPr>
            <w:tcW w:w="2524" w:type="dxa"/>
            <w:tcBorders>
              <w:left w:val="single" w:sz="4" w:space="0" w:color="7E7E7E"/>
            </w:tcBorders>
          </w:tcPr>
          <w:p>
            <w:pPr>
              <w:pStyle w:val="TableParagraph"/>
              <w:spacing w:line="272" w:lineRule="exact"/>
              <w:ind w:left="234" w:right="213"/>
              <w:rPr>
                <w:sz w:val="24"/>
              </w:rPr>
            </w:pPr>
            <w:r>
              <w:rPr>
                <w:sz w:val="24"/>
              </w:rPr>
              <w:t>271.5</w:t>
            </w:r>
          </w:p>
        </w:tc>
        <w:tc>
          <w:tcPr>
            <w:tcW w:w="2450" w:type="dxa"/>
          </w:tcPr>
          <w:p>
            <w:pPr>
              <w:pStyle w:val="TableParagraph"/>
              <w:spacing w:line="272" w:lineRule="exact"/>
              <w:ind w:left="859" w:right="950"/>
              <w:rPr>
                <w:sz w:val="24"/>
              </w:rPr>
            </w:pPr>
            <w:r>
              <w:rPr>
                <w:sz w:val="24"/>
              </w:rPr>
              <w:t>277.2</w:t>
            </w:r>
          </w:p>
        </w:tc>
        <w:tc>
          <w:tcPr>
            <w:tcW w:w="1813" w:type="dxa"/>
          </w:tcPr>
          <w:p>
            <w:pPr>
              <w:pStyle w:val="TableParagraph"/>
              <w:spacing w:line="272" w:lineRule="exact"/>
              <w:ind w:left="313" w:right="377"/>
              <w:rPr>
                <w:sz w:val="24"/>
              </w:rPr>
            </w:pPr>
            <w:r>
              <w:rPr>
                <w:sz w:val="24"/>
              </w:rPr>
              <w:t>5.7</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00"/>
              <w:jc w:val="left"/>
              <w:rPr>
                <w:b/>
                <w:sz w:val="24"/>
              </w:rPr>
            </w:pPr>
            <w:r>
              <w:rPr>
                <w:b/>
                <w:sz w:val="24"/>
              </w:rPr>
              <w:t>10</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265</w:t>
            </w:r>
          </w:p>
        </w:tc>
        <w:tc>
          <w:tcPr>
            <w:tcW w:w="2450" w:type="dxa"/>
            <w:shd w:val="clear" w:color="auto" w:fill="F1F1F1"/>
          </w:tcPr>
          <w:p>
            <w:pPr>
              <w:pStyle w:val="TableParagraph"/>
              <w:spacing w:line="272" w:lineRule="exact"/>
              <w:ind w:left="859" w:right="950"/>
              <w:rPr>
                <w:sz w:val="24"/>
              </w:rPr>
            </w:pPr>
            <w:r>
              <w:rPr>
                <w:sz w:val="24"/>
              </w:rPr>
              <w:t>270.6</w:t>
            </w:r>
          </w:p>
        </w:tc>
        <w:tc>
          <w:tcPr>
            <w:tcW w:w="1813" w:type="dxa"/>
            <w:shd w:val="clear" w:color="auto" w:fill="F1F1F1"/>
          </w:tcPr>
          <w:p>
            <w:pPr>
              <w:pStyle w:val="TableParagraph"/>
              <w:spacing w:line="272" w:lineRule="exact"/>
              <w:ind w:left="313" w:right="377"/>
              <w:rPr>
                <w:sz w:val="24"/>
              </w:rPr>
            </w:pPr>
            <w:r>
              <w:rPr>
                <w:sz w:val="24"/>
              </w:rPr>
              <w:t>5.6</w:t>
            </w:r>
          </w:p>
        </w:tc>
      </w:tr>
      <w:tr>
        <w:trPr>
          <w:trHeight w:val="295" w:hRule="exact"/>
        </w:trPr>
        <w:tc>
          <w:tcPr>
            <w:tcW w:w="1146" w:type="dxa"/>
            <w:tcBorders>
              <w:right w:val="single" w:sz="4" w:space="0" w:color="7E7E7E"/>
            </w:tcBorders>
          </w:tcPr>
          <w:p>
            <w:pPr>
              <w:pStyle w:val="TableParagraph"/>
              <w:spacing w:line="272" w:lineRule="exact"/>
              <w:ind w:left="200"/>
              <w:jc w:val="left"/>
              <w:rPr>
                <w:b/>
                <w:sz w:val="24"/>
              </w:rPr>
            </w:pPr>
            <w:r>
              <w:rPr>
                <w:b/>
                <w:sz w:val="24"/>
              </w:rPr>
              <w:t>11</w:t>
            </w:r>
          </w:p>
        </w:tc>
        <w:tc>
          <w:tcPr>
            <w:tcW w:w="2524" w:type="dxa"/>
            <w:tcBorders>
              <w:left w:val="single" w:sz="4" w:space="0" w:color="7E7E7E"/>
            </w:tcBorders>
          </w:tcPr>
          <w:p>
            <w:pPr>
              <w:pStyle w:val="TableParagraph"/>
              <w:spacing w:line="272" w:lineRule="exact"/>
              <w:ind w:left="234" w:right="213"/>
              <w:rPr>
                <w:sz w:val="24"/>
              </w:rPr>
            </w:pPr>
            <w:r>
              <w:rPr>
                <w:sz w:val="24"/>
              </w:rPr>
              <w:t>268</w:t>
            </w:r>
          </w:p>
        </w:tc>
        <w:tc>
          <w:tcPr>
            <w:tcW w:w="2450" w:type="dxa"/>
          </w:tcPr>
          <w:p>
            <w:pPr>
              <w:pStyle w:val="TableParagraph"/>
              <w:spacing w:line="272" w:lineRule="exact"/>
              <w:ind w:left="859" w:right="950"/>
              <w:rPr>
                <w:sz w:val="24"/>
              </w:rPr>
            </w:pPr>
            <w:r>
              <w:rPr>
                <w:sz w:val="24"/>
              </w:rPr>
              <w:t>270.7</w:t>
            </w:r>
          </w:p>
        </w:tc>
        <w:tc>
          <w:tcPr>
            <w:tcW w:w="1813" w:type="dxa"/>
          </w:tcPr>
          <w:p>
            <w:pPr>
              <w:pStyle w:val="TableParagraph"/>
              <w:spacing w:line="272" w:lineRule="exact"/>
              <w:ind w:left="313" w:right="377"/>
              <w:rPr>
                <w:sz w:val="24"/>
              </w:rPr>
            </w:pPr>
            <w:r>
              <w:rPr>
                <w:sz w:val="24"/>
              </w:rPr>
              <w:t>2.7</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00"/>
              <w:jc w:val="left"/>
              <w:rPr>
                <w:b/>
                <w:sz w:val="24"/>
              </w:rPr>
            </w:pPr>
            <w:r>
              <w:rPr>
                <w:b/>
                <w:sz w:val="24"/>
              </w:rPr>
              <w:t>12</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262.5</w:t>
            </w:r>
          </w:p>
        </w:tc>
        <w:tc>
          <w:tcPr>
            <w:tcW w:w="2450" w:type="dxa"/>
            <w:shd w:val="clear" w:color="auto" w:fill="F1F1F1"/>
          </w:tcPr>
          <w:p>
            <w:pPr>
              <w:pStyle w:val="TableParagraph"/>
              <w:spacing w:line="272" w:lineRule="exact"/>
              <w:ind w:left="859" w:right="950"/>
              <w:rPr>
                <w:sz w:val="24"/>
              </w:rPr>
            </w:pPr>
            <w:r>
              <w:rPr>
                <w:sz w:val="24"/>
              </w:rPr>
              <w:t>265.1</w:t>
            </w:r>
          </w:p>
        </w:tc>
        <w:tc>
          <w:tcPr>
            <w:tcW w:w="1813" w:type="dxa"/>
            <w:shd w:val="clear" w:color="auto" w:fill="F1F1F1"/>
          </w:tcPr>
          <w:p>
            <w:pPr>
              <w:pStyle w:val="TableParagraph"/>
              <w:spacing w:line="272" w:lineRule="exact"/>
              <w:ind w:left="313" w:right="377"/>
              <w:rPr>
                <w:sz w:val="24"/>
              </w:rPr>
            </w:pPr>
            <w:r>
              <w:rPr>
                <w:sz w:val="24"/>
              </w:rPr>
              <w:t>2.6</w:t>
            </w:r>
          </w:p>
        </w:tc>
      </w:tr>
      <w:tr>
        <w:trPr>
          <w:trHeight w:val="298" w:hRule="exact"/>
        </w:trPr>
        <w:tc>
          <w:tcPr>
            <w:tcW w:w="1146" w:type="dxa"/>
            <w:tcBorders>
              <w:right w:val="single" w:sz="4" w:space="0" w:color="7E7E7E"/>
            </w:tcBorders>
          </w:tcPr>
          <w:p>
            <w:pPr>
              <w:pStyle w:val="TableParagraph"/>
              <w:spacing w:line="272" w:lineRule="exact"/>
              <w:ind w:left="200"/>
              <w:jc w:val="left"/>
              <w:rPr>
                <w:b/>
                <w:sz w:val="24"/>
              </w:rPr>
            </w:pPr>
            <w:r>
              <w:rPr>
                <w:b/>
                <w:sz w:val="24"/>
              </w:rPr>
              <w:t>13</w:t>
            </w:r>
          </w:p>
        </w:tc>
        <w:tc>
          <w:tcPr>
            <w:tcW w:w="2524" w:type="dxa"/>
            <w:tcBorders>
              <w:left w:val="single" w:sz="4" w:space="0" w:color="7E7E7E"/>
            </w:tcBorders>
          </w:tcPr>
          <w:p>
            <w:pPr>
              <w:pStyle w:val="TableParagraph"/>
              <w:spacing w:line="272" w:lineRule="exact"/>
              <w:ind w:left="234" w:right="213"/>
              <w:rPr>
                <w:sz w:val="24"/>
              </w:rPr>
            </w:pPr>
            <w:r>
              <w:rPr>
                <w:sz w:val="24"/>
              </w:rPr>
              <w:t>267</w:t>
            </w:r>
          </w:p>
        </w:tc>
        <w:tc>
          <w:tcPr>
            <w:tcW w:w="2450" w:type="dxa"/>
          </w:tcPr>
          <w:p>
            <w:pPr>
              <w:pStyle w:val="TableParagraph"/>
              <w:spacing w:line="272" w:lineRule="exact"/>
              <w:ind w:left="859" w:right="950"/>
              <w:rPr>
                <w:sz w:val="24"/>
              </w:rPr>
            </w:pPr>
            <w:r>
              <w:rPr>
                <w:sz w:val="24"/>
              </w:rPr>
              <w:t>270.8</w:t>
            </w:r>
          </w:p>
        </w:tc>
        <w:tc>
          <w:tcPr>
            <w:tcW w:w="1813" w:type="dxa"/>
          </w:tcPr>
          <w:p>
            <w:pPr>
              <w:pStyle w:val="TableParagraph"/>
              <w:spacing w:line="272" w:lineRule="exact"/>
              <w:ind w:left="313" w:right="377"/>
              <w:rPr>
                <w:sz w:val="24"/>
              </w:rPr>
            </w:pPr>
            <w:r>
              <w:rPr>
                <w:sz w:val="24"/>
              </w:rPr>
              <w:t>3.8</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00"/>
              <w:jc w:val="left"/>
              <w:rPr>
                <w:b/>
                <w:sz w:val="24"/>
              </w:rPr>
            </w:pPr>
            <w:r>
              <w:rPr>
                <w:b/>
                <w:sz w:val="24"/>
              </w:rPr>
              <w:t>14</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259.5</w:t>
            </w:r>
          </w:p>
        </w:tc>
        <w:tc>
          <w:tcPr>
            <w:tcW w:w="2450" w:type="dxa"/>
            <w:shd w:val="clear" w:color="auto" w:fill="F1F1F1"/>
          </w:tcPr>
          <w:p>
            <w:pPr>
              <w:pStyle w:val="TableParagraph"/>
              <w:spacing w:line="272" w:lineRule="exact"/>
              <w:ind w:left="859" w:right="950"/>
              <w:rPr>
                <w:sz w:val="24"/>
              </w:rPr>
            </w:pPr>
            <w:r>
              <w:rPr>
                <w:sz w:val="24"/>
              </w:rPr>
              <w:t>263.4</w:t>
            </w:r>
          </w:p>
        </w:tc>
        <w:tc>
          <w:tcPr>
            <w:tcW w:w="1813" w:type="dxa"/>
            <w:shd w:val="clear" w:color="auto" w:fill="F1F1F1"/>
          </w:tcPr>
          <w:p>
            <w:pPr>
              <w:pStyle w:val="TableParagraph"/>
              <w:spacing w:line="272" w:lineRule="exact"/>
              <w:ind w:left="313" w:right="377"/>
              <w:rPr>
                <w:sz w:val="24"/>
              </w:rPr>
            </w:pPr>
            <w:r>
              <w:rPr>
                <w:sz w:val="24"/>
              </w:rPr>
              <w:t>3.9</w:t>
            </w:r>
          </w:p>
        </w:tc>
      </w:tr>
      <w:tr>
        <w:trPr>
          <w:trHeight w:val="295" w:hRule="exact"/>
        </w:trPr>
        <w:tc>
          <w:tcPr>
            <w:tcW w:w="1146" w:type="dxa"/>
            <w:tcBorders>
              <w:right w:val="single" w:sz="4" w:space="0" w:color="7E7E7E"/>
            </w:tcBorders>
          </w:tcPr>
          <w:p>
            <w:pPr>
              <w:pStyle w:val="TableParagraph"/>
              <w:spacing w:line="272" w:lineRule="exact"/>
              <w:ind w:left="200"/>
              <w:jc w:val="left"/>
              <w:rPr>
                <w:b/>
                <w:sz w:val="24"/>
              </w:rPr>
            </w:pPr>
            <w:r>
              <w:rPr>
                <w:b/>
                <w:sz w:val="24"/>
              </w:rPr>
              <w:t>15</w:t>
            </w:r>
          </w:p>
        </w:tc>
        <w:tc>
          <w:tcPr>
            <w:tcW w:w="2524" w:type="dxa"/>
            <w:tcBorders>
              <w:left w:val="single" w:sz="4" w:space="0" w:color="7E7E7E"/>
            </w:tcBorders>
          </w:tcPr>
          <w:p>
            <w:pPr>
              <w:pStyle w:val="TableParagraph"/>
              <w:spacing w:line="272" w:lineRule="exact"/>
              <w:ind w:left="234" w:right="213"/>
              <w:rPr>
                <w:sz w:val="24"/>
              </w:rPr>
            </w:pPr>
            <w:r>
              <w:rPr>
                <w:sz w:val="24"/>
              </w:rPr>
              <w:t>262.5</w:t>
            </w:r>
          </w:p>
        </w:tc>
        <w:tc>
          <w:tcPr>
            <w:tcW w:w="2450" w:type="dxa"/>
          </w:tcPr>
          <w:p>
            <w:pPr>
              <w:pStyle w:val="TableParagraph"/>
              <w:spacing w:line="272" w:lineRule="exact"/>
              <w:ind w:left="859" w:right="950"/>
              <w:rPr>
                <w:sz w:val="24"/>
              </w:rPr>
            </w:pPr>
            <w:r>
              <w:rPr>
                <w:sz w:val="24"/>
              </w:rPr>
              <w:t>268.1</w:t>
            </w:r>
          </w:p>
        </w:tc>
        <w:tc>
          <w:tcPr>
            <w:tcW w:w="1813" w:type="dxa"/>
          </w:tcPr>
          <w:p>
            <w:pPr>
              <w:pStyle w:val="TableParagraph"/>
              <w:spacing w:line="272" w:lineRule="exact"/>
              <w:ind w:left="313" w:right="377"/>
              <w:rPr>
                <w:sz w:val="24"/>
              </w:rPr>
            </w:pPr>
            <w:r>
              <w:rPr>
                <w:sz w:val="24"/>
              </w:rPr>
              <w:t>5.6</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00"/>
              <w:jc w:val="left"/>
              <w:rPr>
                <w:b/>
                <w:sz w:val="24"/>
              </w:rPr>
            </w:pPr>
            <w:r>
              <w:rPr>
                <w:b/>
                <w:sz w:val="24"/>
              </w:rPr>
              <w:t>16</w:t>
            </w:r>
          </w:p>
        </w:tc>
        <w:tc>
          <w:tcPr>
            <w:tcW w:w="2524" w:type="dxa"/>
            <w:tcBorders>
              <w:left w:val="single" w:sz="4" w:space="0" w:color="7E7E7E"/>
            </w:tcBorders>
            <w:shd w:val="clear" w:color="auto" w:fill="F1F1F1"/>
          </w:tcPr>
          <w:p>
            <w:pPr>
              <w:pStyle w:val="TableParagraph"/>
              <w:spacing w:line="272" w:lineRule="exact"/>
              <w:ind w:left="234" w:right="214"/>
              <w:rPr>
                <w:sz w:val="24"/>
              </w:rPr>
            </w:pPr>
            <w:r>
              <w:rPr>
                <w:sz w:val="24"/>
              </w:rPr>
              <w:t>262.5</w:t>
            </w:r>
          </w:p>
        </w:tc>
        <w:tc>
          <w:tcPr>
            <w:tcW w:w="2450" w:type="dxa"/>
            <w:shd w:val="clear" w:color="auto" w:fill="F1F1F1"/>
          </w:tcPr>
          <w:p>
            <w:pPr>
              <w:pStyle w:val="TableParagraph"/>
              <w:spacing w:line="272" w:lineRule="exact"/>
              <w:ind w:left="859" w:right="950"/>
              <w:rPr>
                <w:sz w:val="24"/>
              </w:rPr>
            </w:pPr>
            <w:r>
              <w:rPr>
                <w:sz w:val="24"/>
              </w:rPr>
              <w:t>266.9</w:t>
            </w:r>
          </w:p>
        </w:tc>
        <w:tc>
          <w:tcPr>
            <w:tcW w:w="1813" w:type="dxa"/>
            <w:shd w:val="clear" w:color="auto" w:fill="F1F1F1"/>
          </w:tcPr>
          <w:p>
            <w:pPr>
              <w:pStyle w:val="TableParagraph"/>
              <w:spacing w:line="272" w:lineRule="exact"/>
              <w:ind w:left="313" w:right="377"/>
              <w:rPr>
                <w:sz w:val="24"/>
              </w:rPr>
            </w:pPr>
            <w:r>
              <w:rPr>
                <w:sz w:val="24"/>
              </w:rPr>
              <w:t>4.4</w:t>
            </w:r>
          </w:p>
        </w:tc>
      </w:tr>
      <w:tr>
        <w:trPr>
          <w:trHeight w:val="298" w:hRule="exact"/>
        </w:trPr>
        <w:tc>
          <w:tcPr>
            <w:tcW w:w="1146" w:type="dxa"/>
            <w:tcBorders>
              <w:right w:val="single" w:sz="4" w:space="0" w:color="7E7E7E"/>
            </w:tcBorders>
          </w:tcPr>
          <w:p>
            <w:pPr>
              <w:pStyle w:val="TableParagraph"/>
              <w:spacing w:line="272" w:lineRule="exact"/>
              <w:ind w:left="200"/>
              <w:jc w:val="left"/>
              <w:rPr>
                <w:b/>
                <w:sz w:val="24"/>
              </w:rPr>
            </w:pPr>
            <w:r>
              <w:rPr>
                <w:b/>
                <w:sz w:val="24"/>
              </w:rPr>
              <w:t>17</w:t>
            </w:r>
          </w:p>
        </w:tc>
        <w:tc>
          <w:tcPr>
            <w:tcW w:w="2524" w:type="dxa"/>
            <w:tcBorders>
              <w:left w:val="single" w:sz="4" w:space="0" w:color="7E7E7E"/>
            </w:tcBorders>
          </w:tcPr>
          <w:p>
            <w:pPr>
              <w:pStyle w:val="TableParagraph"/>
              <w:spacing w:line="272" w:lineRule="exact"/>
              <w:ind w:left="234" w:right="213"/>
              <w:rPr>
                <w:sz w:val="24"/>
              </w:rPr>
            </w:pPr>
            <w:r>
              <w:rPr>
                <w:sz w:val="24"/>
              </w:rPr>
              <w:t>266</w:t>
            </w:r>
          </w:p>
        </w:tc>
        <w:tc>
          <w:tcPr>
            <w:tcW w:w="2450" w:type="dxa"/>
          </w:tcPr>
          <w:p>
            <w:pPr>
              <w:pStyle w:val="TableParagraph"/>
              <w:spacing w:line="272" w:lineRule="exact"/>
              <w:ind w:left="859" w:right="950"/>
              <w:rPr>
                <w:sz w:val="24"/>
              </w:rPr>
            </w:pPr>
            <w:r>
              <w:rPr>
                <w:sz w:val="24"/>
              </w:rPr>
              <w:t>269.5</w:t>
            </w:r>
          </w:p>
        </w:tc>
        <w:tc>
          <w:tcPr>
            <w:tcW w:w="1813" w:type="dxa"/>
          </w:tcPr>
          <w:p>
            <w:pPr>
              <w:pStyle w:val="TableParagraph"/>
              <w:spacing w:line="272" w:lineRule="exact"/>
              <w:ind w:left="313" w:right="377"/>
              <w:rPr>
                <w:sz w:val="24"/>
              </w:rPr>
            </w:pPr>
            <w:r>
              <w:rPr>
                <w:sz w:val="24"/>
              </w:rPr>
              <w:t>3.5</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00"/>
              <w:jc w:val="left"/>
              <w:rPr>
                <w:b/>
                <w:sz w:val="24"/>
              </w:rPr>
            </w:pPr>
            <w:r>
              <w:rPr>
                <w:b/>
                <w:sz w:val="24"/>
              </w:rPr>
              <w:t>18</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260</w:t>
            </w:r>
          </w:p>
        </w:tc>
        <w:tc>
          <w:tcPr>
            <w:tcW w:w="2450" w:type="dxa"/>
            <w:shd w:val="clear" w:color="auto" w:fill="F1F1F1"/>
          </w:tcPr>
          <w:p>
            <w:pPr>
              <w:pStyle w:val="TableParagraph"/>
              <w:spacing w:line="272" w:lineRule="exact"/>
              <w:ind w:left="859" w:right="950"/>
              <w:rPr>
                <w:sz w:val="24"/>
              </w:rPr>
            </w:pPr>
            <w:r>
              <w:rPr>
                <w:sz w:val="24"/>
              </w:rPr>
              <w:t>265.4</w:t>
            </w:r>
          </w:p>
        </w:tc>
        <w:tc>
          <w:tcPr>
            <w:tcW w:w="1813" w:type="dxa"/>
            <w:shd w:val="clear" w:color="auto" w:fill="F1F1F1"/>
          </w:tcPr>
          <w:p>
            <w:pPr>
              <w:pStyle w:val="TableParagraph"/>
              <w:spacing w:line="272" w:lineRule="exact"/>
              <w:ind w:left="313" w:right="377"/>
              <w:rPr>
                <w:sz w:val="24"/>
              </w:rPr>
            </w:pPr>
            <w:r>
              <w:rPr>
                <w:sz w:val="24"/>
              </w:rPr>
              <w:t>5.4</w:t>
            </w:r>
          </w:p>
        </w:tc>
      </w:tr>
      <w:tr>
        <w:trPr>
          <w:trHeight w:val="295" w:hRule="exact"/>
        </w:trPr>
        <w:tc>
          <w:tcPr>
            <w:tcW w:w="1146" w:type="dxa"/>
            <w:tcBorders>
              <w:right w:val="single" w:sz="4" w:space="0" w:color="7E7E7E"/>
            </w:tcBorders>
          </w:tcPr>
          <w:p>
            <w:pPr>
              <w:pStyle w:val="TableParagraph"/>
              <w:spacing w:line="272" w:lineRule="exact"/>
              <w:ind w:left="200"/>
              <w:jc w:val="left"/>
              <w:rPr>
                <w:b/>
                <w:sz w:val="24"/>
              </w:rPr>
            </w:pPr>
            <w:r>
              <w:rPr>
                <w:b/>
                <w:sz w:val="24"/>
              </w:rPr>
              <w:t>19</w:t>
            </w:r>
          </w:p>
        </w:tc>
        <w:tc>
          <w:tcPr>
            <w:tcW w:w="2524" w:type="dxa"/>
            <w:tcBorders>
              <w:left w:val="single" w:sz="4" w:space="0" w:color="7E7E7E"/>
            </w:tcBorders>
          </w:tcPr>
          <w:p>
            <w:pPr>
              <w:pStyle w:val="TableParagraph"/>
              <w:spacing w:line="272" w:lineRule="exact"/>
              <w:ind w:left="234" w:right="213"/>
              <w:rPr>
                <w:sz w:val="24"/>
              </w:rPr>
            </w:pPr>
            <w:r>
              <w:rPr>
                <w:sz w:val="24"/>
              </w:rPr>
              <w:t>264.5</w:t>
            </w:r>
          </w:p>
        </w:tc>
        <w:tc>
          <w:tcPr>
            <w:tcW w:w="2450" w:type="dxa"/>
          </w:tcPr>
          <w:p>
            <w:pPr>
              <w:pStyle w:val="TableParagraph"/>
              <w:spacing w:line="272" w:lineRule="exact"/>
              <w:ind w:left="859" w:right="950"/>
              <w:rPr>
                <w:sz w:val="24"/>
              </w:rPr>
            </w:pPr>
            <w:r>
              <w:rPr>
                <w:sz w:val="24"/>
              </w:rPr>
              <w:t>267.4</w:t>
            </w:r>
          </w:p>
        </w:tc>
        <w:tc>
          <w:tcPr>
            <w:tcW w:w="1813" w:type="dxa"/>
          </w:tcPr>
          <w:p>
            <w:pPr>
              <w:pStyle w:val="TableParagraph"/>
              <w:spacing w:line="272" w:lineRule="exact"/>
              <w:ind w:left="313" w:right="377"/>
              <w:rPr>
                <w:sz w:val="24"/>
              </w:rPr>
            </w:pPr>
            <w:r>
              <w:rPr>
                <w:sz w:val="24"/>
              </w:rPr>
              <w:t>2.9</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00"/>
              <w:jc w:val="left"/>
              <w:rPr>
                <w:b/>
                <w:sz w:val="24"/>
              </w:rPr>
            </w:pPr>
            <w:r>
              <w:rPr>
                <w:b/>
                <w:sz w:val="24"/>
              </w:rPr>
              <w:t>20</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259.5</w:t>
            </w:r>
          </w:p>
        </w:tc>
        <w:tc>
          <w:tcPr>
            <w:tcW w:w="2450" w:type="dxa"/>
            <w:shd w:val="clear" w:color="auto" w:fill="F1F1F1"/>
          </w:tcPr>
          <w:p>
            <w:pPr>
              <w:pStyle w:val="TableParagraph"/>
              <w:spacing w:line="272" w:lineRule="exact"/>
              <w:ind w:left="859" w:right="950"/>
              <w:rPr>
                <w:sz w:val="24"/>
              </w:rPr>
            </w:pPr>
            <w:r>
              <w:rPr>
                <w:sz w:val="24"/>
              </w:rPr>
              <w:t>263.8</w:t>
            </w:r>
          </w:p>
        </w:tc>
        <w:tc>
          <w:tcPr>
            <w:tcW w:w="1813" w:type="dxa"/>
            <w:shd w:val="clear" w:color="auto" w:fill="F1F1F1"/>
          </w:tcPr>
          <w:p>
            <w:pPr>
              <w:pStyle w:val="TableParagraph"/>
              <w:spacing w:line="272" w:lineRule="exact"/>
              <w:ind w:left="313" w:right="377"/>
              <w:rPr>
                <w:sz w:val="24"/>
              </w:rPr>
            </w:pPr>
            <w:r>
              <w:rPr>
                <w:sz w:val="24"/>
              </w:rPr>
              <w:t>4.3</w:t>
            </w:r>
          </w:p>
        </w:tc>
      </w:tr>
      <w:tr>
        <w:trPr>
          <w:trHeight w:val="298" w:hRule="exact"/>
        </w:trPr>
        <w:tc>
          <w:tcPr>
            <w:tcW w:w="1146" w:type="dxa"/>
            <w:tcBorders>
              <w:right w:val="single" w:sz="4" w:space="0" w:color="7E7E7E"/>
            </w:tcBorders>
          </w:tcPr>
          <w:p>
            <w:pPr>
              <w:pStyle w:val="TableParagraph"/>
              <w:spacing w:line="272" w:lineRule="exact"/>
              <w:ind w:left="200"/>
              <w:jc w:val="left"/>
              <w:rPr>
                <w:b/>
                <w:sz w:val="24"/>
              </w:rPr>
            </w:pPr>
            <w:r>
              <w:rPr>
                <w:b/>
                <w:sz w:val="24"/>
              </w:rPr>
              <w:t>21</w:t>
            </w:r>
          </w:p>
        </w:tc>
        <w:tc>
          <w:tcPr>
            <w:tcW w:w="2524" w:type="dxa"/>
            <w:tcBorders>
              <w:left w:val="single" w:sz="4" w:space="0" w:color="7E7E7E"/>
            </w:tcBorders>
          </w:tcPr>
          <w:p>
            <w:pPr>
              <w:pStyle w:val="TableParagraph"/>
              <w:spacing w:line="272" w:lineRule="exact"/>
              <w:ind w:left="234" w:right="213"/>
              <w:rPr>
                <w:sz w:val="24"/>
              </w:rPr>
            </w:pPr>
            <w:r>
              <w:rPr>
                <w:sz w:val="24"/>
              </w:rPr>
              <w:t>257.5</w:t>
            </w:r>
          </w:p>
        </w:tc>
        <w:tc>
          <w:tcPr>
            <w:tcW w:w="2450" w:type="dxa"/>
          </w:tcPr>
          <w:p>
            <w:pPr>
              <w:pStyle w:val="TableParagraph"/>
              <w:spacing w:line="272" w:lineRule="exact"/>
              <w:ind w:left="859" w:right="950"/>
              <w:rPr>
                <w:sz w:val="24"/>
              </w:rPr>
            </w:pPr>
            <w:r>
              <w:rPr>
                <w:sz w:val="24"/>
              </w:rPr>
              <w:t>264.6</w:t>
            </w:r>
          </w:p>
        </w:tc>
        <w:tc>
          <w:tcPr>
            <w:tcW w:w="1813" w:type="dxa"/>
          </w:tcPr>
          <w:p>
            <w:pPr>
              <w:pStyle w:val="TableParagraph"/>
              <w:spacing w:line="272" w:lineRule="exact"/>
              <w:ind w:left="313" w:right="377"/>
              <w:rPr>
                <w:sz w:val="24"/>
              </w:rPr>
            </w:pPr>
            <w:r>
              <w:rPr>
                <w:sz w:val="24"/>
              </w:rPr>
              <w:t>7.1</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00"/>
              <w:jc w:val="left"/>
              <w:rPr>
                <w:b/>
                <w:sz w:val="24"/>
              </w:rPr>
            </w:pPr>
            <w:r>
              <w:rPr>
                <w:b/>
                <w:sz w:val="24"/>
              </w:rPr>
              <w:t>22</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274.5</w:t>
            </w:r>
          </w:p>
        </w:tc>
        <w:tc>
          <w:tcPr>
            <w:tcW w:w="2450" w:type="dxa"/>
            <w:shd w:val="clear" w:color="auto" w:fill="F1F1F1"/>
          </w:tcPr>
          <w:p>
            <w:pPr>
              <w:pStyle w:val="TableParagraph"/>
              <w:spacing w:line="272" w:lineRule="exact"/>
              <w:ind w:left="859" w:right="950"/>
              <w:rPr>
                <w:sz w:val="24"/>
              </w:rPr>
            </w:pPr>
            <w:r>
              <w:rPr>
                <w:sz w:val="24"/>
              </w:rPr>
              <w:t>282.9</w:t>
            </w:r>
          </w:p>
        </w:tc>
        <w:tc>
          <w:tcPr>
            <w:tcW w:w="1813" w:type="dxa"/>
            <w:shd w:val="clear" w:color="auto" w:fill="F1F1F1"/>
          </w:tcPr>
          <w:p>
            <w:pPr>
              <w:pStyle w:val="TableParagraph"/>
              <w:spacing w:line="272" w:lineRule="exact"/>
              <w:ind w:left="313" w:right="377"/>
              <w:rPr>
                <w:sz w:val="24"/>
              </w:rPr>
            </w:pPr>
            <w:r>
              <w:rPr>
                <w:sz w:val="24"/>
              </w:rPr>
              <w:t>8.4</w:t>
            </w:r>
          </w:p>
        </w:tc>
      </w:tr>
      <w:tr>
        <w:trPr>
          <w:trHeight w:val="295" w:hRule="exact"/>
        </w:trPr>
        <w:tc>
          <w:tcPr>
            <w:tcW w:w="1146" w:type="dxa"/>
            <w:tcBorders>
              <w:right w:val="single" w:sz="4" w:space="0" w:color="7E7E7E"/>
            </w:tcBorders>
          </w:tcPr>
          <w:p>
            <w:pPr>
              <w:pStyle w:val="TableParagraph"/>
              <w:spacing w:line="272" w:lineRule="exact"/>
              <w:ind w:left="200"/>
              <w:jc w:val="left"/>
              <w:rPr>
                <w:b/>
                <w:sz w:val="24"/>
              </w:rPr>
            </w:pPr>
            <w:r>
              <w:rPr>
                <w:b/>
                <w:sz w:val="24"/>
              </w:rPr>
              <w:t>23</w:t>
            </w:r>
          </w:p>
        </w:tc>
        <w:tc>
          <w:tcPr>
            <w:tcW w:w="2524" w:type="dxa"/>
            <w:tcBorders>
              <w:left w:val="single" w:sz="4" w:space="0" w:color="7E7E7E"/>
            </w:tcBorders>
          </w:tcPr>
          <w:p>
            <w:pPr>
              <w:pStyle w:val="TableParagraph"/>
              <w:spacing w:line="272" w:lineRule="exact"/>
              <w:ind w:left="234" w:right="213"/>
              <w:rPr>
                <w:sz w:val="24"/>
              </w:rPr>
            </w:pPr>
            <w:r>
              <w:rPr>
                <w:sz w:val="24"/>
              </w:rPr>
              <w:t>269</w:t>
            </w:r>
          </w:p>
        </w:tc>
        <w:tc>
          <w:tcPr>
            <w:tcW w:w="2450" w:type="dxa"/>
          </w:tcPr>
          <w:p>
            <w:pPr>
              <w:pStyle w:val="TableParagraph"/>
              <w:spacing w:line="272" w:lineRule="exact"/>
              <w:ind w:left="859" w:right="950"/>
              <w:rPr>
                <w:sz w:val="24"/>
              </w:rPr>
            </w:pPr>
            <w:r>
              <w:rPr>
                <w:sz w:val="24"/>
              </w:rPr>
              <w:t>273.5</w:t>
            </w:r>
          </w:p>
        </w:tc>
        <w:tc>
          <w:tcPr>
            <w:tcW w:w="1813" w:type="dxa"/>
          </w:tcPr>
          <w:p>
            <w:pPr>
              <w:pStyle w:val="TableParagraph"/>
              <w:spacing w:line="272" w:lineRule="exact"/>
              <w:ind w:left="313" w:right="377"/>
              <w:rPr>
                <w:sz w:val="24"/>
              </w:rPr>
            </w:pPr>
            <w:r>
              <w:rPr>
                <w:sz w:val="24"/>
              </w:rPr>
              <w:t>4.5</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00"/>
              <w:jc w:val="left"/>
              <w:rPr>
                <w:b/>
                <w:sz w:val="24"/>
              </w:rPr>
            </w:pPr>
            <w:r>
              <w:rPr>
                <w:b/>
                <w:sz w:val="24"/>
              </w:rPr>
              <w:t>24</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276</w:t>
            </w:r>
          </w:p>
        </w:tc>
        <w:tc>
          <w:tcPr>
            <w:tcW w:w="2450" w:type="dxa"/>
            <w:shd w:val="clear" w:color="auto" w:fill="F1F1F1"/>
          </w:tcPr>
          <w:p>
            <w:pPr>
              <w:pStyle w:val="TableParagraph"/>
              <w:spacing w:line="272" w:lineRule="exact"/>
              <w:ind w:left="859" w:right="950"/>
              <w:rPr>
                <w:sz w:val="24"/>
              </w:rPr>
            </w:pPr>
            <w:r>
              <w:rPr>
                <w:sz w:val="24"/>
              </w:rPr>
              <w:t>278.8</w:t>
            </w:r>
          </w:p>
        </w:tc>
        <w:tc>
          <w:tcPr>
            <w:tcW w:w="1813" w:type="dxa"/>
            <w:shd w:val="clear" w:color="auto" w:fill="F1F1F1"/>
          </w:tcPr>
          <w:p>
            <w:pPr>
              <w:pStyle w:val="TableParagraph"/>
              <w:spacing w:line="272" w:lineRule="exact"/>
              <w:ind w:left="313" w:right="377"/>
              <w:rPr>
                <w:sz w:val="24"/>
              </w:rPr>
            </w:pPr>
            <w:r>
              <w:rPr>
                <w:sz w:val="24"/>
              </w:rPr>
              <w:t>2.8</w:t>
            </w:r>
          </w:p>
        </w:tc>
      </w:tr>
      <w:tr>
        <w:trPr>
          <w:trHeight w:val="298" w:hRule="exact"/>
        </w:trPr>
        <w:tc>
          <w:tcPr>
            <w:tcW w:w="1146" w:type="dxa"/>
            <w:tcBorders>
              <w:right w:val="single" w:sz="4" w:space="0" w:color="7E7E7E"/>
            </w:tcBorders>
          </w:tcPr>
          <w:p>
            <w:pPr>
              <w:pStyle w:val="TableParagraph"/>
              <w:spacing w:line="272" w:lineRule="exact"/>
              <w:ind w:left="200"/>
              <w:jc w:val="left"/>
              <w:rPr>
                <w:b/>
                <w:sz w:val="24"/>
              </w:rPr>
            </w:pPr>
            <w:r>
              <w:rPr>
                <w:b/>
                <w:sz w:val="24"/>
              </w:rPr>
              <w:t>25</w:t>
            </w:r>
          </w:p>
        </w:tc>
        <w:tc>
          <w:tcPr>
            <w:tcW w:w="2524" w:type="dxa"/>
            <w:tcBorders>
              <w:left w:val="single" w:sz="4" w:space="0" w:color="7E7E7E"/>
            </w:tcBorders>
          </w:tcPr>
          <w:p>
            <w:pPr>
              <w:pStyle w:val="TableParagraph"/>
              <w:spacing w:line="272" w:lineRule="exact"/>
              <w:ind w:left="234" w:right="213"/>
              <w:rPr>
                <w:sz w:val="24"/>
              </w:rPr>
            </w:pPr>
            <w:r>
              <w:rPr>
                <w:sz w:val="24"/>
              </w:rPr>
              <w:t>263</w:t>
            </w:r>
          </w:p>
        </w:tc>
        <w:tc>
          <w:tcPr>
            <w:tcW w:w="2450" w:type="dxa"/>
          </w:tcPr>
          <w:p>
            <w:pPr>
              <w:pStyle w:val="TableParagraph"/>
              <w:spacing w:line="272" w:lineRule="exact"/>
              <w:ind w:left="859" w:right="950"/>
              <w:rPr>
                <w:sz w:val="24"/>
              </w:rPr>
            </w:pPr>
            <w:r>
              <w:rPr>
                <w:sz w:val="24"/>
              </w:rPr>
              <w:t>267.3</w:t>
            </w:r>
          </w:p>
        </w:tc>
        <w:tc>
          <w:tcPr>
            <w:tcW w:w="1813" w:type="dxa"/>
          </w:tcPr>
          <w:p>
            <w:pPr>
              <w:pStyle w:val="TableParagraph"/>
              <w:spacing w:line="272" w:lineRule="exact"/>
              <w:ind w:left="313" w:right="377"/>
              <w:rPr>
                <w:sz w:val="24"/>
              </w:rPr>
            </w:pPr>
            <w:r>
              <w:rPr>
                <w:sz w:val="24"/>
              </w:rPr>
              <w:t>4.3</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00"/>
              <w:jc w:val="left"/>
              <w:rPr>
                <w:b/>
                <w:sz w:val="24"/>
              </w:rPr>
            </w:pPr>
            <w:r>
              <w:rPr>
                <w:b/>
                <w:sz w:val="24"/>
              </w:rPr>
              <w:t>26</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262.5</w:t>
            </w:r>
          </w:p>
        </w:tc>
        <w:tc>
          <w:tcPr>
            <w:tcW w:w="2450" w:type="dxa"/>
            <w:shd w:val="clear" w:color="auto" w:fill="F1F1F1"/>
          </w:tcPr>
          <w:p>
            <w:pPr>
              <w:pStyle w:val="TableParagraph"/>
              <w:spacing w:line="272" w:lineRule="exact"/>
              <w:ind w:left="859" w:right="950"/>
              <w:rPr>
                <w:sz w:val="24"/>
              </w:rPr>
            </w:pPr>
            <w:r>
              <w:rPr>
                <w:sz w:val="24"/>
              </w:rPr>
              <w:t>266.5</w:t>
            </w:r>
          </w:p>
        </w:tc>
        <w:tc>
          <w:tcPr>
            <w:tcW w:w="1813" w:type="dxa"/>
            <w:shd w:val="clear" w:color="auto" w:fill="F1F1F1"/>
          </w:tcPr>
          <w:p>
            <w:pPr>
              <w:pStyle w:val="TableParagraph"/>
              <w:spacing w:line="272" w:lineRule="exact"/>
              <w:ind w:right="68"/>
              <w:rPr>
                <w:sz w:val="24"/>
              </w:rPr>
            </w:pPr>
            <w:r>
              <w:rPr>
                <w:w w:val="99"/>
                <w:sz w:val="24"/>
              </w:rPr>
              <w:t>4</w:t>
            </w:r>
          </w:p>
        </w:tc>
      </w:tr>
      <w:tr>
        <w:trPr>
          <w:trHeight w:val="295" w:hRule="exact"/>
        </w:trPr>
        <w:tc>
          <w:tcPr>
            <w:tcW w:w="1146" w:type="dxa"/>
            <w:tcBorders>
              <w:right w:val="single" w:sz="4" w:space="0" w:color="7E7E7E"/>
            </w:tcBorders>
          </w:tcPr>
          <w:p>
            <w:pPr>
              <w:pStyle w:val="TableParagraph"/>
              <w:spacing w:line="272" w:lineRule="exact"/>
              <w:ind w:left="200"/>
              <w:jc w:val="left"/>
              <w:rPr>
                <w:b/>
                <w:sz w:val="24"/>
              </w:rPr>
            </w:pPr>
            <w:r>
              <w:rPr>
                <w:b/>
                <w:sz w:val="24"/>
              </w:rPr>
              <w:t>27</w:t>
            </w:r>
          </w:p>
        </w:tc>
        <w:tc>
          <w:tcPr>
            <w:tcW w:w="2524" w:type="dxa"/>
            <w:tcBorders>
              <w:left w:val="single" w:sz="4" w:space="0" w:color="7E7E7E"/>
            </w:tcBorders>
          </w:tcPr>
          <w:p>
            <w:pPr>
              <w:pStyle w:val="TableParagraph"/>
              <w:spacing w:line="272" w:lineRule="exact"/>
              <w:ind w:left="234" w:right="213"/>
              <w:rPr>
                <w:sz w:val="24"/>
              </w:rPr>
            </w:pPr>
            <w:r>
              <w:rPr>
                <w:sz w:val="24"/>
              </w:rPr>
              <w:t>263</w:t>
            </w:r>
          </w:p>
        </w:tc>
        <w:tc>
          <w:tcPr>
            <w:tcW w:w="2450" w:type="dxa"/>
          </w:tcPr>
          <w:p>
            <w:pPr>
              <w:pStyle w:val="TableParagraph"/>
              <w:spacing w:line="272" w:lineRule="exact"/>
              <w:ind w:left="859" w:right="950"/>
              <w:rPr>
                <w:sz w:val="24"/>
              </w:rPr>
            </w:pPr>
            <w:r>
              <w:rPr>
                <w:sz w:val="24"/>
              </w:rPr>
              <w:t>270.2</w:t>
            </w:r>
          </w:p>
        </w:tc>
        <w:tc>
          <w:tcPr>
            <w:tcW w:w="1813" w:type="dxa"/>
          </w:tcPr>
          <w:p>
            <w:pPr>
              <w:pStyle w:val="TableParagraph"/>
              <w:spacing w:line="272" w:lineRule="exact"/>
              <w:ind w:left="313" w:right="377"/>
              <w:rPr>
                <w:sz w:val="24"/>
              </w:rPr>
            </w:pPr>
            <w:r>
              <w:rPr>
                <w:sz w:val="24"/>
              </w:rPr>
              <w:t>7.2</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00"/>
              <w:jc w:val="left"/>
              <w:rPr>
                <w:b/>
                <w:sz w:val="24"/>
              </w:rPr>
            </w:pPr>
            <w:r>
              <w:rPr>
                <w:b/>
                <w:sz w:val="24"/>
              </w:rPr>
              <w:t>28</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264.5</w:t>
            </w:r>
          </w:p>
        </w:tc>
        <w:tc>
          <w:tcPr>
            <w:tcW w:w="2450" w:type="dxa"/>
            <w:shd w:val="clear" w:color="auto" w:fill="F1F1F1"/>
          </w:tcPr>
          <w:p>
            <w:pPr>
              <w:pStyle w:val="TableParagraph"/>
              <w:spacing w:line="272" w:lineRule="exact"/>
              <w:ind w:left="859" w:right="950"/>
              <w:rPr>
                <w:sz w:val="24"/>
              </w:rPr>
            </w:pPr>
            <w:r>
              <w:rPr>
                <w:sz w:val="24"/>
              </w:rPr>
              <w:t>269.5</w:t>
            </w:r>
          </w:p>
        </w:tc>
        <w:tc>
          <w:tcPr>
            <w:tcW w:w="1813" w:type="dxa"/>
            <w:shd w:val="clear" w:color="auto" w:fill="F1F1F1"/>
          </w:tcPr>
          <w:p>
            <w:pPr>
              <w:pStyle w:val="TableParagraph"/>
              <w:spacing w:line="272" w:lineRule="exact"/>
              <w:ind w:right="68"/>
              <w:rPr>
                <w:sz w:val="24"/>
              </w:rPr>
            </w:pPr>
            <w:r>
              <w:rPr>
                <w:w w:val="99"/>
                <w:sz w:val="24"/>
              </w:rPr>
              <w:t>5</w:t>
            </w:r>
          </w:p>
        </w:tc>
      </w:tr>
      <w:tr>
        <w:trPr>
          <w:trHeight w:val="298" w:hRule="exact"/>
        </w:trPr>
        <w:tc>
          <w:tcPr>
            <w:tcW w:w="1146" w:type="dxa"/>
            <w:tcBorders>
              <w:right w:val="single" w:sz="4" w:space="0" w:color="7E7E7E"/>
            </w:tcBorders>
          </w:tcPr>
          <w:p>
            <w:pPr>
              <w:pStyle w:val="TableParagraph"/>
              <w:spacing w:line="272" w:lineRule="exact"/>
              <w:ind w:left="200"/>
              <w:jc w:val="left"/>
              <w:rPr>
                <w:b/>
                <w:sz w:val="24"/>
              </w:rPr>
            </w:pPr>
            <w:r>
              <w:rPr>
                <w:b/>
                <w:sz w:val="24"/>
              </w:rPr>
              <w:t>29</w:t>
            </w:r>
          </w:p>
        </w:tc>
        <w:tc>
          <w:tcPr>
            <w:tcW w:w="2524" w:type="dxa"/>
            <w:tcBorders>
              <w:left w:val="single" w:sz="4" w:space="0" w:color="7E7E7E"/>
            </w:tcBorders>
          </w:tcPr>
          <w:p>
            <w:pPr>
              <w:pStyle w:val="TableParagraph"/>
              <w:spacing w:line="272" w:lineRule="exact"/>
              <w:ind w:left="234" w:right="213"/>
              <w:rPr>
                <w:sz w:val="24"/>
              </w:rPr>
            </w:pPr>
            <w:r>
              <w:rPr>
                <w:sz w:val="24"/>
              </w:rPr>
              <w:t>262.5</w:t>
            </w:r>
          </w:p>
        </w:tc>
        <w:tc>
          <w:tcPr>
            <w:tcW w:w="2450" w:type="dxa"/>
          </w:tcPr>
          <w:p>
            <w:pPr>
              <w:pStyle w:val="TableParagraph"/>
              <w:spacing w:line="272" w:lineRule="exact"/>
              <w:ind w:left="859" w:right="946"/>
              <w:rPr>
                <w:sz w:val="24"/>
              </w:rPr>
            </w:pPr>
            <w:r>
              <w:rPr>
                <w:sz w:val="24"/>
              </w:rPr>
              <w:t>267</w:t>
            </w:r>
          </w:p>
        </w:tc>
        <w:tc>
          <w:tcPr>
            <w:tcW w:w="1813" w:type="dxa"/>
          </w:tcPr>
          <w:p>
            <w:pPr>
              <w:pStyle w:val="TableParagraph"/>
              <w:spacing w:line="272" w:lineRule="exact"/>
              <w:ind w:left="313" w:right="377"/>
              <w:rPr>
                <w:sz w:val="24"/>
              </w:rPr>
            </w:pPr>
            <w:r>
              <w:rPr>
                <w:sz w:val="24"/>
              </w:rPr>
              <w:t>4.5</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00"/>
              <w:jc w:val="left"/>
              <w:rPr>
                <w:b/>
                <w:sz w:val="24"/>
              </w:rPr>
            </w:pPr>
            <w:r>
              <w:rPr>
                <w:b/>
                <w:sz w:val="24"/>
              </w:rPr>
              <w:t>30</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260.5</w:t>
            </w:r>
          </w:p>
        </w:tc>
        <w:tc>
          <w:tcPr>
            <w:tcW w:w="2450" w:type="dxa"/>
            <w:shd w:val="clear" w:color="auto" w:fill="F1F1F1"/>
          </w:tcPr>
          <w:p>
            <w:pPr>
              <w:pStyle w:val="TableParagraph"/>
              <w:spacing w:line="272" w:lineRule="exact"/>
              <w:ind w:left="859" w:right="946"/>
              <w:rPr>
                <w:sz w:val="24"/>
              </w:rPr>
            </w:pPr>
            <w:r>
              <w:rPr>
                <w:sz w:val="24"/>
              </w:rPr>
              <w:t>264</w:t>
            </w:r>
          </w:p>
        </w:tc>
        <w:tc>
          <w:tcPr>
            <w:tcW w:w="1813" w:type="dxa"/>
            <w:shd w:val="clear" w:color="auto" w:fill="F1F1F1"/>
          </w:tcPr>
          <w:p>
            <w:pPr>
              <w:pStyle w:val="TableParagraph"/>
              <w:spacing w:line="272" w:lineRule="exact"/>
              <w:ind w:left="313" w:right="377"/>
              <w:rPr>
                <w:sz w:val="24"/>
              </w:rPr>
            </w:pPr>
            <w:r>
              <w:rPr>
                <w:sz w:val="24"/>
              </w:rPr>
              <w:t>3.5</w:t>
            </w:r>
          </w:p>
        </w:tc>
      </w:tr>
      <w:tr>
        <w:trPr>
          <w:trHeight w:val="295" w:hRule="exact"/>
        </w:trPr>
        <w:tc>
          <w:tcPr>
            <w:tcW w:w="1146" w:type="dxa"/>
            <w:tcBorders>
              <w:right w:val="single" w:sz="4" w:space="0" w:color="7E7E7E"/>
            </w:tcBorders>
          </w:tcPr>
          <w:p>
            <w:pPr>
              <w:pStyle w:val="TableParagraph"/>
              <w:spacing w:line="272" w:lineRule="exact"/>
              <w:ind w:left="200"/>
              <w:jc w:val="left"/>
              <w:rPr>
                <w:b/>
                <w:sz w:val="24"/>
              </w:rPr>
            </w:pPr>
            <w:r>
              <w:rPr>
                <w:b/>
                <w:sz w:val="24"/>
              </w:rPr>
              <w:t>31</w:t>
            </w:r>
          </w:p>
        </w:tc>
        <w:tc>
          <w:tcPr>
            <w:tcW w:w="2524" w:type="dxa"/>
            <w:tcBorders>
              <w:left w:val="single" w:sz="4" w:space="0" w:color="7E7E7E"/>
            </w:tcBorders>
          </w:tcPr>
          <w:p>
            <w:pPr>
              <w:pStyle w:val="TableParagraph"/>
              <w:spacing w:line="272" w:lineRule="exact"/>
              <w:ind w:left="234" w:right="213"/>
              <w:rPr>
                <w:sz w:val="24"/>
              </w:rPr>
            </w:pPr>
            <w:r>
              <w:rPr>
                <w:sz w:val="24"/>
              </w:rPr>
              <w:t>264.5</w:t>
            </w:r>
          </w:p>
        </w:tc>
        <w:tc>
          <w:tcPr>
            <w:tcW w:w="2450" w:type="dxa"/>
          </w:tcPr>
          <w:p>
            <w:pPr>
              <w:pStyle w:val="TableParagraph"/>
              <w:spacing w:line="272" w:lineRule="exact"/>
              <w:ind w:left="859" w:right="946"/>
              <w:rPr>
                <w:sz w:val="24"/>
              </w:rPr>
            </w:pPr>
            <w:r>
              <w:rPr>
                <w:sz w:val="24"/>
              </w:rPr>
              <w:t>268</w:t>
            </w:r>
          </w:p>
        </w:tc>
        <w:tc>
          <w:tcPr>
            <w:tcW w:w="1813" w:type="dxa"/>
          </w:tcPr>
          <w:p>
            <w:pPr>
              <w:pStyle w:val="TableParagraph"/>
              <w:spacing w:line="272" w:lineRule="exact"/>
              <w:ind w:left="313" w:right="377"/>
              <w:rPr>
                <w:sz w:val="24"/>
              </w:rPr>
            </w:pPr>
            <w:r>
              <w:rPr>
                <w:sz w:val="24"/>
              </w:rPr>
              <w:t>3.5</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00"/>
              <w:jc w:val="left"/>
              <w:rPr>
                <w:b/>
                <w:sz w:val="24"/>
              </w:rPr>
            </w:pPr>
            <w:r>
              <w:rPr>
                <w:b/>
                <w:sz w:val="24"/>
              </w:rPr>
              <w:t>32</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261.5</w:t>
            </w:r>
          </w:p>
        </w:tc>
        <w:tc>
          <w:tcPr>
            <w:tcW w:w="2450" w:type="dxa"/>
            <w:shd w:val="clear" w:color="auto" w:fill="F1F1F1"/>
          </w:tcPr>
          <w:p>
            <w:pPr>
              <w:pStyle w:val="TableParagraph"/>
              <w:spacing w:line="272" w:lineRule="exact"/>
              <w:ind w:left="859" w:right="950"/>
              <w:rPr>
                <w:sz w:val="24"/>
              </w:rPr>
            </w:pPr>
            <w:r>
              <w:rPr>
                <w:sz w:val="24"/>
              </w:rPr>
              <w:t>266.1</w:t>
            </w:r>
          </w:p>
        </w:tc>
        <w:tc>
          <w:tcPr>
            <w:tcW w:w="1813" w:type="dxa"/>
            <w:shd w:val="clear" w:color="auto" w:fill="F1F1F1"/>
          </w:tcPr>
          <w:p>
            <w:pPr>
              <w:pStyle w:val="TableParagraph"/>
              <w:spacing w:line="272" w:lineRule="exact"/>
              <w:ind w:left="313" w:right="377"/>
              <w:rPr>
                <w:sz w:val="24"/>
              </w:rPr>
            </w:pPr>
            <w:r>
              <w:rPr>
                <w:sz w:val="24"/>
              </w:rPr>
              <w:t>4.6</w:t>
            </w:r>
          </w:p>
        </w:tc>
      </w:tr>
      <w:tr>
        <w:trPr>
          <w:trHeight w:val="298" w:hRule="exact"/>
        </w:trPr>
        <w:tc>
          <w:tcPr>
            <w:tcW w:w="1146" w:type="dxa"/>
            <w:tcBorders>
              <w:right w:val="single" w:sz="4" w:space="0" w:color="7E7E7E"/>
            </w:tcBorders>
          </w:tcPr>
          <w:p>
            <w:pPr>
              <w:pStyle w:val="TableParagraph"/>
              <w:spacing w:line="272" w:lineRule="exact"/>
              <w:ind w:left="200"/>
              <w:jc w:val="left"/>
              <w:rPr>
                <w:b/>
                <w:sz w:val="24"/>
              </w:rPr>
            </w:pPr>
            <w:r>
              <w:rPr>
                <w:b/>
                <w:sz w:val="24"/>
              </w:rPr>
              <w:t>33</w:t>
            </w:r>
          </w:p>
        </w:tc>
        <w:tc>
          <w:tcPr>
            <w:tcW w:w="2524" w:type="dxa"/>
            <w:tcBorders>
              <w:left w:val="single" w:sz="4" w:space="0" w:color="7E7E7E"/>
            </w:tcBorders>
          </w:tcPr>
          <w:p>
            <w:pPr>
              <w:pStyle w:val="TableParagraph"/>
              <w:spacing w:line="272" w:lineRule="exact"/>
              <w:ind w:left="234" w:right="213"/>
              <w:rPr>
                <w:sz w:val="24"/>
              </w:rPr>
            </w:pPr>
            <w:r>
              <w:rPr>
                <w:sz w:val="24"/>
              </w:rPr>
              <w:t>258.5</w:t>
            </w:r>
          </w:p>
        </w:tc>
        <w:tc>
          <w:tcPr>
            <w:tcW w:w="2450" w:type="dxa"/>
          </w:tcPr>
          <w:p>
            <w:pPr>
              <w:pStyle w:val="TableParagraph"/>
              <w:spacing w:line="272" w:lineRule="exact"/>
              <w:ind w:left="859" w:right="950"/>
              <w:rPr>
                <w:sz w:val="24"/>
              </w:rPr>
            </w:pPr>
            <w:r>
              <w:rPr>
                <w:sz w:val="24"/>
              </w:rPr>
              <w:t>261.9</w:t>
            </w:r>
          </w:p>
        </w:tc>
        <w:tc>
          <w:tcPr>
            <w:tcW w:w="1813" w:type="dxa"/>
          </w:tcPr>
          <w:p>
            <w:pPr>
              <w:pStyle w:val="TableParagraph"/>
              <w:spacing w:line="272" w:lineRule="exact"/>
              <w:ind w:left="313" w:right="377"/>
              <w:rPr>
                <w:sz w:val="24"/>
              </w:rPr>
            </w:pPr>
            <w:r>
              <w:rPr>
                <w:sz w:val="24"/>
              </w:rPr>
              <w:t>3.4</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00"/>
              <w:jc w:val="left"/>
              <w:rPr>
                <w:b/>
                <w:sz w:val="24"/>
              </w:rPr>
            </w:pPr>
            <w:r>
              <w:rPr>
                <w:b/>
                <w:sz w:val="24"/>
              </w:rPr>
              <w:t>34</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267.5</w:t>
            </w:r>
          </w:p>
        </w:tc>
        <w:tc>
          <w:tcPr>
            <w:tcW w:w="2450" w:type="dxa"/>
            <w:shd w:val="clear" w:color="auto" w:fill="F1F1F1"/>
          </w:tcPr>
          <w:p>
            <w:pPr>
              <w:pStyle w:val="TableParagraph"/>
              <w:spacing w:line="272" w:lineRule="exact"/>
              <w:ind w:left="859" w:right="950"/>
              <w:rPr>
                <w:sz w:val="24"/>
              </w:rPr>
            </w:pPr>
            <w:r>
              <w:rPr>
                <w:sz w:val="24"/>
              </w:rPr>
              <w:t>271.8</w:t>
            </w:r>
          </w:p>
        </w:tc>
        <w:tc>
          <w:tcPr>
            <w:tcW w:w="1813" w:type="dxa"/>
            <w:shd w:val="clear" w:color="auto" w:fill="F1F1F1"/>
          </w:tcPr>
          <w:p>
            <w:pPr>
              <w:pStyle w:val="TableParagraph"/>
              <w:spacing w:line="272" w:lineRule="exact"/>
              <w:ind w:left="313" w:right="377"/>
              <w:rPr>
                <w:sz w:val="24"/>
              </w:rPr>
            </w:pPr>
            <w:r>
              <w:rPr>
                <w:sz w:val="24"/>
              </w:rPr>
              <w:t>4.3</w:t>
            </w:r>
          </w:p>
        </w:tc>
      </w:tr>
      <w:tr>
        <w:trPr>
          <w:trHeight w:val="295" w:hRule="exact"/>
        </w:trPr>
        <w:tc>
          <w:tcPr>
            <w:tcW w:w="1146" w:type="dxa"/>
            <w:tcBorders>
              <w:right w:val="single" w:sz="4" w:space="0" w:color="7E7E7E"/>
            </w:tcBorders>
          </w:tcPr>
          <w:p>
            <w:pPr>
              <w:pStyle w:val="TableParagraph"/>
              <w:spacing w:line="272" w:lineRule="exact"/>
              <w:ind w:left="200"/>
              <w:jc w:val="left"/>
              <w:rPr>
                <w:b/>
                <w:sz w:val="24"/>
              </w:rPr>
            </w:pPr>
            <w:r>
              <w:rPr>
                <w:b/>
                <w:sz w:val="24"/>
              </w:rPr>
              <w:t>35</w:t>
            </w:r>
          </w:p>
        </w:tc>
        <w:tc>
          <w:tcPr>
            <w:tcW w:w="2524" w:type="dxa"/>
            <w:tcBorders>
              <w:left w:val="single" w:sz="4" w:space="0" w:color="7E7E7E"/>
            </w:tcBorders>
          </w:tcPr>
          <w:p>
            <w:pPr>
              <w:pStyle w:val="TableParagraph"/>
              <w:spacing w:line="272" w:lineRule="exact"/>
              <w:ind w:left="234" w:right="213"/>
              <w:rPr>
                <w:sz w:val="24"/>
              </w:rPr>
            </w:pPr>
            <w:r>
              <w:rPr>
                <w:sz w:val="24"/>
              </w:rPr>
              <w:t>261.5</w:t>
            </w:r>
          </w:p>
        </w:tc>
        <w:tc>
          <w:tcPr>
            <w:tcW w:w="2450" w:type="dxa"/>
          </w:tcPr>
          <w:p>
            <w:pPr>
              <w:pStyle w:val="TableParagraph"/>
              <w:spacing w:line="272" w:lineRule="exact"/>
              <w:ind w:left="859" w:right="950"/>
              <w:rPr>
                <w:sz w:val="24"/>
              </w:rPr>
            </w:pPr>
            <w:r>
              <w:rPr>
                <w:sz w:val="24"/>
              </w:rPr>
              <w:t>266.2</w:t>
            </w:r>
          </w:p>
        </w:tc>
        <w:tc>
          <w:tcPr>
            <w:tcW w:w="1813" w:type="dxa"/>
          </w:tcPr>
          <w:p>
            <w:pPr>
              <w:pStyle w:val="TableParagraph"/>
              <w:spacing w:line="272" w:lineRule="exact"/>
              <w:ind w:left="313" w:right="377"/>
              <w:rPr>
                <w:sz w:val="24"/>
              </w:rPr>
            </w:pPr>
            <w:r>
              <w:rPr>
                <w:sz w:val="24"/>
              </w:rPr>
              <w:t>4.7</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00"/>
              <w:jc w:val="left"/>
              <w:rPr>
                <w:b/>
                <w:sz w:val="24"/>
              </w:rPr>
            </w:pPr>
            <w:r>
              <w:rPr>
                <w:b/>
                <w:sz w:val="24"/>
              </w:rPr>
              <w:t>36</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262.5</w:t>
            </w:r>
          </w:p>
        </w:tc>
        <w:tc>
          <w:tcPr>
            <w:tcW w:w="2450" w:type="dxa"/>
            <w:shd w:val="clear" w:color="auto" w:fill="F1F1F1"/>
          </w:tcPr>
          <w:p>
            <w:pPr>
              <w:pStyle w:val="TableParagraph"/>
              <w:spacing w:line="272" w:lineRule="exact"/>
              <w:ind w:left="859" w:right="950"/>
              <w:rPr>
                <w:sz w:val="24"/>
              </w:rPr>
            </w:pPr>
            <w:r>
              <w:rPr>
                <w:sz w:val="24"/>
              </w:rPr>
              <w:t>267.9</w:t>
            </w:r>
          </w:p>
        </w:tc>
        <w:tc>
          <w:tcPr>
            <w:tcW w:w="1813" w:type="dxa"/>
            <w:shd w:val="clear" w:color="auto" w:fill="F1F1F1"/>
          </w:tcPr>
          <w:p>
            <w:pPr>
              <w:pStyle w:val="TableParagraph"/>
              <w:spacing w:line="272" w:lineRule="exact"/>
              <w:ind w:left="313" w:right="377"/>
              <w:rPr>
                <w:sz w:val="24"/>
              </w:rPr>
            </w:pPr>
            <w:r>
              <w:rPr>
                <w:sz w:val="24"/>
              </w:rPr>
              <w:t>5.4</w:t>
            </w:r>
          </w:p>
        </w:tc>
      </w:tr>
      <w:tr>
        <w:trPr>
          <w:trHeight w:val="298" w:hRule="exact"/>
        </w:trPr>
        <w:tc>
          <w:tcPr>
            <w:tcW w:w="1146" w:type="dxa"/>
            <w:tcBorders>
              <w:right w:val="single" w:sz="4" w:space="0" w:color="7E7E7E"/>
            </w:tcBorders>
          </w:tcPr>
          <w:p>
            <w:pPr>
              <w:pStyle w:val="TableParagraph"/>
              <w:spacing w:line="272" w:lineRule="exact"/>
              <w:ind w:left="200"/>
              <w:jc w:val="left"/>
              <w:rPr>
                <w:b/>
                <w:sz w:val="24"/>
              </w:rPr>
            </w:pPr>
            <w:r>
              <w:rPr>
                <w:b/>
                <w:sz w:val="24"/>
              </w:rPr>
              <w:t>37</w:t>
            </w:r>
          </w:p>
        </w:tc>
        <w:tc>
          <w:tcPr>
            <w:tcW w:w="2524" w:type="dxa"/>
            <w:tcBorders>
              <w:left w:val="single" w:sz="4" w:space="0" w:color="7E7E7E"/>
            </w:tcBorders>
          </w:tcPr>
          <w:p>
            <w:pPr>
              <w:pStyle w:val="TableParagraph"/>
              <w:spacing w:line="272" w:lineRule="exact"/>
              <w:ind w:left="234" w:right="213"/>
              <w:rPr>
                <w:sz w:val="24"/>
              </w:rPr>
            </w:pPr>
            <w:r>
              <w:rPr>
                <w:sz w:val="24"/>
              </w:rPr>
              <w:t>265</w:t>
            </w:r>
          </w:p>
        </w:tc>
        <w:tc>
          <w:tcPr>
            <w:tcW w:w="2450" w:type="dxa"/>
          </w:tcPr>
          <w:p>
            <w:pPr>
              <w:pStyle w:val="TableParagraph"/>
              <w:spacing w:line="272" w:lineRule="exact"/>
              <w:ind w:left="859" w:right="950"/>
              <w:rPr>
                <w:sz w:val="24"/>
              </w:rPr>
            </w:pPr>
            <w:r>
              <w:rPr>
                <w:sz w:val="24"/>
              </w:rPr>
              <w:t>269.8</w:t>
            </w:r>
          </w:p>
        </w:tc>
        <w:tc>
          <w:tcPr>
            <w:tcW w:w="1813" w:type="dxa"/>
          </w:tcPr>
          <w:p>
            <w:pPr>
              <w:pStyle w:val="TableParagraph"/>
              <w:spacing w:line="272" w:lineRule="exact"/>
              <w:ind w:left="313" w:right="377"/>
              <w:rPr>
                <w:sz w:val="24"/>
              </w:rPr>
            </w:pPr>
            <w:r>
              <w:rPr>
                <w:sz w:val="24"/>
              </w:rPr>
              <w:t>4.8</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00"/>
              <w:jc w:val="left"/>
              <w:rPr>
                <w:b/>
                <w:sz w:val="24"/>
              </w:rPr>
            </w:pPr>
            <w:r>
              <w:rPr>
                <w:b/>
                <w:sz w:val="24"/>
              </w:rPr>
              <w:t>38</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256.5</w:t>
            </w:r>
          </w:p>
        </w:tc>
        <w:tc>
          <w:tcPr>
            <w:tcW w:w="2450" w:type="dxa"/>
            <w:shd w:val="clear" w:color="auto" w:fill="F1F1F1"/>
          </w:tcPr>
          <w:p>
            <w:pPr>
              <w:pStyle w:val="TableParagraph"/>
              <w:spacing w:line="272" w:lineRule="exact"/>
              <w:ind w:left="859" w:right="946"/>
              <w:rPr>
                <w:sz w:val="24"/>
              </w:rPr>
            </w:pPr>
            <w:r>
              <w:rPr>
                <w:sz w:val="24"/>
              </w:rPr>
              <w:t>264</w:t>
            </w:r>
          </w:p>
        </w:tc>
        <w:tc>
          <w:tcPr>
            <w:tcW w:w="1813" w:type="dxa"/>
            <w:shd w:val="clear" w:color="auto" w:fill="F1F1F1"/>
          </w:tcPr>
          <w:p>
            <w:pPr>
              <w:pStyle w:val="TableParagraph"/>
              <w:spacing w:line="272" w:lineRule="exact"/>
              <w:ind w:left="313" w:right="377"/>
              <w:rPr>
                <w:sz w:val="24"/>
              </w:rPr>
            </w:pPr>
            <w:r>
              <w:rPr>
                <w:sz w:val="24"/>
              </w:rPr>
              <w:t>7.5</w:t>
            </w:r>
          </w:p>
        </w:tc>
      </w:tr>
      <w:tr>
        <w:trPr>
          <w:trHeight w:val="296" w:hRule="exact"/>
        </w:trPr>
        <w:tc>
          <w:tcPr>
            <w:tcW w:w="1146" w:type="dxa"/>
            <w:tcBorders>
              <w:right w:val="single" w:sz="4" w:space="0" w:color="7E7E7E"/>
            </w:tcBorders>
          </w:tcPr>
          <w:p>
            <w:pPr>
              <w:pStyle w:val="TableParagraph"/>
              <w:spacing w:line="272" w:lineRule="exact"/>
              <w:ind w:left="200"/>
              <w:jc w:val="left"/>
              <w:rPr>
                <w:b/>
                <w:sz w:val="24"/>
              </w:rPr>
            </w:pPr>
            <w:r>
              <w:rPr>
                <w:b/>
                <w:sz w:val="24"/>
              </w:rPr>
              <w:t>39</w:t>
            </w:r>
          </w:p>
        </w:tc>
        <w:tc>
          <w:tcPr>
            <w:tcW w:w="2524" w:type="dxa"/>
            <w:tcBorders>
              <w:left w:val="single" w:sz="4" w:space="0" w:color="7E7E7E"/>
            </w:tcBorders>
          </w:tcPr>
          <w:p>
            <w:pPr>
              <w:pStyle w:val="TableParagraph"/>
              <w:spacing w:line="272" w:lineRule="exact"/>
              <w:ind w:left="234" w:right="213"/>
              <w:rPr>
                <w:sz w:val="24"/>
              </w:rPr>
            </w:pPr>
            <w:r>
              <w:rPr>
                <w:sz w:val="24"/>
              </w:rPr>
              <w:t>265.5</w:t>
            </w:r>
          </w:p>
        </w:tc>
        <w:tc>
          <w:tcPr>
            <w:tcW w:w="2450" w:type="dxa"/>
          </w:tcPr>
          <w:p>
            <w:pPr>
              <w:pStyle w:val="TableParagraph"/>
              <w:spacing w:line="272" w:lineRule="exact"/>
              <w:ind w:left="859" w:right="950"/>
              <w:rPr>
                <w:sz w:val="24"/>
              </w:rPr>
            </w:pPr>
            <w:r>
              <w:rPr>
                <w:sz w:val="24"/>
              </w:rPr>
              <w:t>270.2</w:t>
            </w:r>
          </w:p>
        </w:tc>
        <w:tc>
          <w:tcPr>
            <w:tcW w:w="1813" w:type="dxa"/>
          </w:tcPr>
          <w:p>
            <w:pPr>
              <w:pStyle w:val="TableParagraph"/>
              <w:spacing w:line="272" w:lineRule="exact"/>
              <w:ind w:left="313" w:right="377"/>
              <w:rPr>
                <w:sz w:val="24"/>
              </w:rPr>
            </w:pPr>
            <w:r>
              <w:rPr>
                <w:sz w:val="24"/>
              </w:rPr>
              <w:t>4.7</w:t>
            </w:r>
          </w:p>
        </w:tc>
      </w:tr>
      <w:tr>
        <w:trPr>
          <w:trHeight w:val="298" w:hRule="exact"/>
        </w:trPr>
        <w:tc>
          <w:tcPr>
            <w:tcW w:w="1146" w:type="dxa"/>
            <w:tcBorders>
              <w:right w:val="single" w:sz="4" w:space="0" w:color="7E7E7E"/>
            </w:tcBorders>
            <w:shd w:val="clear" w:color="auto" w:fill="F1F1F1"/>
          </w:tcPr>
          <w:p>
            <w:pPr>
              <w:pStyle w:val="TableParagraph"/>
              <w:spacing w:line="272" w:lineRule="exact"/>
              <w:ind w:left="200"/>
              <w:jc w:val="left"/>
              <w:rPr>
                <w:b/>
                <w:sz w:val="24"/>
              </w:rPr>
            </w:pPr>
            <w:r>
              <w:rPr>
                <w:b/>
                <w:sz w:val="24"/>
              </w:rPr>
              <w:t>40</w:t>
            </w:r>
          </w:p>
        </w:tc>
        <w:tc>
          <w:tcPr>
            <w:tcW w:w="2524" w:type="dxa"/>
            <w:tcBorders>
              <w:left w:val="single" w:sz="4" w:space="0" w:color="7E7E7E"/>
            </w:tcBorders>
            <w:shd w:val="clear" w:color="auto" w:fill="F1F1F1"/>
          </w:tcPr>
          <w:p>
            <w:pPr>
              <w:pStyle w:val="TableParagraph"/>
              <w:spacing w:line="272" w:lineRule="exact"/>
              <w:ind w:left="234" w:right="213"/>
              <w:rPr>
                <w:sz w:val="24"/>
              </w:rPr>
            </w:pPr>
            <w:r>
              <w:rPr>
                <w:sz w:val="24"/>
              </w:rPr>
              <w:t>260.5</w:t>
            </w:r>
          </w:p>
        </w:tc>
        <w:tc>
          <w:tcPr>
            <w:tcW w:w="2450" w:type="dxa"/>
            <w:shd w:val="clear" w:color="auto" w:fill="F1F1F1"/>
          </w:tcPr>
          <w:p>
            <w:pPr>
              <w:pStyle w:val="TableParagraph"/>
              <w:spacing w:line="272" w:lineRule="exact"/>
              <w:ind w:left="859" w:right="950"/>
              <w:rPr>
                <w:sz w:val="24"/>
              </w:rPr>
            </w:pPr>
            <w:r>
              <w:rPr>
                <w:sz w:val="24"/>
              </w:rPr>
              <w:t>263.1</w:t>
            </w:r>
          </w:p>
        </w:tc>
        <w:tc>
          <w:tcPr>
            <w:tcW w:w="1813" w:type="dxa"/>
            <w:shd w:val="clear" w:color="auto" w:fill="F1F1F1"/>
          </w:tcPr>
          <w:p>
            <w:pPr>
              <w:pStyle w:val="TableParagraph"/>
              <w:spacing w:line="272" w:lineRule="exact"/>
              <w:ind w:left="313" w:right="377"/>
              <w:rPr>
                <w:sz w:val="24"/>
              </w:rPr>
            </w:pPr>
            <w:r>
              <w:rPr>
                <w:sz w:val="24"/>
              </w:rPr>
              <w:t>2.6</w:t>
            </w:r>
          </w:p>
        </w:tc>
      </w:tr>
    </w:tbl>
    <w:p>
      <w:pPr>
        <w:spacing w:after="0" w:line="272" w:lineRule="exact"/>
        <w:rPr>
          <w:sz w:val="24"/>
        </w:rPr>
        <w:sectPr>
          <w:pgSz w:w="11910" w:h="16840"/>
          <w:pgMar w:header="0" w:footer="1043" w:top="1340" w:bottom="1240" w:left="1480" w:right="1580"/>
        </w:sectPr>
      </w:pPr>
    </w:p>
    <w:tbl>
      <w:tblPr>
        <w:tblW w:w="0" w:type="auto"/>
        <w:jc w:val="left"/>
        <w:tblInd w:w="5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46"/>
        <w:gridCol w:w="2489"/>
        <w:gridCol w:w="2352"/>
        <w:gridCol w:w="1374"/>
      </w:tblGrid>
      <w:tr>
        <w:trPr>
          <w:trHeight w:val="298" w:hRule="exact"/>
        </w:trPr>
        <w:tc>
          <w:tcPr>
            <w:tcW w:w="1146" w:type="dxa"/>
            <w:tcBorders>
              <w:right w:val="single" w:sz="4" w:space="0" w:color="7E7E7E"/>
            </w:tcBorders>
          </w:tcPr>
          <w:p>
            <w:pPr>
              <w:pStyle w:val="TableParagraph"/>
              <w:spacing w:line="270" w:lineRule="exact"/>
              <w:ind w:left="200"/>
              <w:jc w:val="left"/>
              <w:rPr>
                <w:b/>
                <w:sz w:val="24"/>
              </w:rPr>
            </w:pPr>
            <w:r>
              <w:rPr>
                <w:b/>
                <w:sz w:val="24"/>
              </w:rPr>
              <w:t>41</w:t>
            </w:r>
          </w:p>
        </w:tc>
        <w:tc>
          <w:tcPr>
            <w:tcW w:w="2489" w:type="dxa"/>
            <w:tcBorders>
              <w:left w:val="single" w:sz="4" w:space="0" w:color="7E7E7E"/>
            </w:tcBorders>
          </w:tcPr>
          <w:p>
            <w:pPr>
              <w:pStyle w:val="TableParagraph"/>
              <w:spacing w:line="270" w:lineRule="exact"/>
              <w:ind w:left="949" w:right="893"/>
              <w:rPr>
                <w:sz w:val="24"/>
              </w:rPr>
            </w:pPr>
            <w:r>
              <w:rPr>
                <w:sz w:val="24"/>
              </w:rPr>
              <w:t>263.5</w:t>
            </w:r>
          </w:p>
        </w:tc>
        <w:tc>
          <w:tcPr>
            <w:tcW w:w="2352" w:type="dxa"/>
          </w:tcPr>
          <w:p>
            <w:pPr>
              <w:pStyle w:val="TableParagraph"/>
              <w:spacing w:line="270" w:lineRule="exact"/>
              <w:ind w:left="892" w:right="818"/>
              <w:rPr>
                <w:sz w:val="24"/>
              </w:rPr>
            </w:pPr>
            <w:r>
              <w:rPr>
                <w:sz w:val="24"/>
              </w:rPr>
              <w:t>270.2</w:t>
            </w:r>
          </w:p>
        </w:tc>
        <w:tc>
          <w:tcPr>
            <w:tcW w:w="1374" w:type="dxa"/>
          </w:tcPr>
          <w:p>
            <w:pPr>
              <w:pStyle w:val="TableParagraph"/>
              <w:spacing w:line="270" w:lineRule="exact"/>
              <w:ind w:right="199"/>
              <w:jc w:val="right"/>
              <w:rPr>
                <w:sz w:val="24"/>
              </w:rPr>
            </w:pPr>
            <w:r>
              <w:rPr>
                <w:sz w:val="24"/>
              </w:rPr>
              <w:t>6.7</w:t>
            </w:r>
          </w:p>
        </w:tc>
      </w:tr>
      <w:tr>
        <w:trPr>
          <w:trHeight w:val="298"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42</w:t>
            </w:r>
          </w:p>
        </w:tc>
        <w:tc>
          <w:tcPr>
            <w:tcW w:w="2489" w:type="dxa"/>
            <w:tcBorders>
              <w:left w:val="single" w:sz="4" w:space="0" w:color="7E7E7E"/>
            </w:tcBorders>
            <w:shd w:val="clear" w:color="auto" w:fill="F1F1F1"/>
          </w:tcPr>
          <w:p>
            <w:pPr>
              <w:pStyle w:val="TableParagraph"/>
              <w:ind w:left="949" w:right="893"/>
              <w:rPr>
                <w:sz w:val="24"/>
              </w:rPr>
            </w:pPr>
            <w:r>
              <w:rPr>
                <w:sz w:val="24"/>
              </w:rPr>
              <w:t>257.5</w:t>
            </w:r>
          </w:p>
        </w:tc>
        <w:tc>
          <w:tcPr>
            <w:tcW w:w="2352" w:type="dxa"/>
            <w:shd w:val="clear" w:color="auto" w:fill="F1F1F1"/>
          </w:tcPr>
          <w:p>
            <w:pPr>
              <w:pStyle w:val="TableParagraph"/>
              <w:ind w:left="892" w:right="818"/>
              <w:rPr>
                <w:sz w:val="24"/>
              </w:rPr>
            </w:pPr>
            <w:r>
              <w:rPr>
                <w:sz w:val="24"/>
              </w:rPr>
              <w:t>260.2</w:t>
            </w:r>
          </w:p>
        </w:tc>
        <w:tc>
          <w:tcPr>
            <w:tcW w:w="1374" w:type="dxa"/>
            <w:shd w:val="clear" w:color="auto" w:fill="F1F1F1"/>
          </w:tcPr>
          <w:p>
            <w:pPr>
              <w:pStyle w:val="TableParagraph"/>
              <w:ind w:right="199"/>
              <w:jc w:val="right"/>
              <w:rPr>
                <w:sz w:val="24"/>
              </w:rPr>
            </w:pPr>
            <w:r>
              <w:rPr>
                <w:sz w:val="24"/>
              </w:rPr>
              <w:t>2.7</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43</w:t>
            </w:r>
          </w:p>
        </w:tc>
        <w:tc>
          <w:tcPr>
            <w:tcW w:w="2489" w:type="dxa"/>
            <w:tcBorders>
              <w:left w:val="single" w:sz="4" w:space="0" w:color="7E7E7E"/>
            </w:tcBorders>
          </w:tcPr>
          <w:p>
            <w:pPr>
              <w:pStyle w:val="TableParagraph"/>
              <w:ind w:left="949" w:right="893"/>
              <w:rPr>
                <w:sz w:val="24"/>
              </w:rPr>
            </w:pPr>
            <w:r>
              <w:rPr>
                <w:sz w:val="24"/>
              </w:rPr>
              <w:t>266</w:t>
            </w:r>
          </w:p>
        </w:tc>
        <w:tc>
          <w:tcPr>
            <w:tcW w:w="2352" w:type="dxa"/>
          </w:tcPr>
          <w:p>
            <w:pPr>
              <w:pStyle w:val="TableParagraph"/>
              <w:ind w:left="892" w:right="818"/>
              <w:rPr>
                <w:sz w:val="24"/>
              </w:rPr>
            </w:pPr>
            <w:r>
              <w:rPr>
                <w:sz w:val="24"/>
              </w:rPr>
              <w:t>270.3</w:t>
            </w:r>
          </w:p>
        </w:tc>
        <w:tc>
          <w:tcPr>
            <w:tcW w:w="1374" w:type="dxa"/>
          </w:tcPr>
          <w:p>
            <w:pPr>
              <w:pStyle w:val="TableParagraph"/>
              <w:ind w:right="199"/>
              <w:jc w:val="right"/>
              <w:rPr>
                <w:sz w:val="24"/>
              </w:rPr>
            </w:pPr>
            <w:r>
              <w:rPr>
                <w:sz w:val="24"/>
              </w:rPr>
              <w:t>4.3</w:t>
            </w:r>
          </w:p>
        </w:tc>
      </w:tr>
      <w:tr>
        <w:trPr>
          <w:trHeight w:val="295"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44</w:t>
            </w:r>
          </w:p>
        </w:tc>
        <w:tc>
          <w:tcPr>
            <w:tcW w:w="2489" w:type="dxa"/>
            <w:tcBorders>
              <w:left w:val="single" w:sz="4" w:space="0" w:color="7E7E7E"/>
            </w:tcBorders>
            <w:shd w:val="clear" w:color="auto" w:fill="F1F1F1"/>
          </w:tcPr>
          <w:p>
            <w:pPr>
              <w:pStyle w:val="TableParagraph"/>
              <w:ind w:left="949" w:right="893"/>
              <w:rPr>
                <w:sz w:val="24"/>
              </w:rPr>
            </w:pPr>
            <w:r>
              <w:rPr>
                <w:sz w:val="24"/>
              </w:rPr>
              <w:t>262.5</w:t>
            </w:r>
          </w:p>
        </w:tc>
        <w:tc>
          <w:tcPr>
            <w:tcW w:w="2352" w:type="dxa"/>
            <w:shd w:val="clear" w:color="auto" w:fill="F1F1F1"/>
          </w:tcPr>
          <w:p>
            <w:pPr>
              <w:pStyle w:val="TableParagraph"/>
              <w:ind w:left="892" w:right="818"/>
              <w:rPr>
                <w:sz w:val="24"/>
              </w:rPr>
            </w:pPr>
            <w:r>
              <w:rPr>
                <w:sz w:val="24"/>
              </w:rPr>
              <w:t>265.5</w:t>
            </w:r>
          </w:p>
        </w:tc>
        <w:tc>
          <w:tcPr>
            <w:tcW w:w="1374" w:type="dxa"/>
            <w:shd w:val="clear" w:color="auto" w:fill="F1F1F1"/>
          </w:tcPr>
          <w:p>
            <w:pPr>
              <w:pStyle w:val="TableParagraph"/>
              <w:ind w:right="301"/>
              <w:jc w:val="right"/>
              <w:rPr>
                <w:sz w:val="24"/>
              </w:rPr>
            </w:pPr>
            <w:r>
              <w:rPr>
                <w:w w:val="99"/>
                <w:sz w:val="24"/>
              </w:rPr>
              <w:t>3</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45</w:t>
            </w:r>
          </w:p>
        </w:tc>
        <w:tc>
          <w:tcPr>
            <w:tcW w:w="2489" w:type="dxa"/>
            <w:tcBorders>
              <w:left w:val="single" w:sz="4" w:space="0" w:color="7E7E7E"/>
            </w:tcBorders>
          </w:tcPr>
          <w:p>
            <w:pPr>
              <w:pStyle w:val="TableParagraph"/>
              <w:ind w:left="949" w:right="893"/>
              <w:rPr>
                <w:sz w:val="24"/>
              </w:rPr>
            </w:pPr>
            <w:r>
              <w:rPr>
                <w:sz w:val="24"/>
              </w:rPr>
              <w:t>268.5</w:t>
            </w:r>
          </w:p>
        </w:tc>
        <w:tc>
          <w:tcPr>
            <w:tcW w:w="2352" w:type="dxa"/>
          </w:tcPr>
          <w:p>
            <w:pPr>
              <w:pStyle w:val="TableParagraph"/>
              <w:ind w:left="892" w:right="818"/>
              <w:rPr>
                <w:sz w:val="24"/>
              </w:rPr>
            </w:pPr>
            <w:r>
              <w:rPr>
                <w:sz w:val="24"/>
              </w:rPr>
              <w:t>275.4</w:t>
            </w:r>
          </w:p>
        </w:tc>
        <w:tc>
          <w:tcPr>
            <w:tcW w:w="1374" w:type="dxa"/>
          </w:tcPr>
          <w:p>
            <w:pPr>
              <w:pStyle w:val="TableParagraph"/>
              <w:ind w:right="199"/>
              <w:jc w:val="right"/>
              <w:rPr>
                <w:sz w:val="24"/>
              </w:rPr>
            </w:pPr>
            <w:r>
              <w:rPr>
                <w:sz w:val="24"/>
              </w:rPr>
              <w:t>6.9</w:t>
            </w:r>
          </w:p>
        </w:tc>
      </w:tr>
      <w:tr>
        <w:trPr>
          <w:trHeight w:val="298"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46</w:t>
            </w:r>
          </w:p>
        </w:tc>
        <w:tc>
          <w:tcPr>
            <w:tcW w:w="2489" w:type="dxa"/>
            <w:tcBorders>
              <w:left w:val="single" w:sz="4" w:space="0" w:color="7E7E7E"/>
            </w:tcBorders>
            <w:shd w:val="clear" w:color="auto" w:fill="F1F1F1"/>
          </w:tcPr>
          <w:p>
            <w:pPr>
              <w:pStyle w:val="TableParagraph"/>
              <w:ind w:left="949" w:right="893"/>
              <w:rPr>
                <w:sz w:val="24"/>
              </w:rPr>
            </w:pPr>
            <w:r>
              <w:rPr>
                <w:sz w:val="24"/>
              </w:rPr>
              <w:t>260</w:t>
            </w:r>
          </w:p>
        </w:tc>
        <w:tc>
          <w:tcPr>
            <w:tcW w:w="2352" w:type="dxa"/>
            <w:shd w:val="clear" w:color="auto" w:fill="F1F1F1"/>
          </w:tcPr>
          <w:p>
            <w:pPr>
              <w:pStyle w:val="TableParagraph"/>
              <w:ind w:left="892" w:right="818"/>
              <w:rPr>
                <w:sz w:val="24"/>
              </w:rPr>
            </w:pPr>
            <w:r>
              <w:rPr>
                <w:sz w:val="24"/>
              </w:rPr>
              <w:t>263.6</w:t>
            </w:r>
          </w:p>
        </w:tc>
        <w:tc>
          <w:tcPr>
            <w:tcW w:w="1374" w:type="dxa"/>
            <w:shd w:val="clear" w:color="auto" w:fill="F1F1F1"/>
          </w:tcPr>
          <w:p>
            <w:pPr>
              <w:pStyle w:val="TableParagraph"/>
              <w:ind w:right="199"/>
              <w:jc w:val="right"/>
              <w:rPr>
                <w:sz w:val="24"/>
              </w:rPr>
            </w:pPr>
            <w:r>
              <w:rPr>
                <w:sz w:val="24"/>
              </w:rPr>
              <w:t>3.6</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47</w:t>
            </w:r>
          </w:p>
        </w:tc>
        <w:tc>
          <w:tcPr>
            <w:tcW w:w="2489" w:type="dxa"/>
            <w:tcBorders>
              <w:left w:val="single" w:sz="4" w:space="0" w:color="7E7E7E"/>
            </w:tcBorders>
          </w:tcPr>
          <w:p>
            <w:pPr>
              <w:pStyle w:val="TableParagraph"/>
              <w:ind w:left="949" w:right="893"/>
              <w:rPr>
                <w:sz w:val="24"/>
              </w:rPr>
            </w:pPr>
            <w:r>
              <w:rPr>
                <w:sz w:val="24"/>
              </w:rPr>
              <w:t>262.5</w:t>
            </w:r>
          </w:p>
        </w:tc>
        <w:tc>
          <w:tcPr>
            <w:tcW w:w="2352" w:type="dxa"/>
          </w:tcPr>
          <w:p>
            <w:pPr>
              <w:pStyle w:val="TableParagraph"/>
              <w:ind w:left="892" w:right="818"/>
              <w:rPr>
                <w:sz w:val="24"/>
              </w:rPr>
            </w:pPr>
            <w:r>
              <w:rPr>
                <w:sz w:val="24"/>
              </w:rPr>
              <w:t>267.2</w:t>
            </w:r>
          </w:p>
        </w:tc>
        <w:tc>
          <w:tcPr>
            <w:tcW w:w="1374" w:type="dxa"/>
          </w:tcPr>
          <w:p>
            <w:pPr>
              <w:pStyle w:val="TableParagraph"/>
              <w:ind w:right="199"/>
              <w:jc w:val="right"/>
              <w:rPr>
                <w:sz w:val="24"/>
              </w:rPr>
            </w:pPr>
            <w:r>
              <w:rPr>
                <w:sz w:val="24"/>
              </w:rPr>
              <w:t>4.7</w:t>
            </w:r>
          </w:p>
        </w:tc>
      </w:tr>
      <w:tr>
        <w:trPr>
          <w:trHeight w:val="295"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48</w:t>
            </w:r>
          </w:p>
        </w:tc>
        <w:tc>
          <w:tcPr>
            <w:tcW w:w="2489" w:type="dxa"/>
            <w:tcBorders>
              <w:left w:val="single" w:sz="4" w:space="0" w:color="7E7E7E"/>
            </w:tcBorders>
            <w:shd w:val="clear" w:color="auto" w:fill="F1F1F1"/>
          </w:tcPr>
          <w:p>
            <w:pPr>
              <w:pStyle w:val="TableParagraph"/>
              <w:ind w:left="949" w:right="893"/>
              <w:rPr>
                <w:sz w:val="24"/>
              </w:rPr>
            </w:pPr>
            <w:r>
              <w:rPr>
                <w:sz w:val="24"/>
              </w:rPr>
              <w:t>261.5</w:t>
            </w:r>
          </w:p>
        </w:tc>
        <w:tc>
          <w:tcPr>
            <w:tcW w:w="2352" w:type="dxa"/>
            <w:shd w:val="clear" w:color="auto" w:fill="F1F1F1"/>
          </w:tcPr>
          <w:p>
            <w:pPr>
              <w:pStyle w:val="TableParagraph"/>
              <w:ind w:left="892" w:right="818"/>
              <w:rPr>
                <w:sz w:val="24"/>
              </w:rPr>
            </w:pPr>
            <w:r>
              <w:rPr>
                <w:sz w:val="24"/>
              </w:rPr>
              <w:t>263.2</w:t>
            </w:r>
          </w:p>
        </w:tc>
        <w:tc>
          <w:tcPr>
            <w:tcW w:w="1374" w:type="dxa"/>
            <w:shd w:val="clear" w:color="auto" w:fill="F1F1F1"/>
          </w:tcPr>
          <w:p>
            <w:pPr>
              <w:pStyle w:val="TableParagraph"/>
              <w:ind w:right="199"/>
              <w:jc w:val="right"/>
              <w:rPr>
                <w:sz w:val="24"/>
              </w:rPr>
            </w:pPr>
            <w:r>
              <w:rPr>
                <w:sz w:val="24"/>
              </w:rPr>
              <w:t>1.7</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49</w:t>
            </w:r>
          </w:p>
        </w:tc>
        <w:tc>
          <w:tcPr>
            <w:tcW w:w="2489" w:type="dxa"/>
            <w:tcBorders>
              <w:left w:val="single" w:sz="4" w:space="0" w:color="7E7E7E"/>
            </w:tcBorders>
          </w:tcPr>
          <w:p>
            <w:pPr>
              <w:pStyle w:val="TableParagraph"/>
              <w:ind w:left="949" w:right="893"/>
              <w:rPr>
                <w:sz w:val="24"/>
              </w:rPr>
            </w:pPr>
            <w:r>
              <w:rPr>
                <w:sz w:val="24"/>
              </w:rPr>
              <w:t>264.5</w:t>
            </w:r>
          </w:p>
        </w:tc>
        <w:tc>
          <w:tcPr>
            <w:tcW w:w="2352" w:type="dxa"/>
          </w:tcPr>
          <w:p>
            <w:pPr>
              <w:pStyle w:val="TableParagraph"/>
              <w:ind w:left="892" w:right="818"/>
              <w:rPr>
                <w:sz w:val="24"/>
              </w:rPr>
            </w:pPr>
            <w:r>
              <w:rPr>
                <w:sz w:val="24"/>
              </w:rPr>
              <w:t>268.3</w:t>
            </w:r>
          </w:p>
        </w:tc>
        <w:tc>
          <w:tcPr>
            <w:tcW w:w="1374" w:type="dxa"/>
          </w:tcPr>
          <w:p>
            <w:pPr>
              <w:pStyle w:val="TableParagraph"/>
              <w:ind w:right="199"/>
              <w:jc w:val="right"/>
              <w:rPr>
                <w:sz w:val="24"/>
              </w:rPr>
            </w:pPr>
            <w:r>
              <w:rPr>
                <w:sz w:val="24"/>
              </w:rPr>
              <w:t>3.8</w:t>
            </w:r>
          </w:p>
        </w:tc>
      </w:tr>
      <w:tr>
        <w:trPr>
          <w:trHeight w:val="298"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50</w:t>
            </w:r>
          </w:p>
        </w:tc>
        <w:tc>
          <w:tcPr>
            <w:tcW w:w="2489" w:type="dxa"/>
            <w:tcBorders>
              <w:left w:val="single" w:sz="4" w:space="0" w:color="7E7E7E"/>
            </w:tcBorders>
            <w:shd w:val="clear" w:color="auto" w:fill="F1F1F1"/>
          </w:tcPr>
          <w:p>
            <w:pPr>
              <w:pStyle w:val="TableParagraph"/>
              <w:ind w:left="949" w:right="893"/>
              <w:rPr>
                <w:sz w:val="24"/>
              </w:rPr>
            </w:pPr>
            <w:r>
              <w:rPr>
                <w:sz w:val="24"/>
              </w:rPr>
              <w:t>263</w:t>
            </w:r>
          </w:p>
        </w:tc>
        <w:tc>
          <w:tcPr>
            <w:tcW w:w="2352" w:type="dxa"/>
            <w:shd w:val="clear" w:color="auto" w:fill="F1F1F1"/>
          </w:tcPr>
          <w:p>
            <w:pPr>
              <w:pStyle w:val="TableParagraph"/>
              <w:ind w:left="892" w:right="818"/>
              <w:rPr>
                <w:sz w:val="24"/>
              </w:rPr>
            </w:pPr>
            <w:r>
              <w:rPr>
                <w:sz w:val="24"/>
              </w:rPr>
              <w:t>264.8</w:t>
            </w:r>
          </w:p>
        </w:tc>
        <w:tc>
          <w:tcPr>
            <w:tcW w:w="1374" w:type="dxa"/>
            <w:shd w:val="clear" w:color="auto" w:fill="F1F1F1"/>
          </w:tcPr>
          <w:p>
            <w:pPr>
              <w:pStyle w:val="TableParagraph"/>
              <w:ind w:right="199"/>
              <w:jc w:val="right"/>
              <w:rPr>
                <w:sz w:val="24"/>
              </w:rPr>
            </w:pPr>
            <w:r>
              <w:rPr>
                <w:sz w:val="24"/>
              </w:rPr>
              <w:t>1.8</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51</w:t>
            </w:r>
          </w:p>
        </w:tc>
        <w:tc>
          <w:tcPr>
            <w:tcW w:w="2489" w:type="dxa"/>
            <w:tcBorders>
              <w:left w:val="single" w:sz="4" w:space="0" w:color="7E7E7E"/>
            </w:tcBorders>
          </w:tcPr>
          <w:p>
            <w:pPr>
              <w:pStyle w:val="TableParagraph"/>
              <w:ind w:left="949" w:right="893"/>
              <w:rPr>
                <w:sz w:val="24"/>
              </w:rPr>
            </w:pPr>
            <w:r>
              <w:rPr>
                <w:sz w:val="24"/>
              </w:rPr>
              <w:t>257.5</w:t>
            </w:r>
          </w:p>
        </w:tc>
        <w:tc>
          <w:tcPr>
            <w:tcW w:w="2352" w:type="dxa"/>
          </w:tcPr>
          <w:p>
            <w:pPr>
              <w:pStyle w:val="TableParagraph"/>
              <w:ind w:left="892" w:right="818"/>
              <w:rPr>
                <w:sz w:val="24"/>
              </w:rPr>
            </w:pPr>
            <w:r>
              <w:rPr>
                <w:sz w:val="24"/>
              </w:rPr>
              <w:t>261.5</w:t>
            </w:r>
          </w:p>
        </w:tc>
        <w:tc>
          <w:tcPr>
            <w:tcW w:w="1374" w:type="dxa"/>
          </w:tcPr>
          <w:p>
            <w:pPr>
              <w:pStyle w:val="TableParagraph"/>
              <w:ind w:right="301"/>
              <w:jc w:val="right"/>
              <w:rPr>
                <w:sz w:val="24"/>
              </w:rPr>
            </w:pPr>
            <w:r>
              <w:rPr>
                <w:w w:val="99"/>
                <w:sz w:val="24"/>
              </w:rPr>
              <w:t>4</w:t>
            </w:r>
          </w:p>
        </w:tc>
      </w:tr>
      <w:tr>
        <w:trPr>
          <w:trHeight w:val="296" w:hRule="exact"/>
        </w:trPr>
        <w:tc>
          <w:tcPr>
            <w:tcW w:w="1146" w:type="dxa"/>
            <w:tcBorders>
              <w:right w:val="single" w:sz="4" w:space="0" w:color="7E7E7E"/>
            </w:tcBorders>
            <w:shd w:val="clear" w:color="auto" w:fill="F1F1F1"/>
          </w:tcPr>
          <w:p>
            <w:pPr>
              <w:pStyle w:val="TableParagraph"/>
              <w:spacing w:line="270" w:lineRule="exact"/>
              <w:ind w:left="200"/>
              <w:jc w:val="left"/>
              <w:rPr>
                <w:b/>
                <w:sz w:val="24"/>
              </w:rPr>
            </w:pPr>
            <w:r>
              <w:rPr>
                <w:b/>
                <w:sz w:val="24"/>
              </w:rPr>
              <w:t>52</w:t>
            </w:r>
          </w:p>
        </w:tc>
        <w:tc>
          <w:tcPr>
            <w:tcW w:w="2489" w:type="dxa"/>
            <w:tcBorders>
              <w:left w:val="single" w:sz="4" w:space="0" w:color="7E7E7E"/>
            </w:tcBorders>
            <w:shd w:val="clear" w:color="auto" w:fill="F1F1F1"/>
          </w:tcPr>
          <w:p>
            <w:pPr>
              <w:pStyle w:val="TableParagraph"/>
              <w:spacing w:line="270" w:lineRule="exact"/>
              <w:ind w:left="949" w:right="893"/>
              <w:rPr>
                <w:sz w:val="24"/>
              </w:rPr>
            </w:pPr>
            <w:r>
              <w:rPr>
                <w:sz w:val="24"/>
              </w:rPr>
              <w:t>258.5</w:t>
            </w:r>
          </w:p>
        </w:tc>
        <w:tc>
          <w:tcPr>
            <w:tcW w:w="2352" w:type="dxa"/>
            <w:shd w:val="clear" w:color="auto" w:fill="F1F1F1"/>
          </w:tcPr>
          <w:p>
            <w:pPr>
              <w:pStyle w:val="TableParagraph"/>
              <w:spacing w:line="270" w:lineRule="exact"/>
              <w:ind w:left="892" w:right="814"/>
              <w:rPr>
                <w:sz w:val="24"/>
              </w:rPr>
            </w:pPr>
            <w:r>
              <w:rPr>
                <w:sz w:val="24"/>
              </w:rPr>
              <w:t>260</w:t>
            </w:r>
          </w:p>
        </w:tc>
        <w:tc>
          <w:tcPr>
            <w:tcW w:w="1374" w:type="dxa"/>
            <w:shd w:val="clear" w:color="auto" w:fill="F1F1F1"/>
          </w:tcPr>
          <w:p>
            <w:pPr>
              <w:pStyle w:val="TableParagraph"/>
              <w:spacing w:line="270" w:lineRule="exact"/>
              <w:ind w:right="199"/>
              <w:jc w:val="right"/>
              <w:rPr>
                <w:sz w:val="24"/>
              </w:rPr>
            </w:pPr>
            <w:r>
              <w:rPr>
                <w:sz w:val="24"/>
              </w:rPr>
              <w:t>1.5</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53</w:t>
            </w:r>
          </w:p>
        </w:tc>
        <w:tc>
          <w:tcPr>
            <w:tcW w:w="2489" w:type="dxa"/>
            <w:tcBorders>
              <w:left w:val="single" w:sz="4" w:space="0" w:color="7E7E7E"/>
            </w:tcBorders>
          </w:tcPr>
          <w:p>
            <w:pPr>
              <w:pStyle w:val="TableParagraph"/>
              <w:ind w:left="949" w:right="893"/>
              <w:rPr>
                <w:sz w:val="24"/>
              </w:rPr>
            </w:pPr>
            <w:r>
              <w:rPr>
                <w:sz w:val="24"/>
              </w:rPr>
              <w:t>268.5</w:t>
            </w:r>
          </w:p>
        </w:tc>
        <w:tc>
          <w:tcPr>
            <w:tcW w:w="2352" w:type="dxa"/>
          </w:tcPr>
          <w:p>
            <w:pPr>
              <w:pStyle w:val="TableParagraph"/>
              <w:ind w:left="892" w:right="818"/>
              <w:rPr>
                <w:sz w:val="24"/>
              </w:rPr>
            </w:pPr>
            <w:r>
              <w:rPr>
                <w:sz w:val="24"/>
              </w:rPr>
              <w:t>269.9</w:t>
            </w:r>
          </w:p>
        </w:tc>
        <w:tc>
          <w:tcPr>
            <w:tcW w:w="1374" w:type="dxa"/>
          </w:tcPr>
          <w:p>
            <w:pPr>
              <w:pStyle w:val="TableParagraph"/>
              <w:ind w:right="199"/>
              <w:jc w:val="right"/>
              <w:rPr>
                <w:sz w:val="24"/>
              </w:rPr>
            </w:pPr>
            <w:r>
              <w:rPr>
                <w:sz w:val="24"/>
              </w:rPr>
              <w:t>1.4</w:t>
            </w:r>
          </w:p>
        </w:tc>
      </w:tr>
      <w:tr>
        <w:trPr>
          <w:trHeight w:val="298"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54</w:t>
            </w:r>
          </w:p>
        </w:tc>
        <w:tc>
          <w:tcPr>
            <w:tcW w:w="2489" w:type="dxa"/>
            <w:tcBorders>
              <w:left w:val="single" w:sz="4" w:space="0" w:color="7E7E7E"/>
            </w:tcBorders>
            <w:shd w:val="clear" w:color="auto" w:fill="F1F1F1"/>
          </w:tcPr>
          <w:p>
            <w:pPr>
              <w:pStyle w:val="TableParagraph"/>
              <w:ind w:left="949" w:right="893"/>
              <w:rPr>
                <w:sz w:val="24"/>
              </w:rPr>
            </w:pPr>
            <w:r>
              <w:rPr>
                <w:sz w:val="24"/>
              </w:rPr>
              <w:t>257</w:t>
            </w:r>
          </w:p>
        </w:tc>
        <w:tc>
          <w:tcPr>
            <w:tcW w:w="2352" w:type="dxa"/>
            <w:shd w:val="clear" w:color="auto" w:fill="F1F1F1"/>
          </w:tcPr>
          <w:p>
            <w:pPr>
              <w:pStyle w:val="TableParagraph"/>
              <w:ind w:left="892" w:right="818"/>
              <w:rPr>
                <w:sz w:val="24"/>
              </w:rPr>
            </w:pPr>
            <w:r>
              <w:rPr>
                <w:sz w:val="24"/>
              </w:rPr>
              <w:t>263.2</w:t>
            </w:r>
          </w:p>
        </w:tc>
        <w:tc>
          <w:tcPr>
            <w:tcW w:w="1374" w:type="dxa"/>
            <w:shd w:val="clear" w:color="auto" w:fill="F1F1F1"/>
          </w:tcPr>
          <w:p>
            <w:pPr>
              <w:pStyle w:val="TableParagraph"/>
              <w:ind w:right="199"/>
              <w:jc w:val="right"/>
              <w:rPr>
                <w:sz w:val="24"/>
              </w:rPr>
            </w:pPr>
            <w:r>
              <w:rPr>
                <w:sz w:val="24"/>
              </w:rPr>
              <w:t>6.2</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55</w:t>
            </w:r>
          </w:p>
        </w:tc>
        <w:tc>
          <w:tcPr>
            <w:tcW w:w="2489" w:type="dxa"/>
            <w:tcBorders>
              <w:left w:val="single" w:sz="4" w:space="0" w:color="7E7E7E"/>
            </w:tcBorders>
          </w:tcPr>
          <w:p>
            <w:pPr>
              <w:pStyle w:val="TableParagraph"/>
              <w:ind w:left="949" w:right="893"/>
              <w:rPr>
                <w:sz w:val="24"/>
              </w:rPr>
            </w:pPr>
            <w:r>
              <w:rPr>
                <w:sz w:val="24"/>
              </w:rPr>
              <w:t>267</w:t>
            </w:r>
          </w:p>
        </w:tc>
        <w:tc>
          <w:tcPr>
            <w:tcW w:w="2352" w:type="dxa"/>
          </w:tcPr>
          <w:p>
            <w:pPr>
              <w:pStyle w:val="TableParagraph"/>
              <w:ind w:left="892" w:right="818"/>
              <w:rPr>
                <w:sz w:val="24"/>
              </w:rPr>
            </w:pPr>
            <w:r>
              <w:rPr>
                <w:sz w:val="24"/>
              </w:rPr>
              <w:t>268.5</w:t>
            </w:r>
          </w:p>
        </w:tc>
        <w:tc>
          <w:tcPr>
            <w:tcW w:w="1374" w:type="dxa"/>
          </w:tcPr>
          <w:p>
            <w:pPr>
              <w:pStyle w:val="TableParagraph"/>
              <w:ind w:right="199"/>
              <w:jc w:val="right"/>
              <w:rPr>
                <w:sz w:val="24"/>
              </w:rPr>
            </w:pPr>
            <w:r>
              <w:rPr>
                <w:sz w:val="24"/>
              </w:rPr>
              <w:t>1.5</w:t>
            </w:r>
          </w:p>
        </w:tc>
      </w:tr>
      <w:tr>
        <w:trPr>
          <w:trHeight w:val="295"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56</w:t>
            </w:r>
          </w:p>
        </w:tc>
        <w:tc>
          <w:tcPr>
            <w:tcW w:w="2489" w:type="dxa"/>
            <w:tcBorders>
              <w:left w:val="single" w:sz="4" w:space="0" w:color="7E7E7E"/>
            </w:tcBorders>
            <w:shd w:val="clear" w:color="auto" w:fill="F1F1F1"/>
          </w:tcPr>
          <w:p>
            <w:pPr>
              <w:pStyle w:val="TableParagraph"/>
              <w:ind w:left="949" w:right="893"/>
              <w:rPr>
                <w:sz w:val="24"/>
              </w:rPr>
            </w:pPr>
            <w:r>
              <w:rPr>
                <w:sz w:val="24"/>
              </w:rPr>
              <w:t>266.5</w:t>
            </w:r>
          </w:p>
        </w:tc>
        <w:tc>
          <w:tcPr>
            <w:tcW w:w="2352" w:type="dxa"/>
            <w:shd w:val="clear" w:color="auto" w:fill="F1F1F1"/>
          </w:tcPr>
          <w:p>
            <w:pPr>
              <w:pStyle w:val="TableParagraph"/>
              <w:ind w:left="892" w:right="818"/>
              <w:rPr>
                <w:sz w:val="24"/>
              </w:rPr>
            </w:pPr>
            <w:r>
              <w:rPr>
                <w:sz w:val="24"/>
              </w:rPr>
              <w:t>267.4</w:t>
            </w:r>
          </w:p>
        </w:tc>
        <w:tc>
          <w:tcPr>
            <w:tcW w:w="1374" w:type="dxa"/>
            <w:shd w:val="clear" w:color="auto" w:fill="F1F1F1"/>
          </w:tcPr>
          <w:p>
            <w:pPr>
              <w:pStyle w:val="TableParagraph"/>
              <w:ind w:right="198"/>
              <w:jc w:val="right"/>
              <w:rPr>
                <w:sz w:val="24"/>
              </w:rPr>
            </w:pPr>
            <w:r>
              <w:rPr>
                <w:w w:val="95"/>
                <w:sz w:val="24"/>
              </w:rPr>
              <w:t>0.9</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57</w:t>
            </w:r>
          </w:p>
        </w:tc>
        <w:tc>
          <w:tcPr>
            <w:tcW w:w="2489" w:type="dxa"/>
            <w:tcBorders>
              <w:left w:val="single" w:sz="4" w:space="0" w:color="7E7E7E"/>
            </w:tcBorders>
          </w:tcPr>
          <w:p>
            <w:pPr>
              <w:pStyle w:val="TableParagraph"/>
              <w:ind w:left="949" w:right="893"/>
              <w:rPr>
                <w:sz w:val="24"/>
              </w:rPr>
            </w:pPr>
            <w:r>
              <w:rPr>
                <w:sz w:val="24"/>
              </w:rPr>
              <w:t>266.5</w:t>
            </w:r>
          </w:p>
        </w:tc>
        <w:tc>
          <w:tcPr>
            <w:tcW w:w="2352" w:type="dxa"/>
          </w:tcPr>
          <w:p>
            <w:pPr>
              <w:pStyle w:val="TableParagraph"/>
              <w:ind w:left="892" w:right="818"/>
              <w:rPr>
                <w:sz w:val="24"/>
              </w:rPr>
            </w:pPr>
            <w:r>
              <w:rPr>
                <w:sz w:val="24"/>
              </w:rPr>
              <w:t>267.7</w:t>
            </w:r>
          </w:p>
        </w:tc>
        <w:tc>
          <w:tcPr>
            <w:tcW w:w="1374" w:type="dxa"/>
          </w:tcPr>
          <w:p>
            <w:pPr>
              <w:pStyle w:val="TableParagraph"/>
              <w:ind w:right="199"/>
              <w:jc w:val="right"/>
              <w:rPr>
                <w:sz w:val="24"/>
              </w:rPr>
            </w:pPr>
            <w:r>
              <w:rPr>
                <w:sz w:val="24"/>
              </w:rPr>
              <w:t>1.2</w:t>
            </w:r>
          </w:p>
        </w:tc>
      </w:tr>
      <w:tr>
        <w:trPr>
          <w:trHeight w:val="298"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58</w:t>
            </w:r>
          </w:p>
        </w:tc>
        <w:tc>
          <w:tcPr>
            <w:tcW w:w="2489" w:type="dxa"/>
            <w:tcBorders>
              <w:left w:val="single" w:sz="4" w:space="0" w:color="7E7E7E"/>
            </w:tcBorders>
            <w:shd w:val="clear" w:color="auto" w:fill="F1F1F1"/>
          </w:tcPr>
          <w:p>
            <w:pPr>
              <w:pStyle w:val="TableParagraph"/>
              <w:ind w:left="949" w:right="893"/>
              <w:rPr>
                <w:sz w:val="24"/>
              </w:rPr>
            </w:pPr>
            <w:r>
              <w:rPr>
                <w:sz w:val="24"/>
              </w:rPr>
              <w:t>260.5</w:t>
            </w:r>
          </w:p>
        </w:tc>
        <w:tc>
          <w:tcPr>
            <w:tcW w:w="2352" w:type="dxa"/>
            <w:shd w:val="clear" w:color="auto" w:fill="F1F1F1"/>
          </w:tcPr>
          <w:p>
            <w:pPr>
              <w:pStyle w:val="TableParagraph"/>
              <w:ind w:left="892" w:right="814"/>
              <w:rPr>
                <w:sz w:val="24"/>
              </w:rPr>
            </w:pPr>
            <w:r>
              <w:rPr>
                <w:sz w:val="24"/>
              </w:rPr>
              <w:t>264</w:t>
            </w:r>
          </w:p>
        </w:tc>
        <w:tc>
          <w:tcPr>
            <w:tcW w:w="1374" w:type="dxa"/>
            <w:shd w:val="clear" w:color="auto" w:fill="F1F1F1"/>
          </w:tcPr>
          <w:p>
            <w:pPr>
              <w:pStyle w:val="TableParagraph"/>
              <w:ind w:right="199"/>
              <w:jc w:val="right"/>
              <w:rPr>
                <w:sz w:val="24"/>
              </w:rPr>
            </w:pPr>
            <w:r>
              <w:rPr>
                <w:sz w:val="24"/>
              </w:rPr>
              <w:t>3.5</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59</w:t>
            </w:r>
          </w:p>
        </w:tc>
        <w:tc>
          <w:tcPr>
            <w:tcW w:w="2489" w:type="dxa"/>
            <w:tcBorders>
              <w:left w:val="single" w:sz="4" w:space="0" w:color="7E7E7E"/>
            </w:tcBorders>
          </w:tcPr>
          <w:p>
            <w:pPr>
              <w:pStyle w:val="TableParagraph"/>
              <w:ind w:left="949" w:right="893"/>
              <w:rPr>
                <w:sz w:val="24"/>
              </w:rPr>
            </w:pPr>
            <w:r>
              <w:rPr>
                <w:sz w:val="24"/>
              </w:rPr>
              <w:t>264.5</w:t>
            </w:r>
          </w:p>
        </w:tc>
        <w:tc>
          <w:tcPr>
            <w:tcW w:w="2352" w:type="dxa"/>
          </w:tcPr>
          <w:p>
            <w:pPr>
              <w:pStyle w:val="TableParagraph"/>
              <w:ind w:left="892" w:right="818"/>
              <w:rPr>
                <w:sz w:val="24"/>
              </w:rPr>
            </w:pPr>
            <w:r>
              <w:rPr>
                <w:sz w:val="24"/>
              </w:rPr>
              <w:t>267.8</w:t>
            </w:r>
          </w:p>
        </w:tc>
        <w:tc>
          <w:tcPr>
            <w:tcW w:w="1374" w:type="dxa"/>
          </w:tcPr>
          <w:p>
            <w:pPr>
              <w:pStyle w:val="TableParagraph"/>
              <w:ind w:right="199"/>
              <w:jc w:val="right"/>
              <w:rPr>
                <w:sz w:val="24"/>
              </w:rPr>
            </w:pPr>
            <w:r>
              <w:rPr>
                <w:sz w:val="24"/>
              </w:rPr>
              <w:t>3.3</w:t>
            </w:r>
          </w:p>
        </w:tc>
      </w:tr>
      <w:tr>
        <w:trPr>
          <w:trHeight w:val="295"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60</w:t>
            </w:r>
          </w:p>
        </w:tc>
        <w:tc>
          <w:tcPr>
            <w:tcW w:w="2489" w:type="dxa"/>
            <w:tcBorders>
              <w:left w:val="single" w:sz="4" w:space="0" w:color="7E7E7E"/>
            </w:tcBorders>
            <w:shd w:val="clear" w:color="auto" w:fill="F1F1F1"/>
          </w:tcPr>
          <w:p>
            <w:pPr>
              <w:pStyle w:val="TableParagraph"/>
              <w:ind w:left="949" w:right="893"/>
              <w:rPr>
                <w:sz w:val="24"/>
              </w:rPr>
            </w:pPr>
            <w:r>
              <w:rPr>
                <w:sz w:val="24"/>
              </w:rPr>
              <w:t>256.5</w:t>
            </w:r>
          </w:p>
        </w:tc>
        <w:tc>
          <w:tcPr>
            <w:tcW w:w="2352" w:type="dxa"/>
            <w:shd w:val="clear" w:color="auto" w:fill="F1F1F1"/>
          </w:tcPr>
          <w:p>
            <w:pPr>
              <w:pStyle w:val="TableParagraph"/>
              <w:ind w:left="892" w:right="818"/>
              <w:rPr>
                <w:sz w:val="24"/>
              </w:rPr>
            </w:pPr>
            <w:r>
              <w:rPr>
                <w:sz w:val="24"/>
              </w:rPr>
              <w:t>259.8</w:t>
            </w:r>
          </w:p>
        </w:tc>
        <w:tc>
          <w:tcPr>
            <w:tcW w:w="1374" w:type="dxa"/>
            <w:shd w:val="clear" w:color="auto" w:fill="F1F1F1"/>
          </w:tcPr>
          <w:p>
            <w:pPr>
              <w:pStyle w:val="TableParagraph"/>
              <w:ind w:right="199"/>
              <w:jc w:val="right"/>
              <w:rPr>
                <w:sz w:val="24"/>
              </w:rPr>
            </w:pPr>
            <w:r>
              <w:rPr>
                <w:sz w:val="24"/>
              </w:rPr>
              <w:t>3.3</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61</w:t>
            </w:r>
          </w:p>
        </w:tc>
        <w:tc>
          <w:tcPr>
            <w:tcW w:w="2489" w:type="dxa"/>
            <w:tcBorders>
              <w:left w:val="single" w:sz="4" w:space="0" w:color="7E7E7E"/>
            </w:tcBorders>
          </w:tcPr>
          <w:p>
            <w:pPr>
              <w:pStyle w:val="TableParagraph"/>
              <w:ind w:left="949" w:right="893"/>
              <w:rPr>
                <w:sz w:val="24"/>
              </w:rPr>
            </w:pPr>
            <w:r>
              <w:rPr>
                <w:sz w:val="24"/>
              </w:rPr>
              <w:t>276</w:t>
            </w:r>
          </w:p>
        </w:tc>
        <w:tc>
          <w:tcPr>
            <w:tcW w:w="2352" w:type="dxa"/>
          </w:tcPr>
          <w:p>
            <w:pPr>
              <w:pStyle w:val="TableParagraph"/>
              <w:ind w:left="892" w:right="818"/>
              <w:rPr>
                <w:sz w:val="24"/>
              </w:rPr>
            </w:pPr>
            <w:r>
              <w:rPr>
                <w:sz w:val="24"/>
              </w:rPr>
              <w:t>278.4</w:t>
            </w:r>
          </w:p>
        </w:tc>
        <w:tc>
          <w:tcPr>
            <w:tcW w:w="1374" w:type="dxa"/>
          </w:tcPr>
          <w:p>
            <w:pPr>
              <w:pStyle w:val="TableParagraph"/>
              <w:ind w:right="199"/>
              <w:jc w:val="right"/>
              <w:rPr>
                <w:sz w:val="24"/>
              </w:rPr>
            </w:pPr>
            <w:r>
              <w:rPr>
                <w:sz w:val="24"/>
              </w:rPr>
              <w:t>2.4</w:t>
            </w:r>
          </w:p>
        </w:tc>
      </w:tr>
      <w:tr>
        <w:trPr>
          <w:trHeight w:val="298"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62</w:t>
            </w:r>
          </w:p>
        </w:tc>
        <w:tc>
          <w:tcPr>
            <w:tcW w:w="2489" w:type="dxa"/>
            <w:tcBorders>
              <w:left w:val="single" w:sz="4" w:space="0" w:color="7E7E7E"/>
            </w:tcBorders>
            <w:shd w:val="clear" w:color="auto" w:fill="F1F1F1"/>
          </w:tcPr>
          <w:p>
            <w:pPr>
              <w:pStyle w:val="TableParagraph"/>
              <w:ind w:left="949" w:right="893"/>
              <w:rPr>
                <w:sz w:val="24"/>
              </w:rPr>
            </w:pPr>
            <w:r>
              <w:rPr>
                <w:sz w:val="24"/>
              </w:rPr>
              <w:t>274</w:t>
            </w:r>
          </w:p>
        </w:tc>
        <w:tc>
          <w:tcPr>
            <w:tcW w:w="2352" w:type="dxa"/>
            <w:shd w:val="clear" w:color="auto" w:fill="F1F1F1"/>
          </w:tcPr>
          <w:p>
            <w:pPr>
              <w:pStyle w:val="TableParagraph"/>
              <w:ind w:left="892" w:right="818"/>
              <w:rPr>
                <w:sz w:val="24"/>
              </w:rPr>
            </w:pPr>
            <w:r>
              <w:rPr>
                <w:sz w:val="24"/>
              </w:rPr>
              <w:t>276.5</w:t>
            </w:r>
          </w:p>
        </w:tc>
        <w:tc>
          <w:tcPr>
            <w:tcW w:w="1374" w:type="dxa"/>
            <w:shd w:val="clear" w:color="auto" w:fill="F1F1F1"/>
          </w:tcPr>
          <w:p>
            <w:pPr>
              <w:pStyle w:val="TableParagraph"/>
              <w:ind w:right="199"/>
              <w:jc w:val="right"/>
              <w:rPr>
                <w:sz w:val="24"/>
              </w:rPr>
            </w:pPr>
            <w:r>
              <w:rPr>
                <w:sz w:val="24"/>
              </w:rPr>
              <w:t>2.5</w:t>
            </w:r>
          </w:p>
        </w:tc>
      </w:tr>
      <w:tr>
        <w:trPr>
          <w:trHeight w:val="298" w:hRule="exact"/>
        </w:trPr>
        <w:tc>
          <w:tcPr>
            <w:tcW w:w="1146" w:type="dxa"/>
            <w:tcBorders>
              <w:right w:val="single" w:sz="4" w:space="0" w:color="7E7E7E"/>
            </w:tcBorders>
          </w:tcPr>
          <w:p>
            <w:pPr>
              <w:pStyle w:val="TableParagraph"/>
              <w:spacing w:line="270" w:lineRule="exact"/>
              <w:ind w:left="200"/>
              <w:jc w:val="left"/>
              <w:rPr>
                <w:b/>
                <w:sz w:val="24"/>
              </w:rPr>
            </w:pPr>
            <w:r>
              <w:rPr>
                <w:b/>
                <w:sz w:val="24"/>
              </w:rPr>
              <w:t>63</w:t>
            </w:r>
          </w:p>
        </w:tc>
        <w:tc>
          <w:tcPr>
            <w:tcW w:w="2489" w:type="dxa"/>
            <w:tcBorders>
              <w:left w:val="single" w:sz="4" w:space="0" w:color="7E7E7E"/>
            </w:tcBorders>
          </w:tcPr>
          <w:p>
            <w:pPr>
              <w:pStyle w:val="TableParagraph"/>
              <w:spacing w:line="270" w:lineRule="exact"/>
              <w:ind w:left="949" w:right="893"/>
              <w:rPr>
                <w:sz w:val="24"/>
              </w:rPr>
            </w:pPr>
            <w:r>
              <w:rPr>
                <w:sz w:val="24"/>
              </w:rPr>
              <w:t>270</w:t>
            </w:r>
          </w:p>
        </w:tc>
        <w:tc>
          <w:tcPr>
            <w:tcW w:w="2352" w:type="dxa"/>
          </w:tcPr>
          <w:p>
            <w:pPr>
              <w:pStyle w:val="TableParagraph"/>
              <w:spacing w:line="270" w:lineRule="exact"/>
              <w:ind w:left="892" w:right="818"/>
              <w:rPr>
                <w:sz w:val="24"/>
              </w:rPr>
            </w:pPr>
            <w:r>
              <w:rPr>
                <w:sz w:val="24"/>
              </w:rPr>
              <w:t>271.4</w:t>
            </w:r>
          </w:p>
        </w:tc>
        <w:tc>
          <w:tcPr>
            <w:tcW w:w="1374" w:type="dxa"/>
          </w:tcPr>
          <w:p>
            <w:pPr>
              <w:pStyle w:val="TableParagraph"/>
              <w:spacing w:line="270" w:lineRule="exact"/>
              <w:ind w:right="199"/>
              <w:jc w:val="right"/>
              <w:rPr>
                <w:sz w:val="24"/>
              </w:rPr>
            </w:pPr>
            <w:r>
              <w:rPr>
                <w:sz w:val="24"/>
              </w:rPr>
              <w:t>1.4</w:t>
            </w:r>
          </w:p>
        </w:tc>
      </w:tr>
      <w:tr>
        <w:trPr>
          <w:trHeight w:val="295"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64</w:t>
            </w:r>
          </w:p>
        </w:tc>
        <w:tc>
          <w:tcPr>
            <w:tcW w:w="2489" w:type="dxa"/>
            <w:tcBorders>
              <w:left w:val="single" w:sz="4" w:space="0" w:color="7E7E7E"/>
            </w:tcBorders>
            <w:shd w:val="clear" w:color="auto" w:fill="F1F1F1"/>
          </w:tcPr>
          <w:p>
            <w:pPr>
              <w:pStyle w:val="TableParagraph"/>
              <w:ind w:left="949" w:right="893"/>
              <w:rPr>
                <w:sz w:val="24"/>
              </w:rPr>
            </w:pPr>
            <w:r>
              <w:rPr>
                <w:sz w:val="24"/>
              </w:rPr>
              <w:t>271.5</w:t>
            </w:r>
          </w:p>
        </w:tc>
        <w:tc>
          <w:tcPr>
            <w:tcW w:w="2352" w:type="dxa"/>
            <w:shd w:val="clear" w:color="auto" w:fill="F1F1F1"/>
          </w:tcPr>
          <w:p>
            <w:pPr>
              <w:pStyle w:val="TableParagraph"/>
              <w:ind w:left="892" w:right="818"/>
              <w:rPr>
                <w:sz w:val="24"/>
              </w:rPr>
            </w:pPr>
            <w:r>
              <w:rPr>
                <w:sz w:val="24"/>
              </w:rPr>
              <w:t>272.6</w:t>
            </w:r>
          </w:p>
        </w:tc>
        <w:tc>
          <w:tcPr>
            <w:tcW w:w="1374" w:type="dxa"/>
            <w:shd w:val="clear" w:color="auto" w:fill="F1F1F1"/>
          </w:tcPr>
          <w:p>
            <w:pPr>
              <w:pStyle w:val="TableParagraph"/>
              <w:ind w:right="199"/>
              <w:jc w:val="right"/>
              <w:rPr>
                <w:sz w:val="24"/>
              </w:rPr>
            </w:pPr>
            <w:r>
              <w:rPr>
                <w:sz w:val="24"/>
              </w:rPr>
              <w:t>1.1</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65</w:t>
            </w:r>
          </w:p>
        </w:tc>
        <w:tc>
          <w:tcPr>
            <w:tcW w:w="2489" w:type="dxa"/>
            <w:tcBorders>
              <w:left w:val="single" w:sz="4" w:space="0" w:color="7E7E7E"/>
            </w:tcBorders>
          </w:tcPr>
          <w:p>
            <w:pPr>
              <w:pStyle w:val="TableParagraph"/>
              <w:ind w:left="949" w:right="893"/>
              <w:rPr>
                <w:sz w:val="24"/>
              </w:rPr>
            </w:pPr>
            <w:r>
              <w:rPr>
                <w:sz w:val="24"/>
              </w:rPr>
              <w:t>278</w:t>
            </w:r>
          </w:p>
        </w:tc>
        <w:tc>
          <w:tcPr>
            <w:tcW w:w="2352" w:type="dxa"/>
          </w:tcPr>
          <w:p>
            <w:pPr>
              <w:pStyle w:val="TableParagraph"/>
              <w:ind w:left="892" w:right="818"/>
              <w:rPr>
                <w:sz w:val="24"/>
              </w:rPr>
            </w:pPr>
            <w:r>
              <w:rPr>
                <w:sz w:val="24"/>
              </w:rPr>
              <w:t>279.3</w:t>
            </w:r>
          </w:p>
        </w:tc>
        <w:tc>
          <w:tcPr>
            <w:tcW w:w="1374" w:type="dxa"/>
          </w:tcPr>
          <w:p>
            <w:pPr>
              <w:pStyle w:val="TableParagraph"/>
              <w:ind w:right="199"/>
              <w:jc w:val="right"/>
              <w:rPr>
                <w:sz w:val="24"/>
              </w:rPr>
            </w:pPr>
            <w:r>
              <w:rPr>
                <w:sz w:val="24"/>
              </w:rPr>
              <w:t>1.3</w:t>
            </w:r>
          </w:p>
        </w:tc>
      </w:tr>
      <w:tr>
        <w:trPr>
          <w:trHeight w:val="298"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66</w:t>
            </w:r>
          </w:p>
        </w:tc>
        <w:tc>
          <w:tcPr>
            <w:tcW w:w="2489" w:type="dxa"/>
            <w:tcBorders>
              <w:left w:val="single" w:sz="4" w:space="0" w:color="7E7E7E"/>
            </w:tcBorders>
            <w:shd w:val="clear" w:color="auto" w:fill="F1F1F1"/>
          </w:tcPr>
          <w:p>
            <w:pPr>
              <w:pStyle w:val="TableParagraph"/>
              <w:ind w:left="949" w:right="893"/>
              <w:rPr>
                <w:sz w:val="24"/>
              </w:rPr>
            </w:pPr>
            <w:r>
              <w:rPr>
                <w:sz w:val="24"/>
              </w:rPr>
              <w:t>271</w:t>
            </w:r>
          </w:p>
        </w:tc>
        <w:tc>
          <w:tcPr>
            <w:tcW w:w="2352" w:type="dxa"/>
            <w:shd w:val="clear" w:color="auto" w:fill="F1F1F1"/>
          </w:tcPr>
          <w:p>
            <w:pPr>
              <w:pStyle w:val="TableParagraph"/>
              <w:ind w:left="892" w:right="818"/>
              <w:rPr>
                <w:sz w:val="24"/>
              </w:rPr>
            </w:pPr>
            <w:r>
              <w:rPr>
                <w:sz w:val="24"/>
              </w:rPr>
              <w:t>274.7</w:t>
            </w:r>
          </w:p>
        </w:tc>
        <w:tc>
          <w:tcPr>
            <w:tcW w:w="1374" w:type="dxa"/>
            <w:shd w:val="clear" w:color="auto" w:fill="F1F1F1"/>
          </w:tcPr>
          <w:p>
            <w:pPr>
              <w:pStyle w:val="TableParagraph"/>
              <w:ind w:right="199"/>
              <w:jc w:val="right"/>
              <w:rPr>
                <w:sz w:val="24"/>
              </w:rPr>
            </w:pPr>
            <w:r>
              <w:rPr>
                <w:sz w:val="24"/>
              </w:rPr>
              <w:t>3.7</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67</w:t>
            </w:r>
          </w:p>
        </w:tc>
        <w:tc>
          <w:tcPr>
            <w:tcW w:w="2489" w:type="dxa"/>
            <w:tcBorders>
              <w:left w:val="single" w:sz="4" w:space="0" w:color="7E7E7E"/>
            </w:tcBorders>
          </w:tcPr>
          <w:p>
            <w:pPr>
              <w:pStyle w:val="TableParagraph"/>
              <w:ind w:left="949" w:right="893"/>
              <w:rPr>
                <w:sz w:val="24"/>
              </w:rPr>
            </w:pPr>
            <w:r>
              <w:rPr>
                <w:sz w:val="24"/>
              </w:rPr>
              <w:t>274.5</w:t>
            </w:r>
          </w:p>
        </w:tc>
        <w:tc>
          <w:tcPr>
            <w:tcW w:w="2352" w:type="dxa"/>
          </w:tcPr>
          <w:p>
            <w:pPr>
              <w:pStyle w:val="TableParagraph"/>
              <w:ind w:left="892" w:right="818"/>
              <w:rPr>
                <w:sz w:val="24"/>
              </w:rPr>
            </w:pPr>
            <w:r>
              <w:rPr>
                <w:sz w:val="24"/>
              </w:rPr>
              <w:t>275.3</w:t>
            </w:r>
          </w:p>
        </w:tc>
        <w:tc>
          <w:tcPr>
            <w:tcW w:w="1374" w:type="dxa"/>
          </w:tcPr>
          <w:p>
            <w:pPr>
              <w:pStyle w:val="TableParagraph"/>
              <w:ind w:right="199"/>
              <w:jc w:val="right"/>
              <w:rPr>
                <w:sz w:val="24"/>
              </w:rPr>
            </w:pPr>
            <w:r>
              <w:rPr>
                <w:sz w:val="24"/>
              </w:rPr>
              <w:t>0.8</w:t>
            </w:r>
          </w:p>
        </w:tc>
      </w:tr>
      <w:tr>
        <w:trPr>
          <w:trHeight w:val="295"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68</w:t>
            </w:r>
          </w:p>
        </w:tc>
        <w:tc>
          <w:tcPr>
            <w:tcW w:w="2489" w:type="dxa"/>
            <w:tcBorders>
              <w:left w:val="single" w:sz="4" w:space="0" w:color="7E7E7E"/>
            </w:tcBorders>
            <w:shd w:val="clear" w:color="auto" w:fill="F1F1F1"/>
          </w:tcPr>
          <w:p>
            <w:pPr>
              <w:pStyle w:val="TableParagraph"/>
              <w:ind w:left="949" w:right="893"/>
              <w:rPr>
                <w:sz w:val="24"/>
              </w:rPr>
            </w:pPr>
            <w:r>
              <w:rPr>
                <w:sz w:val="24"/>
              </w:rPr>
              <w:t>275</w:t>
            </w:r>
          </w:p>
        </w:tc>
        <w:tc>
          <w:tcPr>
            <w:tcW w:w="2352" w:type="dxa"/>
            <w:shd w:val="clear" w:color="auto" w:fill="F1F1F1"/>
          </w:tcPr>
          <w:p>
            <w:pPr>
              <w:pStyle w:val="TableParagraph"/>
              <w:ind w:left="892" w:right="814"/>
              <w:rPr>
                <w:sz w:val="24"/>
              </w:rPr>
            </w:pPr>
            <w:r>
              <w:rPr>
                <w:sz w:val="24"/>
              </w:rPr>
              <w:t>280</w:t>
            </w:r>
          </w:p>
        </w:tc>
        <w:tc>
          <w:tcPr>
            <w:tcW w:w="1374" w:type="dxa"/>
            <w:shd w:val="clear" w:color="auto" w:fill="F1F1F1"/>
          </w:tcPr>
          <w:p>
            <w:pPr>
              <w:pStyle w:val="TableParagraph"/>
              <w:ind w:right="301"/>
              <w:jc w:val="right"/>
              <w:rPr>
                <w:sz w:val="24"/>
              </w:rPr>
            </w:pPr>
            <w:r>
              <w:rPr>
                <w:w w:val="99"/>
                <w:sz w:val="24"/>
              </w:rPr>
              <w:t>5</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69</w:t>
            </w:r>
          </w:p>
        </w:tc>
        <w:tc>
          <w:tcPr>
            <w:tcW w:w="2489" w:type="dxa"/>
            <w:tcBorders>
              <w:left w:val="single" w:sz="4" w:space="0" w:color="7E7E7E"/>
            </w:tcBorders>
          </w:tcPr>
          <w:p>
            <w:pPr>
              <w:pStyle w:val="TableParagraph"/>
              <w:ind w:left="949" w:right="893"/>
              <w:rPr>
                <w:sz w:val="24"/>
              </w:rPr>
            </w:pPr>
            <w:r>
              <w:rPr>
                <w:sz w:val="24"/>
              </w:rPr>
              <w:t>269</w:t>
            </w:r>
          </w:p>
        </w:tc>
        <w:tc>
          <w:tcPr>
            <w:tcW w:w="2352" w:type="dxa"/>
          </w:tcPr>
          <w:p>
            <w:pPr>
              <w:pStyle w:val="TableParagraph"/>
              <w:ind w:left="892" w:right="818"/>
              <w:rPr>
                <w:sz w:val="24"/>
              </w:rPr>
            </w:pPr>
            <w:r>
              <w:rPr>
                <w:sz w:val="24"/>
              </w:rPr>
              <w:t>271.2</w:t>
            </w:r>
          </w:p>
        </w:tc>
        <w:tc>
          <w:tcPr>
            <w:tcW w:w="1374" w:type="dxa"/>
          </w:tcPr>
          <w:p>
            <w:pPr>
              <w:pStyle w:val="TableParagraph"/>
              <w:ind w:right="199"/>
              <w:jc w:val="right"/>
              <w:rPr>
                <w:sz w:val="24"/>
              </w:rPr>
            </w:pPr>
            <w:r>
              <w:rPr>
                <w:sz w:val="24"/>
              </w:rPr>
              <w:t>2.2</w:t>
            </w:r>
          </w:p>
        </w:tc>
      </w:tr>
      <w:tr>
        <w:trPr>
          <w:trHeight w:val="298"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70</w:t>
            </w:r>
          </w:p>
        </w:tc>
        <w:tc>
          <w:tcPr>
            <w:tcW w:w="2489" w:type="dxa"/>
            <w:tcBorders>
              <w:left w:val="single" w:sz="4" w:space="0" w:color="7E7E7E"/>
            </w:tcBorders>
            <w:shd w:val="clear" w:color="auto" w:fill="F1F1F1"/>
          </w:tcPr>
          <w:p>
            <w:pPr>
              <w:pStyle w:val="TableParagraph"/>
              <w:ind w:left="949" w:right="893"/>
              <w:rPr>
                <w:sz w:val="24"/>
              </w:rPr>
            </w:pPr>
            <w:r>
              <w:rPr>
                <w:sz w:val="24"/>
              </w:rPr>
              <w:t>281</w:t>
            </w:r>
          </w:p>
        </w:tc>
        <w:tc>
          <w:tcPr>
            <w:tcW w:w="2352" w:type="dxa"/>
            <w:shd w:val="clear" w:color="auto" w:fill="F1F1F1"/>
          </w:tcPr>
          <w:p>
            <w:pPr>
              <w:pStyle w:val="TableParagraph"/>
              <w:ind w:left="892" w:right="818"/>
              <w:rPr>
                <w:sz w:val="24"/>
              </w:rPr>
            </w:pPr>
            <w:r>
              <w:rPr>
                <w:sz w:val="24"/>
              </w:rPr>
              <w:t>283.8</w:t>
            </w:r>
          </w:p>
        </w:tc>
        <w:tc>
          <w:tcPr>
            <w:tcW w:w="1374" w:type="dxa"/>
            <w:shd w:val="clear" w:color="auto" w:fill="F1F1F1"/>
          </w:tcPr>
          <w:p>
            <w:pPr>
              <w:pStyle w:val="TableParagraph"/>
              <w:ind w:right="199"/>
              <w:jc w:val="right"/>
              <w:rPr>
                <w:sz w:val="24"/>
              </w:rPr>
            </w:pPr>
            <w:r>
              <w:rPr>
                <w:sz w:val="24"/>
              </w:rPr>
              <w:t>2.8</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71</w:t>
            </w:r>
          </w:p>
        </w:tc>
        <w:tc>
          <w:tcPr>
            <w:tcW w:w="2489" w:type="dxa"/>
            <w:tcBorders>
              <w:left w:val="single" w:sz="4" w:space="0" w:color="7E7E7E"/>
            </w:tcBorders>
          </w:tcPr>
          <w:p>
            <w:pPr>
              <w:pStyle w:val="TableParagraph"/>
              <w:ind w:left="949" w:right="893"/>
              <w:rPr>
                <w:sz w:val="24"/>
              </w:rPr>
            </w:pPr>
            <w:r>
              <w:rPr>
                <w:sz w:val="24"/>
              </w:rPr>
              <w:t>272</w:t>
            </w:r>
          </w:p>
        </w:tc>
        <w:tc>
          <w:tcPr>
            <w:tcW w:w="2352" w:type="dxa"/>
          </w:tcPr>
          <w:p>
            <w:pPr>
              <w:pStyle w:val="TableParagraph"/>
              <w:ind w:left="892" w:right="818"/>
              <w:rPr>
                <w:sz w:val="24"/>
              </w:rPr>
            </w:pPr>
            <w:r>
              <w:rPr>
                <w:sz w:val="24"/>
              </w:rPr>
              <w:t>273.1</w:t>
            </w:r>
          </w:p>
        </w:tc>
        <w:tc>
          <w:tcPr>
            <w:tcW w:w="1374" w:type="dxa"/>
          </w:tcPr>
          <w:p>
            <w:pPr>
              <w:pStyle w:val="TableParagraph"/>
              <w:ind w:right="199"/>
              <w:jc w:val="right"/>
              <w:rPr>
                <w:sz w:val="24"/>
              </w:rPr>
            </w:pPr>
            <w:r>
              <w:rPr>
                <w:sz w:val="24"/>
              </w:rPr>
              <w:t>1.1</w:t>
            </w:r>
          </w:p>
        </w:tc>
      </w:tr>
      <w:tr>
        <w:trPr>
          <w:trHeight w:val="295"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72</w:t>
            </w:r>
          </w:p>
        </w:tc>
        <w:tc>
          <w:tcPr>
            <w:tcW w:w="2489" w:type="dxa"/>
            <w:tcBorders>
              <w:left w:val="single" w:sz="4" w:space="0" w:color="7E7E7E"/>
            </w:tcBorders>
            <w:shd w:val="clear" w:color="auto" w:fill="F1F1F1"/>
          </w:tcPr>
          <w:p>
            <w:pPr>
              <w:pStyle w:val="TableParagraph"/>
              <w:ind w:left="949" w:right="893"/>
              <w:rPr>
                <w:sz w:val="24"/>
              </w:rPr>
            </w:pPr>
            <w:r>
              <w:rPr>
                <w:sz w:val="24"/>
              </w:rPr>
              <w:t>266.5</w:t>
            </w:r>
          </w:p>
        </w:tc>
        <w:tc>
          <w:tcPr>
            <w:tcW w:w="2352" w:type="dxa"/>
            <w:shd w:val="clear" w:color="auto" w:fill="F1F1F1"/>
          </w:tcPr>
          <w:p>
            <w:pPr>
              <w:pStyle w:val="TableParagraph"/>
              <w:ind w:left="892" w:right="818"/>
              <w:rPr>
                <w:sz w:val="24"/>
              </w:rPr>
            </w:pPr>
            <w:r>
              <w:rPr>
                <w:sz w:val="24"/>
              </w:rPr>
              <w:t>270.9</w:t>
            </w:r>
          </w:p>
        </w:tc>
        <w:tc>
          <w:tcPr>
            <w:tcW w:w="1374" w:type="dxa"/>
            <w:shd w:val="clear" w:color="auto" w:fill="F1F1F1"/>
          </w:tcPr>
          <w:p>
            <w:pPr>
              <w:pStyle w:val="TableParagraph"/>
              <w:ind w:right="199"/>
              <w:jc w:val="right"/>
              <w:rPr>
                <w:sz w:val="24"/>
              </w:rPr>
            </w:pPr>
            <w:r>
              <w:rPr>
                <w:sz w:val="24"/>
              </w:rPr>
              <w:t>4.4</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73</w:t>
            </w:r>
          </w:p>
        </w:tc>
        <w:tc>
          <w:tcPr>
            <w:tcW w:w="2489" w:type="dxa"/>
            <w:tcBorders>
              <w:left w:val="single" w:sz="4" w:space="0" w:color="7E7E7E"/>
            </w:tcBorders>
          </w:tcPr>
          <w:p>
            <w:pPr>
              <w:pStyle w:val="TableParagraph"/>
              <w:ind w:left="949" w:right="893"/>
              <w:rPr>
                <w:sz w:val="24"/>
              </w:rPr>
            </w:pPr>
            <w:r>
              <w:rPr>
                <w:sz w:val="24"/>
              </w:rPr>
              <w:t>270.5</w:t>
            </w:r>
          </w:p>
        </w:tc>
        <w:tc>
          <w:tcPr>
            <w:tcW w:w="2352" w:type="dxa"/>
          </w:tcPr>
          <w:p>
            <w:pPr>
              <w:pStyle w:val="TableParagraph"/>
              <w:ind w:left="892" w:right="818"/>
              <w:rPr>
                <w:sz w:val="24"/>
              </w:rPr>
            </w:pPr>
            <w:r>
              <w:rPr>
                <w:sz w:val="24"/>
              </w:rPr>
              <w:t>271.8</w:t>
            </w:r>
          </w:p>
        </w:tc>
        <w:tc>
          <w:tcPr>
            <w:tcW w:w="1374" w:type="dxa"/>
          </w:tcPr>
          <w:p>
            <w:pPr>
              <w:pStyle w:val="TableParagraph"/>
              <w:ind w:right="199"/>
              <w:jc w:val="right"/>
              <w:rPr>
                <w:sz w:val="24"/>
              </w:rPr>
            </w:pPr>
            <w:r>
              <w:rPr>
                <w:sz w:val="24"/>
              </w:rPr>
              <w:t>1.3</w:t>
            </w:r>
          </w:p>
        </w:tc>
      </w:tr>
      <w:tr>
        <w:trPr>
          <w:trHeight w:val="298" w:hRule="exact"/>
        </w:trPr>
        <w:tc>
          <w:tcPr>
            <w:tcW w:w="1146" w:type="dxa"/>
            <w:tcBorders>
              <w:right w:val="single" w:sz="4" w:space="0" w:color="7E7E7E"/>
            </w:tcBorders>
            <w:shd w:val="clear" w:color="auto" w:fill="F1F1F1"/>
          </w:tcPr>
          <w:p>
            <w:pPr>
              <w:pStyle w:val="TableParagraph"/>
              <w:spacing w:line="270" w:lineRule="exact"/>
              <w:ind w:left="200"/>
              <w:jc w:val="left"/>
              <w:rPr>
                <w:b/>
                <w:sz w:val="24"/>
              </w:rPr>
            </w:pPr>
            <w:r>
              <w:rPr>
                <w:b/>
                <w:sz w:val="24"/>
              </w:rPr>
              <w:t>74</w:t>
            </w:r>
          </w:p>
        </w:tc>
        <w:tc>
          <w:tcPr>
            <w:tcW w:w="2489" w:type="dxa"/>
            <w:tcBorders>
              <w:left w:val="single" w:sz="4" w:space="0" w:color="7E7E7E"/>
            </w:tcBorders>
            <w:shd w:val="clear" w:color="auto" w:fill="F1F1F1"/>
          </w:tcPr>
          <w:p>
            <w:pPr>
              <w:pStyle w:val="TableParagraph"/>
              <w:spacing w:line="270" w:lineRule="exact"/>
              <w:ind w:left="949" w:right="893"/>
              <w:rPr>
                <w:sz w:val="24"/>
              </w:rPr>
            </w:pPr>
            <w:r>
              <w:rPr>
                <w:sz w:val="24"/>
              </w:rPr>
              <w:t>278</w:t>
            </w:r>
          </w:p>
        </w:tc>
        <w:tc>
          <w:tcPr>
            <w:tcW w:w="2352" w:type="dxa"/>
            <w:shd w:val="clear" w:color="auto" w:fill="F1F1F1"/>
          </w:tcPr>
          <w:p>
            <w:pPr>
              <w:pStyle w:val="TableParagraph"/>
              <w:spacing w:line="270" w:lineRule="exact"/>
              <w:ind w:left="892" w:right="818"/>
              <w:rPr>
                <w:sz w:val="24"/>
              </w:rPr>
            </w:pPr>
            <w:r>
              <w:rPr>
                <w:sz w:val="24"/>
              </w:rPr>
              <w:t>278.6</w:t>
            </w:r>
          </w:p>
        </w:tc>
        <w:tc>
          <w:tcPr>
            <w:tcW w:w="1374" w:type="dxa"/>
            <w:shd w:val="clear" w:color="auto" w:fill="F1F1F1"/>
          </w:tcPr>
          <w:p>
            <w:pPr>
              <w:pStyle w:val="TableParagraph"/>
              <w:spacing w:line="270" w:lineRule="exact"/>
              <w:ind w:right="199"/>
              <w:jc w:val="right"/>
              <w:rPr>
                <w:sz w:val="24"/>
              </w:rPr>
            </w:pPr>
            <w:r>
              <w:rPr>
                <w:sz w:val="24"/>
              </w:rPr>
              <w:t>0.6</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75</w:t>
            </w:r>
          </w:p>
        </w:tc>
        <w:tc>
          <w:tcPr>
            <w:tcW w:w="2489" w:type="dxa"/>
            <w:tcBorders>
              <w:left w:val="single" w:sz="4" w:space="0" w:color="7E7E7E"/>
            </w:tcBorders>
          </w:tcPr>
          <w:p>
            <w:pPr>
              <w:pStyle w:val="TableParagraph"/>
              <w:ind w:left="949" w:right="893"/>
              <w:rPr>
                <w:sz w:val="24"/>
              </w:rPr>
            </w:pPr>
            <w:r>
              <w:rPr>
                <w:sz w:val="24"/>
              </w:rPr>
              <w:t>272.5</w:t>
            </w:r>
          </w:p>
        </w:tc>
        <w:tc>
          <w:tcPr>
            <w:tcW w:w="2352" w:type="dxa"/>
          </w:tcPr>
          <w:p>
            <w:pPr>
              <w:pStyle w:val="TableParagraph"/>
              <w:ind w:left="892" w:right="818"/>
              <w:rPr>
                <w:sz w:val="24"/>
              </w:rPr>
            </w:pPr>
            <w:r>
              <w:rPr>
                <w:sz w:val="24"/>
              </w:rPr>
              <w:t>273.4</w:t>
            </w:r>
          </w:p>
        </w:tc>
        <w:tc>
          <w:tcPr>
            <w:tcW w:w="1374" w:type="dxa"/>
          </w:tcPr>
          <w:p>
            <w:pPr>
              <w:pStyle w:val="TableParagraph"/>
              <w:ind w:right="199"/>
              <w:jc w:val="right"/>
              <w:rPr>
                <w:sz w:val="24"/>
              </w:rPr>
            </w:pPr>
            <w:r>
              <w:rPr>
                <w:sz w:val="24"/>
              </w:rPr>
              <w:t>0.9</w:t>
            </w:r>
          </w:p>
        </w:tc>
      </w:tr>
      <w:tr>
        <w:trPr>
          <w:trHeight w:val="295"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76</w:t>
            </w:r>
          </w:p>
        </w:tc>
        <w:tc>
          <w:tcPr>
            <w:tcW w:w="2489" w:type="dxa"/>
            <w:tcBorders>
              <w:left w:val="single" w:sz="4" w:space="0" w:color="7E7E7E"/>
            </w:tcBorders>
            <w:shd w:val="clear" w:color="auto" w:fill="F1F1F1"/>
          </w:tcPr>
          <w:p>
            <w:pPr>
              <w:pStyle w:val="TableParagraph"/>
              <w:ind w:left="949" w:right="893"/>
              <w:rPr>
                <w:sz w:val="24"/>
              </w:rPr>
            </w:pPr>
            <w:r>
              <w:rPr>
                <w:sz w:val="24"/>
              </w:rPr>
              <w:t>273</w:t>
            </w:r>
          </w:p>
        </w:tc>
        <w:tc>
          <w:tcPr>
            <w:tcW w:w="2352" w:type="dxa"/>
            <w:shd w:val="clear" w:color="auto" w:fill="F1F1F1"/>
          </w:tcPr>
          <w:p>
            <w:pPr>
              <w:pStyle w:val="TableParagraph"/>
              <w:ind w:left="892" w:right="818"/>
              <w:rPr>
                <w:sz w:val="24"/>
              </w:rPr>
            </w:pPr>
            <w:r>
              <w:rPr>
                <w:sz w:val="24"/>
              </w:rPr>
              <w:t>276.6</w:t>
            </w:r>
          </w:p>
        </w:tc>
        <w:tc>
          <w:tcPr>
            <w:tcW w:w="1374" w:type="dxa"/>
            <w:shd w:val="clear" w:color="auto" w:fill="F1F1F1"/>
          </w:tcPr>
          <w:p>
            <w:pPr>
              <w:pStyle w:val="TableParagraph"/>
              <w:ind w:right="199"/>
              <w:jc w:val="right"/>
              <w:rPr>
                <w:sz w:val="24"/>
              </w:rPr>
            </w:pPr>
            <w:r>
              <w:rPr>
                <w:sz w:val="24"/>
              </w:rPr>
              <w:t>3.6</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77</w:t>
            </w:r>
          </w:p>
        </w:tc>
        <w:tc>
          <w:tcPr>
            <w:tcW w:w="2489" w:type="dxa"/>
            <w:tcBorders>
              <w:left w:val="single" w:sz="4" w:space="0" w:color="7E7E7E"/>
            </w:tcBorders>
          </w:tcPr>
          <w:p>
            <w:pPr>
              <w:pStyle w:val="TableParagraph"/>
              <w:ind w:left="949" w:right="893"/>
              <w:rPr>
                <w:sz w:val="24"/>
              </w:rPr>
            </w:pPr>
            <w:r>
              <w:rPr>
                <w:sz w:val="24"/>
              </w:rPr>
              <w:t>273.5</w:t>
            </w:r>
          </w:p>
        </w:tc>
        <w:tc>
          <w:tcPr>
            <w:tcW w:w="2352" w:type="dxa"/>
          </w:tcPr>
          <w:p>
            <w:pPr>
              <w:pStyle w:val="TableParagraph"/>
              <w:ind w:left="892" w:right="818"/>
              <w:rPr>
                <w:sz w:val="24"/>
              </w:rPr>
            </w:pPr>
            <w:r>
              <w:rPr>
                <w:sz w:val="24"/>
              </w:rPr>
              <w:t>273.7</w:t>
            </w:r>
          </w:p>
        </w:tc>
        <w:tc>
          <w:tcPr>
            <w:tcW w:w="1374" w:type="dxa"/>
          </w:tcPr>
          <w:p>
            <w:pPr>
              <w:pStyle w:val="TableParagraph"/>
              <w:ind w:right="199"/>
              <w:jc w:val="right"/>
              <w:rPr>
                <w:sz w:val="24"/>
              </w:rPr>
            </w:pPr>
            <w:r>
              <w:rPr>
                <w:sz w:val="24"/>
              </w:rPr>
              <w:t>0.2</w:t>
            </w:r>
          </w:p>
        </w:tc>
      </w:tr>
      <w:tr>
        <w:trPr>
          <w:trHeight w:val="298"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78</w:t>
            </w:r>
          </w:p>
        </w:tc>
        <w:tc>
          <w:tcPr>
            <w:tcW w:w="2489" w:type="dxa"/>
            <w:tcBorders>
              <w:left w:val="single" w:sz="4" w:space="0" w:color="7E7E7E"/>
            </w:tcBorders>
            <w:shd w:val="clear" w:color="auto" w:fill="F1F1F1"/>
          </w:tcPr>
          <w:p>
            <w:pPr>
              <w:pStyle w:val="TableParagraph"/>
              <w:ind w:left="949" w:right="893"/>
              <w:rPr>
                <w:sz w:val="24"/>
              </w:rPr>
            </w:pPr>
            <w:r>
              <w:rPr>
                <w:sz w:val="24"/>
              </w:rPr>
              <w:t>277</w:t>
            </w:r>
          </w:p>
        </w:tc>
        <w:tc>
          <w:tcPr>
            <w:tcW w:w="2352" w:type="dxa"/>
            <w:shd w:val="clear" w:color="auto" w:fill="F1F1F1"/>
          </w:tcPr>
          <w:p>
            <w:pPr>
              <w:pStyle w:val="TableParagraph"/>
              <w:ind w:left="892" w:right="818"/>
              <w:rPr>
                <w:sz w:val="24"/>
              </w:rPr>
            </w:pPr>
            <w:r>
              <w:rPr>
                <w:sz w:val="24"/>
              </w:rPr>
              <w:t>277.5</w:t>
            </w:r>
          </w:p>
        </w:tc>
        <w:tc>
          <w:tcPr>
            <w:tcW w:w="1374" w:type="dxa"/>
            <w:shd w:val="clear" w:color="auto" w:fill="F1F1F1"/>
          </w:tcPr>
          <w:p>
            <w:pPr>
              <w:pStyle w:val="TableParagraph"/>
              <w:ind w:right="199"/>
              <w:jc w:val="right"/>
              <w:rPr>
                <w:sz w:val="24"/>
              </w:rPr>
            </w:pPr>
            <w:r>
              <w:rPr>
                <w:sz w:val="24"/>
              </w:rPr>
              <w:t>0.5</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79</w:t>
            </w:r>
          </w:p>
        </w:tc>
        <w:tc>
          <w:tcPr>
            <w:tcW w:w="2489" w:type="dxa"/>
            <w:tcBorders>
              <w:left w:val="single" w:sz="4" w:space="0" w:color="7E7E7E"/>
            </w:tcBorders>
          </w:tcPr>
          <w:p>
            <w:pPr>
              <w:pStyle w:val="TableParagraph"/>
              <w:ind w:left="949" w:right="893"/>
              <w:rPr>
                <w:sz w:val="24"/>
              </w:rPr>
            </w:pPr>
            <w:r>
              <w:rPr>
                <w:sz w:val="24"/>
              </w:rPr>
              <w:t>266.5</w:t>
            </w:r>
          </w:p>
        </w:tc>
        <w:tc>
          <w:tcPr>
            <w:tcW w:w="2352" w:type="dxa"/>
          </w:tcPr>
          <w:p>
            <w:pPr>
              <w:pStyle w:val="TableParagraph"/>
              <w:ind w:left="892" w:right="818"/>
              <w:rPr>
                <w:sz w:val="24"/>
              </w:rPr>
            </w:pPr>
            <w:r>
              <w:rPr>
                <w:sz w:val="24"/>
              </w:rPr>
              <w:t>268.2</w:t>
            </w:r>
          </w:p>
        </w:tc>
        <w:tc>
          <w:tcPr>
            <w:tcW w:w="1374" w:type="dxa"/>
          </w:tcPr>
          <w:p>
            <w:pPr>
              <w:pStyle w:val="TableParagraph"/>
              <w:ind w:right="199"/>
              <w:jc w:val="right"/>
              <w:rPr>
                <w:sz w:val="24"/>
              </w:rPr>
            </w:pPr>
            <w:r>
              <w:rPr>
                <w:sz w:val="24"/>
              </w:rPr>
              <w:t>1.7</w:t>
            </w:r>
          </w:p>
        </w:tc>
      </w:tr>
      <w:tr>
        <w:trPr>
          <w:trHeight w:val="295"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80</w:t>
            </w:r>
          </w:p>
        </w:tc>
        <w:tc>
          <w:tcPr>
            <w:tcW w:w="2489" w:type="dxa"/>
            <w:tcBorders>
              <w:left w:val="single" w:sz="4" w:space="0" w:color="7E7E7E"/>
            </w:tcBorders>
            <w:shd w:val="clear" w:color="auto" w:fill="F1F1F1"/>
          </w:tcPr>
          <w:p>
            <w:pPr>
              <w:pStyle w:val="TableParagraph"/>
              <w:ind w:left="949" w:right="893"/>
              <w:rPr>
                <w:sz w:val="24"/>
              </w:rPr>
            </w:pPr>
            <w:r>
              <w:rPr>
                <w:sz w:val="24"/>
              </w:rPr>
              <w:t>271.5</w:t>
            </w:r>
          </w:p>
        </w:tc>
        <w:tc>
          <w:tcPr>
            <w:tcW w:w="2352" w:type="dxa"/>
            <w:shd w:val="clear" w:color="auto" w:fill="F1F1F1"/>
          </w:tcPr>
          <w:p>
            <w:pPr>
              <w:pStyle w:val="TableParagraph"/>
              <w:ind w:left="892" w:right="818"/>
              <w:rPr>
                <w:sz w:val="24"/>
              </w:rPr>
            </w:pPr>
            <w:r>
              <w:rPr>
                <w:sz w:val="24"/>
              </w:rPr>
              <w:t>281.5</w:t>
            </w:r>
          </w:p>
        </w:tc>
        <w:tc>
          <w:tcPr>
            <w:tcW w:w="1374" w:type="dxa"/>
            <w:shd w:val="clear" w:color="auto" w:fill="F1F1F1"/>
          </w:tcPr>
          <w:p>
            <w:pPr>
              <w:pStyle w:val="TableParagraph"/>
              <w:ind w:right="231"/>
              <w:jc w:val="right"/>
              <w:rPr>
                <w:sz w:val="24"/>
              </w:rPr>
            </w:pPr>
            <w:r>
              <w:rPr>
                <w:sz w:val="24"/>
              </w:rPr>
              <w:t>10</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81</w:t>
            </w:r>
          </w:p>
        </w:tc>
        <w:tc>
          <w:tcPr>
            <w:tcW w:w="2489" w:type="dxa"/>
            <w:tcBorders>
              <w:left w:val="single" w:sz="4" w:space="0" w:color="7E7E7E"/>
            </w:tcBorders>
          </w:tcPr>
          <w:p>
            <w:pPr>
              <w:pStyle w:val="TableParagraph"/>
              <w:ind w:left="949" w:right="893"/>
              <w:rPr>
                <w:sz w:val="24"/>
              </w:rPr>
            </w:pPr>
            <w:r>
              <w:rPr>
                <w:sz w:val="24"/>
              </w:rPr>
              <w:t>281</w:t>
            </w:r>
          </w:p>
        </w:tc>
        <w:tc>
          <w:tcPr>
            <w:tcW w:w="2352" w:type="dxa"/>
          </w:tcPr>
          <w:p>
            <w:pPr>
              <w:pStyle w:val="TableParagraph"/>
              <w:ind w:left="892" w:right="818"/>
              <w:rPr>
                <w:sz w:val="24"/>
              </w:rPr>
            </w:pPr>
            <w:r>
              <w:rPr>
                <w:sz w:val="24"/>
              </w:rPr>
              <w:t>281.5</w:t>
            </w:r>
          </w:p>
        </w:tc>
        <w:tc>
          <w:tcPr>
            <w:tcW w:w="1374" w:type="dxa"/>
          </w:tcPr>
          <w:p>
            <w:pPr>
              <w:pStyle w:val="TableParagraph"/>
              <w:ind w:right="199"/>
              <w:jc w:val="right"/>
              <w:rPr>
                <w:sz w:val="24"/>
              </w:rPr>
            </w:pPr>
            <w:r>
              <w:rPr>
                <w:sz w:val="24"/>
              </w:rPr>
              <w:t>0.5</w:t>
            </w:r>
          </w:p>
        </w:tc>
      </w:tr>
      <w:tr>
        <w:trPr>
          <w:trHeight w:val="298"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82</w:t>
            </w:r>
          </w:p>
        </w:tc>
        <w:tc>
          <w:tcPr>
            <w:tcW w:w="2489" w:type="dxa"/>
            <w:tcBorders>
              <w:left w:val="single" w:sz="4" w:space="0" w:color="7E7E7E"/>
            </w:tcBorders>
            <w:shd w:val="clear" w:color="auto" w:fill="F1F1F1"/>
          </w:tcPr>
          <w:p>
            <w:pPr>
              <w:pStyle w:val="TableParagraph"/>
              <w:ind w:left="949" w:right="893"/>
              <w:rPr>
                <w:sz w:val="24"/>
              </w:rPr>
            </w:pPr>
            <w:r>
              <w:rPr>
                <w:sz w:val="24"/>
              </w:rPr>
              <w:t>269</w:t>
            </w:r>
          </w:p>
        </w:tc>
        <w:tc>
          <w:tcPr>
            <w:tcW w:w="2352" w:type="dxa"/>
            <w:shd w:val="clear" w:color="auto" w:fill="F1F1F1"/>
          </w:tcPr>
          <w:p>
            <w:pPr>
              <w:pStyle w:val="TableParagraph"/>
              <w:ind w:left="892" w:right="818"/>
              <w:rPr>
                <w:sz w:val="24"/>
              </w:rPr>
            </w:pPr>
            <w:r>
              <w:rPr>
                <w:sz w:val="24"/>
              </w:rPr>
              <w:t>275.1</w:t>
            </w:r>
          </w:p>
        </w:tc>
        <w:tc>
          <w:tcPr>
            <w:tcW w:w="1374" w:type="dxa"/>
            <w:shd w:val="clear" w:color="auto" w:fill="F1F1F1"/>
          </w:tcPr>
          <w:p>
            <w:pPr>
              <w:pStyle w:val="TableParagraph"/>
              <w:ind w:right="199"/>
              <w:jc w:val="right"/>
              <w:rPr>
                <w:sz w:val="24"/>
              </w:rPr>
            </w:pPr>
            <w:r>
              <w:rPr>
                <w:sz w:val="24"/>
              </w:rPr>
              <w:t>6.1</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83</w:t>
            </w:r>
          </w:p>
        </w:tc>
        <w:tc>
          <w:tcPr>
            <w:tcW w:w="2489" w:type="dxa"/>
            <w:tcBorders>
              <w:left w:val="single" w:sz="4" w:space="0" w:color="7E7E7E"/>
            </w:tcBorders>
          </w:tcPr>
          <w:p>
            <w:pPr>
              <w:pStyle w:val="TableParagraph"/>
              <w:ind w:left="949" w:right="893"/>
              <w:rPr>
                <w:sz w:val="24"/>
              </w:rPr>
            </w:pPr>
            <w:r>
              <w:rPr>
                <w:sz w:val="24"/>
              </w:rPr>
              <w:t>283</w:t>
            </w:r>
          </w:p>
        </w:tc>
        <w:tc>
          <w:tcPr>
            <w:tcW w:w="2352" w:type="dxa"/>
          </w:tcPr>
          <w:p>
            <w:pPr>
              <w:pStyle w:val="TableParagraph"/>
              <w:ind w:left="892" w:right="818"/>
              <w:rPr>
                <w:sz w:val="24"/>
              </w:rPr>
            </w:pPr>
            <w:r>
              <w:rPr>
                <w:sz w:val="24"/>
              </w:rPr>
              <w:t>284.2</w:t>
            </w:r>
          </w:p>
        </w:tc>
        <w:tc>
          <w:tcPr>
            <w:tcW w:w="1374" w:type="dxa"/>
          </w:tcPr>
          <w:p>
            <w:pPr>
              <w:pStyle w:val="TableParagraph"/>
              <w:ind w:right="199"/>
              <w:jc w:val="right"/>
              <w:rPr>
                <w:sz w:val="24"/>
              </w:rPr>
            </w:pPr>
            <w:r>
              <w:rPr>
                <w:sz w:val="24"/>
              </w:rPr>
              <w:t>1.2</w:t>
            </w:r>
          </w:p>
        </w:tc>
      </w:tr>
      <w:tr>
        <w:trPr>
          <w:trHeight w:val="295"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84</w:t>
            </w:r>
          </w:p>
        </w:tc>
        <w:tc>
          <w:tcPr>
            <w:tcW w:w="2489" w:type="dxa"/>
            <w:tcBorders>
              <w:left w:val="single" w:sz="4" w:space="0" w:color="7E7E7E"/>
            </w:tcBorders>
            <w:shd w:val="clear" w:color="auto" w:fill="F1F1F1"/>
          </w:tcPr>
          <w:p>
            <w:pPr>
              <w:pStyle w:val="TableParagraph"/>
              <w:ind w:left="949" w:right="892"/>
              <w:rPr>
                <w:sz w:val="24"/>
              </w:rPr>
            </w:pPr>
            <w:r>
              <w:rPr>
                <w:sz w:val="24"/>
              </w:rPr>
              <w:t>268.5</w:t>
            </w:r>
          </w:p>
        </w:tc>
        <w:tc>
          <w:tcPr>
            <w:tcW w:w="2352" w:type="dxa"/>
            <w:shd w:val="clear" w:color="auto" w:fill="F1F1F1"/>
          </w:tcPr>
          <w:p>
            <w:pPr>
              <w:pStyle w:val="TableParagraph"/>
              <w:ind w:left="892" w:right="818"/>
              <w:rPr>
                <w:sz w:val="24"/>
              </w:rPr>
            </w:pPr>
            <w:r>
              <w:rPr>
                <w:sz w:val="24"/>
              </w:rPr>
              <w:t>273.8</w:t>
            </w:r>
          </w:p>
        </w:tc>
        <w:tc>
          <w:tcPr>
            <w:tcW w:w="1374" w:type="dxa"/>
            <w:shd w:val="clear" w:color="auto" w:fill="F1F1F1"/>
          </w:tcPr>
          <w:p>
            <w:pPr>
              <w:pStyle w:val="TableParagraph"/>
              <w:ind w:right="199"/>
              <w:jc w:val="right"/>
              <w:rPr>
                <w:sz w:val="24"/>
              </w:rPr>
            </w:pPr>
            <w:r>
              <w:rPr>
                <w:sz w:val="24"/>
              </w:rPr>
              <w:t>5.3</w:t>
            </w:r>
          </w:p>
        </w:tc>
      </w:tr>
      <w:tr>
        <w:trPr>
          <w:trHeight w:val="298" w:hRule="exact"/>
        </w:trPr>
        <w:tc>
          <w:tcPr>
            <w:tcW w:w="1146" w:type="dxa"/>
            <w:tcBorders>
              <w:right w:val="single" w:sz="4" w:space="0" w:color="7E7E7E"/>
            </w:tcBorders>
          </w:tcPr>
          <w:p>
            <w:pPr>
              <w:pStyle w:val="TableParagraph"/>
              <w:spacing w:line="270" w:lineRule="exact"/>
              <w:ind w:left="200"/>
              <w:jc w:val="left"/>
              <w:rPr>
                <w:b/>
                <w:sz w:val="24"/>
              </w:rPr>
            </w:pPr>
            <w:r>
              <w:rPr>
                <w:b/>
                <w:sz w:val="24"/>
              </w:rPr>
              <w:t>85</w:t>
            </w:r>
          </w:p>
        </w:tc>
        <w:tc>
          <w:tcPr>
            <w:tcW w:w="2489" w:type="dxa"/>
            <w:tcBorders>
              <w:left w:val="single" w:sz="4" w:space="0" w:color="7E7E7E"/>
            </w:tcBorders>
          </w:tcPr>
          <w:p>
            <w:pPr>
              <w:pStyle w:val="TableParagraph"/>
              <w:spacing w:line="270" w:lineRule="exact"/>
              <w:ind w:left="949" w:right="893"/>
              <w:rPr>
                <w:sz w:val="24"/>
              </w:rPr>
            </w:pPr>
            <w:r>
              <w:rPr>
                <w:sz w:val="24"/>
              </w:rPr>
              <w:t>274.5</w:t>
            </w:r>
          </w:p>
        </w:tc>
        <w:tc>
          <w:tcPr>
            <w:tcW w:w="2352" w:type="dxa"/>
          </w:tcPr>
          <w:p>
            <w:pPr>
              <w:pStyle w:val="TableParagraph"/>
              <w:spacing w:line="270" w:lineRule="exact"/>
              <w:ind w:left="892" w:right="818"/>
              <w:rPr>
                <w:sz w:val="24"/>
              </w:rPr>
            </w:pPr>
            <w:r>
              <w:rPr>
                <w:sz w:val="24"/>
              </w:rPr>
              <w:t>277.2</w:t>
            </w:r>
          </w:p>
        </w:tc>
        <w:tc>
          <w:tcPr>
            <w:tcW w:w="1374" w:type="dxa"/>
          </w:tcPr>
          <w:p>
            <w:pPr>
              <w:pStyle w:val="TableParagraph"/>
              <w:spacing w:line="270" w:lineRule="exact"/>
              <w:ind w:right="199"/>
              <w:jc w:val="right"/>
              <w:rPr>
                <w:sz w:val="24"/>
              </w:rPr>
            </w:pPr>
            <w:r>
              <w:rPr>
                <w:sz w:val="24"/>
              </w:rPr>
              <w:t>2.7</w:t>
            </w:r>
          </w:p>
        </w:tc>
      </w:tr>
      <w:tr>
        <w:trPr>
          <w:trHeight w:val="298" w:hRule="exact"/>
        </w:trPr>
        <w:tc>
          <w:tcPr>
            <w:tcW w:w="1146" w:type="dxa"/>
            <w:tcBorders>
              <w:right w:val="single" w:sz="4" w:space="0" w:color="7E7E7E"/>
            </w:tcBorders>
            <w:shd w:val="clear" w:color="auto" w:fill="F1F1F1"/>
          </w:tcPr>
          <w:p>
            <w:pPr>
              <w:pStyle w:val="TableParagraph"/>
              <w:ind w:left="200"/>
              <w:jc w:val="left"/>
              <w:rPr>
                <w:b/>
                <w:sz w:val="24"/>
              </w:rPr>
            </w:pPr>
            <w:r>
              <w:rPr>
                <w:b/>
                <w:sz w:val="24"/>
              </w:rPr>
              <w:t>86</w:t>
            </w:r>
          </w:p>
        </w:tc>
        <w:tc>
          <w:tcPr>
            <w:tcW w:w="2489" w:type="dxa"/>
            <w:tcBorders>
              <w:left w:val="single" w:sz="4" w:space="0" w:color="7E7E7E"/>
            </w:tcBorders>
            <w:shd w:val="clear" w:color="auto" w:fill="F1F1F1"/>
          </w:tcPr>
          <w:p>
            <w:pPr>
              <w:pStyle w:val="TableParagraph"/>
              <w:ind w:left="949" w:right="893"/>
              <w:rPr>
                <w:sz w:val="24"/>
              </w:rPr>
            </w:pPr>
            <w:r>
              <w:rPr>
                <w:sz w:val="24"/>
              </w:rPr>
              <w:t>272.5</w:t>
            </w:r>
          </w:p>
        </w:tc>
        <w:tc>
          <w:tcPr>
            <w:tcW w:w="2352" w:type="dxa"/>
            <w:shd w:val="clear" w:color="auto" w:fill="F1F1F1"/>
          </w:tcPr>
          <w:p>
            <w:pPr>
              <w:pStyle w:val="TableParagraph"/>
              <w:ind w:left="892" w:right="818"/>
              <w:rPr>
                <w:sz w:val="24"/>
              </w:rPr>
            </w:pPr>
            <w:r>
              <w:rPr>
                <w:sz w:val="24"/>
              </w:rPr>
              <w:t>276.5</w:t>
            </w:r>
          </w:p>
        </w:tc>
        <w:tc>
          <w:tcPr>
            <w:tcW w:w="1374" w:type="dxa"/>
            <w:shd w:val="clear" w:color="auto" w:fill="F1F1F1"/>
          </w:tcPr>
          <w:p>
            <w:pPr>
              <w:pStyle w:val="TableParagraph"/>
              <w:ind w:right="301"/>
              <w:jc w:val="right"/>
              <w:rPr>
                <w:sz w:val="24"/>
              </w:rPr>
            </w:pPr>
            <w:r>
              <w:rPr>
                <w:w w:val="99"/>
                <w:sz w:val="24"/>
              </w:rPr>
              <w:t>4</w:t>
            </w:r>
          </w:p>
        </w:tc>
      </w:tr>
      <w:tr>
        <w:trPr>
          <w:trHeight w:val="298" w:hRule="exact"/>
        </w:trPr>
        <w:tc>
          <w:tcPr>
            <w:tcW w:w="1146" w:type="dxa"/>
            <w:tcBorders>
              <w:right w:val="single" w:sz="4" w:space="0" w:color="7E7E7E"/>
            </w:tcBorders>
          </w:tcPr>
          <w:p>
            <w:pPr>
              <w:pStyle w:val="TableParagraph"/>
              <w:ind w:left="200"/>
              <w:jc w:val="left"/>
              <w:rPr>
                <w:b/>
                <w:sz w:val="24"/>
              </w:rPr>
            </w:pPr>
            <w:r>
              <w:rPr>
                <w:b/>
                <w:sz w:val="24"/>
              </w:rPr>
              <w:t>87</w:t>
            </w:r>
          </w:p>
        </w:tc>
        <w:tc>
          <w:tcPr>
            <w:tcW w:w="2489" w:type="dxa"/>
            <w:tcBorders>
              <w:left w:val="single" w:sz="4" w:space="0" w:color="7E7E7E"/>
            </w:tcBorders>
          </w:tcPr>
          <w:p>
            <w:pPr>
              <w:pStyle w:val="TableParagraph"/>
              <w:ind w:left="949" w:right="893"/>
              <w:rPr>
                <w:sz w:val="24"/>
              </w:rPr>
            </w:pPr>
            <w:r>
              <w:rPr>
                <w:sz w:val="24"/>
              </w:rPr>
              <w:t>277</w:t>
            </w:r>
          </w:p>
        </w:tc>
        <w:tc>
          <w:tcPr>
            <w:tcW w:w="2352" w:type="dxa"/>
          </w:tcPr>
          <w:p>
            <w:pPr>
              <w:pStyle w:val="TableParagraph"/>
              <w:ind w:left="892" w:right="818"/>
              <w:rPr>
                <w:sz w:val="24"/>
              </w:rPr>
            </w:pPr>
            <w:r>
              <w:rPr>
                <w:sz w:val="24"/>
              </w:rPr>
              <w:t>277.6</w:t>
            </w:r>
          </w:p>
        </w:tc>
        <w:tc>
          <w:tcPr>
            <w:tcW w:w="1374" w:type="dxa"/>
          </w:tcPr>
          <w:p>
            <w:pPr>
              <w:pStyle w:val="TableParagraph"/>
              <w:ind w:right="199"/>
              <w:jc w:val="right"/>
              <w:rPr>
                <w:sz w:val="24"/>
              </w:rPr>
            </w:pPr>
            <w:r>
              <w:rPr>
                <w:sz w:val="24"/>
              </w:rPr>
              <w:t>0.6</w:t>
            </w:r>
          </w:p>
        </w:tc>
      </w:tr>
    </w:tbl>
    <w:p>
      <w:pPr>
        <w:rPr>
          <w:sz w:val="2"/>
          <w:szCs w:val="2"/>
        </w:rPr>
      </w:pPr>
      <w:r>
        <w:rPr/>
        <w:pict>
          <v:shape style="position:absolute;margin-left:79.704002pt;margin-top:85.699944pt;width:423.2pt;height:14.9pt;mso-position-horizontal-relative:page;mso-position-vertical-relative:page;z-index:-122416" coordorigin="1594,1714" coordsize="8464,298" path="m3212,1714l1594,1714,1594,2012,3212,2012,3212,1714m5766,1714l3216,1714,3216,2012,5766,2012,5766,1714m10058,1714l8073,1714,5766,1714,5766,2012,8073,2012,10058,2012,10058,1714e" filled="true" fillcolor="#f1f1f1" stroked="false">
            <v:path arrowok="t"/>
            <v:fill type="solid"/>
            <w10:wrap type="none"/>
          </v:shape>
        </w:pict>
      </w:r>
      <w:r>
        <w:rPr/>
        <w:pict>
          <v:shape style="position:absolute;margin-left:79.704002pt;margin-top:115.459946pt;width:423.2pt;height:14.8pt;mso-position-horizontal-relative:page;mso-position-vertical-relative:page;z-index:-122392" coordorigin="1594,2309" coordsize="8464,296" path="m3212,2309l1594,2309,1594,2604,3212,2604,3212,2309m5766,2309l3216,2309,3216,2604,5766,2604,5766,2309m10058,2309l8073,2309,5766,2309,5766,2604,8073,2604,10058,2604,10058,2309e" filled="true" fillcolor="#f1f1f1" stroked="false">
            <v:path arrowok="t"/>
            <v:fill type="solid"/>
            <w10:wrap type="none"/>
          </v:shape>
        </w:pict>
      </w:r>
      <w:r>
        <w:rPr/>
        <w:pict>
          <v:shape style="position:absolute;margin-left:79.704002pt;margin-top:145.099945pt;width:423.2pt;height:14.9pt;mso-position-horizontal-relative:page;mso-position-vertical-relative:page;z-index:-122368" coordorigin="1594,2902" coordsize="8464,298" path="m3212,2902l1594,2902,1594,3200,3212,3200,3212,2902m5766,2902l3216,2902,3216,3200,5766,3200,5766,2902m10058,2902l8073,2902,5766,2902,5766,3200,8073,3200,10058,3200,10058,2902e" filled="true" fillcolor="#f1f1f1" stroked="false">
            <v:path arrowok="t"/>
            <v:fill type="solid"/>
            <w10:wrap type="none"/>
          </v:shape>
        </w:pict>
      </w:r>
      <w:r>
        <w:rPr/>
        <w:pict>
          <v:shape style="position:absolute;margin-left:79.704002pt;margin-top:174.859955pt;width:423.2pt;height:14.8pt;mso-position-horizontal-relative:page;mso-position-vertical-relative:page;z-index:-122344" coordorigin="1594,3497" coordsize="8464,296" path="m3212,3497l3108,3497,1702,3497,1594,3497,1594,3792,3212,3792,3212,3497m5766,3497l5658,3497,3324,3497,3216,3497,3216,3792,5766,3792,5766,3497m10058,3497l9950,3497,8178,3497,8073,3497,7962,3497,5874,3497,5766,3497,5766,3792,8073,3792,10058,3792,10058,3497e" filled="true" fillcolor="#f1f1f1" stroked="false">
            <v:path arrowok="t"/>
            <v:fill type="solid"/>
            <w10:wrap type="none"/>
          </v:shape>
        </w:pict>
      </w:r>
      <w:r>
        <w:rPr/>
        <w:pict>
          <v:shape style="position:absolute;margin-left:79.704002pt;margin-top:204.499954pt;width:423.2pt;height:14.9pt;mso-position-horizontal-relative:page;mso-position-vertical-relative:page;z-index:-122320" coordorigin="1594,4090" coordsize="8464,298" path="m3212,4090l3108,4090,1702,4090,1594,4090,1594,4388,3212,4388,3212,4090m5766,4090l5658,4090,3324,4090,3216,4090,3216,4388,5766,4388,5766,4090m10058,4090l9950,4090,8178,4090,8073,4090,7962,4090,5874,4090,5766,4090,5766,4388,8073,4388,10058,4388,10058,4090e" filled="true" fillcolor="#f1f1f1" stroked="false">
            <v:path arrowok="t"/>
            <v:fill type="solid"/>
            <w10:wrap type="none"/>
          </v:shape>
        </w:pict>
      </w:r>
      <w:r>
        <w:rPr/>
        <w:pict>
          <v:shape style="position:absolute;margin-left:79.704002pt;margin-top:234.265961pt;width:423.2pt;height:14.8pt;mso-position-horizontal-relative:page;mso-position-vertical-relative:page;z-index:-122296" coordorigin="1594,4685" coordsize="8464,296" path="m3212,4685l3108,4685,1702,4685,1594,4685,1594,4981,3212,4981,3212,4685m5766,4685l5658,4685,3324,4685,3216,4685,3216,4981,5766,4981,5766,4685m10058,4685l9950,4685,8178,4685,8073,4685,7962,4685,5874,4685,5766,4685,5766,4981,8073,4981,10058,4981,10058,4685e" filled="true" fillcolor="#f1f1f1" stroked="false">
            <v:path arrowok="t"/>
            <v:fill type="solid"/>
            <w10:wrap type="none"/>
          </v:shape>
        </w:pict>
      </w:r>
      <w:r>
        <w:rPr/>
        <w:pict>
          <v:shape style="position:absolute;margin-left:79.704002pt;margin-top:263.929962pt;width:423.2pt;height:14.9pt;mso-position-horizontal-relative:page;mso-position-vertical-relative:page;z-index:-122272" coordorigin="1594,5279" coordsize="8464,298" path="m3212,5279l3108,5279,1702,5279,1594,5279,1594,5576,3212,5576,3212,5279m5766,5279l5658,5279,3324,5279,3216,5279,3216,5576,5766,5576,5766,5279m10058,5279l9950,5279,8178,5279,8073,5279,7962,5279,5874,5279,5766,5279,5766,5576,8073,5576,10058,5576,10058,5279e" filled="true" fillcolor="#f1f1f1" stroked="false">
            <v:path arrowok="t"/>
            <v:fill type="solid"/>
            <w10:wrap type="none"/>
          </v:shape>
        </w:pict>
      </w:r>
      <w:r>
        <w:rPr/>
        <w:pict>
          <v:shape style="position:absolute;margin-left:79.704002pt;margin-top:293.689972pt;width:423.2pt;height:14.8pt;mso-position-horizontal-relative:page;mso-position-vertical-relative:page;z-index:-122248" coordorigin="1594,5874" coordsize="8464,296" path="m3212,5874l1594,5874,1594,6169,3212,6169,3212,5874m5766,5874l3216,5874,3216,6169,5766,6169,5766,5874m10058,5874l8073,5874,5766,5874,5766,6169,8073,6169,10058,6169,10058,5874e" filled="true" fillcolor="#f1f1f1" stroked="false">
            <v:path arrowok="t"/>
            <v:fill type="solid"/>
            <w10:wrap type="none"/>
          </v:shape>
        </w:pict>
      </w:r>
      <w:r>
        <w:rPr/>
        <w:pict>
          <v:shape style="position:absolute;margin-left:79.704002pt;margin-top:323.329956pt;width:423.2pt;height:14.9pt;mso-position-horizontal-relative:page;mso-position-vertical-relative:page;z-index:-122224" coordorigin="1594,6467" coordsize="8464,298" path="m3212,6467l3108,6467,1702,6467,1594,6467,1594,6764,3212,6764,3212,6467m5766,6467l5658,6467,3324,6467,3216,6467,3216,6764,5766,6764,5766,6467m10058,6467l9950,6467,8178,6467,8073,6467,7962,6467,5874,6467,5766,6467,5766,6764,8073,6764,10058,6764,10058,6467e" filled="true" fillcolor="#f1f1f1" stroked="false">
            <v:path arrowok="t"/>
            <v:fill type="solid"/>
            <w10:wrap type="none"/>
          </v:shape>
        </w:pict>
      </w:r>
      <w:r>
        <w:rPr/>
        <w:pict>
          <v:shape style="position:absolute;margin-left:79.704002pt;margin-top:353.089966pt;width:423.2pt;height:14.8pt;mso-position-horizontal-relative:page;mso-position-vertical-relative:page;z-index:-122200" coordorigin="1594,7062" coordsize="8464,296" path="m3212,7062l3108,7062,1702,7062,1594,7062,1594,7357,3212,7357,3212,7062m5766,7062l5658,7062,3324,7062,3216,7062,3216,7357,5766,7357,5766,7062m10058,7062l9950,7062,8178,7062,8073,7062,7962,7062,5874,7062,5766,7062,5766,7357,8073,7357,10058,7357,10058,7062e" filled="true" fillcolor="#f1f1f1" stroked="false">
            <v:path arrowok="t"/>
            <v:fill type="solid"/>
            <w10:wrap type="none"/>
          </v:shape>
        </w:pict>
      </w:r>
      <w:r>
        <w:rPr/>
        <w:pict>
          <v:shape style="position:absolute;margin-left:79.704002pt;margin-top:382.72995pt;width:423.2pt;height:14.9pt;mso-position-horizontal-relative:page;mso-position-vertical-relative:page;z-index:-122176" coordorigin="1594,7655" coordsize="8464,298" path="m3212,7655l3108,7655,1702,7655,1594,7655,1594,7952,3212,7952,3212,7655m5766,7655l5658,7655,3324,7655,3216,7655,3216,7952,5766,7952,5766,7655m10058,7655l9950,7655,8178,7655,8073,7655,7962,7655,5874,7655,5766,7655,5766,7952,8073,7952,10058,7952,10058,7655e" filled="true" fillcolor="#f1f1f1" stroked="false">
            <v:path arrowok="t"/>
            <v:fill type="solid"/>
            <w10:wrap type="none"/>
          </v:shape>
        </w:pict>
      </w:r>
      <w:r>
        <w:rPr/>
        <w:pict>
          <v:shape style="position:absolute;margin-left:79.704002pt;margin-top:412.509949pt;width:423.2pt;height:14.8pt;mso-position-horizontal-relative:page;mso-position-vertical-relative:page;z-index:-122152" coordorigin="1594,8250" coordsize="8464,296" path="m3212,8250l3108,8250,3108,8250,1702,8250,1702,8250,1594,8250,1594,8545,3212,8545,3212,8250m5766,8250l5658,8250,5658,8250,3324,8250,3324,8250,3216,8250,3216,8545,5766,8545,5766,8250m10058,8250l9950,8250,9950,8250,8178,8250,8178,8250,8073,8250,7962,8250,7962,8250,5874,8250,5874,8250,5766,8250,5766,8545,8073,8545,10058,8545,10058,8250e" filled="true" fillcolor="#f1f1f1" stroked="false">
            <v:path arrowok="t"/>
            <v:fill type="solid"/>
            <w10:wrap type="none"/>
          </v:shape>
        </w:pict>
      </w:r>
      <w:r>
        <w:rPr/>
        <w:pict>
          <v:shape style="position:absolute;margin-left:79.704002pt;margin-top:442.149963pt;width:423.2pt;height:14.9pt;mso-position-horizontal-relative:page;mso-position-vertical-relative:page;z-index:-122128" coordorigin="1594,8843" coordsize="8464,298" path="m3212,8843l3108,8843,1702,8843,1594,8843,1594,9141,3212,9141,3212,8843m5766,8843l5658,8843,3324,8843,3216,8843,3216,9141,5766,9141,5766,8843m10058,8843l9950,8843,8178,8843,8073,8843,7962,8843,5874,8843,5766,8843,5766,9141,8073,9141,10058,9141,10058,8843e" filled="true" fillcolor="#f1f1f1" stroked="false">
            <v:path arrowok="t"/>
            <v:fill type="solid"/>
            <w10:wrap type="none"/>
          </v:shape>
        </w:pict>
      </w:r>
      <w:r>
        <w:rPr/>
        <w:pict>
          <v:shape style="position:absolute;margin-left:79.704002pt;margin-top:471.909973pt;width:423.2pt;height:14.8pt;mso-position-horizontal-relative:page;mso-position-vertical-relative:page;z-index:-122104" coordorigin="1594,9438" coordsize="8464,296" path="m3212,9438l3108,9438,1702,9438,1594,9438,1594,9733,3212,9733,3212,9438m5766,9438l5658,9438,3324,9438,3216,9438,3216,9733,5766,9733,5766,9438m10058,9438l9950,9438,8178,9438,8073,9438,7962,9438,5874,9438,5766,9438,5766,9733,8073,9733,10058,9733,10058,9438e" filled="true" fillcolor="#f1f1f1" stroked="false">
            <v:path arrowok="t"/>
            <v:fill type="solid"/>
            <w10:wrap type="none"/>
          </v:shape>
        </w:pict>
      </w:r>
      <w:r>
        <w:rPr/>
        <w:pict>
          <v:shape style="position:absolute;margin-left:79.704002pt;margin-top:501.549957pt;width:423.2pt;height:14.9pt;mso-position-horizontal-relative:page;mso-position-vertical-relative:page;z-index:-122080" coordorigin="1594,10031" coordsize="8464,298" path="m3212,10031l3108,10031,1702,10031,1594,10031,1594,10329,3212,10329,3212,10031m5766,10031l5658,10031,3324,10031,3216,10031,3216,10329,5766,10329,5766,10031m10058,10031l9950,10031,8178,10031,8073,10031,7962,10031,5874,10031,5766,10031,5766,10329,8073,10329,10058,10329,10058,10031e" filled="true" fillcolor="#f1f1f1" stroked="false">
            <v:path arrowok="t"/>
            <v:fill type="solid"/>
            <w10:wrap type="none"/>
          </v:shape>
        </w:pict>
      </w:r>
      <w:r>
        <w:rPr/>
        <w:pict>
          <v:shape style="position:absolute;margin-left:79.704002pt;margin-top:531.309998pt;width:423.2pt;height:14.8pt;mso-position-horizontal-relative:page;mso-position-vertical-relative:page;z-index:-122056" coordorigin="1594,10626" coordsize="8464,296" path="m3212,10626l3108,10626,1702,10626,1594,10626,1594,10921,3212,10921,3212,10626m5766,10626l5658,10626,3324,10626,3216,10626,3216,10921,5766,10921,5766,10626m10058,10626l9950,10626,8178,10626,8073,10626,7962,10626,5874,10626,5766,10626,5766,10921,8073,10921,10058,10921,10058,10626e" filled="true" fillcolor="#f1f1f1" stroked="false">
            <v:path arrowok="t"/>
            <v:fill type="solid"/>
            <w10:wrap type="none"/>
          </v:shape>
        </w:pict>
      </w:r>
      <w:r>
        <w:rPr/>
        <w:pict>
          <v:shape style="position:absolute;margin-left:79.704002pt;margin-top:560.955994pt;width:423.2pt;height:14.95pt;mso-position-horizontal-relative:page;mso-position-vertical-relative:page;z-index:-122032" coordorigin="1594,11219" coordsize="8464,299" path="m3212,11219l3108,11219,1702,11219,1594,11219,1594,11517,3212,11517,3212,11219m5766,11219l5658,11219,3324,11219,3216,11219,3216,11517,5766,11517,5766,11219m10058,11219l9950,11219,8178,11219,8073,11219,7962,11219,5874,11219,5766,11219,5766,11517,8073,11517,10058,11517,10058,11219e" filled="true" fillcolor="#f1f1f1" stroked="false">
            <v:path arrowok="t"/>
            <v:fill type="solid"/>
            <w10:wrap type="none"/>
          </v:shape>
        </w:pict>
      </w:r>
      <w:r>
        <w:rPr/>
        <w:pict>
          <v:shape style="position:absolute;margin-left:79.704002pt;margin-top:590.73999pt;width:423.2pt;height:14.8pt;mso-position-horizontal-relative:page;mso-position-vertical-relative:page;z-index:-122008" coordorigin="1594,11815" coordsize="8464,296" path="m3212,11815l3108,11815,3108,11815,1702,11815,1702,11815,1594,11815,1594,12110,3212,12110,3212,11815m5766,11815l5658,11815,5658,11815,3324,11815,3324,11815,3216,11815,3216,12110,5766,12110,5766,11815m10058,11815l9950,11815,9950,11815,8178,11815,8178,11815,8073,11815,7962,11815,7962,11815,5874,11815,5874,11815,5766,11815,5766,12110,8073,12110,10058,12110,10058,11815e" filled="true" fillcolor="#f1f1f1" stroked="false">
            <v:path arrowok="t"/>
            <v:fill type="solid"/>
            <w10:wrap type="none"/>
          </v:shape>
        </w:pict>
      </w:r>
      <w:r>
        <w:rPr/>
        <w:pict>
          <v:shape style="position:absolute;margin-left:79.704002pt;margin-top:620.379944pt;width:423.2pt;height:14.9pt;mso-position-horizontal-relative:page;mso-position-vertical-relative:page;z-index:-121984" coordorigin="1594,12408" coordsize="8464,298" path="m3212,12408l3108,12408,1702,12408,1594,12408,1594,12705,3212,12705,3212,12408m5766,12408l5658,12408,3324,12408,3216,12408,3216,12705,5766,12705,5766,12408m10058,12408l9950,12408,8178,12408,8073,12408,7962,12408,5874,12408,5766,12408,5766,12705,8073,12705,10058,12705,10058,12408e" filled="true" fillcolor="#f1f1f1" stroked="false">
            <v:path arrowok="t"/>
            <v:fill type="solid"/>
            <w10:wrap type="none"/>
          </v:shape>
        </w:pict>
      </w:r>
      <w:r>
        <w:rPr/>
        <w:pict>
          <v:shape style="position:absolute;margin-left:79.704002pt;margin-top:650.139954pt;width:423.2pt;height:14.8pt;mso-position-horizontal-relative:page;mso-position-vertical-relative:page;z-index:-121960" coordorigin="1594,13003" coordsize="8464,296" path="m3212,13003l3108,13003,1702,13003,1594,13003,1594,13298,3212,13298,3212,13003m5766,13003l5658,13003,3324,13003,3216,13003,3216,13298,5766,13298,5766,13003m10058,13003l9950,13003,8178,13003,8073,13003,7962,13003,5874,13003,5766,13003,5766,13298,8073,13298,10058,13298,10058,13003e" filled="true" fillcolor="#f1f1f1" stroked="false">
            <v:path arrowok="t"/>
            <v:fill type="solid"/>
            <w10:wrap type="none"/>
          </v:shape>
        </w:pict>
      </w:r>
      <w:r>
        <w:rPr/>
        <w:pict>
          <v:shape style="position:absolute;margin-left:79.704002pt;margin-top:679.779968pt;width:423.2pt;height:14.9pt;mso-position-horizontal-relative:page;mso-position-vertical-relative:page;z-index:-121936" coordorigin="1594,13596" coordsize="8464,298" path="m3212,13596l3108,13596,1702,13596,1594,13596,1594,13893,3212,13893,3212,13596m5766,13596l5658,13596,3324,13596,3216,13596,3216,13893,5766,13893,5766,13596m10058,13596l9950,13596,8178,13596,8073,13596,7962,13596,5874,13596,5766,13596,5766,13893,8073,13893,10058,13893,10058,13596e" filled="true" fillcolor="#f1f1f1" stroked="false">
            <v:path arrowok="t"/>
            <v:fill type="solid"/>
            <w10:wrap type="none"/>
          </v:shape>
        </w:pict>
      </w:r>
      <w:r>
        <w:rPr/>
        <w:pict>
          <v:shape style="position:absolute;margin-left:79.704002pt;margin-top:709.539978pt;width:423.2pt;height:14.8pt;mso-position-horizontal-relative:page;mso-position-vertical-relative:page;z-index:-121912" coordorigin="1594,14191" coordsize="8464,296" path="m3212,14191l3108,14191,1702,14191,1594,14191,1594,14486,3212,14486,3212,14191m5766,14191l5658,14191,3324,14191,3216,14191,3216,14486,5766,14486,5766,14191m10058,14191l9950,14191,8178,14191,8073,14191,7962,14191,5874,14191,5766,14191,5766,14486,8073,14486,10058,14486,10058,14191e" filled="true" fillcolor="#f1f1f1" stroked="false">
            <v:path arrowok="t"/>
            <v:fill type="solid"/>
            <w10:wrap type="none"/>
          </v:shape>
        </w:pict>
      </w:r>
    </w:p>
    <w:p>
      <w:pPr>
        <w:spacing w:after="0"/>
        <w:rPr>
          <w:sz w:val="2"/>
          <w:szCs w:val="2"/>
        </w:rPr>
        <w:sectPr>
          <w:footerReference w:type="default" r:id="rId60"/>
          <w:pgSz w:w="11910" w:h="16840"/>
          <w:pgMar w:footer="983" w:header="0" w:top="1400" w:bottom="1180" w:left="1480" w:right="1580"/>
        </w:sectPr>
      </w:pPr>
    </w:p>
    <w:tbl>
      <w:tblPr>
        <w:tblW w:w="0" w:type="auto"/>
        <w:jc w:val="left"/>
        <w:tblInd w:w="5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13"/>
        <w:gridCol w:w="2489"/>
        <w:gridCol w:w="2332"/>
        <w:gridCol w:w="1432"/>
      </w:tblGrid>
      <w:tr>
        <w:trPr>
          <w:trHeight w:val="298" w:hRule="exact"/>
        </w:trPr>
        <w:tc>
          <w:tcPr>
            <w:tcW w:w="1213" w:type="dxa"/>
            <w:tcBorders>
              <w:right w:val="single" w:sz="4" w:space="0" w:color="7E7E7E"/>
            </w:tcBorders>
            <w:shd w:val="clear" w:color="auto" w:fill="F1F1F1"/>
          </w:tcPr>
          <w:p>
            <w:pPr>
              <w:pStyle w:val="TableParagraph"/>
              <w:spacing w:line="270" w:lineRule="exact"/>
              <w:ind w:left="267"/>
              <w:jc w:val="left"/>
              <w:rPr>
                <w:b/>
                <w:sz w:val="24"/>
              </w:rPr>
            </w:pPr>
            <w:r>
              <w:rPr>
                <w:b/>
                <w:sz w:val="24"/>
              </w:rPr>
              <w:t>88</w:t>
            </w:r>
          </w:p>
        </w:tc>
        <w:tc>
          <w:tcPr>
            <w:tcW w:w="2489" w:type="dxa"/>
            <w:tcBorders>
              <w:left w:val="single" w:sz="4" w:space="0" w:color="7E7E7E"/>
            </w:tcBorders>
            <w:shd w:val="clear" w:color="auto" w:fill="F1F1F1"/>
          </w:tcPr>
          <w:p>
            <w:pPr>
              <w:pStyle w:val="TableParagraph"/>
              <w:spacing w:line="270" w:lineRule="exact"/>
              <w:ind w:left="950" w:right="893"/>
              <w:rPr>
                <w:sz w:val="24"/>
              </w:rPr>
            </w:pPr>
            <w:r>
              <w:rPr>
                <w:sz w:val="24"/>
              </w:rPr>
              <w:t>268.5</w:t>
            </w:r>
          </w:p>
        </w:tc>
        <w:tc>
          <w:tcPr>
            <w:tcW w:w="2332" w:type="dxa"/>
            <w:shd w:val="clear" w:color="auto" w:fill="F1F1F1"/>
          </w:tcPr>
          <w:p>
            <w:pPr>
              <w:pStyle w:val="TableParagraph"/>
              <w:spacing w:line="270" w:lineRule="exact"/>
              <w:ind w:left="893" w:right="798"/>
              <w:rPr>
                <w:sz w:val="24"/>
              </w:rPr>
            </w:pPr>
            <w:r>
              <w:rPr>
                <w:sz w:val="24"/>
              </w:rPr>
              <w:t>273.1</w:t>
            </w:r>
          </w:p>
        </w:tc>
        <w:tc>
          <w:tcPr>
            <w:tcW w:w="1432" w:type="dxa"/>
            <w:shd w:val="clear" w:color="auto" w:fill="F1F1F1"/>
          </w:tcPr>
          <w:p>
            <w:pPr>
              <w:pStyle w:val="TableParagraph"/>
              <w:spacing w:line="270" w:lineRule="exact"/>
              <w:ind w:right="236"/>
              <w:jc w:val="right"/>
              <w:rPr>
                <w:sz w:val="24"/>
              </w:rPr>
            </w:pPr>
            <w:r>
              <w:rPr>
                <w:sz w:val="24"/>
              </w:rPr>
              <w:t>4.6</w:t>
            </w:r>
          </w:p>
        </w:tc>
      </w:tr>
      <w:tr>
        <w:trPr>
          <w:trHeight w:val="298" w:hRule="exact"/>
        </w:trPr>
        <w:tc>
          <w:tcPr>
            <w:tcW w:w="1213" w:type="dxa"/>
            <w:tcBorders>
              <w:right w:val="single" w:sz="4" w:space="0" w:color="7E7E7E"/>
            </w:tcBorders>
          </w:tcPr>
          <w:p>
            <w:pPr>
              <w:pStyle w:val="TableParagraph"/>
              <w:ind w:left="267"/>
              <w:jc w:val="left"/>
              <w:rPr>
                <w:b/>
                <w:sz w:val="24"/>
              </w:rPr>
            </w:pPr>
            <w:r>
              <w:rPr>
                <w:b/>
                <w:sz w:val="24"/>
              </w:rPr>
              <w:t>89</w:t>
            </w:r>
          </w:p>
        </w:tc>
        <w:tc>
          <w:tcPr>
            <w:tcW w:w="2489" w:type="dxa"/>
            <w:tcBorders>
              <w:left w:val="single" w:sz="4" w:space="0" w:color="7E7E7E"/>
            </w:tcBorders>
          </w:tcPr>
          <w:p>
            <w:pPr>
              <w:pStyle w:val="TableParagraph"/>
              <w:ind w:left="949" w:right="893"/>
              <w:rPr>
                <w:sz w:val="24"/>
              </w:rPr>
            </w:pPr>
            <w:r>
              <w:rPr>
                <w:sz w:val="24"/>
              </w:rPr>
              <w:t>275</w:t>
            </w:r>
          </w:p>
        </w:tc>
        <w:tc>
          <w:tcPr>
            <w:tcW w:w="2332" w:type="dxa"/>
          </w:tcPr>
          <w:p>
            <w:pPr>
              <w:pStyle w:val="TableParagraph"/>
              <w:ind w:left="893" w:right="798"/>
              <w:rPr>
                <w:sz w:val="24"/>
              </w:rPr>
            </w:pPr>
            <w:r>
              <w:rPr>
                <w:sz w:val="24"/>
              </w:rPr>
              <w:t>276.6</w:t>
            </w:r>
          </w:p>
        </w:tc>
        <w:tc>
          <w:tcPr>
            <w:tcW w:w="1432" w:type="dxa"/>
          </w:tcPr>
          <w:p>
            <w:pPr>
              <w:pStyle w:val="TableParagraph"/>
              <w:ind w:right="236"/>
              <w:jc w:val="right"/>
              <w:rPr>
                <w:sz w:val="24"/>
              </w:rPr>
            </w:pPr>
            <w:r>
              <w:rPr>
                <w:sz w:val="24"/>
              </w:rPr>
              <w:t>1.6</w:t>
            </w:r>
          </w:p>
        </w:tc>
      </w:tr>
      <w:tr>
        <w:trPr>
          <w:trHeight w:val="298" w:hRule="exact"/>
        </w:trPr>
        <w:tc>
          <w:tcPr>
            <w:tcW w:w="1213" w:type="dxa"/>
            <w:tcBorders>
              <w:right w:val="single" w:sz="4" w:space="0" w:color="7E7E7E"/>
            </w:tcBorders>
            <w:shd w:val="clear" w:color="auto" w:fill="F1F1F1"/>
          </w:tcPr>
          <w:p>
            <w:pPr>
              <w:pStyle w:val="TableParagraph"/>
              <w:ind w:left="267"/>
              <w:jc w:val="left"/>
              <w:rPr>
                <w:b/>
                <w:sz w:val="24"/>
              </w:rPr>
            </w:pPr>
            <w:r>
              <w:rPr>
                <w:b/>
                <w:sz w:val="24"/>
              </w:rPr>
              <w:t>90</w:t>
            </w:r>
          </w:p>
        </w:tc>
        <w:tc>
          <w:tcPr>
            <w:tcW w:w="2489" w:type="dxa"/>
            <w:tcBorders>
              <w:left w:val="single" w:sz="4" w:space="0" w:color="7E7E7E"/>
            </w:tcBorders>
            <w:shd w:val="clear" w:color="auto" w:fill="F1F1F1"/>
          </w:tcPr>
          <w:p>
            <w:pPr>
              <w:pStyle w:val="TableParagraph"/>
              <w:ind w:left="950" w:right="893"/>
              <w:rPr>
                <w:sz w:val="24"/>
              </w:rPr>
            </w:pPr>
            <w:r>
              <w:rPr>
                <w:sz w:val="24"/>
              </w:rPr>
              <w:t>276.5</w:t>
            </w:r>
          </w:p>
        </w:tc>
        <w:tc>
          <w:tcPr>
            <w:tcW w:w="2332" w:type="dxa"/>
            <w:shd w:val="clear" w:color="auto" w:fill="F1F1F1"/>
          </w:tcPr>
          <w:p>
            <w:pPr>
              <w:pStyle w:val="TableParagraph"/>
              <w:ind w:left="893" w:right="798"/>
              <w:rPr>
                <w:sz w:val="24"/>
              </w:rPr>
            </w:pPr>
            <w:r>
              <w:rPr>
                <w:sz w:val="24"/>
              </w:rPr>
              <w:t>277.4</w:t>
            </w:r>
          </w:p>
        </w:tc>
        <w:tc>
          <w:tcPr>
            <w:tcW w:w="1432" w:type="dxa"/>
            <w:shd w:val="clear" w:color="auto" w:fill="F1F1F1"/>
          </w:tcPr>
          <w:p>
            <w:pPr>
              <w:pStyle w:val="TableParagraph"/>
              <w:ind w:right="236"/>
              <w:jc w:val="right"/>
              <w:rPr>
                <w:sz w:val="24"/>
              </w:rPr>
            </w:pPr>
            <w:r>
              <w:rPr>
                <w:sz w:val="24"/>
              </w:rPr>
              <w:t>0.9</w:t>
            </w:r>
          </w:p>
        </w:tc>
      </w:tr>
      <w:tr>
        <w:trPr>
          <w:trHeight w:val="295" w:hRule="exact"/>
        </w:trPr>
        <w:tc>
          <w:tcPr>
            <w:tcW w:w="1213" w:type="dxa"/>
            <w:tcBorders>
              <w:right w:val="single" w:sz="4" w:space="0" w:color="7E7E7E"/>
            </w:tcBorders>
          </w:tcPr>
          <w:p>
            <w:pPr>
              <w:pStyle w:val="TableParagraph"/>
              <w:ind w:left="267"/>
              <w:jc w:val="left"/>
              <w:rPr>
                <w:b/>
                <w:sz w:val="24"/>
              </w:rPr>
            </w:pPr>
            <w:r>
              <w:rPr>
                <w:b/>
                <w:sz w:val="24"/>
              </w:rPr>
              <w:t>91</w:t>
            </w:r>
          </w:p>
        </w:tc>
        <w:tc>
          <w:tcPr>
            <w:tcW w:w="2489" w:type="dxa"/>
            <w:tcBorders>
              <w:left w:val="single" w:sz="4" w:space="0" w:color="7E7E7E"/>
            </w:tcBorders>
          </w:tcPr>
          <w:p>
            <w:pPr>
              <w:pStyle w:val="TableParagraph"/>
              <w:ind w:left="949" w:right="893"/>
              <w:rPr>
                <w:sz w:val="24"/>
              </w:rPr>
            </w:pPr>
            <w:r>
              <w:rPr>
                <w:sz w:val="24"/>
              </w:rPr>
              <w:t>279</w:t>
            </w:r>
          </w:p>
        </w:tc>
        <w:tc>
          <w:tcPr>
            <w:tcW w:w="2332" w:type="dxa"/>
          </w:tcPr>
          <w:p>
            <w:pPr>
              <w:pStyle w:val="TableParagraph"/>
              <w:ind w:left="893" w:right="798"/>
              <w:rPr>
                <w:sz w:val="24"/>
              </w:rPr>
            </w:pPr>
            <w:r>
              <w:rPr>
                <w:sz w:val="24"/>
              </w:rPr>
              <w:t>279.6</w:t>
            </w:r>
          </w:p>
        </w:tc>
        <w:tc>
          <w:tcPr>
            <w:tcW w:w="1432" w:type="dxa"/>
          </w:tcPr>
          <w:p>
            <w:pPr>
              <w:pStyle w:val="TableParagraph"/>
              <w:ind w:right="236"/>
              <w:jc w:val="right"/>
              <w:rPr>
                <w:sz w:val="24"/>
              </w:rPr>
            </w:pPr>
            <w:r>
              <w:rPr>
                <w:sz w:val="24"/>
              </w:rPr>
              <w:t>0.6</w:t>
            </w:r>
          </w:p>
        </w:tc>
      </w:tr>
      <w:tr>
        <w:trPr>
          <w:trHeight w:val="298" w:hRule="exact"/>
        </w:trPr>
        <w:tc>
          <w:tcPr>
            <w:tcW w:w="1213" w:type="dxa"/>
            <w:tcBorders>
              <w:right w:val="single" w:sz="4" w:space="0" w:color="7E7E7E"/>
            </w:tcBorders>
            <w:shd w:val="clear" w:color="auto" w:fill="F1F1F1"/>
          </w:tcPr>
          <w:p>
            <w:pPr>
              <w:pStyle w:val="TableParagraph"/>
              <w:ind w:left="267"/>
              <w:jc w:val="left"/>
              <w:rPr>
                <w:b/>
                <w:sz w:val="24"/>
              </w:rPr>
            </w:pPr>
            <w:r>
              <w:rPr>
                <w:b/>
                <w:sz w:val="24"/>
              </w:rPr>
              <w:t>92</w:t>
            </w:r>
          </w:p>
        </w:tc>
        <w:tc>
          <w:tcPr>
            <w:tcW w:w="2489" w:type="dxa"/>
            <w:tcBorders>
              <w:left w:val="single" w:sz="4" w:space="0" w:color="7E7E7E"/>
            </w:tcBorders>
            <w:shd w:val="clear" w:color="auto" w:fill="F1F1F1"/>
          </w:tcPr>
          <w:p>
            <w:pPr>
              <w:pStyle w:val="TableParagraph"/>
              <w:ind w:left="950" w:right="893"/>
              <w:rPr>
                <w:sz w:val="24"/>
              </w:rPr>
            </w:pPr>
            <w:r>
              <w:rPr>
                <w:sz w:val="24"/>
              </w:rPr>
              <w:t>271.5</w:t>
            </w:r>
          </w:p>
        </w:tc>
        <w:tc>
          <w:tcPr>
            <w:tcW w:w="2332" w:type="dxa"/>
            <w:shd w:val="clear" w:color="auto" w:fill="F1F1F1"/>
          </w:tcPr>
          <w:p>
            <w:pPr>
              <w:pStyle w:val="TableParagraph"/>
              <w:ind w:left="893" w:right="798"/>
              <w:rPr>
                <w:sz w:val="24"/>
              </w:rPr>
            </w:pPr>
            <w:r>
              <w:rPr>
                <w:sz w:val="24"/>
              </w:rPr>
              <w:t>275.1</w:t>
            </w:r>
          </w:p>
        </w:tc>
        <w:tc>
          <w:tcPr>
            <w:tcW w:w="1432" w:type="dxa"/>
            <w:shd w:val="clear" w:color="auto" w:fill="F1F1F1"/>
          </w:tcPr>
          <w:p>
            <w:pPr>
              <w:pStyle w:val="TableParagraph"/>
              <w:ind w:right="236"/>
              <w:jc w:val="right"/>
              <w:rPr>
                <w:sz w:val="24"/>
              </w:rPr>
            </w:pPr>
            <w:r>
              <w:rPr>
                <w:sz w:val="24"/>
              </w:rPr>
              <w:t>3.6</w:t>
            </w:r>
          </w:p>
        </w:tc>
      </w:tr>
      <w:tr>
        <w:trPr>
          <w:trHeight w:val="298" w:hRule="exact"/>
        </w:trPr>
        <w:tc>
          <w:tcPr>
            <w:tcW w:w="1213" w:type="dxa"/>
            <w:tcBorders>
              <w:right w:val="single" w:sz="4" w:space="0" w:color="7E7E7E"/>
            </w:tcBorders>
          </w:tcPr>
          <w:p>
            <w:pPr>
              <w:pStyle w:val="TableParagraph"/>
              <w:ind w:left="267"/>
              <w:jc w:val="left"/>
              <w:rPr>
                <w:b/>
                <w:sz w:val="24"/>
              </w:rPr>
            </w:pPr>
            <w:r>
              <w:rPr>
                <w:b/>
                <w:sz w:val="24"/>
              </w:rPr>
              <w:t>93</w:t>
            </w:r>
          </w:p>
        </w:tc>
        <w:tc>
          <w:tcPr>
            <w:tcW w:w="2489" w:type="dxa"/>
            <w:tcBorders>
              <w:left w:val="single" w:sz="4" w:space="0" w:color="7E7E7E"/>
            </w:tcBorders>
          </w:tcPr>
          <w:p>
            <w:pPr>
              <w:pStyle w:val="TableParagraph"/>
              <w:ind w:left="950" w:right="893"/>
              <w:rPr>
                <w:sz w:val="24"/>
              </w:rPr>
            </w:pPr>
            <w:r>
              <w:rPr>
                <w:sz w:val="24"/>
              </w:rPr>
              <w:t>271.5</w:t>
            </w:r>
          </w:p>
        </w:tc>
        <w:tc>
          <w:tcPr>
            <w:tcW w:w="2332" w:type="dxa"/>
          </w:tcPr>
          <w:p>
            <w:pPr>
              <w:pStyle w:val="TableParagraph"/>
              <w:ind w:left="893" w:right="798"/>
              <w:rPr>
                <w:sz w:val="24"/>
              </w:rPr>
            </w:pPr>
            <w:r>
              <w:rPr>
                <w:sz w:val="24"/>
              </w:rPr>
              <w:t>274.4</w:t>
            </w:r>
          </w:p>
        </w:tc>
        <w:tc>
          <w:tcPr>
            <w:tcW w:w="1432" w:type="dxa"/>
          </w:tcPr>
          <w:p>
            <w:pPr>
              <w:pStyle w:val="TableParagraph"/>
              <w:ind w:right="236"/>
              <w:jc w:val="right"/>
              <w:rPr>
                <w:sz w:val="24"/>
              </w:rPr>
            </w:pPr>
            <w:r>
              <w:rPr>
                <w:sz w:val="24"/>
              </w:rPr>
              <w:t>2.9</w:t>
            </w:r>
          </w:p>
        </w:tc>
      </w:tr>
      <w:tr>
        <w:trPr>
          <w:trHeight w:val="298" w:hRule="exact"/>
        </w:trPr>
        <w:tc>
          <w:tcPr>
            <w:tcW w:w="1213" w:type="dxa"/>
            <w:tcBorders>
              <w:right w:val="single" w:sz="4" w:space="0" w:color="7E7E7E"/>
            </w:tcBorders>
            <w:shd w:val="clear" w:color="auto" w:fill="F1F1F1"/>
          </w:tcPr>
          <w:p>
            <w:pPr>
              <w:pStyle w:val="TableParagraph"/>
              <w:ind w:left="267"/>
              <w:jc w:val="left"/>
              <w:rPr>
                <w:b/>
                <w:sz w:val="24"/>
              </w:rPr>
            </w:pPr>
            <w:r>
              <w:rPr>
                <w:b/>
                <w:sz w:val="24"/>
              </w:rPr>
              <w:t>94</w:t>
            </w:r>
          </w:p>
        </w:tc>
        <w:tc>
          <w:tcPr>
            <w:tcW w:w="2489" w:type="dxa"/>
            <w:tcBorders>
              <w:left w:val="single" w:sz="4" w:space="0" w:color="7E7E7E"/>
            </w:tcBorders>
            <w:shd w:val="clear" w:color="auto" w:fill="F1F1F1"/>
          </w:tcPr>
          <w:p>
            <w:pPr>
              <w:pStyle w:val="TableParagraph"/>
              <w:ind w:left="949" w:right="893"/>
              <w:rPr>
                <w:sz w:val="24"/>
              </w:rPr>
            </w:pPr>
            <w:r>
              <w:rPr>
                <w:sz w:val="24"/>
              </w:rPr>
              <w:t>274</w:t>
            </w:r>
          </w:p>
        </w:tc>
        <w:tc>
          <w:tcPr>
            <w:tcW w:w="2332" w:type="dxa"/>
            <w:shd w:val="clear" w:color="auto" w:fill="F1F1F1"/>
          </w:tcPr>
          <w:p>
            <w:pPr>
              <w:pStyle w:val="TableParagraph"/>
              <w:ind w:left="893" w:right="798"/>
              <w:rPr>
                <w:sz w:val="24"/>
              </w:rPr>
            </w:pPr>
            <w:r>
              <w:rPr>
                <w:sz w:val="24"/>
              </w:rPr>
              <w:t>274.3</w:t>
            </w:r>
          </w:p>
        </w:tc>
        <w:tc>
          <w:tcPr>
            <w:tcW w:w="1432" w:type="dxa"/>
            <w:shd w:val="clear" w:color="auto" w:fill="F1F1F1"/>
          </w:tcPr>
          <w:p>
            <w:pPr>
              <w:pStyle w:val="TableParagraph"/>
              <w:ind w:right="236"/>
              <w:jc w:val="right"/>
              <w:rPr>
                <w:sz w:val="24"/>
              </w:rPr>
            </w:pPr>
            <w:r>
              <w:rPr>
                <w:sz w:val="24"/>
              </w:rPr>
              <w:t>0.3</w:t>
            </w:r>
          </w:p>
        </w:tc>
      </w:tr>
      <w:tr>
        <w:trPr>
          <w:trHeight w:val="295" w:hRule="exact"/>
        </w:trPr>
        <w:tc>
          <w:tcPr>
            <w:tcW w:w="1213" w:type="dxa"/>
            <w:tcBorders>
              <w:right w:val="single" w:sz="4" w:space="0" w:color="7E7E7E"/>
            </w:tcBorders>
          </w:tcPr>
          <w:p>
            <w:pPr>
              <w:pStyle w:val="TableParagraph"/>
              <w:ind w:left="267"/>
              <w:jc w:val="left"/>
              <w:rPr>
                <w:b/>
                <w:sz w:val="24"/>
              </w:rPr>
            </w:pPr>
            <w:r>
              <w:rPr>
                <w:b/>
                <w:sz w:val="24"/>
              </w:rPr>
              <w:t>95</w:t>
            </w:r>
          </w:p>
        </w:tc>
        <w:tc>
          <w:tcPr>
            <w:tcW w:w="2489" w:type="dxa"/>
            <w:tcBorders>
              <w:left w:val="single" w:sz="4" w:space="0" w:color="7E7E7E"/>
            </w:tcBorders>
          </w:tcPr>
          <w:p>
            <w:pPr>
              <w:pStyle w:val="TableParagraph"/>
              <w:ind w:left="950" w:right="893"/>
              <w:rPr>
                <w:sz w:val="24"/>
              </w:rPr>
            </w:pPr>
            <w:r>
              <w:rPr>
                <w:sz w:val="24"/>
              </w:rPr>
              <w:t>270.5</w:t>
            </w:r>
          </w:p>
        </w:tc>
        <w:tc>
          <w:tcPr>
            <w:tcW w:w="2332" w:type="dxa"/>
          </w:tcPr>
          <w:p>
            <w:pPr>
              <w:pStyle w:val="TableParagraph"/>
              <w:ind w:left="893" w:right="798"/>
              <w:rPr>
                <w:sz w:val="24"/>
              </w:rPr>
            </w:pPr>
            <w:r>
              <w:rPr>
                <w:sz w:val="24"/>
              </w:rPr>
              <w:t>270.5</w:t>
            </w:r>
          </w:p>
        </w:tc>
        <w:tc>
          <w:tcPr>
            <w:tcW w:w="1432" w:type="dxa"/>
          </w:tcPr>
          <w:p>
            <w:pPr>
              <w:pStyle w:val="TableParagraph"/>
              <w:ind w:right="338"/>
              <w:jc w:val="right"/>
              <w:rPr>
                <w:sz w:val="24"/>
              </w:rPr>
            </w:pPr>
            <w:r>
              <w:rPr>
                <w:w w:val="99"/>
                <w:sz w:val="24"/>
              </w:rPr>
              <w:t>0</w:t>
            </w:r>
          </w:p>
        </w:tc>
      </w:tr>
      <w:tr>
        <w:trPr>
          <w:trHeight w:val="298" w:hRule="exact"/>
        </w:trPr>
        <w:tc>
          <w:tcPr>
            <w:tcW w:w="1213" w:type="dxa"/>
            <w:tcBorders>
              <w:right w:val="single" w:sz="4" w:space="0" w:color="7E7E7E"/>
            </w:tcBorders>
            <w:shd w:val="clear" w:color="auto" w:fill="F1F1F1"/>
          </w:tcPr>
          <w:p>
            <w:pPr>
              <w:pStyle w:val="TableParagraph"/>
              <w:ind w:left="267"/>
              <w:jc w:val="left"/>
              <w:rPr>
                <w:b/>
                <w:sz w:val="24"/>
              </w:rPr>
            </w:pPr>
            <w:r>
              <w:rPr>
                <w:b/>
                <w:sz w:val="24"/>
              </w:rPr>
              <w:t>96</w:t>
            </w:r>
          </w:p>
        </w:tc>
        <w:tc>
          <w:tcPr>
            <w:tcW w:w="2489" w:type="dxa"/>
            <w:tcBorders>
              <w:left w:val="single" w:sz="4" w:space="0" w:color="7E7E7E"/>
            </w:tcBorders>
            <w:shd w:val="clear" w:color="auto" w:fill="F1F1F1"/>
          </w:tcPr>
          <w:p>
            <w:pPr>
              <w:pStyle w:val="TableParagraph"/>
              <w:ind w:left="949" w:right="893"/>
              <w:rPr>
                <w:sz w:val="24"/>
              </w:rPr>
            </w:pPr>
            <w:r>
              <w:rPr>
                <w:sz w:val="24"/>
              </w:rPr>
              <w:t>279</w:t>
            </w:r>
          </w:p>
        </w:tc>
        <w:tc>
          <w:tcPr>
            <w:tcW w:w="2332" w:type="dxa"/>
            <w:shd w:val="clear" w:color="auto" w:fill="F1F1F1"/>
          </w:tcPr>
          <w:p>
            <w:pPr>
              <w:pStyle w:val="TableParagraph"/>
              <w:ind w:left="893" w:right="798"/>
              <w:rPr>
                <w:sz w:val="24"/>
              </w:rPr>
            </w:pPr>
            <w:r>
              <w:rPr>
                <w:sz w:val="24"/>
              </w:rPr>
              <w:t>279.9</w:t>
            </w:r>
          </w:p>
        </w:tc>
        <w:tc>
          <w:tcPr>
            <w:tcW w:w="1432" w:type="dxa"/>
            <w:shd w:val="clear" w:color="auto" w:fill="F1F1F1"/>
          </w:tcPr>
          <w:p>
            <w:pPr>
              <w:pStyle w:val="TableParagraph"/>
              <w:ind w:right="236"/>
              <w:jc w:val="right"/>
              <w:rPr>
                <w:sz w:val="24"/>
              </w:rPr>
            </w:pPr>
            <w:r>
              <w:rPr>
                <w:sz w:val="24"/>
              </w:rPr>
              <w:t>0.9</w:t>
            </w:r>
          </w:p>
        </w:tc>
      </w:tr>
      <w:tr>
        <w:trPr>
          <w:trHeight w:val="298" w:hRule="exact"/>
        </w:trPr>
        <w:tc>
          <w:tcPr>
            <w:tcW w:w="1213" w:type="dxa"/>
            <w:tcBorders>
              <w:right w:val="single" w:sz="4" w:space="0" w:color="7E7E7E"/>
            </w:tcBorders>
          </w:tcPr>
          <w:p>
            <w:pPr>
              <w:pStyle w:val="TableParagraph"/>
              <w:ind w:left="267"/>
              <w:jc w:val="left"/>
              <w:rPr>
                <w:b/>
                <w:sz w:val="24"/>
              </w:rPr>
            </w:pPr>
            <w:r>
              <w:rPr>
                <w:b/>
                <w:sz w:val="24"/>
              </w:rPr>
              <w:t>97</w:t>
            </w:r>
          </w:p>
        </w:tc>
        <w:tc>
          <w:tcPr>
            <w:tcW w:w="2489" w:type="dxa"/>
            <w:tcBorders>
              <w:left w:val="single" w:sz="4" w:space="0" w:color="7E7E7E"/>
            </w:tcBorders>
          </w:tcPr>
          <w:p>
            <w:pPr>
              <w:pStyle w:val="TableParagraph"/>
              <w:ind w:left="950" w:right="893"/>
              <w:rPr>
                <w:sz w:val="24"/>
              </w:rPr>
            </w:pPr>
            <w:r>
              <w:rPr>
                <w:sz w:val="24"/>
              </w:rPr>
              <w:t>270.5</w:t>
            </w:r>
          </w:p>
        </w:tc>
        <w:tc>
          <w:tcPr>
            <w:tcW w:w="2332" w:type="dxa"/>
          </w:tcPr>
          <w:p>
            <w:pPr>
              <w:pStyle w:val="TableParagraph"/>
              <w:ind w:left="893" w:right="798"/>
              <w:rPr>
                <w:sz w:val="24"/>
              </w:rPr>
            </w:pPr>
            <w:r>
              <w:rPr>
                <w:sz w:val="24"/>
              </w:rPr>
              <w:t>270.4</w:t>
            </w:r>
          </w:p>
        </w:tc>
        <w:tc>
          <w:tcPr>
            <w:tcW w:w="1432" w:type="dxa"/>
          </w:tcPr>
          <w:p>
            <w:pPr>
              <w:pStyle w:val="TableParagraph"/>
              <w:ind w:right="198"/>
              <w:jc w:val="right"/>
              <w:rPr>
                <w:sz w:val="24"/>
              </w:rPr>
            </w:pPr>
            <w:r>
              <w:rPr>
                <w:sz w:val="24"/>
              </w:rPr>
              <w:t>-0.1</w:t>
            </w:r>
          </w:p>
        </w:tc>
      </w:tr>
      <w:tr>
        <w:trPr>
          <w:trHeight w:val="298" w:hRule="exact"/>
        </w:trPr>
        <w:tc>
          <w:tcPr>
            <w:tcW w:w="1213" w:type="dxa"/>
            <w:tcBorders>
              <w:right w:val="single" w:sz="4" w:space="0" w:color="7E7E7E"/>
            </w:tcBorders>
            <w:shd w:val="clear" w:color="auto" w:fill="F1F1F1"/>
          </w:tcPr>
          <w:p>
            <w:pPr>
              <w:pStyle w:val="TableParagraph"/>
              <w:ind w:left="267"/>
              <w:jc w:val="left"/>
              <w:rPr>
                <w:b/>
                <w:sz w:val="24"/>
              </w:rPr>
            </w:pPr>
            <w:r>
              <w:rPr>
                <w:b/>
                <w:sz w:val="24"/>
              </w:rPr>
              <w:t>98</w:t>
            </w:r>
          </w:p>
        </w:tc>
        <w:tc>
          <w:tcPr>
            <w:tcW w:w="2489" w:type="dxa"/>
            <w:tcBorders>
              <w:left w:val="single" w:sz="4" w:space="0" w:color="7E7E7E"/>
            </w:tcBorders>
            <w:shd w:val="clear" w:color="auto" w:fill="F1F1F1"/>
          </w:tcPr>
          <w:p>
            <w:pPr>
              <w:pStyle w:val="TableParagraph"/>
              <w:ind w:left="950" w:right="893"/>
              <w:rPr>
                <w:sz w:val="24"/>
              </w:rPr>
            </w:pPr>
            <w:r>
              <w:rPr>
                <w:sz w:val="24"/>
              </w:rPr>
              <w:t>273.5</w:t>
            </w:r>
          </w:p>
        </w:tc>
        <w:tc>
          <w:tcPr>
            <w:tcW w:w="2332" w:type="dxa"/>
            <w:shd w:val="clear" w:color="auto" w:fill="F1F1F1"/>
          </w:tcPr>
          <w:p>
            <w:pPr>
              <w:pStyle w:val="TableParagraph"/>
              <w:ind w:left="893" w:right="798"/>
              <w:rPr>
                <w:sz w:val="24"/>
              </w:rPr>
            </w:pPr>
            <w:r>
              <w:rPr>
                <w:sz w:val="24"/>
              </w:rPr>
              <w:t>276.7</w:t>
            </w:r>
          </w:p>
        </w:tc>
        <w:tc>
          <w:tcPr>
            <w:tcW w:w="1432" w:type="dxa"/>
            <w:shd w:val="clear" w:color="auto" w:fill="F1F1F1"/>
          </w:tcPr>
          <w:p>
            <w:pPr>
              <w:pStyle w:val="TableParagraph"/>
              <w:ind w:right="236"/>
              <w:jc w:val="right"/>
              <w:rPr>
                <w:sz w:val="24"/>
              </w:rPr>
            </w:pPr>
            <w:r>
              <w:rPr>
                <w:sz w:val="24"/>
              </w:rPr>
              <w:t>3.2</w:t>
            </w:r>
          </w:p>
        </w:tc>
      </w:tr>
      <w:tr>
        <w:trPr>
          <w:trHeight w:val="296" w:hRule="exact"/>
        </w:trPr>
        <w:tc>
          <w:tcPr>
            <w:tcW w:w="1213" w:type="dxa"/>
            <w:tcBorders>
              <w:right w:val="single" w:sz="4" w:space="0" w:color="7E7E7E"/>
            </w:tcBorders>
          </w:tcPr>
          <w:p>
            <w:pPr>
              <w:pStyle w:val="TableParagraph"/>
              <w:spacing w:line="270" w:lineRule="exact"/>
              <w:ind w:left="267"/>
              <w:jc w:val="left"/>
              <w:rPr>
                <w:b/>
                <w:sz w:val="24"/>
              </w:rPr>
            </w:pPr>
            <w:r>
              <w:rPr>
                <w:b/>
                <w:sz w:val="24"/>
              </w:rPr>
              <w:t>99</w:t>
            </w:r>
          </w:p>
        </w:tc>
        <w:tc>
          <w:tcPr>
            <w:tcW w:w="2489" w:type="dxa"/>
            <w:tcBorders>
              <w:left w:val="single" w:sz="4" w:space="0" w:color="7E7E7E"/>
            </w:tcBorders>
          </w:tcPr>
          <w:p>
            <w:pPr>
              <w:pStyle w:val="TableParagraph"/>
              <w:spacing w:line="270" w:lineRule="exact"/>
              <w:ind w:left="949" w:right="893"/>
              <w:rPr>
                <w:sz w:val="24"/>
              </w:rPr>
            </w:pPr>
            <w:r>
              <w:rPr>
                <w:sz w:val="24"/>
              </w:rPr>
              <w:t>270</w:t>
            </w:r>
          </w:p>
        </w:tc>
        <w:tc>
          <w:tcPr>
            <w:tcW w:w="2332" w:type="dxa"/>
          </w:tcPr>
          <w:p>
            <w:pPr>
              <w:pStyle w:val="TableParagraph"/>
              <w:spacing w:line="270" w:lineRule="exact"/>
              <w:ind w:left="893" w:right="798"/>
              <w:rPr>
                <w:sz w:val="24"/>
              </w:rPr>
            </w:pPr>
            <w:r>
              <w:rPr>
                <w:sz w:val="24"/>
              </w:rPr>
              <w:t>275.1</w:t>
            </w:r>
          </w:p>
        </w:tc>
        <w:tc>
          <w:tcPr>
            <w:tcW w:w="1432" w:type="dxa"/>
          </w:tcPr>
          <w:p>
            <w:pPr>
              <w:pStyle w:val="TableParagraph"/>
              <w:spacing w:line="270" w:lineRule="exact"/>
              <w:ind w:right="236"/>
              <w:jc w:val="right"/>
              <w:rPr>
                <w:sz w:val="24"/>
              </w:rPr>
            </w:pPr>
            <w:r>
              <w:rPr>
                <w:sz w:val="24"/>
              </w:rPr>
              <w:t>5.1</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100</w:t>
            </w:r>
          </w:p>
        </w:tc>
        <w:tc>
          <w:tcPr>
            <w:tcW w:w="2489" w:type="dxa"/>
            <w:tcBorders>
              <w:left w:val="single" w:sz="4" w:space="0" w:color="7E7E7E"/>
            </w:tcBorders>
            <w:shd w:val="clear" w:color="auto" w:fill="F1F1F1"/>
          </w:tcPr>
          <w:p>
            <w:pPr>
              <w:pStyle w:val="TableParagraph"/>
              <w:ind w:left="949" w:right="893"/>
              <w:rPr>
                <w:sz w:val="24"/>
              </w:rPr>
            </w:pPr>
            <w:r>
              <w:rPr>
                <w:sz w:val="24"/>
              </w:rPr>
              <w:t>274</w:t>
            </w:r>
          </w:p>
        </w:tc>
        <w:tc>
          <w:tcPr>
            <w:tcW w:w="2332" w:type="dxa"/>
            <w:shd w:val="clear" w:color="auto" w:fill="F1F1F1"/>
          </w:tcPr>
          <w:p>
            <w:pPr>
              <w:pStyle w:val="TableParagraph"/>
              <w:ind w:left="893" w:right="798"/>
              <w:rPr>
                <w:sz w:val="24"/>
              </w:rPr>
            </w:pPr>
            <w:r>
              <w:rPr>
                <w:sz w:val="24"/>
              </w:rPr>
              <w:t>273.9</w:t>
            </w:r>
          </w:p>
        </w:tc>
        <w:tc>
          <w:tcPr>
            <w:tcW w:w="1432" w:type="dxa"/>
            <w:shd w:val="clear" w:color="auto" w:fill="F1F1F1"/>
          </w:tcPr>
          <w:p>
            <w:pPr>
              <w:pStyle w:val="TableParagraph"/>
              <w:ind w:right="198"/>
              <w:jc w:val="right"/>
              <w:rPr>
                <w:sz w:val="24"/>
              </w:rPr>
            </w:pPr>
            <w:r>
              <w:rPr>
                <w:sz w:val="24"/>
              </w:rPr>
              <w:t>-0.1</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101</w:t>
            </w:r>
          </w:p>
        </w:tc>
        <w:tc>
          <w:tcPr>
            <w:tcW w:w="2489" w:type="dxa"/>
            <w:tcBorders>
              <w:left w:val="single" w:sz="4" w:space="0" w:color="7E7E7E"/>
            </w:tcBorders>
          </w:tcPr>
          <w:p>
            <w:pPr>
              <w:pStyle w:val="TableParagraph"/>
              <w:ind w:left="949" w:right="893"/>
              <w:rPr>
                <w:sz w:val="24"/>
              </w:rPr>
            </w:pPr>
            <w:r>
              <w:rPr>
                <w:sz w:val="24"/>
              </w:rPr>
              <w:t>264</w:t>
            </w:r>
          </w:p>
        </w:tc>
        <w:tc>
          <w:tcPr>
            <w:tcW w:w="2332" w:type="dxa"/>
          </w:tcPr>
          <w:p>
            <w:pPr>
              <w:pStyle w:val="TableParagraph"/>
              <w:ind w:left="893" w:right="798"/>
              <w:rPr>
                <w:sz w:val="24"/>
              </w:rPr>
            </w:pPr>
            <w:r>
              <w:rPr>
                <w:sz w:val="24"/>
              </w:rPr>
              <w:t>272.3</w:t>
            </w:r>
          </w:p>
        </w:tc>
        <w:tc>
          <w:tcPr>
            <w:tcW w:w="1432" w:type="dxa"/>
          </w:tcPr>
          <w:p>
            <w:pPr>
              <w:pStyle w:val="TableParagraph"/>
              <w:ind w:right="236"/>
              <w:jc w:val="right"/>
              <w:rPr>
                <w:sz w:val="24"/>
              </w:rPr>
            </w:pPr>
            <w:r>
              <w:rPr>
                <w:sz w:val="24"/>
              </w:rPr>
              <w:t>8.3</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102</w:t>
            </w:r>
          </w:p>
        </w:tc>
        <w:tc>
          <w:tcPr>
            <w:tcW w:w="2489" w:type="dxa"/>
            <w:tcBorders>
              <w:left w:val="single" w:sz="4" w:space="0" w:color="7E7E7E"/>
            </w:tcBorders>
            <w:shd w:val="clear" w:color="auto" w:fill="F1F1F1"/>
          </w:tcPr>
          <w:p>
            <w:pPr>
              <w:pStyle w:val="TableParagraph"/>
              <w:ind w:left="949" w:right="893"/>
              <w:rPr>
                <w:sz w:val="24"/>
              </w:rPr>
            </w:pPr>
            <w:r>
              <w:rPr>
                <w:sz w:val="24"/>
              </w:rPr>
              <w:t>270</w:t>
            </w:r>
          </w:p>
        </w:tc>
        <w:tc>
          <w:tcPr>
            <w:tcW w:w="2332" w:type="dxa"/>
            <w:shd w:val="clear" w:color="auto" w:fill="F1F1F1"/>
          </w:tcPr>
          <w:p>
            <w:pPr>
              <w:pStyle w:val="TableParagraph"/>
              <w:ind w:left="893" w:right="798"/>
              <w:rPr>
                <w:sz w:val="24"/>
              </w:rPr>
            </w:pPr>
            <w:r>
              <w:rPr>
                <w:sz w:val="24"/>
              </w:rPr>
              <w:t>275.8</w:t>
            </w:r>
          </w:p>
        </w:tc>
        <w:tc>
          <w:tcPr>
            <w:tcW w:w="1432" w:type="dxa"/>
            <w:shd w:val="clear" w:color="auto" w:fill="F1F1F1"/>
          </w:tcPr>
          <w:p>
            <w:pPr>
              <w:pStyle w:val="TableParagraph"/>
              <w:ind w:right="236"/>
              <w:jc w:val="right"/>
              <w:rPr>
                <w:sz w:val="24"/>
              </w:rPr>
            </w:pPr>
            <w:r>
              <w:rPr>
                <w:sz w:val="24"/>
              </w:rPr>
              <w:t>5.8</w:t>
            </w:r>
          </w:p>
        </w:tc>
      </w:tr>
      <w:tr>
        <w:trPr>
          <w:trHeight w:val="295" w:hRule="exact"/>
        </w:trPr>
        <w:tc>
          <w:tcPr>
            <w:tcW w:w="1213" w:type="dxa"/>
            <w:tcBorders>
              <w:right w:val="single" w:sz="4" w:space="0" w:color="7E7E7E"/>
            </w:tcBorders>
          </w:tcPr>
          <w:p>
            <w:pPr>
              <w:pStyle w:val="TableParagraph"/>
              <w:ind w:left="200"/>
              <w:jc w:val="left"/>
              <w:rPr>
                <w:b/>
                <w:sz w:val="24"/>
              </w:rPr>
            </w:pPr>
            <w:r>
              <w:rPr>
                <w:b/>
                <w:sz w:val="24"/>
              </w:rPr>
              <w:t>103</w:t>
            </w:r>
          </w:p>
        </w:tc>
        <w:tc>
          <w:tcPr>
            <w:tcW w:w="2489" w:type="dxa"/>
            <w:tcBorders>
              <w:left w:val="single" w:sz="4" w:space="0" w:color="7E7E7E"/>
            </w:tcBorders>
          </w:tcPr>
          <w:p>
            <w:pPr>
              <w:pStyle w:val="TableParagraph"/>
              <w:ind w:left="949" w:right="893"/>
              <w:rPr>
                <w:sz w:val="24"/>
              </w:rPr>
            </w:pPr>
            <w:r>
              <w:rPr>
                <w:sz w:val="24"/>
              </w:rPr>
              <w:t>266</w:t>
            </w:r>
          </w:p>
        </w:tc>
        <w:tc>
          <w:tcPr>
            <w:tcW w:w="2332" w:type="dxa"/>
          </w:tcPr>
          <w:p>
            <w:pPr>
              <w:pStyle w:val="TableParagraph"/>
              <w:ind w:left="893" w:right="798"/>
              <w:rPr>
                <w:sz w:val="24"/>
              </w:rPr>
            </w:pPr>
            <w:r>
              <w:rPr>
                <w:sz w:val="24"/>
              </w:rPr>
              <w:t>271.1</w:t>
            </w:r>
          </w:p>
        </w:tc>
        <w:tc>
          <w:tcPr>
            <w:tcW w:w="1432" w:type="dxa"/>
          </w:tcPr>
          <w:p>
            <w:pPr>
              <w:pStyle w:val="TableParagraph"/>
              <w:ind w:right="236"/>
              <w:jc w:val="right"/>
              <w:rPr>
                <w:sz w:val="24"/>
              </w:rPr>
            </w:pPr>
            <w:r>
              <w:rPr>
                <w:sz w:val="24"/>
              </w:rPr>
              <w:t>5.1</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104</w:t>
            </w:r>
          </w:p>
        </w:tc>
        <w:tc>
          <w:tcPr>
            <w:tcW w:w="2489" w:type="dxa"/>
            <w:tcBorders>
              <w:left w:val="single" w:sz="4" w:space="0" w:color="7E7E7E"/>
            </w:tcBorders>
            <w:shd w:val="clear" w:color="auto" w:fill="F1F1F1"/>
          </w:tcPr>
          <w:p>
            <w:pPr>
              <w:pStyle w:val="TableParagraph"/>
              <w:ind w:left="949" w:right="893"/>
              <w:rPr>
                <w:sz w:val="24"/>
              </w:rPr>
            </w:pPr>
            <w:r>
              <w:rPr>
                <w:sz w:val="24"/>
              </w:rPr>
              <w:t>273</w:t>
            </w:r>
          </w:p>
        </w:tc>
        <w:tc>
          <w:tcPr>
            <w:tcW w:w="2332" w:type="dxa"/>
            <w:shd w:val="clear" w:color="auto" w:fill="F1F1F1"/>
          </w:tcPr>
          <w:p>
            <w:pPr>
              <w:pStyle w:val="TableParagraph"/>
              <w:ind w:left="893" w:right="798"/>
              <w:rPr>
                <w:sz w:val="24"/>
              </w:rPr>
            </w:pPr>
            <w:r>
              <w:rPr>
                <w:sz w:val="24"/>
              </w:rPr>
              <w:t>273.6</w:t>
            </w:r>
          </w:p>
        </w:tc>
        <w:tc>
          <w:tcPr>
            <w:tcW w:w="1432" w:type="dxa"/>
            <w:shd w:val="clear" w:color="auto" w:fill="F1F1F1"/>
          </w:tcPr>
          <w:p>
            <w:pPr>
              <w:pStyle w:val="TableParagraph"/>
              <w:ind w:right="236"/>
              <w:jc w:val="right"/>
              <w:rPr>
                <w:sz w:val="24"/>
              </w:rPr>
            </w:pPr>
            <w:r>
              <w:rPr>
                <w:sz w:val="24"/>
              </w:rPr>
              <w:t>0.6</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105</w:t>
            </w:r>
          </w:p>
        </w:tc>
        <w:tc>
          <w:tcPr>
            <w:tcW w:w="2489" w:type="dxa"/>
            <w:tcBorders>
              <w:left w:val="single" w:sz="4" w:space="0" w:color="7E7E7E"/>
            </w:tcBorders>
          </w:tcPr>
          <w:p>
            <w:pPr>
              <w:pStyle w:val="TableParagraph"/>
              <w:ind w:left="950" w:right="893"/>
              <w:rPr>
                <w:sz w:val="24"/>
              </w:rPr>
            </w:pPr>
            <w:r>
              <w:rPr>
                <w:sz w:val="24"/>
              </w:rPr>
              <w:t>269.5</w:t>
            </w:r>
          </w:p>
        </w:tc>
        <w:tc>
          <w:tcPr>
            <w:tcW w:w="2332" w:type="dxa"/>
          </w:tcPr>
          <w:p>
            <w:pPr>
              <w:pStyle w:val="TableParagraph"/>
              <w:ind w:left="893" w:right="794"/>
              <w:rPr>
                <w:sz w:val="24"/>
              </w:rPr>
            </w:pPr>
            <w:r>
              <w:rPr>
                <w:sz w:val="24"/>
              </w:rPr>
              <w:t>269</w:t>
            </w:r>
          </w:p>
        </w:tc>
        <w:tc>
          <w:tcPr>
            <w:tcW w:w="1432" w:type="dxa"/>
          </w:tcPr>
          <w:p>
            <w:pPr>
              <w:pStyle w:val="TableParagraph"/>
              <w:ind w:right="198"/>
              <w:jc w:val="right"/>
              <w:rPr>
                <w:sz w:val="24"/>
              </w:rPr>
            </w:pPr>
            <w:r>
              <w:rPr>
                <w:sz w:val="24"/>
              </w:rPr>
              <w:t>-0.5</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106</w:t>
            </w:r>
          </w:p>
        </w:tc>
        <w:tc>
          <w:tcPr>
            <w:tcW w:w="2489" w:type="dxa"/>
            <w:tcBorders>
              <w:left w:val="single" w:sz="4" w:space="0" w:color="7E7E7E"/>
            </w:tcBorders>
            <w:shd w:val="clear" w:color="auto" w:fill="F1F1F1"/>
          </w:tcPr>
          <w:p>
            <w:pPr>
              <w:pStyle w:val="TableParagraph"/>
              <w:ind w:left="949" w:right="893"/>
              <w:rPr>
                <w:sz w:val="24"/>
              </w:rPr>
            </w:pPr>
            <w:r>
              <w:rPr>
                <w:sz w:val="24"/>
              </w:rPr>
              <w:t>276</w:t>
            </w:r>
          </w:p>
        </w:tc>
        <w:tc>
          <w:tcPr>
            <w:tcW w:w="2332" w:type="dxa"/>
            <w:shd w:val="clear" w:color="auto" w:fill="F1F1F1"/>
          </w:tcPr>
          <w:p>
            <w:pPr>
              <w:pStyle w:val="TableParagraph"/>
              <w:ind w:left="893" w:right="798"/>
              <w:rPr>
                <w:sz w:val="24"/>
              </w:rPr>
            </w:pPr>
            <w:r>
              <w:rPr>
                <w:sz w:val="24"/>
              </w:rPr>
              <w:t>279.2</w:t>
            </w:r>
          </w:p>
        </w:tc>
        <w:tc>
          <w:tcPr>
            <w:tcW w:w="1432" w:type="dxa"/>
            <w:shd w:val="clear" w:color="auto" w:fill="F1F1F1"/>
          </w:tcPr>
          <w:p>
            <w:pPr>
              <w:pStyle w:val="TableParagraph"/>
              <w:ind w:right="236"/>
              <w:jc w:val="right"/>
              <w:rPr>
                <w:sz w:val="24"/>
              </w:rPr>
            </w:pPr>
            <w:r>
              <w:rPr>
                <w:sz w:val="24"/>
              </w:rPr>
              <w:t>3.2</w:t>
            </w:r>
          </w:p>
        </w:tc>
      </w:tr>
      <w:tr>
        <w:trPr>
          <w:trHeight w:val="295" w:hRule="exact"/>
        </w:trPr>
        <w:tc>
          <w:tcPr>
            <w:tcW w:w="1213" w:type="dxa"/>
            <w:tcBorders>
              <w:right w:val="single" w:sz="4" w:space="0" w:color="7E7E7E"/>
            </w:tcBorders>
          </w:tcPr>
          <w:p>
            <w:pPr>
              <w:pStyle w:val="TableParagraph"/>
              <w:ind w:left="200"/>
              <w:jc w:val="left"/>
              <w:rPr>
                <w:b/>
                <w:sz w:val="24"/>
              </w:rPr>
            </w:pPr>
            <w:r>
              <w:rPr>
                <w:b/>
                <w:sz w:val="24"/>
              </w:rPr>
              <w:t>107</w:t>
            </w:r>
          </w:p>
        </w:tc>
        <w:tc>
          <w:tcPr>
            <w:tcW w:w="2489" w:type="dxa"/>
            <w:tcBorders>
              <w:left w:val="single" w:sz="4" w:space="0" w:color="7E7E7E"/>
            </w:tcBorders>
          </w:tcPr>
          <w:p>
            <w:pPr>
              <w:pStyle w:val="TableParagraph"/>
              <w:ind w:left="949" w:right="893"/>
              <w:rPr>
                <w:sz w:val="24"/>
              </w:rPr>
            </w:pPr>
            <w:r>
              <w:rPr>
                <w:sz w:val="24"/>
              </w:rPr>
              <w:t>266</w:t>
            </w:r>
          </w:p>
        </w:tc>
        <w:tc>
          <w:tcPr>
            <w:tcW w:w="2332" w:type="dxa"/>
          </w:tcPr>
          <w:p>
            <w:pPr>
              <w:pStyle w:val="TableParagraph"/>
              <w:ind w:left="893" w:right="798"/>
              <w:rPr>
                <w:sz w:val="24"/>
              </w:rPr>
            </w:pPr>
            <w:r>
              <w:rPr>
                <w:sz w:val="24"/>
              </w:rPr>
              <w:t>266.3</w:t>
            </w:r>
          </w:p>
        </w:tc>
        <w:tc>
          <w:tcPr>
            <w:tcW w:w="1432" w:type="dxa"/>
          </w:tcPr>
          <w:p>
            <w:pPr>
              <w:pStyle w:val="TableParagraph"/>
              <w:ind w:right="236"/>
              <w:jc w:val="right"/>
              <w:rPr>
                <w:sz w:val="24"/>
              </w:rPr>
            </w:pPr>
            <w:r>
              <w:rPr>
                <w:sz w:val="24"/>
              </w:rPr>
              <w:t>0.3</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108</w:t>
            </w:r>
          </w:p>
        </w:tc>
        <w:tc>
          <w:tcPr>
            <w:tcW w:w="2489" w:type="dxa"/>
            <w:tcBorders>
              <w:left w:val="single" w:sz="4" w:space="0" w:color="7E7E7E"/>
            </w:tcBorders>
            <w:shd w:val="clear" w:color="auto" w:fill="F1F1F1"/>
          </w:tcPr>
          <w:p>
            <w:pPr>
              <w:pStyle w:val="TableParagraph"/>
              <w:ind w:left="949" w:right="893"/>
              <w:rPr>
                <w:sz w:val="24"/>
              </w:rPr>
            </w:pPr>
            <w:r>
              <w:rPr>
                <w:sz w:val="24"/>
              </w:rPr>
              <w:t>275</w:t>
            </w:r>
          </w:p>
        </w:tc>
        <w:tc>
          <w:tcPr>
            <w:tcW w:w="2332" w:type="dxa"/>
            <w:shd w:val="clear" w:color="auto" w:fill="F1F1F1"/>
          </w:tcPr>
          <w:p>
            <w:pPr>
              <w:pStyle w:val="TableParagraph"/>
              <w:ind w:left="893" w:right="798"/>
              <w:rPr>
                <w:sz w:val="24"/>
              </w:rPr>
            </w:pPr>
            <w:r>
              <w:rPr>
                <w:sz w:val="24"/>
              </w:rPr>
              <w:t>275.1</w:t>
            </w:r>
          </w:p>
        </w:tc>
        <w:tc>
          <w:tcPr>
            <w:tcW w:w="1432" w:type="dxa"/>
            <w:shd w:val="clear" w:color="auto" w:fill="F1F1F1"/>
          </w:tcPr>
          <w:p>
            <w:pPr>
              <w:pStyle w:val="TableParagraph"/>
              <w:ind w:right="236"/>
              <w:jc w:val="right"/>
              <w:rPr>
                <w:sz w:val="24"/>
              </w:rPr>
            </w:pPr>
            <w:r>
              <w:rPr>
                <w:sz w:val="24"/>
              </w:rPr>
              <w:t>0.1</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109</w:t>
            </w:r>
          </w:p>
        </w:tc>
        <w:tc>
          <w:tcPr>
            <w:tcW w:w="2489" w:type="dxa"/>
            <w:tcBorders>
              <w:left w:val="single" w:sz="4" w:space="0" w:color="7E7E7E"/>
            </w:tcBorders>
          </w:tcPr>
          <w:p>
            <w:pPr>
              <w:pStyle w:val="TableParagraph"/>
              <w:ind w:left="949" w:right="893"/>
              <w:rPr>
                <w:sz w:val="24"/>
              </w:rPr>
            </w:pPr>
            <w:r>
              <w:rPr>
                <w:sz w:val="24"/>
              </w:rPr>
              <w:t>270</w:t>
            </w:r>
          </w:p>
        </w:tc>
        <w:tc>
          <w:tcPr>
            <w:tcW w:w="2332" w:type="dxa"/>
          </w:tcPr>
          <w:p>
            <w:pPr>
              <w:pStyle w:val="TableParagraph"/>
              <w:ind w:left="893" w:right="798"/>
              <w:rPr>
                <w:sz w:val="24"/>
              </w:rPr>
            </w:pPr>
            <w:r>
              <w:rPr>
                <w:sz w:val="24"/>
              </w:rPr>
              <w:t>273.1</w:t>
            </w:r>
          </w:p>
        </w:tc>
        <w:tc>
          <w:tcPr>
            <w:tcW w:w="1432" w:type="dxa"/>
          </w:tcPr>
          <w:p>
            <w:pPr>
              <w:pStyle w:val="TableParagraph"/>
              <w:ind w:right="236"/>
              <w:jc w:val="right"/>
              <w:rPr>
                <w:sz w:val="24"/>
              </w:rPr>
            </w:pPr>
            <w:r>
              <w:rPr>
                <w:sz w:val="24"/>
              </w:rPr>
              <w:t>3.1</w:t>
            </w:r>
          </w:p>
        </w:tc>
      </w:tr>
      <w:tr>
        <w:trPr>
          <w:trHeight w:val="298" w:hRule="exact"/>
        </w:trPr>
        <w:tc>
          <w:tcPr>
            <w:tcW w:w="1213" w:type="dxa"/>
            <w:tcBorders>
              <w:right w:val="single" w:sz="4" w:space="0" w:color="7E7E7E"/>
            </w:tcBorders>
            <w:shd w:val="clear" w:color="auto" w:fill="F1F1F1"/>
          </w:tcPr>
          <w:p>
            <w:pPr>
              <w:pStyle w:val="TableParagraph"/>
              <w:spacing w:line="270" w:lineRule="exact"/>
              <w:ind w:left="200"/>
              <w:jc w:val="left"/>
              <w:rPr>
                <w:b/>
                <w:sz w:val="24"/>
              </w:rPr>
            </w:pPr>
            <w:r>
              <w:rPr>
                <w:b/>
                <w:sz w:val="24"/>
              </w:rPr>
              <w:t>110</w:t>
            </w:r>
          </w:p>
        </w:tc>
        <w:tc>
          <w:tcPr>
            <w:tcW w:w="2489" w:type="dxa"/>
            <w:tcBorders>
              <w:left w:val="single" w:sz="4" w:space="0" w:color="7E7E7E"/>
            </w:tcBorders>
            <w:shd w:val="clear" w:color="auto" w:fill="F1F1F1"/>
          </w:tcPr>
          <w:p>
            <w:pPr>
              <w:pStyle w:val="TableParagraph"/>
              <w:spacing w:line="270" w:lineRule="exact"/>
              <w:ind w:left="949" w:right="893"/>
              <w:rPr>
                <w:sz w:val="24"/>
              </w:rPr>
            </w:pPr>
            <w:r>
              <w:rPr>
                <w:sz w:val="24"/>
              </w:rPr>
              <w:t>278</w:t>
            </w:r>
          </w:p>
        </w:tc>
        <w:tc>
          <w:tcPr>
            <w:tcW w:w="2332" w:type="dxa"/>
            <w:shd w:val="clear" w:color="auto" w:fill="F1F1F1"/>
          </w:tcPr>
          <w:p>
            <w:pPr>
              <w:pStyle w:val="TableParagraph"/>
              <w:spacing w:line="270" w:lineRule="exact"/>
              <w:ind w:left="893" w:right="798"/>
              <w:rPr>
                <w:sz w:val="24"/>
              </w:rPr>
            </w:pPr>
            <w:r>
              <w:rPr>
                <w:sz w:val="24"/>
              </w:rPr>
              <w:t>278.5</w:t>
            </w:r>
          </w:p>
        </w:tc>
        <w:tc>
          <w:tcPr>
            <w:tcW w:w="1432" w:type="dxa"/>
            <w:shd w:val="clear" w:color="auto" w:fill="F1F1F1"/>
          </w:tcPr>
          <w:p>
            <w:pPr>
              <w:pStyle w:val="TableParagraph"/>
              <w:spacing w:line="270" w:lineRule="exact"/>
              <w:ind w:right="236"/>
              <w:jc w:val="right"/>
              <w:rPr>
                <w:sz w:val="24"/>
              </w:rPr>
            </w:pPr>
            <w:r>
              <w:rPr>
                <w:sz w:val="24"/>
              </w:rPr>
              <w:t>0.5</w:t>
            </w:r>
          </w:p>
        </w:tc>
      </w:tr>
      <w:tr>
        <w:trPr>
          <w:trHeight w:val="295" w:hRule="exact"/>
        </w:trPr>
        <w:tc>
          <w:tcPr>
            <w:tcW w:w="1213" w:type="dxa"/>
            <w:tcBorders>
              <w:right w:val="single" w:sz="4" w:space="0" w:color="7E7E7E"/>
            </w:tcBorders>
          </w:tcPr>
          <w:p>
            <w:pPr>
              <w:pStyle w:val="TableParagraph"/>
              <w:ind w:left="200"/>
              <w:jc w:val="left"/>
              <w:rPr>
                <w:b/>
                <w:sz w:val="24"/>
              </w:rPr>
            </w:pPr>
            <w:r>
              <w:rPr>
                <w:b/>
                <w:sz w:val="24"/>
              </w:rPr>
              <w:t>111</w:t>
            </w:r>
          </w:p>
        </w:tc>
        <w:tc>
          <w:tcPr>
            <w:tcW w:w="2489" w:type="dxa"/>
            <w:tcBorders>
              <w:left w:val="single" w:sz="4" w:space="0" w:color="7E7E7E"/>
            </w:tcBorders>
          </w:tcPr>
          <w:p>
            <w:pPr>
              <w:pStyle w:val="TableParagraph"/>
              <w:ind w:left="950" w:right="893"/>
              <w:rPr>
                <w:sz w:val="24"/>
              </w:rPr>
            </w:pPr>
            <w:r>
              <w:rPr>
                <w:sz w:val="24"/>
              </w:rPr>
              <w:t>269.5</w:t>
            </w:r>
          </w:p>
        </w:tc>
        <w:tc>
          <w:tcPr>
            <w:tcW w:w="2332" w:type="dxa"/>
          </w:tcPr>
          <w:p>
            <w:pPr>
              <w:pStyle w:val="TableParagraph"/>
              <w:ind w:left="893" w:right="798"/>
              <w:rPr>
                <w:sz w:val="24"/>
              </w:rPr>
            </w:pPr>
            <w:r>
              <w:rPr>
                <w:sz w:val="24"/>
              </w:rPr>
              <w:t>270.1</w:t>
            </w:r>
          </w:p>
        </w:tc>
        <w:tc>
          <w:tcPr>
            <w:tcW w:w="1432" w:type="dxa"/>
          </w:tcPr>
          <w:p>
            <w:pPr>
              <w:pStyle w:val="TableParagraph"/>
              <w:ind w:right="236"/>
              <w:jc w:val="right"/>
              <w:rPr>
                <w:sz w:val="24"/>
              </w:rPr>
            </w:pPr>
            <w:r>
              <w:rPr>
                <w:sz w:val="24"/>
              </w:rPr>
              <w:t>0.6</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112</w:t>
            </w:r>
          </w:p>
        </w:tc>
        <w:tc>
          <w:tcPr>
            <w:tcW w:w="2489" w:type="dxa"/>
            <w:tcBorders>
              <w:left w:val="single" w:sz="4" w:space="0" w:color="7E7E7E"/>
            </w:tcBorders>
            <w:shd w:val="clear" w:color="auto" w:fill="F1F1F1"/>
          </w:tcPr>
          <w:p>
            <w:pPr>
              <w:pStyle w:val="TableParagraph"/>
              <w:ind w:left="950" w:right="893"/>
              <w:rPr>
                <w:sz w:val="24"/>
              </w:rPr>
            </w:pPr>
            <w:r>
              <w:rPr>
                <w:sz w:val="24"/>
              </w:rPr>
              <w:t>281.5</w:t>
            </w:r>
          </w:p>
        </w:tc>
        <w:tc>
          <w:tcPr>
            <w:tcW w:w="2332" w:type="dxa"/>
            <w:shd w:val="clear" w:color="auto" w:fill="F1F1F1"/>
          </w:tcPr>
          <w:p>
            <w:pPr>
              <w:pStyle w:val="TableParagraph"/>
              <w:ind w:left="893" w:right="798"/>
              <w:rPr>
                <w:sz w:val="24"/>
              </w:rPr>
            </w:pPr>
            <w:r>
              <w:rPr>
                <w:sz w:val="24"/>
              </w:rPr>
              <w:t>281.8</w:t>
            </w:r>
          </w:p>
        </w:tc>
        <w:tc>
          <w:tcPr>
            <w:tcW w:w="1432" w:type="dxa"/>
            <w:shd w:val="clear" w:color="auto" w:fill="F1F1F1"/>
          </w:tcPr>
          <w:p>
            <w:pPr>
              <w:pStyle w:val="TableParagraph"/>
              <w:ind w:right="236"/>
              <w:jc w:val="right"/>
              <w:rPr>
                <w:sz w:val="24"/>
              </w:rPr>
            </w:pPr>
            <w:r>
              <w:rPr>
                <w:sz w:val="24"/>
              </w:rPr>
              <w:t>0.3</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113</w:t>
            </w:r>
          </w:p>
        </w:tc>
        <w:tc>
          <w:tcPr>
            <w:tcW w:w="2489" w:type="dxa"/>
            <w:tcBorders>
              <w:left w:val="single" w:sz="4" w:space="0" w:color="7E7E7E"/>
            </w:tcBorders>
          </w:tcPr>
          <w:p>
            <w:pPr>
              <w:pStyle w:val="TableParagraph"/>
              <w:ind w:left="950" w:right="893"/>
              <w:rPr>
                <w:sz w:val="24"/>
              </w:rPr>
            </w:pPr>
            <w:r>
              <w:rPr>
                <w:sz w:val="24"/>
              </w:rPr>
              <w:t>265.5</w:t>
            </w:r>
          </w:p>
        </w:tc>
        <w:tc>
          <w:tcPr>
            <w:tcW w:w="2332" w:type="dxa"/>
          </w:tcPr>
          <w:p>
            <w:pPr>
              <w:pStyle w:val="TableParagraph"/>
              <w:ind w:left="893" w:right="798"/>
              <w:rPr>
                <w:sz w:val="24"/>
              </w:rPr>
            </w:pPr>
            <w:r>
              <w:rPr>
                <w:sz w:val="24"/>
              </w:rPr>
              <w:t>272.3</w:t>
            </w:r>
          </w:p>
        </w:tc>
        <w:tc>
          <w:tcPr>
            <w:tcW w:w="1432" w:type="dxa"/>
          </w:tcPr>
          <w:p>
            <w:pPr>
              <w:pStyle w:val="TableParagraph"/>
              <w:ind w:right="236"/>
              <w:jc w:val="right"/>
              <w:rPr>
                <w:sz w:val="24"/>
              </w:rPr>
            </w:pPr>
            <w:r>
              <w:rPr>
                <w:sz w:val="24"/>
              </w:rPr>
              <w:t>6.8</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114</w:t>
            </w:r>
          </w:p>
        </w:tc>
        <w:tc>
          <w:tcPr>
            <w:tcW w:w="2489" w:type="dxa"/>
            <w:tcBorders>
              <w:left w:val="single" w:sz="4" w:space="0" w:color="7E7E7E"/>
            </w:tcBorders>
            <w:shd w:val="clear" w:color="auto" w:fill="F1F1F1"/>
          </w:tcPr>
          <w:p>
            <w:pPr>
              <w:pStyle w:val="TableParagraph"/>
              <w:ind w:left="950" w:right="893"/>
              <w:rPr>
                <w:sz w:val="24"/>
              </w:rPr>
            </w:pPr>
            <w:r>
              <w:rPr>
                <w:sz w:val="24"/>
              </w:rPr>
              <w:t>278.5</w:t>
            </w:r>
          </w:p>
        </w:tc>
        <w:tc>
          <w:tcPr>
            <w:tcW w:w="2332" w:type="dxa"/>
            <w:shd w:val="clear" w:color="auto" w:fill="F1F1F1"/>
          </w:tcPr>
          <w:p>
            <w:pPr>
              <w:pStyle w:val="TableParagraph"/>
              <w:ind w:left="893" w:right="798"/>
              <w:rPr>
                <w:sz w:val="24"/>
              </w:rPr>
            </w:pPr>
            <w:r>
              <w:rPr>
                <w:sz w:val="24"/>
              </w:rPr>
              <w:t>279.7</w:t>
            </w:r>
          </w:p>
        </w:tc>
        <w:tc>
          <w:tcPr>
            <w:tcW w:w="1432" w:type="dxa"/>
            <w:shd w:val="clear" w:color="auto" w:fill="F1F1F1"/>
          </w:tcPr>
          <w:p>
            <w:pPr>
              <w:pStyle w:val="TableParagraph"/>
              <w:ind w:right="236"/>
              <w:jc w:val="right"/>
              <w:rPr>
                <w:sz w:val="24"/>
              </w:rPr>
            </w:pPr>
            <w:r>
              <w:rPr>
                <w:sz w:val="24"/>
              </w:rPr>
              <w:t>1.2</w:t>
            </w:r>
          </w:p>
        </w:tc>
      </w:tr>
      <w:tr>
        <w:trPr>
          <w:trHeight w:val="295" w:hRule="exact"/>
        </w:trPr>
        <w:tc>
          <w:tcPr>
            <w:tcW w:w="1213" w:type="dxa"/>
            <w:tcBorders>
              <w:right w:val="single" w:sz="4" w:space="0" w:color="7E7E7E"/>
            </w:tcBorders>
          </w:tcPr>
          <w:p>
            <w:pPr>
              <w:pStyle w:val="TableParagraph"/>
              <w:ind w:left="200"/>
              <w:jc w:val="left"/>
              <w:rPr>
                <w:b/>
                <w:sz w:val="24"/>
              </w:rPr>
            </w:pPr>
            <w:r>
              <w:rPr>
                <w:b/>
                <w:sz w:val="24"/>
              </w:rPr>
              <w:t>115</w:t>
            </w:r>
          </w:p>
        </w:tc>
        <w:tc>
          <w:tcPr>
            <w:tcW w:w="2489" w:type="dxa"/>
            <w:tcBorders>
              <w:left w:val="single" w:sz="4" w:space="0" w:color="7E7E7E"/>
            </w:tcBorders>
          </w:tcPr>
          <w:p>
            <w:pPr>
              <w:pStyle w:val="TableParagraph"/>
              <w:ind w:left="950" w:right="893"/>
              <w:rPr>
                <w:sz w:val="24"/>
              </w:rPr>
            </w:pPr>
            <w:r>
              <w:rPr>
                <w:sz w:val="24"/>
              </w:rPr>
              <w:t>266.5</w:t>
            </w:r>
          </w:p>
        </w:tc>
        <w:tc>
          <w:tcPr>
            <w:tcW w:w="2332" w:type="dxa"/>
          </w:tcPr>
          <w:p>
            <w:pPr>
              <w:pStyle w:val="TableParagraph"/>
              <w:ind w:left="893" w:right="798"/>
              <w:rPr>
                <w:sz w:val="24"/>
              </w:rPr>
            </w:pPr>
            <w:r>
              <w:rPr>
                <w:sz w:val="24"/>
              </w:rPr>
              <w:t>268.7</w:t>
            </w:r>
          </w:p>
        </w:tc>
        <w:tc>
          <w:tcPr>
            <w:tcW w:w="1432" w:type="dxa"/>
          </w:tcPr>
          <w:p>
            <w:pPr>
              <w:pStyle w:val="TableParagraph"/>
              <w:ind w:right="236"/>
              <w:jc w:val="right"/>
              <w:rPr>
                <w:sz w:val="24"/>
              </w:rPr>
            </w:pPr>
            <w:r>
              <w:rPr>
                <w:sz w:val="24"/>
              </w:rPr>
              <w:t>2.2</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116</w:t>
            </w:r>
          </w:p>
        </w:tc>
        <w:tc>
          <w:tcPr>
            <w:tcW w:w="2489" w:type="dxa"/>
            <w:tcBorders>
              <w:left w:val="single" w:sz="4" w:space="0" w:color="7E7E7E"/>
            </w:tcBorders>
            <w:shd w:val="clear" w:color="auto" w:fill="F1F1F1"/>
          </w:tcPr>
          <w:p>
            <w:pPr>
              <w:pStyle w:val="TableParagraph"/>
              <w:ind w:left="949" w:right="893"/>
              <w:rPr>
                <w:sz w:val="24"/>
              </w:rPr>
            </w:pPr>
            <w:r>
              <w:rPr>
                <w:sz w:val="24"/>
              </w:rPr>
              <w:t>277</w:t>
            </w:r>
          </w:p>
        </w:tc>
        <w:tc>
          <w:tcPr>
            <w:tcW w:w="2332" w:type="dxa"/>
            <w:shd w:val="clear" w:color="auto" w:fill="F1F1F1"/>
          </w:tcPr>
          <w:p>
            <w:pPr>
              <w:pStyle w:val="TableParagraph"/>
              <w:ind w:left="893" w:right="798"/>
              <w:rPr>
                <w:sz w:val="24"/>
              </w:rPr>
            </w:pPr>
            <w:r>
              <w:rPr>
                <w:sz w:val="24"/>
              </w:rPr>
              <w:t>278.2</w:t>
            </w:r>
          </w:p>
        </w:tc>
        <w:tc>
          <w:tcPr>
            <w:tcW w:w="1432" w:type="dxa"/>
            <w:shd w:val="clear" w:color="auto" w:fill="F1F1F1"/>
          </w:tcPr>
          <w:p>
            <w:pPr>
              <w:pStyle w:val="TableParagraph"/>
              <w:ind w:right="236"/>
              <w:jc w:val="right"/>
              <w:rPr>
                <w:sz w:val="24"/>
              </w:rPr>
            </w:pPr>
            <w:r>
              <w:rPr>
                <w:sz w:val="24"/>
              </w:rPr>
              <w:t>1.2</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117</w:t>
            </w:r>
          </w:p>
        </w:tc>
        <w:tc>
          <w:tcPr>
            <w:tcW w:w="2489" w:type="dxa"/>
            <w:tcBorders>
              <w:left w:val="single" w:sz="4" w:space="0" w:color="7E7E7E"/>
            </w:tcBorders>
          </w:tcPr>
          <w:p>
            <w:pPr>
              <w:pStyle w:val="TableParagraph"/>
              <w:ind w:left="950" w:right="893"/>
              <w:rPr>
                <w:sz w:val="24"/>
              </w:rPr>
            </w:pPr>
            <w:r>
              <w:rPr>
                <w:sz w:val="24"/>
              </w:rPr>
              <w:t>274.5</w:t>
            </w:r>
          </w:p>
        </w:tc>
        <w:tc>
          <w:tcPr>
            <w:tcW w:w="2332" w:type="dxa"/>
          </w:tcPr>
          <w:p>
            <w:pPr>
              <w:pStyle w:val="TableParagraph"/>
              <w:ind w:left="893" w:right="798"/>
              <w:rPr>
                <w:sz w:val="24"/>
              </w:rPr>
            </w:pPr>
            <w:r>
              <w:rPr>
                <w:sz w:val="24"/>
              </w:rPr>
              <w:t>275.3</w:t>
            </w:r>
          </w:p>
        </w:tc>
        <w:tc>
          <w:tcPr>
            <w:tcW w:w="1432" w:type="dxa"/>
          </w:tcPr>
          <w:p>
            <w:pPr>
              <w:pStyle w:val="TableParagraph"/>
              <w:ind w:right="236"/>
              <w:jc w:val="right"/>
              <w:rPr>
                <w:sz w:val="24"/>
              </w:rPr>
            </w:pPr>
            <w:r>
              <w:rPr>
                <w:sz w:val="24"/>
              </w:rPr>
              <w:t>0.8</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118</w:t>
            </w:r>
          </w:p>
        </w:tc>
        <w:tc>
          <w:tcPr>
            <w:tcW w:w="2489" w:type="dxa"/>
            <w:tcBorders>
              <w:left w:val="single" w:sz="4" w:space="0" w:color="7E7E7E"/>
            </w:tcBorders>
            <w:shd w:val="clear" w:color="auto" w:fill="F1F1F1"/>
          </w:tcPr>
          <w:p>
            <w:pPr>
              <w:pStyle w:val="TableParagraph"/>
              <w:ind w:left="949" w:right="893"/>
              <w:rPr>
                <w:sz w:val="24"/>
              </w:rPr>
            </w:pPr>
            <w:r>
              <w:rPr>
                <w:sz w:val="24"/>
              </w:rPr>
              <w:t>272</w:t>
            </w:r>
          </w:p>
        </w:tc>
        <w:tc>
          <w:tcPr>
            <w:tcW w:w="2332" w:type="dxa"/>
            <w:shd w:val="clear" w:color="auto" w:fill="F1F1F1"/>
          </w:tcPr>
          <w:p>
            <w:pPr>
              <w:pStyle w:val="TableParagraph"/>
              <w:ind w:left="893" w:right="794"/>
              <w:rPr>
                <w:sz w:val="24"/>
              </w:rPr>
            </w:pPr>
            <w:r>
              <w:rPr>
                <w:sz w:val="24"/>
              </w:rPr>
              <w:t>275</w:t>
            </w:r>
          </w:p>
        </w:tc>
        <w:tc>
          <w:tcPr>
            <w:tcW w:w="1432" w:type="dxa"/>
            <w:shd w:val="clear" w:color="auto" w:fill="F1F1F1"/>
          </w:tcPr>
          <w:p>
            <w:pPr>
              <w:pStyle w:val="TableParagraph"/>
              <w:ind w:right="338"/>
              <w:jc w:val="right"/>
              <w:rPr>
                <w:sz w:val="24"/>
              </w:rPr>
            </w:pPr>
            <w:r>
              <w:rPr>
                <w:w w:val="99"/>
                <w:sz w:val="24"/>
              </w:rPr>
              <w:t>3</w:t>
            </w:r>
          </w:p>
        </w:tc>
      </w:tr>
      <w:tr>
        <w:trPr>
          <w:trHeight w:val="295" w:hRule="exact"/>
        </w:trPr>
        <w:tc>
          <w:tcPr>
            <w:tcW w:w="1213" w:type="dxa"/>
            <w:tcBorders>
              <w:right w:val="single" w:sz="4" w:space="0" w:color="7E7E7E"/>
            </w:tcBorders>
          </w:tcPr>
          <w:p>
            <w:pPr>
              <w:pStyle w:val="TableParagraph"/>
              <w:ind w:left="200"/>
              <w:jc w:val="left"/>
              <w:rPr>
                <w:b/>
                <w:sz w:val="24"/>
              </w:rPr>
            </w:pPr>
            <w:r>
              <w:rPr>
                <w:b/>
                <w:sz w:val="24"/>
              </w:rPr>
              <w:t>119</w:t>
            </w:r>
          </w:p>
        </w:tc>
        <w:tc>
          <w:tcPr>
            <w:tcW w:w="2489" w:type="dxa"/>
            <w:tcBorders>
              <w:left w:val="single" w:sz="4" w:space="0" w:color="7E7E7E"/>
            </w:tcBorders>
          </w:tcPr>
          <w:p>
            <w:pPr>
              <w:pStyle w:val="TableParagraph"/>
              <w:ind w:left="949" w:right="893"/>
              <w:rPr>
                <w:sz w:val="24"/>
              </w:rPr>
            </w:pPr>
            <w:r>
              <w:rPr>
                <w:sz w:val="24"/>
              </w:rPr>
              <w:t>271</w:t>
            </w:r>
          </w:p>
        </w:tc>
        <w:tc>
          <w:tcPr>
            <w:tcW w:w="2332" w:type="dxa"/>
          </w:tcPr>
          <w:p>
            <w:pPr>
              <w:pStyle w:val="TableParagraph"/>
              <w:ind w:left="893" w:right="798"/>
              <w:rPr>
                <w:sz w:val="24"/>
              </w:rPr>
            </w:pPr>
            <w:r>
              <w:rPr>
                <w:sz w:val="24"/>
              </w:rPr>
              <w:t>271.8</w:t>
            </w:r>
          </w:p>
        </w:tc>
        <w:tc>
          <w:tcPr>
            <w:tcW w:w="1432" w:type="dxa"/>
          </w:tcPr>
          <w:p>
            <w:pPr>
              <w:pStyle w:val="TableParagraph"/>
              <w:ind w:right="236"/>
              <w:jc w:val="right"/>
              <w:rPr>
                <w:sz w:val="24"/>
              </w:rPr>
            </w:pPr>
            <w:r>
              <w:rPr>
                <w:sz w:val="24"/>
              </w:rPr>
              <w:t>0.8</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120</w:t>
            </w:r>
          </w:p>
        </w:tc>
        <w:tc>
          <w:tcPr>
            <w:tcW w:w="2489" w:type="dxa"/>
            <w:tcBorders>
              <w:left w:val="single" w:sz="4" w:space="0" w:color="7E7E7E"/>
            </w:tcBorders>
            <w:shd w:val="clear" w:color="auto" w:fill="F1F1F1"/>
          </w:tcPr>
          <w:p>
            <w:pPr>
              <w:pStyle w:val="TableParagraph"/>
              <w:ind w:left="950" w:right="893"/>
              <w:rPr>
                <w:sz w:val="24"/>
              </w:rPr>
            </w:pPr>
            <w:r>
              <w:rPr>
                <w:sz w:val="24"/>
              </w:rPr>
              <w:t>272.5</w:t>
            </w:r>
          </w:p>
        </w:tc>
        <w:tc>
          <w:tcPr>
            <w:tcW w:w="2332" w:type="dxa"/>
            <w:shd w:val="clear" w:color="auto" w:fill="F1F1F1"/>
          </w:tcPr>
          <w:p>
            <w:pPr>
              <w:pStyle w:val="TableParagraph"/>
              <w:ind w:left="893" w:right="798"/>
              <w:rPr>
                <w:sz w:val="24"/>
              </w:rPr>
            </w:pPr>
            <w:r>
              <w:rPr>
                <w:sz w:val="24"/>
              </w:rPr>
              <w:t>277.2</w:t>
            </w:r>
          </w:p>
        </w:tc>
        <w:tc>
          <w:tcPr>
            <w:tcW w:w="1432" w:type="dxa"/>
            <w:shd w:val="clear" w:color="auto" w:fill="F1F1F1"/>
          </w:tcPr>
          <w:p>
            <w:pPr>
              <w:pStyle w:val="TableParagraph"/>
              <w:ind w:right="236"/>
              <w:jc w:val="right"/>
              <w:rPr>
                <w:sz w:val="24"/>
              </w:rPr>
            </w:pPr>
            <w:r>
              <w:rPr>
                <w:sz w:val="24"/>
              </w:rPr>
              <w:t>4.7</w:t>
            </w:r>
          </w:p>
        </w:tc>
      </w:tr>
      <w:tr>
        <w:trPr>
          <w:trHeight w:val="298" w:hRule="exact"/>
        </w:trPr>
        <w:tc>
          <w:tcPr>
            <w:tcW w:w="1213" w:type="dxa"/>
            <w:tcBorders>
              <w:right w:val="single" w:sz="4" w:space="0" w:color="7E7E7E"/>
            </w:tcBorders>
          </w:tcPr>
          <w:p>
            <w:pPr>
              <w:pStyle w:val="TableParagraph"/>
              <w:spacing w:line="270" w:lineRule="exact"/>
              <w:ind w:left="200"/>
              <w:jc w:val="left"/>
              <w:rPr>
                <w:b/>
                <w:sz w:val="24"/>
              </w:rPr>
            </w:pPr>
            <w:r>
              <w:rPr>
                <w:b/>
                <w:sz w:val="24"/>
              </w:rPr>
              <w:t>121</w:t>
            </w:r>
          </w:p>
        </w:tc>
        <w:tc>
          <w:tcPr>
            <w:tcW w:w="2489" w:type="dxa"/>
            <w:tcBorders>
              <w:left w:val="single" w:sz="4" w:space="0" w:color="7E7E7E"/>
            </w:tcBorders>
          </w:tcPr>
          <w:p>
            <w:pPr>
              <w:pStyle w:val="TableParagraph"/>
              <w:spacing w:line="270" w:lineRule="exact"/>
              <w:ind w:left="950" w:right="893"/>
              <w:rPr>
                <w:sz w:val="24"/>
              </w:rPr>
            </w:pPr>
            <w:r>
              <w:rPr>
                <w:sz w:val="24"/>
              </w:rPr>
              <w:t>287.5</w:t>
            </w:r>
          </w:p>
        </w:tc>
        <w:tc>
          <w:tcPr>
            <w:tcW w:w="2332" w:type="dxa"/>
          </w:tcPr>
          <w:p>
            <w:pPr>
              <w:pStyle w:val="TableParagraph"/>
              <w:spacing w:line="270" w:lineRule="exact"/>
              <w:ind w:left="893" w:right="798"/>
              <w:rPr>
                <w:sz w:val="24"/>
              </w:rPr>
            </w:pPr>
            <w:r>
              <w:rPr>
                <w:sz w:val="24"/>
              </w:rPr>
              <w:t>294.5</w:t>
            </w:r>
          </w:p>
        </w:tc>
        <w:tc>
          <w:tcPr>
            <w:tcW w:w="1432" w:type="dxa"/>
          </w:tcPr>
          <w:p>
            <w:pPr>
              <w:pStyle w:val="TableParagraph"/>
              <w:spacing w:line="270" w:lineRule="exact"/>
              <w:ind w:right="338"/>
              <w:jc w:val="right"/>
              <w:rPr>
                <w:sz w:val="24"/>
              </w:rPr>
            </w:pPr>
            <w:r>
              <w:rPr>
                <w:w w:val="99"/>
                <w:sz w:val="24"/>
              </w:rPr>
              <w:t>7</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122</w:t>
            </w:r>
          </w:p>
        </w:tc>
        <w:tc>
          <w:tcPr>
            <w:tcW w:w="2489" w:type="dxa"/>
            <w:tcBorders>
              <w:left w:val="single" w:sz="4" w:space="0" w:color="7E7E7E"/>
            </w:tcBorders>
            <w:shd w:val="clear" w:color="auto" w:fill="F1F1F1"/>
          </w:tcPr>
          <w:p>
            <w:pPr>
              <w:pStyle w:val="TableParagraph"/>
              <w:ind w:left="950" w:right="893"/>
              <w:rPr>
                <w:sz w:val="24"/>
              </w:rPr>
            </w:pPr>
            <w:r>
              <w:rPr>
                <w:sz w:val="24"/>
              </w:rPr>
              <w:t>290.5</w:t>
            </w:r>
          </w:p>
        </w:tc>
        <w:tc>
          <w:tcPr>
            <w:tcW w:w="2332" w:type="dxa"/>
            <w:shd w:val="clear" w:color="auto" w:fill="F1F1F1"/>
          </w:tcPr>
          <w:p>
            <w:pPr>
              <w:pStyle w:val="TableParagraph"/>
              <w:ind w:left="893" w:right="798"/>
              <w:rPr>
                <w:sz w:val="24"/>
              </w:rPr>
            </w:pPr>
            <w:r>
              <w:rPr>
                <w:sz w:val="24"/>
              </w:rPr>
              <w:t>290.8</w:t>
            </w:r>
          </w:p>
        </w:tc>
        <w:tc>
          <w:tcPr>
            <w:tcW w:w="1432" w:type="dxa"/>
            <w:shd w:val="clear" w:color="auto" w:fill="F1F1F1"/>
          </w:tcPr>
          <w:p>
            <w:pPr>
              <w:pStyle w:val="TableParagraph"/>
              <w:ind w:right="236"/>
              <w:jc w:val="right"/>
              <w:rPr>
                <w:sz w:val="24"/>
              </w:rPr>
            </w:pPr>
            <w:r>
              <w:rPr>
                <w:sz w:val="24"/>
              </w:rPr>
              <w:t>0.3</w:t>
            </w:r>
          </w:p>
        </w:tc>
      </w:tr>
      <w:tr>
        <w:trPr>
          <w:trHeight w:val="295" w:hRule="exact"/>
        </w:trPr>
        <w:tc>
          <w:tcPr>
            <w:tcW w:w="1213" w:type="dxa"/>
            <w:tcBorders>
              <w:right w:val="single" w:sz="4" w:space="0" w:color="7E7E7E"/>
            </w:tcBorders>
          </w:tcPr>
          <w:p>
            <w:pPr>
              <w:pStyle w:val="TableParagraph"/>
              <w:ind w:left="200"/>
              <w:jc w:val="left"/>
              <w:rPr>
                <w:b/>
                <w:sz w:val="24"/>
              </w:rPr>
            </w:pPr>
            <w:r>
              <w:rPr>
                <w:b/>
                <w:sz w:val="24"/>
              </w:rPr>
              <w:t>123</w:t>
            </w:r>
          </w:p>
        </w:tc>
        <w:tc>
          <w:tcPr>
            <w:tcW w:w="2489" w:type="dxa"/>
            <w:tcBorders>
              <w:left w:val="single" w:sz="4" w:space="0" w:color="7E7E7E"/>
            </w:tcBorders>
          </w:tcPr>
          <w:p>
            <w:pPr>
              <w:pStyle w:val="TableParagraph"/>
              <w:ind w:left="950" w:right="893"/>
              <w:rPr>
                <w:sz w:val="24"/>
              </w:rPr>
            </w:pPr>
            <w:r>
              <w:rPr>
                <w:sz w:val="24"/>
              </w:rPr>
              <w:t>288.5</w:t>
            </w:r>
          </w:p>
        </w:tc>
        <w:tc>
          <w:tcPr>
            <w:tcW w:w="2332" w:type="dxa"/>
          </w:tcPr>
          <w:p>
            <w:pPr>
              <w:pStyle w:val="TableParagraph"/>
              <w:ind w:left="893" w:right="798"/>
              <w:rPr>
                <w:sz w:val="24"/>
              </w:rPr>
            </w:pPr>
            <w:r>
              <w:rPr>
                <w:sz w:val="24"/>
              </w:rPr>
              <w:t>288.8</w:t>
            </w:r>
          </w:p>
        </w:tc>
        <w:tc>
          <w:tcPr>
            <w:tcW w:w="1432" w:type="dxa"/>
          </w:tcPr>
          <w:p>
            <w:pPr>
              <w:pStyle w:val="TableParagraph"/>
              <w:ind w:right="235"/>
              <w:jc w:val="right"/>
              <w:rPr>
                <w:sz w:val="24"/>
              </w:rPr>
            </w:pPr>
            <w:r>
              <w:rPr>
                <w:sz w:val="24"/>
              </w:rPr>
              <w:t>0.3</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124</w:t>
            </w:r>
          </w:p>
        </w:tc>
        <w:tc>
          <w:tcPr>
            <w:tcW w:w="2489" w:type="dxa"/>
            <w:tcBorders>
              <w:left w:val="single" w:sz="4" w:space="0" w:color="7E7E7E"/>
            </w:tcBorders>
            <w:shd w:val="clear" w:color="auto" w:fill="F1F1F1"/>
          </w:tcPr>
          <w:p>
            <w:pPr>
              <w:pStyle w:val="TableParagraph"/>
              <w:ind w:left="949" w:right="893"/>
              <w:rPr>
                <w:sz w:val="24"/>
              </w:rPr>
            </w:pPr>
            <w:r>
              <w:rPr>
                <w:sz w:val="24"/>
              </w:rPr>
              <w:t>290</w:t>
            </w:r>
          </w:p>
        </w:tc>
        <w:tc>
          <w:tcPr>
            <w:tcW w:w="2332" w:type="dxa"/>
            <w:shd w:val="clear" w:color="auto" w:fill="F1F1F1"/>
          </w:tcPr>
          <w:p>
            <w:pPr>
              <w:pStyle w:val="TableParagraph"/>
              <w:ind w:left="893" w:right="798"/>
              <w:rPr>
                <w:sz w:val="24"/>
              </w:rPr>
            </w:pPr>
            <w:r>
              <w:rPr>
                <w:sz w:val="24"/>
              </w:rPr>
              <w:t>292.3</w:t>
            </w:r>
          </w:p>
        </w:tc>
        <w:tc>
          <w:tcPr>
            <w:tcW w:w="1432" w:type="dxa"/>
            <w:shd w:val="clear" w:color="auto" w:fill="F1F1F1"/>
          </w:tcPr>
          <w:p>
            <w:pPr>
              <w:pStyle w:val="TableParagraph"/>
              <w:ind w:right="236"/>
              <w:jc w:val="right"/>
              <w:rPr>
                <w:sz w:val="24"/>
              </w:rPr>
            </w:pPr>
            <w:r>
              <w:rPr>
                <w:sz w:val="24"/>
              </w:rPr>
              <w:t>2.3</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125</w:t>
            </w:r>
          </w:p>
        </w:tc>
        <w:tc>
          <w:tcPr>
            <w:tcW w:w="2489" w:type="dxa"/>
            <w:tcBorders>
              <w:left w:val="single" w:sz="4" w:space="0" w:color="7E7E7E"/>
            </w:tcBorders>
          </w:tcPr>
          <w:p>
            <w:pPr>
              <w:pStyle w:val="TableParagraph"/>
              <w:ind w:left="949" w:right="893"/>
              <w:rPr>
                <w:sz w:val="24"/>
              </w:rPr>
            </w:pPr>
            <w:r>
              <w:rPr>
                <w:sz w:val="24"/>
              </w:rPr>
              <w:t>284</w:t>
            </w:r>
          </w:p>
        </w:tc>
        <w:tc>
          <w:tcPr>
            <w:tcW w:w="2332" w:type="dxa"/>
          </w:tcPr>
          <w:p>
            <w:pPr>
              <w:pStyle w:val="TableParagraph"/>
              <w:ind w:left="893" w:right="798"/>
              <w:rPr>
                <w:sz w:val="24"/>
              </w:rPr>
            </w:pPr>
            <w:r>
              <w:rPr>
                <w:sz w:val="24"/>
              </w:rPr>
              <w:t>287.6</w:t>
            </w:r>
          </w:p>
        </w:tc>
        <w:tc>
          <w:tcPr>
            <w:tcW w:w="1432" w:type="dxa"/>
          </w:tcPr>
          <w:p>
            <w:pPr>
              <w:pStyle w:val="TableParagraph"/>
              <w:ind w:right="236"/>
              <w:jc w:val="right"/>
              <w:rPr>
                <w:sz w:val="24"/>
              </w:rPr>
            </w:pPr>
            <w:r>
              <w:rPr>
                <w:sz w:val="24"/>
              </w:rPr>
              <w:t>3.6</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126</w:t>
            </w:r>
          </w:p>
        </w:tc>
        <w:tc>
          <w:tcPr>
            <w:tcW w:w="2489" w:type="dxa"/>
            <w:tcBorders>
              <w:left w:val="single" w:sz="4" w:space="0" w:color="7E7E7E"/>
            </w:tcBorders>
            <w:shd w:val="clear" w:color="auto" w:fill="F1F1F1"/>
          </w:tcPr>
          <w:p>
            <w:pPr>
              <w:pStyle w:val="TableParagraph"/>
              <w:ind w:left="949" w:right="893"/>
              <w:rPr>
                <w:sz w:val="24"/>
              </w:rPr>
            </w:pPr>
            <w:r>
              <w:rPr>
                <w:sz w:val="24"/>
              </w:rPr>
              <w:t>289</w:t>
            </w:r>
          </w:p>
        </w:tc>
        <w:tc>
          <w:tcPr>
            <w:tcW w:w="2332" w:type="dxa"/>
            <w:shd w:val="clear" w:color="auto" w:fill="F1F1F1"/>
          </w:tcPr>
          <w:p>
            <w:pPr>
              <w:pStyle w:val="TableParagraph"/>
              <w:ind w:left="893" w:right="798"/>
              <w:rPr>
                <w:sz w:val="24"/>
              </w:rPr>
            </w:pPr>
            <w:r>
              <w:rPr>
                <w:sz w:val="24"/>
              </w:rPr>
              <w:t>289.2</w:t>
            </w:r>
          </w:p>
        </w:tc>
        <w:tc>
          <w:tcPr>
            <w:tcW w:w="1432" w:type="dxa"/>
            <w:shd w:val="clear" w:color="auto" w:fill="F1F1F1"/>
          </w:tcPr>
          <w:p>
            <w:pPr>
              <w:pStyle w:val="TableParagraph"/>
              <w:ind w:right="236"/>
              <w:jc w:val="right"/>
              <w:rPr>
                <w:sz w:val="24"/>
              </w:rPr>
            </w:pPr>
            <w:r>
              <w:rPr>
                <w:sz w:val="24"/>
              </w:rPr>
              <w:t>0.2</w:t>
            </w:r>
          </w:p>
        </w:tc>
      </w:tr>
      <w:tr>
        <w:trPr>
          <w:trHeight w:val="295" w:hRule="exact"/>
        </w:trPr>
        <w:tc>
          <w:tcPr>
            <w:tcW w:w="1213" w:type="dxa"/>
            <w:tcBorders>
              <w:right w:val="single" w:sz="4" w:space="0" w:color="7E7E7E"/>
            </w:tcBorders>
          </w:tcPr>
          <w:p>
            <w:pPr>
              <w:pStyle w:val="TableParagraph"/>
              <w:ind w:left="200"/>
              <w:jc w:val="left"/>
              <w:rPr>
                <w:b/>
                <w:sz w:val="24"/>
              </w:rPr>
            </w:pPr>
            <w:r>
              <w:rPr>
                <w:b/>
                <w:sz w:val="24"/>
              </w:rPr>
              <w:t>127</w:t>
            </w:r>
          </w:p>
        </w:tc>
        <w:tc>
          <w:tcPr>
            <w:tcW w:w="2489" w:type="dxa"/>
            <w:tcBorders>
              <w:left w:val="single" w:sz="4" w:space="0" w:color="7E7E7E"/>
            </w:tcBorders>
          </w:tcPr>
          <w:p>
            <w:pPr>
              <w:pStyle w:val="TableParagraph"/>
              <w:ind w:left="949" w:right="893"/>
              <w:rPr>
                <w:sz w:val="24"/>
              </w:rPr>
            </w:pPr>
            <w:r>
              <w:rPr>
                <w:sz w:val="24"/>
              </w:rPr>
              <w:t>296</w:t>
            </w:r>
          </w:p>
        </w:tc>
        <w:tc>
          <w:tcPr>
            <w:tcW w:w="2332" w:type="dxa"/>
          </w:tcPr>
          <w:p>
            <w:pPr>
              <w:pStyle w:val="TableParagraph"/>
              <w:ind w:left="893" w:right="794"/>
              <w:rPr>
                <w:sz w:val="24"/>
              </w:rPr>
            </w:pPr>
            <w:r>
              <w:rPr>
                <w:sz w:val="24"/>
              </w:rPr>
              <w:t>296</w:t>
            </w:r>
          </w:p>
        </w:tc>
        <w:tc>
          <w:tcPr>
            <w:tcW w:w="1432" w:type="dxa"/>
          </w:tcPr>
          <w:p>
            <w:pPr>
              <w:pStyle w:val="TableParagraph"/>
              <w:ind w:right="338"/>
              <w:jc w:val="right"/>
              <w:rPr>
                <w:sz w:val="24"/>
              </w:rPr>
            </w:pPr>
            <w:r>
              <w:rPr>
                <w:w w:val="99"/>
                <w:sz w:val="24"/>
              </w:rPr>
              <w:t>0</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128</w:t>
            </w:r>
          </w:p>
        </w:tc>
        <w:tc>
          <w:tcPr>
            <w:tcW w:w="2489" w:type="dxa"/>
            <w:tcBorders>
              <w:left w:val="single" w:sz="4" w:space="0" w:color="7E7E7E"/>
            </w:tcBorders>
            <w:shd w:val="clear" w:color="auto" w:fill="F1F1F1"/>
          </w:tcPr>
          <w:p>
            <w:pPr>
              <w:pStyle w:val="TableParagraph"/>
              <w:ind w:left="950" w:right="893"/>
              <w:rPr>
                <w:sz w:val="24"/>
              </w:rPr>
            </w:pPr>
            <w:r>
              <w:rPr>
                <w:sz w:val="24"/>
              </w:rPr>
              <w:t>282.5</w:t>
            </w:r>
          </w:p>
        </w:tc>
        <w:tc>
          <w:tcPr>
            <w:tcW w:w="2332" w:type="dxa"/>
            <w:shd w:val="clear" w:color="auto" w:fill="F1F1F1"/>
          </w:tcPr>
          <w:p>
            <w:pPr>
              <w:pStyle w:val="TableParagraph"/>
              <w:ind w:left="893" w:right="798"/>
              <w:rPr>
                <w:sz w:val="24"/>
              </w:rPr>
            </w:pPr>
            <w:r>
              <w:rPr>
                <w:sz w:val="24"/>
              </w:rPr>
              <w:t>289.9</w:t>
            </w:r>
          </w:p>
        </w:tc>
        <w:tc>
          <w:tcPr>
            <w:tcW w:w="1432" w:type="dxa"/>
            <w:shd w:val="clear" w:color="auto" w:fill="F1F1F1"/>
          </w:tcPr>
          <w:p>
            <w:pPr>
              <w:pStyle w:val="TableParagraph"/>
              <w:ind w:right="236"/>
              <w:jc w:val="right"/>
              <w:rPr>
                <w:sz w:val="24"/>
              </w:rPr>
            </w:pPr>
            <w:r>
              <w:rPr>
                <w:sz w:val="24"/>
              </w:rPr>
              <w:t>7.4</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129</w:t>
            </w:r>
          </w:p>
        </w:tc>
        <w:tc>
          <w:tcPr>
            <w:tcW w:w="2489" w:type="dxa"/>
            <w:tcBorders>
              <w:left w:val="single" w:sz="4" w:space="0" w:color="7E7E7E"/>
            </w:tcBorders>
          </w:tcPr>
          <w:p>
            <w:pPr>
              <w:pStyle w:val="TableParagraph"/>
              <w:ind w:left="949" w:right="893"/>
              <w:rPr>
                <w:sz w:val="24"/>
              </w:rPr>
            </w:pPr>
            <w:r>
              <w:rPr>
                <w:sz w:val="24"/>
              </w:rPr>
              <w:t>290</w:t>
            </w:r>
          </w:p>
        </w:tc>
        <w:tc>
          <w:tcPr>
            <w:tcW w:w="2332" w:type="dxa"/>
          </w:tcPr>
          <w:p>
            <w:pPr>
              <w:pStyle w:val="TableParagraph"/>
              <w:ind w:left="893" w:right="798"/>
              <w:rPr>
                <w:sz w:val="24"/>
              </w:rPr>
            </w:pPr>
            <w:r>
              <w:rPr>
                <w:sz w:val="24"/>
              </w:rPr>
              <w:t>293.5</w:t>
            </w:r>
          </w:p>
        </w:tc>
        <w:tc>
          <w:tcPr>
            <w:tcW w:w="1432" w:type="dxa"/>
          </w:tcPr>
          <w:p>
            <w:pPr>
              <w:pStyle w:val="TableParagraph"/>
              <w:ind w:right="236"/>
              <w:jc w:val="right"/>
              <w:rPr>
                <w:sz w:val="24"/>
              </w:rPr>
            </w:pPr>
            <w:r>
              <w:rPr>
                <w:sz w:val="24"/>
              </w:rPr>
              <w:t>3.5</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130</w:t>
            </w:r>
          </w:p>
        </w:tc>
        <w:tc>
          <w:tcPr>
            <w:tcW w:w="2489" w:type="dxa"/>
            <w:tcBorders>
              <w:left w:val="single" w:sz="4" w:space="0" w:color="7E7E7E"/>
            </w:tcBorders>
            <w:shd w:val="clear" w:color="auto" w:fill="F1F1F1"/>
          </w:tcPr>
          <w:p>
            <w:pPr>
              <w:pStyle w:val="TableParagraph"/>
              <w:ind w:left="950" w:right="893"/>
              <w:rPr>
                <w:sz w:val="24"/>
              </w:rPr>
            </w:pPr>
            <w:r>
              <w:rPr>
                <w:sz w:val="24"/>
              </w:rPr>
              <w:t>289.5</w:t>
            </w:r>
          </w:p>
        </w:tc>
        <w:tc>
          <w:tcPr>
            <w:tcW w:w="2332" w:type="dxa"/>
            <w:shd w:val="clear" w:color="auto" w:fill="F1F1F1"/>
          </w:tcPr>
          <w:p>
            <w:pPr>
              <w:pStyle w:val="TableParagraph"/>
              <w:ind w:left="893" w:right="794"/>
              <w:rPr>
                <w:sz w:val="24"/>
              </w:rPr>
            </w:pPr>
            <w:r>
              <w:rPr>
                <w:sz w:val="24"/>
              </w:rPr>
              <w:t>291</w:t>
            </w:r>
          </w:p>
        </w:tc>
        <w:tc>
          <w:tcPr>
            <w:tcW w:w="1432" w:type="dxa"/>
            <w:shd w:val="clear" w:color="auto" w:fill="F1F1F1"/>
          </w:tcPr>
          <w:p>
            <w:pPr>
              <w:pStyle w:val="TableParagraph"/>
              <w:ind w:right="236"/>
              <w:jc w:val="right"/>
              <w:rPr>
                <w:sz w:val="24"/>
              </w:rPr>
            </w:pPr>
            <w:r>
              <w:rPr>
                <w:sz w:val="24"/>
              </w:rPr>
              <w:t>1.5</w:t>
            </w:r>
          </w:p>
        </w:tc>
      </w:tr>
      <w:tr>
        <w:trPr>
          <w:trHeight w:val="295" w:hRule="exact"/>
        </w:trPr>
        <w:tc>
          <w:tcPr>
            <w:tcW w:w="1213" w:type="dxa"/>
            <w:tcBorders>
              <w:right w:val="single" w:sz="4" w:space="0" w:color="7E7E7E"/>
            </w:tcBorders>
          </w:tcPr>
          <w:p>
            <w:pPr>
              <w:pStyle w:val="TableParagraph"/>
              <w:ind w:left="200"/>
              <w:jc w:val="left"/>
              <w:rPr>
                <w:b/>
                <w:sz w:val="24"/>
              </w:rPr>
            </w:pPr>
            <w:r>
              <w:rPr>
                <w:b/>
                <w:sz w:val="24"/>
              </w:rPr>
              <w:t>131</w:t>
            </w:r>
          </w:p>
        </w:tc>
        <w:tc>
          <w:tcPr>
            <w:tcW w:w="2489" w:type="dxa"/>
            <w:tcBorders>
              <w:left w:val="single" w:sz="4" w:space="0" w:color="7E7E7E"/>
            </w:tcBorders>
          </w:tcPr>
          <w:p>
            <w:pPr>
              <w:pStyle w:val="TableParagraph"/>
              <w:ind w:left="949" w:right="893"/>
              <w:rPr>
                <w:sz w:val="24"/>
              </w:rPr>
            </w:pPr>
            <w:r>
              <w:rPr>
                <w:sz w:val="24"/>
              </w:rPr>
              <w:t>285</w:t>
            </w:r>
          </w:p>
        </w:tc>
        <w:tc>
          <w:tcPr>
            <w:tcW w:w="2332" w:type="dxa"/>
          </w:tcPr>
          <w:p>
            <w:pPr>
              <w:pStyle w:val="TableParagraph"/>
              <w:ind w:left="893" w:right="798"/>
              <w:rPr>
                <w:sz w:val="24"/>
              </w:rPr>
            </w:pPr>
            <w:r>
              <w:rPr>
                <w:sz w:val="24"/>
              </w:rPr>
              <w:t>288.7</w:t>
            </w:r>
          </w:p>
        </w:tc>
        <w:tc>
          <w:tcPr>
            <w:tcW w:w="1432" w:type="dxa"/>
          </w:tcPr>
          <w:p>
            <w:pPr>
              <w:pStyle w:val="TableParagraph"/>
              <w:ind w:right="236"/>
              <w:jc w:val="right"/>
              <w:rPr>
                <w:sz w:val="24"/>
              </w:rPr>
            </w:pPr>
            <w:r>
              <w:rPr>
                <w:sz w:val="24"/>
              </w:rPr>
              <w:t>3.7</w:t>
            </w:r>
          </w:p>
        </w:tc>
      </w:tr>
      <w:tr>
        <w:trPr>
          <w:trHeight w:val="298" w:hRule="exact"/>
        </w:trPr>
        <w:tc>
          <w:tcPr>
            <w:tcW w:w="1213" w:type="dxa"/>
            <w:tcBorders>
              <w:right w:val="single" w:sz="4" w:space="0" w:color="7E7E7E"/>
            </w:tcBorders>
            <w:shd w:val="clear" w:color="auto" w:fill="F1F1F1"/>
          </w:tcPr>
          <w:p>
            <w:pPr>
              <w:pStyle w:val="TableParagraph"/>
              <w:spacing w:line="270" w:lineRule="exact"/>
              <w:ind w:left="200"/>
              <w:jc w:val="left"/>
              <w:rPr>
                <w:b/>
                <w:sz w:val="24"/>
              </w:rPr>
            </w:pPr>
            <w:r>
              <w:rPr>
                <w:b/>
                <w:sz w:val="24"/>
              </w:rPr>
              <w:t>132</w:t>
            </w:r>
          </w:p>
        </w:tc>
        <w:tc>
          <w:tcPr>
            <w:tcW w:w="2489" w:type="dxa"/>
            <w:tcBorders>
              <w:left w:val="single" w:sz="4" w:space="0" w:color="7E7E7E"/>
            </w:tcBorders>
            <w:shd w:val="clear" w:color="auto" w:fill="F1F1F1"/>
          </w:tcPr>
          <w:p>
            <w:pPr>
              <w:pStyle w:val="TableParagraph"/>
              <w:spacing w:line="270" w:lineRule="exact"/>
              <w:ind w:left="949" w:right="893"/>
              <w:rPr>
                <w:sz w:val="24"/>
              </w:rPr>
            </w:pPr>
            <w:r>
              <w:rPr>
                <w:sz w:val="24"/>
              </w:rPr>
              <w:t>287</w:t>
            </w:r>
          </w:p>
        </w:tc>
        <w:tc>
          <w:tcPr>
            <w:tcW w:w="2332" w:type="dxa"/>
            <w:shd w:val="clear" w:color="auto" w:fill="F1F1F1"/>
          </w:tcPr>
          <w:p>
            <w:pPr>
              <w:pStyle w:val="TableParagraph"/>
              <w:spacing w:line="270" w:lineRule="exact"/>
              <w:ind w:left="893" w:right="794"/>
              <w:rPr>
                <w:sz w:val="24"/>
              </w:rPr>
            </w:pPr>
            <w:r>
              <w:rPr>
                <w:sz w:val="24"/>
              </w:rPr>
              <w:t>293</w:t>
            </w:r>
          </w:p>
        </w:tc>
        <w:tc>
          <w:tcPr>
            <w:tcW w:w="1432" w:type="dxa"/>
            <w:shd w:val="clear" w:color="auto" w:fill="F1F1F1"/>
          </w:tcPr>
          <w:p>
            <w:pPr>
              <w:pStyle w:val="TableParagraph"/>
              <w:spacing w:line="270" w:lineRule="exact"/>
              <w:ind w:right="338"/>
              <w:jc w:val="right"/>
              <w:rPr>
                <w:sz w:val="24"/>
              </w:rPr>
            </w:pPr>
            <w:r>
              <w:rPr>
                <w:w w:val="99"/>
                <w:sz w:val="24"/>
              </w:rPr>
              <w:t>6</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133</w:t>
            </w:r>
          </w:p>
        </w:tc>
        <w:tc>
          <w:tcPr>
            <w:tcW w:w="2489" w:type="dxa"/>
            <w:tcBorders>
              <w:left w:val="single" w:sz="4" w:space="0" w:color="7E7E7E"/>
            </w:tcBorders>
          </w:tcPr>
          <w:p>
            <w:pPr>
              <w:pStyle w:val="TableParagraph"/>
              <w:ind w:left="950" w:right="893"/>
              <w:rPr>
                <w:sz w:val="24"/>
              </w:rPr>
            </w:pPr>
            <w:r>
              <w:rPr>
                <w:sz w:val="24"/>
              </w:rPr>
              <w:t>290.5</w:t>
            </w:r>
          </w:p>
        </w:tc>
        <w:tc>
          <w:tcPr>
            <w:tcW w:w="2332" w:type="dxa"/>
          </w:tcPr>
          <w:p>
            <w:pPr>
              <w:pStyle w:val="TableParagraph"/>
              <w:ind w:left="893" w:right="794"/>
              <w:rPr>
                <w:sz w:val="24"/>
              </w:rPr>
            </w:pPr>
            <w:r>
              <w:rPr>
                <w:sz w:val="24"/>
              </w:rPr>
              <w:t>291</w:t>
            </w:r>
          </w:p>
        </w:tc>
        <w:tc>
          <w:tcPr>
            <w:tcW w:w="1432" w:type="dxa"/>
          </w:tcPr>
          <w:p>
            <w:pPr>
              <w:pStyle w:val="TableParagraph"/>
              <w:ind w:right="236"/>
              <w:jc w:val="right"/>
              <w:rPr>
                <w:sz w:val="24"/>
              </w:rPr>
            </w:pPr>
            <w:r>
              <w:rPr>
                <w:sz w:val="24"/>
              </w:rPr>
              <w:t>0.5</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134</w:t>
            </w:r>
          </w:p>
        </w:tc>
        <w:tc>
          <w:tcPr>
            <w:tcW w:w="2489" w:type="dxa"/>
            <w:tcBorders>
              <w:left w:val="single" w:sz="4" w:space="0" w:color="7E7E7E"/>
            </w:tcBorders>
            <w:shd w:val="clear" w:color="auto" w:fill="F1F1F1"/>
          </w:tcPr>
          <w:p>
            <w:pPr>
              <w:pStyle w:val="TableParagraph"/>
              <w:ind w:left="949" w:right="893"/>
              <w:rPr>
                <w:sz w:val="24"/>
              </w:rPr>
            </w:pPr>
            <w:r>
              <w:rPr>
                <w:sz w:val="24"/>
              </w:rPr>
              <w:t>291</w:t>
            </w:r>
          </w:p>
        </w:tc>
        <w:tc>
          <w:tcPr>
            <w:tcW w:w="2332" w:type="dxa"/>
            <w:shd w:val="clear" w:color="auto" w:fill="F1F1F1"/>
          </w:tcPr>
          <w:p>
            <w:pPr>
              <w:pStyle w:val="TableParagraph"/>
              <w:ind w:left="893" w:right="798"/>
              <w:rPr>
                <w:sz w:val="24"/>
              </w:rPr>
            </w:pPr>
            <w:r>
              <w:rPr>
                <w:sz w:val="24"/>
              </w:rPr>
              <w:t>295.3</w:t>
            </w:r>
          </w:p>
        </w:tc>
        <w:tc>
          <w:tcPr>
            <w:tcW w:w="1432" w:type="dxa"/>
            <w:shd w:val="clear" w:color="auto" w:fill="F1F1F1"/>
          </w:tcPr>
          <w:p>
            <w:pPr>
              <w:pStyle w:val="TableParagraph"/>
              <w:ind w:right="236"/>
              <w:jc w:val="right"/>
              <w:rPr>
                <w:sz w:val="24"/>
              </w:rPr>
            </w:pPr>
            <w:r>
              <w:rPr>
                <w:sz w:val="24"/>
              </w:rPr>
              <w:t>4.3</w:t>
            </w:r>
          </w:p>
        </w:tc>
      </w:tr>
    </w:tbl>
    <w:p>
      <w:pPr>
        <w:rPr>
          <w:sz w:val="2"/>
          <w:szCs w:val="2"/>
        </w:rPr>
      </w:pPr>
      <w:r>
        <w:rPr/>
        <w:pict>
          <v:shape style="position:absolute;margin-left:79.704002pt;margin-top:70.795944pt;width:423.2pt;height:14.95pt;mso-position-horizontal-relative:page;mso-position-vertical-relative:page;z-index:-121888" coordorigin="1594,1416" coordsize="8464,299" path="m3212,1416l1594,1416,1594,1714,3212,1714,3212,1416m5766,1416l3216,1416,3216,1714,5766,1714,5766,1416m10058,1416l8073,1416,5766,1416,5766,1714,8073,1714,10058,1714,10058,1416e" filled="true" fillcolor="#f1f1f1" stroked="false">
            <v:path arrowok="t"/>
            <v:fill type="solid"/>
            <w10:wrap type="none"/>
          </v:shape>
        </w:pict>
      </w:r>
      <w:r>
        <w:rPr/>
        <w:pict>
          <v:shape style="position:absolute;margin-left:79.704002pt;margin-top:100.579948pt;width:423.2pt;height:14.9pt;mso-position-horizontal-relative:page;mso-position-vertical-relative:page;z-index:-121864" coordorigin="1594,2012" coordsize="8464,298" path="m3212,2012l1594,2012,1594,2309,3212,2309,3212,2012m5766,2012l3216,2012,3216,2309,5766,2309,5766,2012m10058,2012l8073,2012,5766,2012,5766,2309,8073,2309,10058,2309,10058,2012e" filled="true" fillcolor="#f1f1f1" stroked="false">
            <v:path arrowok="t"/>
            <v:fill type="solid"/>
            <w10:wrap type="none"/>
          </v:shape>
        </w:pict>
      </w:r>
      <w:r>
        <w:rPr/>
        <w:pict>
          <v:shape style="position:absolute;margin-left:79.704002pt;margin-top:130.219955pt;width:423.2pt;height:14.9pt;mso-position-horizontal-relative:page;mso-position-vertical-relative:page;z-index:-121840" coordorigin="1594,2604" coordsize="8464,298" path="m3212,2604l1594,2604,1594,2902,3212,2902,3212,2604m5766,2604l3216,2604,3216,2902,5766,2902,5766,2604m10058,2604l8073,2604,5766,2604,5766,2902,8073,2902,10058,2902,10058,2604e" filled="true" fillcolor="#f1f1f1" stroked="false">
            <v:path arrowok="t"/>
            <v:fill type="solid"/>
            <w10:wrap type="none"/>
          </v:shape>
        </w:pict>
      </w:r>
      <w:r>
        <w:rPr/>
        <w:pict>
          <v:shape style="position:absolute;margin-left:79.704002pt;margin-top:159.980957pt;width:423.2pt;height:14.9pt;mso-position-horizontal-relative:page;mso-position-vertical-relative:page;z-index:-121816" coordorigin="1594,3200" coordsize="8464,298" path="m3212,3200l3108,3200,1702,3200,1594,3200,1594,3497,3212,3497,3212,3200m5766,3200l5658,3200,3324,3200,3216,3200,3216,3497,5766,3497,5766,3200m10058,3200l9950,3200,8178,3200,8073,3200,7962,3200,5874,3200,5766,3200,5766,3497,8073,3497,10058,3497,10058,3200e" filled="true" fillcolor="#f1f1f1" stroked="false">
            <v:path arrowok="t"/>
            <v:fill type="solid"/>
            <w10:wrap type="none"/>
          </v:shape>
        </w:pict>
      </w:r>
      <w:r>
        <w:rPr/>
        <w:pict>
          <v:shape style="position:absolute;margin-left:79.704002pt;margin-top:189.619949pt;width:423.2pt;height:14.9pt;mso-position-horizontal-relative:page;mso-position-vertical-relative:page;z-index:-121792" coordorigin="1594,3792" coordsize="8464,298" path="m3212,3792l3108,3792,1702,3792,1594,3792,1594,4090,3212,4090,3212,3792m5766,3792l5658,3792,3324,3792,3216,3792,3216,4090,5766,4090,5766,3792m10058,3792l9950,3792,8178,3792,8073,3792,7962,3792,5874,3792,5766,3792,5766,4090,8073,4090,10058,4090,10058,3792e" filled="true" fillcolor="#f1f1f1" stroked="false">
            <v:path arrowok="t"/>
            <v:fill type="solid"/>
            <w10:wrap type="none"/>
          </v:shape>
        </w:pict>
      </w:r>
      <w:r>
        <w:rPr/>
        <w:pict>
          <v:shape style="position:absolute;margin-left:79.704002pt;margin-top:219.379959pt;width:423.2pt;height:14.9pt;mso-position-horizontal-relative:page;mso-position-vertical-relative:page;z-index:-121768" coordorigin="1594,4388" coordsize="8464,298" path="m3212,4388l3108,4388,1702,4388,1594,4388,1594,4685,3212,4685,3212,4388m5766,4388l5658,4388,3324,4388,3216,4388,3216,4685,5766,4685,5766,4388m10058,4388l9950,4388,8178,4388,8073,4388,7962,4388,5874,4388,5766,4388,5766,4685,8073,4685,10058,4685,10058,4388e" filled="true" fillcolor="#f1f1f1" stroked="false">
            <v:path arrowok="t"/>
            <v:fill type="solid"/>
            <w10:wrap type="none"/>
          </v:shape>
        </w:pict>
      </w:r>
      <w:r>
        <w:rPr/>
        <w:pict>
          <v:shape style="position:absolute;margin-left:79.704002pt;margin-top:249.049957pt;width:423.2pt;height:14.9pt;mso-position-horizontal-relative:page;mso-position-vertical-relative:page;z-index:-121744" coordorigin="1594,4981" coordsize="8464,298" path="m3212,4981l3108,4981,1702,4981,1594,4981,1594,5279,3212,5279,3212,4981m5766,4981l5658,4981,3324,4981,3216,4981,3216,5279,5766,5279,5766,4981m10058,4981l9950,4981,8178,4981,8073,4981,7962,4981,5874,4981,5766,4981,5766,5279,8073,5279,10058,5279,10058,4981e" filled="true" fillcolor="#f1f1f1" stroked="false">
            <v:path arrowok="t"/>
            <v:fill type="solid"/>
            <w10:wrap type="none"/>
          </v:shape>
        </w:pict>
      </w:r>
      <w:r>
        <w:rPr/>
        <w:pict>
          <v:shape style="position:absolute;margin-left:79.704002pt;margin-top:278.809967pt;width:423.2pt;height:14.9pt;mso-position-horizontal-relative:page;mso-position-vertical-relative:page;z-index:-121720" coordorigin="1594,5576" coordsize="8464,298" path="m3212,5576l1594,5576,1594,5874,3212,5874,3212,5576m5766,5576l3216,5576,3216,5874,5766,5874,5766,5576m10058,5576l8073,5576,5766,5576,5766,5874,8073,5874,10058,5874,10058,5576e" filled="true" fillcolor="#f1f1f1" stroked="false">
            <v:path arrowok="t"/>
            <v:fill type="solid"/>
            <w10:wrap type="none"/>
          </v:shape>
        </w:pict>
      </w:r>
      <w:r>
        <w:rPr/>
        <w:pict>
          <v:shape style="position:absolute;margin-left:79.704002pt;margin-top:308.449951pt;width:423.2pt;height:14.9pt;mso-position-horizontal-relative:page;mso-position-vertical-relative:page;z-index:-121696" coordorigin="1594,6169" coordsize="8464,298" path="m3212,6169l1594,6169,1594,6467,3212,6467,3212,6169m5766,6169l3216,6169,3216,6467,5766,6467,5766,6169m10058,6169l8073,6169,5766,6169,5766,6467,8073,6467,10058,6467,10058,6169e" filled="true" fillcolor="#f1f1f1" stroked="false">
            <v:path arrowok="t"/>
            <v:fill type="solid"/>
            <w10:wrap type="none"/>
          </v:shape>
        </w:pict>
      </w:r>
      <w:r>
        <w:rPr/>
        <w:pict>
          <v:shape style="position:absolute;margin-left:79.704002pt;margin-top:338.209961pt;width:423.2pt;height:14.9pt;mso-position-horizontal-relative:page;mso-position-vertical-relative:page;z-index:-121672" coordorigin="1594,6764" coordsize="8464,298" path="m3212,6764l3108,6764,1702,6764,1594,6764,1594,7062,3212,7062,3212,6764m5766,6764l5658,6764,3324,6764,3216,6764,3216,7062,5766,7062,5766,6764m10058,6764l9950,6764,8178,6764,8073,6764,7962,6764,5874,6764,5766,6764,5766,7062,8073,7062,10058,7062,10058,6764e" filled="true" fillcolor="#f1f1f1" stroked="false">
            <v:path arrowok="t"/>
            <v:fill type="solid"/>
            <w10:wrap type="none"/>
          </v:shape>
        </w:pict>
      </w:r>
      <w:r>
        <w:rPr/>
        <w:pict>
          <v:shape style="position:absolute;margin-left:79.704002pt;margin-top:367.849976pt;width:423.2pt;height:14.9pt;mso-position-horizontal-relative:page;mso-position-vertical-relative:page;z-index:-121648" coordorigin="1594,7357" coordsize="8464,298" path="m3212,7357l3108,7357,1702,7357,1594,7357,1594,7655,3212,7655,3212,7357m5766,7357l5658,7357,3324,7357,3216,7357,3216,7655,5766,7655,5766,7357m10058,7357l9950,7357,8178,7357,8073,7357,7962,7357,5874,7357,5766,7357,5766,7655,8073,7655,10058,7655,10058,7357e" filled="true" fillcolor="#f1f1f1" stroked="false">
            <v:path arrowok="t"/>
            <v:fill type="solid"/>
            <w10:wrap type="none"/>
          </v:shape>
        </w:pict>
      </w:r>
      <w:r>
        <w:rPr/>
        <w:pict>
          <v:shape style="position:absolute;margin-left:79.704002pt;margin-top:397.605957pt;width:423.2pt;height:14.95pt;mso-position-horizontal-relative:page;mso-position-vertical-relative:page;z-index:-121624" coordorigin="1594,7952" coordsize="8464,299" path="m3212,7952l3108,7952,1702,7952,1594,7952,1594,8250,3212,8250,3212,7952m5766,7952l5658,7952,3324,7952,3216,7952,3216,8250,5766,8250,5766,7952m10058,7952l9950,7952,8178,7952,8073,7952,7962,7952,5874,7952,5766,7952,5766,8250,8073,8250,10058,8250,10058,7952e" filled="true" fillcolor="#f1f1f1" stroked="false">
            <v:path arrowok="t"/>
            <v:fill type="solid"/>
            <w10:wrap type="none"/>
          </v:shape>
        </w:pict>
      </w:r>
      <w:r>
        <w:rPr/>
        <w:pict>
          <v:shape style="position:absolute;margin-left:79.704002pt;margin-top:427.269958pt;width:423.2pt;height:14.9pt;mso-position-horizontal-relative:page;mso-position-vertical-relative:page;z-index:-121600" coordorigin="1594,8545" coordsize="8464,298" path="m3212,8545l3108,8545,1702,8545,1594,8545,1594,8843,3212,8843,3212,8545m5766,8545l5658,8545,3324,8545,3216,8545,3216,8843,5766,8843,5766,8545m10058,8545l9950,8545,8178,8545,8073,8545,7962,8545,5874,8545,5766,8545,5766,8843,8073,8843,10058,8843,10058,8545e" filled="true" fillcolor="#f1f1f1" stroked="false">
            <v:path arrowok="t"/>
            <v:fill type="solid"/>
            <w10:wrap type="none"/>
          </v:shape>
        </w:pict>
      </w:r>
      <w:r>
        <w:rPr/>
        <w:pict>
          <v:shape style="position:absolute;margin-left:79.704002pt;margin-top:457.029968pt;width:423.2pt;height:14.9pt;mso-position-horizontal-relative:page;mso-position-vertical-relative:page;z-index:-121576" coordorigin="1594,9141" coordsize="8464,298" path="m3212,9141l3108,9141,1702,9141,1594,9141,1594,9438,3212,9438,3212,9141m5766,9141l5658,9141,3324,9141,3216,9141,3216,9438,5766,9438,5766,9141m10058,9141l9950,9141,8178,9141,8073,9141,7962,9141,5874,9141,5766,9141,5766,9438,8073,9438,10058,9438,10058,9141e" filled="true" fillcolor="#f1f1f1" stroked="false">
            <v:path arrowok="t"/>
            <v:fill type="solid"/>
            <w10:wrap type="none"/>
          </v:shape>
        </w:pict>
      </w:r>
      <w:r>
        <w:rPr/>
        <w:pict>
          <v:shape style="position:absolute;margin-left:79.704002pt;margin-top:486.669952pt;width:423.2pt;height:14.9pt;mso-position-horizontal-relative:page;mso-position-vertical-relative:page;z-index:-121552" coordorigin="1594,9733" coordsize="8464,298" path="m3212,9733l3108,9733,1702,9733,1594,9733,1594,10031,3212,10031,3212,9733m5766,9733l5658,9733,3324,9733,3216,9733,3216,10031,5766,10031,5766,9733m10058,9733l9950,9733,8178,9733,8073,9733,7962,9733,5874,9733,5766,9733,5766,10031,8073,10031,10058,10031,10058,9733e" filled="true" fillcolor="#f1f1f1" stroked="false">
            <v:path arrowok="t"/>
            <v:fill type="solid"/>
            <w10:wrap type="none"/>
          </v:shape>
        </w:pict>
      </w:r>
      <w:r>
        <w:rPr/>
        <w:pict>
          <v:shape style="position:absolute;margin-left:79.704002pt;margin-top:516.429993pt;width:423.2pt;height:14.9pt;mso-position-horizontal-relative:page;mso-position-vertical-relative:page;z-index:-121528" coordorigin="1594,10329" coordsize="8464,298" path="m3212,10329l3108,10329,1702,10329,1594,10329,1594,10626,3212,10626,3212,10329m5766,10329l5658,10329,3324,10329,3216,10329,3216,10626,5766,10626,5766,10329m10058,10329l9950,10329,8178,10329,8073,10329,7962,10329,5874,10329,5766,10329,5766,10626,8073,10626,10058,10626,10058,10329e" filled="true" fillcolor="#f1f1f1" stroked="false">
            <v:path arrowok="t"/>
            <v:fill type="solid"/>
            <w10:wrap type="none"/>
          </v:shape>
        </w:pict>
      </w:r>
      <w:r>
        <w:rPr/>
        <w:pict>
          <v:shape style="position:absolute;margin-left:79.704002pt;margin-top:546.069946pt;width:423.2pt;height:14.9pt;mso-position-horizontal-relative:page;mso-position-vertical-relative:page;z-index:-121504" coordorigin="1594,10921" coordsize="8464,298" path="m3212,10921l3108,10921,1702,10921,1594,10921,1594,11219,3212,11219,3212,10921m5766,10921l5658,10921,3324,10921,3216,10921,3216,11219,5766,11219,5766,10921m10058,10921l9950,10921,8178,10921,8073,10921,7962,10921,5874,10921,5766,10921,5766,11219,8073,11219,10058,11219,10058,10921e" filled="true" fillcolor="#f1f1f1" stroked="false">
            <v:path arrowok="t"/>
            <v:fill type="solid"/>
            <w10:wrap type="none"/>
          </v:shape>
        </w:pict>
      </w:r>
      <w:r>
        <w:rPr/>
        <w:pict>
          <v:shape style="position:absolute;margin-left:79.704002pt;margin-top:575.859985pt;width:423.2pt;height:14.9pt;mso-position-horizontal-relative:page;mso-position-vertical-relative:page;z-index:-121480" coordorigin="1594,11517" coordsize="8464,298" path="m3212,11517l3108,11517,1702,11517,1594,11517,1594,11815,3212,11815,3212,11517m5766,11517l5658,11517,3324,11517,3216,11517,3216,11815,5766,11815,5766,11517m10058,11517l9950,11517,8178,11517,8073,11517,7962,11517,5874,11517,5766,11517,5766,11815,8073,11815,10058,11815,10058,11517e" filled="true" fillcolor="#f1f1f1" stroked="false">
            <v:path arrowok="t"/>
            <v:fill type="solid"/>
            <w10:wrap type="none"/>
          </v:shape>
        </w:pict>
      </w:r>
      <w:r>
        <w:rPr/>
        <w:pict>
          <v:shape style="position:absolute;margin-left:79.704002pt;margin-top:605.5pt;width:423.2pt;height:14.9pt;mso-position-horizontal-relative:page;mso-position-vertical-relative:page;z-index:-121456" coordorigin="1594,12110" coordsize="8464,298" path="m3212,12110l3108,12110,1702,12110,1594,12110,1594,12408,3212,12408,3212,12110m5766,12110l5658,12110,3324,12110,3216,12110,3216,12408,5766,12408,5766,12110m10058,12110l9950,12110,8178,12110,8073,12110,7962,12110,5874,12110,5766,12110,5766,12408,8073,12408,10058,12408,10058,12110e" filled="true" fillcolor="#f1f1f1" stroked="false">
            <v:path arrowok="t"/>
            <v:fill type="solid"/>
            <w10:wrap type="none"/>
          </v:shape>
        </w:pict>
      </w:r>
      <w:r>
        <w:rPr/>
        <w:pict>
          <v:shape style="position:absolute;margin-left:79.704002pt;margin-top:635.259949pt;width:423.2pt;height:14.9pt;mso-position-horizontal-relative:page;mso-position-vertical-relative:page;z-index:-121432" coordorigin="1594,12705" coordsize="8464,298" path="m3212,12705l3108,12705,1702,12705,1594,12705,1594,13003,3212,13003,3212,12705m5766,12705l5658,12705,3324,12705,3216,12705,3216,13003,5766,13003,5766,12705m10058,12705l9950,12705,8178,12705,8073,12705,7962,12705,5874,12705,5766,12705,5766,13003,8073,13003,10058,13003,10058,12705e" filled="true" fillcolor="#f1f1f1" stroked="false">
            <v:path arrowok="t"/>
            <v:fill type="solid"/>
            <w10:wrap type="none"/>
          </v:shape>
        </w:pict>
      </w:r>
      <w:r>
        <w:rPr/>
        <w:pict>
          <v:shape style="position:absolute;margin-left:79.704002pt;margin-top:664.899963pt;width:423.2pt;height:14.9pt;mso-position-horizontal-relative:page;mso-position-vertical-relative:page;z-index:-121408" coordorigin="1594,13298" coordsize="8464,298" path="m3212,13298l3108,13298,3108,13298,1702,13298,1702,13298,1594,13298,1594,13596,3212,13596,3212,13298m5766,13298l5658,13298,5658,13298,3324,13298,3324,13298,3216,13298,3216,13596,5766,13596,5766,13298m10058,13298l9950,13298,9950,13298,8178,13298,8178,13298,8073,13298,7962,13298,7962,13298,5874,13298,5874,13298,5766,13298,5766,13596,8073,13596,10058,13596,10058,13298e" filled="true" fillcolor="#f1f1f1" stroked="false">
            <v:path arrowok="t"/>
            <v:fill type="solid"/>
            <w10:wrap type="none"/>
          </v:shape>
        </w:pict>
      </w:r>
      <w:r>
        <w:rPr/>
        <w:pict>
          <v:shape style="position:absolute;margin-left:79.704002pt;margin-top:694.659973pt;width:423.2pt;height:14.9pt;mso-position-horizontal-relative:page;mso-position-vertical-relative:page;z-index:-121384" coordorigin="1594,13893" coordsize="8464,298" path="m3212,13893l3108,13893,1702,13893,1594,13893,1594,14191,3212,14191,3212,13893m5766,13893l5658,13893,3324,13893,3216,13893,3216,14191,5766,14191,5766,13893m10058,13893l9950,13893,8178,13893,8073,13893,7962,13893,5874,13893,5766,13893,5766,14191,8073,14191,10058,14191,10058,13893e" filled="true" fillcolor="#f1f1f1" stroked="false">
            <v:path arrowok="t"/>
            <v:fill type="solid"/>
            <w10:wrap type="none"/>
          </v:shape>
        </w:pict>
      </w:r>
      <w:r>
        <w:rPr/>
        <w:pict>
          <v:shape style="position:absolute;margin-left:79.704002pt;margin-top:724.295959pt;width:423.2pt;height:14.95pt;mso-position-horizontal-relative:page;mso-position-vertical-relative:page;z-index:-121360" coordorigin="1594,14486" coordsize="8464,299" path="m3212,14486l3108,14486,1702,14486,1594,14486,1594,14784,3212,14784,3212,14486m5766,14486l5658,14486,3324,14486,3216,14486,3216,14784,5766,14784,5766,14486m10058,14486l9950,14486,8178,14486,8073,14486,7962,14486,5874,14486,5766,14486,5766,14784,8073,14784,10058,14784,10058,14486e" filled="true" fillcolor="#f1f1f1" stroked="false">
            <v:path arrowok="t"/>
            <v:fill type="solid"/>
            <w10:wrap type="none"/>
          </v:shape>
        </w:pict>
      </w:r>
      <w:r>
        <w:rPr/>
        <w:pict>
          <v:shape style="position:absolute;margin-left:79.704002pt;margin-top:754.079956pt;width:423.2pt;height:14.9pt;mso-position-horizontal-relative:page;mso-position-vertical-relative:page;z-index:-121336" coordorigin="1594,15082" coordsize="8464,298" path="m3212,15082l3108,15082,3108,15082,1702,15082,1702,15082,1594,15082,1594,15379,3212,15379,3212,15082m5766,15082l5658,15082,5658,15082,3324,15082,3324,15082,3216,15082,3216,15379,5766,15379,5766,15082m10058,15082l9950,15082,9950,15082,8178,15082,8178,15082,8073,15082,7962,15082,7962,15082,5874,15082,5874,15082,5766,15082,5766,15379,8073,15379,10058,15379,10058,15082e" filled="true" fillcolor="#f1f1f1" stroked="false">
            <v:path arrowok="t"/>
            <v:fill type="solid"/>
            <w10:wrap type="none"/>
          </v:shape>
        </w:pict>
      </w:r>
    </w:p>
    <w:p>
      <w:pPr>
        <w:spacing w:after="0"/>
        <w:rPr>
          <w:sz w:val="2"/>
          <w:szCs w:val="2"/>
        </w:rPr>
        <w:sectPr>
          <w:footerReference w:type="default" r:id="rId61"/>
          <w:pgSz w:w="11910" w:h="16840"/>
          <w:pgMar w:footer="983" w:header="0" w:top="1400" w:bottom="1180" w:left="1480" w:right="1580"/>
          <w:pgNumType w:start="84"/>
        </w:sectPr>
      </w:pPr>
    </w:p>
    <w:tbl>
      <w:tblPr>
        <w:tblW w:w="0" w:type="auto"/>
        <w:jc w:val="left"/>
        <w:tblInd w:w="5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13"/>
        <w:gridCol w:w="2489"/>
        <w:gridCol w:w="2318"/>
        <w:gridCol w:w="1473"/>
      </w:tblGrid>
      <w:tr>
        <w:trPr>
          <w:trHeight w:val="298" w:hRule="exact"/>
        </w:trPr>
        <w:tc>
          <w:tcPr>
            <w:tcW w:w="1213" w:type="dxa"/>
            <w:tcBorders>
              <w:right w:val="single" w:sz="4" w:space="0" w:color="7E7E7E"/>
            </w:tcBorders>
          </w:tcPr>
          <w:p>
            <w:pPr>
              <w:pStyle w:val="TableParagraph"/>
              <w:spacing w:line="270" w:lineRule="exact"/>
              <w:ind w:left="200"/>
              <w:jc w:val="left"/>
              <w:rPr>
                <w:b/>
                <w:sz w:val="24"/>
              </w:rPr>
            </w:pPr>
            <w:r>
              <w:rPr>
                <w:b/>
                <w:sz w:val="24"/>
              </w:rPr>
              <w:t>135</w:t>
            </w:r>
          </w:p>
        </w:tc>
        <w:tc>
          <w:tcPr>
            <w:tcW w:w="2489" w:type="dxa"/>
            <w:tcBorders>
              <w:left w:val="single" w:sz="4" w:space="0" w:color="7E7E7E"/>
            </w:tcBorders>
          </w:tcPr>
          <w:p>
            <w:pPr>
              <w:pStyle w:val="TableParagraph"/>
              <w:spacing w:line="270" w:lineRule="exact"/>
              <w:ind w:left="949" w:right="893"/>
              <w:rPr>
                <w:sz w:val="24"/>
              </w:rPr>
            </w:pPr>
            <w:r>
              <w:rPr>
                <w:sz w:val="24"/>
              </w:rPr>
              <w:t>288.5</w:t>
            </w:r>
          </w:p>
        </w:tc>
        <w:tc>
          <w:tcPr>
            <w:tcW w:w="2318" w:type="dxa"/>
          </w:tcPr>
          <w:p>
            <w:pPr>
              <w:pStyle w:val="TableParagraph"/>
              <w:spacing w:line="270" w:lineRule="exact"/>
              <w:ind w:left="892" w:right="781"/>
              <w:rPr>
                <w:sz w:val="24"/>
              </w:rPr>
            </w:pPr>
            <w:r>
              <w:rPr>
                <w:sz w:val="24"/>
              </w:rPr>
              <w:t>291</w:t>
            </w:r>
          </w:p>
        </w:tc>
        <w:tc>
          <w:tcPr>
            <w:tcW w:w="1473" w:type="dxa"/>
          </w:tcPr>
          <w:p>
            <w:pPr>
              <w:pStyle w:val="TableParagraph"/>
              <w:spacing w:line="270" w:lineRule="exact"/>
              <w:ind w:right="264"/>
              <w:jc w:val="right"/>
              <w:rPr>
                <w:sz w:val="24"/>
              </w:rPr>
            </w:pPr>
            <w:r>
              <w:rPr>
                <w:sz w:val="24"/>
              </w:rPr>
              <w:t>2.5</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136</w:t>
            </w:r>
          </w:p>
        </w:tc>
        <w:tc>
          <w:tcPr>
            <w:tcW w:w="2489" w:type="dxa"/>
            <w:tcBorders>
              <w:left w:val="single" w:sz="4" w:space="0" w:color="7E7E7E"/>
            </w:tcBorders>
            <w:shd w:val="clear" w:color="auto" w:fill="F1F1F1"/>
          </w:tcPr>
          <w:p>
            <w:pPr>
              <w:pStyle w:val="TableParagraph"/>
              <w:ind w:left="949" w:right="893"/>
              <w:rPr>
                <w:sz w:val="24"/>
              </w:rPr>
            </w:pPr>
            <w:r>
              <w:rPr>
                <w:sz w:val="24"/>
              </w:rPr>
              <w:t>290.5</w:t>
            </w:r>
          </w:p>
        </w:tc>
        <w:tc>
          <w:tcPr>
            <w:tcW w:w="2318" w:type="dxa"/>
            <w:shd w:val="clear" w:color="auto" w:fill="F1F1F1"/>
          </w:tcPr>
          <w:p>
            <w:pPr>
              <w:pStyle w:val="TableParagraph"/>
              <w:ind w:left="892" w:right="785"/>
              <w:rPr>
                <w:sz w:val="24"/>
              </w:rPr>
            </w:pPr>
            <w:r>
              <w:rPr>
                <w:sz w:val="24"/>
              </w:rPr>
              <w:t>293.8</w:t>
            </w:r>
          </w:p>
        </w:tc>
        <w:tc>
          <w:tcPr>
            <w:tcW w:w="1473" w:type="dxa"/>
            <w:shd w:val="clear" w:color="auto" w:fill="F1F1F1"/>
          </w:tcPr>
          <w:p>
            <w:pPr>
              <w:pStyle w:val="TableParagraph"/>
              <w:ind w:right="264"/>
              <w:jc w:val="right"/>
              <w:rPr>
                <w:sz w:val="24"/>
              </w:rPr>
            </w:pPr>
            <w:r>
              <w:rPr>
                <w:sz w:val="24"/>
              </w:rPr>
              <w:t>3.3</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137</w:t>
            </w:r>
          </w:p>
        </w:tc>
        <w:tc>
          <w:tcPr>
            <w:tcW w:w="2489" w:type="dxa"/>
            <w:tcBorders>
              <w:left w:val="single" w:sz="4" w:space="0" w:color="7E7E7E"/>
            </w:tcBorders>
          </w:tcPr>
          <w:p>
            <w:pPr>
              <w:pStyle w:val="TableParagraph"/>
              <w:ind w:left="949" w:right="893"/>
              <w:rPr>
                <w:sz w:val="24"/>
              </w:rPr>
            </w:pPr>
            <w:r>
              <w:rPr>
                <w:sz w:val="24"/>
              </w:rPr>
              <w:t>289</w:t>
            </w:r>
          </w:p>
        </w:tc>
        <w:tc>
          <w:tcPr>
            <w:tcW w:w="2318" w:type="dxa"/>
          </w:tcPr>
          <w:p>
            <w:pPr>
              <w:pStyle w:val="TableParagraph"/>
              <w:ind w:left="892" w:right="785"/>
              <w:rPr>
                <w:sz w:val="24"/>
              </w:rPr>
            </w:pPr>
            <w:r>
              <w:rPr>
                <w:sz w:val="24"/>
              </w:rPr>
              <w:t>291.3</w:t>
            </w:r>
          </w:p>
        </w:tc>
        <w:tc>
          <w:tcPr>
            <w:tcW w:w="1473" w:type="dxa"/>
          </w:tcPr>
          <w:p>
            <w:pPr>
              <w:pStyle w:val="TableParagraph"/>
              <w:ind w:right="264"/>
              <w:jc w:val="right"/>
              <w:rPr>
                <w:sz w:val="24"/>
              </w:rPr>
            </w:pPr>
            <w:r>
              <w:rPr>
                <w:sz w:val="24"/>
              </w:rPr>
              <w:t>2.3</w:t>
            </w:r>
          </w:p>
        </w:tc>
      </w:tr>
      <w:tr>
        <w:trPr>
          <w:trHeight w:val="295"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138</w:t>
            </w:r>
          </w:p>
        </w:tc>
        <w:tc>
          <w:tcPr>
            <w:tcW w:w="2489" w:type="dxa"/>
            <w:tcBorders>
              <w:left w:val="single" w:sz="4" w:space="0" w:color="7E7E7E"/>
            </w:tcBorders>
            <w:shd w:val="clear" w:color="auto" w:fill="F1F1F1"/>
          </w:tcPr>
          <w:p>
            <w:pPr>
              <w:pStyle w:val="TableParagraph"/>
              <w:ind w:left="949" w:right="893"/>
              <w:rPr>
                <w:sz w:val="24"/>
              </w:rPr>
            </w:pPr>
            <w:r>
              <w:rPr>
                <w:sz w:val="24"/>
              </w:rPr>
              <w:t>286.5</w:t>
            </w:r>
          </w:p>
        </w:tc>
        <w:tc>
          <w:tcPr>
            <w:tcW w:w="2318" w:type="dxa"/>
            <w:shd w:val="clear" w:color="auto" w:fill="F1F1F1"/>
          </w:tcPr>
          <w:p>
            <w:pPr>
              <w:pStyle w:val="TableParagraph"/>
              <w:ind w:left="892" w:right="785"/>
              <w:rPr>
                <w:sz w:val="24"/>
              </w:rPr>
            </w:pPr>
            <w:r>
              <w:rPr>
                <w:sz w:val="24"/>
              </w:rPr>
              <w:t>292.4</w:t>
            </w:r>
          </w:p>
        </w:tc>
        <w:tc>
          <w:tcPr>
            <w:tcW w:w="1473" w:type="dxa"/>
            <w:shd w:val="clear" w:color="auto" w:fill="F1F1F1"/>
          </w:tcPr>
          <w:p>
            <w:pPr>
              <w:pStyle w:val="TableParagraph"/>
              <w:ind w:right="264"/>
              <w:jc w:val="right"/>
              <w:rPr>
                <w:sz w:val="24"/>
              </w:rPr>
            </w:pPr>
            <w:r>
              <w:rPr>
                <w:sz w:val="24"/>
              </w:rPr>
              <w:t>5.9</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139</w:t>
            </w:r>
          </w:p>
        </w:tc>
        <w:tc>
          <w:tcPr>
            <w:tcW w:w="2489" w:type="dxa"/>
            <w:tcBorders>
              <w:left w:val="single" w:sz="4" w:space="0" w:color="7E7E7E"/>
            </w:tcBorders>
          </w:tcPr>
          <w:p>
            <w:pPr>
              <w:pStyle w:val="TableParagraph"/>
              <w:ind w:left="949" w:right="893"/>
              <w:rPr>
                <w:sz w:val="24"/>
              </w:rPr>
            </w:pPr>
            <w:r>
              <w:rPr>
                <w:sz w:val="24"/>
              </w:rPr>
              <w:t>290.5</w:t>
            </w:r>
          </w:p>
        </w:tc>
        <w:tc>
          <w:tcPr>
            <w:tcW w:w="2318" w:type="dxa"/>
          </w:tcPr>
          <w:p>
            <w:pPr>
              <w:pStyle w:val="TableParagraph"/>
              <w:ind w:left="892" w:right="785"/>
              <w:rPr>
                <w:sz w:val="24"/>
              </w:rPr>
            </w:pPr>
            <w:r>
              <w:rPr>
                <w:sz w:val="24"/>
              </w:rPr>
              <w:t>291.8</w:t>
            </w:r>
          </w:p>
        </w:tc>
        <w:tc>
          <w:tcPr>
            <w:tcW w:w="1473" w:type="dxa"/>
          </w:tcPr>
          <w:p>
            <w:pPr>
              <w:pStyle w:val="TableParagraph"/>
              <w:ind w:right="264"/>
              <w:jc w:val="right"/>
              <w:rPr>
                <w:sz w:val="24"/>
              </w:rPr>
            </w:pPr>
            <w:r>
              <w:rPr>
                <w:sz w:val="24"/>
              </w:rPr>
              <w:t>1.3</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140</w:t>
            </w:r>
          </w:p>
        </w:tc>
        <w:tc>
          <w:tcPr>
            <w:tcW w:w="2489" w:type="dxa"/>
            <w:tcBorders>
              <w:left w:val="single" w:sz="4" w:space="0" w:color="7E7E7E"/>
            </w:tcBorders>
            <w:shd w:val="clear" w:color="auto" w:fill="F1F1F1"/>
          </w:tcPr>
          <w:p>
            <w:pPr>
              <w:pStyle w:val="TableParagraph"/>
              <w:ind w:left="949" w:right="893"/>
              <w:rPr>
                <w:sz w:val="24"/>
              </w:rPr>
            </w:pPr>
            <w:r>
              <w:rPr>
                <w:sz w:val="24"/>
              </w:rPr>
              <w:t>289</w:t>
            </w:r>
          </w:p>
        </w:tc>
        <w:tc>
          <w:tcPr>
            <w:tcW w:w="2318" w:type="dxa"/>
            <w:shd w:val="clear" w:color="auto" w:fill="F1F1F1"/>
          </w:tcPr>
          <w:p>
            <w:pPr>
              <w:pStyle w:val="TableParagraph"/>
              <w:ind w:left="892" w:right="785"/>
              <w:rPr>
                <w:sz w:val="24"/>
              </w:rPr>
            </w:pPr>
            <w:r>
              <w:rPr>
                <w:sz w:val="24"/>
              </w:rPr>
              <w:t>289.5</w:t>
            </w:r>
          </w:p>
        </w:tc>
        <w:tc>
          <w:tcPr>
            <w:tcW w:w="1473" w:type="dxa"/>
            <w:shd w:val="clear" w:color="auto" w:fill="F1F1F1"/>
          </w:tcPr>
          <w:p>
            <w:pPr>
              <w:pStyle w:val="TableParagraph"/>
              <w:ind w:right="264"/>
              <w:jc w:val="right"/>
              <w:rPr>
                <w:sz w:val="24"/>
              </w:rPr>
            </w:pPr>
            <w:r>
              <w:rPr>
                <w:sz w:val="24"/>
              </w:rPr>
              <w:t>0.5</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141</w:t>
            </w:r>
          </w:p>
        </w:tc>
        <w:tc>
          <w:tcPr>
            <w:tcW w:w="2489" w:type="dxa"/>
            <w:tcBorders>
              <w:left w:val="single" w:sz="4" w:space="0" w:color="7E7E7E"/>
            </w:tcBorders>
          </w:tcPr>
          <w:p>
            <w:pPr>
              <w:pStyle w:val="TableParagraph"/>
              <w:ind w:left="949" w:right="893"/>
              <w:rPr>
                <w:sz w:val="24"/>
              </w:rPr>
            </w:pPr>
            <w:r>
              <w:rPr>
                <w:sz w:val="24"/>
              </w:rPr>
              <w:t>288</w:t>
            </w:r>
          </w:p>
        </w:tc>
        <w:tc>
          <w:tcPr>
            <w:tcW w:w="2318" w:type="dxa"/>
          </w:tcPr>
          <w:p>
            <w:pPr>
              <w:pStyle w:val="TableParagraph"/>
              <w:ind w:left="892" w:right="785"/>
              <w:rPr>
                <w:sz w:val="24"/>
              </w:rPr>
            </w:pPr>
            <w:r>
              <w:rPr>
                <w:sz w:val="24"/>
              </w:rPr>
              <w:t>288.8</w:t>
            </w:r>
          </w:p>
        </w:tc>
        <w:tc>
          <w:tcPr>
            <w:tcW w:w="1473" w:type="dxa"/>
          </w:tcPr>
          <w:p>
            <w:pPr>
              <w:pStyle w:val="TableParagraph"/>
              <w:ind w:right="264"/>
              <w:jc w:val="right"/>
              <w:rPr>
                <w:sz w:val="24"/>
              </w:rPr>
            </w:pPr>
            <w:r>
              <w:rPr>
                <w:sz w:val="24"/>
              </w:rPr>
              <w:t>0.8</w:t>
            </w:r>
          </w:p>
        </w:tc>
      </w:tr>
      <w:tr>
        <w:trPr>
          <w:trHeight w:val="295"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142</w:t>
            </w:r>
          </w:p>
        </w:tc>
        <w:tc>
          <w:tcPr>
            <w:tcW w:w="2489" w:type="dxa"/>
            <w:tcBorders>
              <w:left w:val="single" w:sz="4" w:space="0" w:color="7E7E7E"/>
            </w:tcBorders>
            <w:shd w:val="clear" w:color="auto" w:fill="F1F1F1"/>
          </w:tcPr>
          <w:p>
            <w:pPr>
              <w:pStyle w:val="TableParagraph"/>
              <w:ind w:left="949" w:right="893"/>
              <w:rPr>
                <w:sz w:val="24"/>
              </w:rPr>
            </w:pPr>
            <w:r>
              <w:rPr>
                <w:sz w:val="24"/>
              </w:rPr>
              <w:t>295.5</w:t>
            </w:r>
          </w:p>
        </w:tc>
        <w:tc>
          <w:tcPr>
            <w:tcW w:w="2318" w:type="dxa"/>
            <w:shd w:val="clear" w:color="auto" w:fill="F1F1F1"/>
          </w:tcPr>
          <w:p>
            <w:pPr>
              <w:pStyle w:val="TableParagraph"/>
              <w:ind w:left="892" w:right="785"/>
              <w:rPr>
                <w:sz w:val="24"/>
              </w:rPr>
            </w:pPr>
            <w:r>
              <w:rPr>
                <w:sz w:val="24"/>
              </w:rPr>
              <w:t>297.1</w:t>
            </w:r>
          </w:p>
        </w:tc>
        <w:tc>
          <w:tcPr>
            <w:tcW w:w="1473" w:type="dxa"/>
            <w:shd w:val="clear" w:color="auto" w:fill="F1F1F1"/>
          </w:tcPr>
          <w:p>
            <w:pPr>
              <w:pStyle w:val="TableParagraph"/>
              <w:ind w:right="264"/>
              <w:jc w:val="right"/>
              <w:rPr>
                <w:sz w:val="24"/>
              </w:rPr>
            </w:pPr>
            <w:r>
              <w:rPr>
                <w:sz w:val="24"/>
              </w:rPr>
              <w:t>1.6</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143</w:t>
            </w:r>
          </w:p>
        </w:tc>
        <w:tc>
          <w:tcPr>
            <w:tcW w:w="2489" w:type="dxa"/>
            <w:tcBorders>
              <w:left w:val="single" w:sz="4" w:space="0" w:color="7E7E7E"/>
            </w:tcBorders>
          </w:tcPr>
          <w:p>
            <w:pPr>
              <w:pStyle w:val="TableParagraph"/>
              <w:ind w:left="949" w:right="893"/>
              <w:rPr>
                <w:sz w:val="24"/>
              </w:rPr>
            </w:pPr>
            <w:r>
              <w:rPr>
                <w:sz w:val="24"/>
              </w:rPr>
              <w:t>290</w:t>
            </w:r>
          </w:p>
        </w:tc>
        <w:tc>
          <w:tcPr>
            <w:tcW w:w="2318" w:type="dxa"/>
          </w:tcPr>
          <w:p>
            <w:pPr>
              <w:pStyle w:val="TableParagraph"/>
              <w:ind w:left="892" w:right="785"/>
              <w:rPr>
                <w:sz w:val="24"/>
              </w:rPr>
            </w:pPr>
            <w:r>
              <w:rPr>
                <w:sz w:val="24"/>
              </w:rPr>
              <w:t>291.8</w:t>
            </w:r>
          </w:p>
        </w:tc>
        <w:tc>
          <w:tcPr>
            <w:tcW w:w="1473" w:type="dxa"/>
          </w:tcPr>
          <w:p>
            <w:pPr>
              <w:pStyle w:val="TableParagraph"/>
              <w:ind w:right="264"/>
              <w:jc w:val="right"/>
              <w:rPr>
                <w:sz w:val="24"/>
              </w:rPr>
            </w:pPr>
            <w:r>
              <w:rPr>
                <w:sz w:val="24"/>
              </w:rPr>
              <w:t>1.8</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144</w:t>
            </w:r>
          </w:p>
        </w:tc>
        <w:tc>
          <w:tcPr>
            <w:tcW w:w="2489" w:type="dxa"/>
            <w:tcBorders>
              <w:left w:val="single" w:sz="4" w:space="0" w:color="7E7E7E"/>
            </w:tcBorders>
            <w:shd w:val="clear" w:color="auto" w:fill="F1F1F1"/>
          </w:tcPr>
          <w:p>
            <w:pPr>
              <w:pStyle w:val="TableParagraph"/>
              <w:ind w:left="949" w:right="893"/>
              <w:rPr>
                <w:sz w:val="24"/>
              </w:rPr>
            </w:pPr>
            <w:r>
              <w:rPr>
                <w:sz w:val="24"/>
              </w:rPr>
              <w:t>290.5</w:t>
            </w:r>
          </w:p>
        </w:tc>
        <w:tc>
          <w:tcPr>
            <w:tcW w:w="2318" w:type="dxa"/>
            <w:shd w:val="clear" w:color="auto" w:fill="F1F1F1"/>
          </w:tcPr>
          <w:p>
            <w:pPr>
              <w:pStyle w:val="TableParagraph"/>
              <w:ind w:left="892" w:right="785"/>
              <w:rPr>
                <w:sz w:val="24"/>
              </w:rPr>
            </w:pPr>
            <w:r>
              <w:rPr>
                <w:sz w:val="24"/>
              </w:rPr>
              <w:t>293.8</w:t>
            </w:r>
          </w:p>
        </w:tc>
        <w:tc>
          <w:tcPr>
            <w:tcW w:w="1473" w:type="dxa"/>
            <w:shd w:val="clear" w:color="auto" w:fill="F1F1F1"/>
          </w:tcPr>
          <w:p>
            <w:pPr>
              <w:pStyle w:val="TableParagraph"/>
              <w:ind w:right="264"/>
              <w:jc w:val="right"/>
              <w:rPr>
                <w:sz w:val="24"/>
              </w:rPr>
            </w:pPr>
            <w:r>
              <w:rPr>
                <w:sz w:val="24"/>
              </w:rPr>
              <w:t>3.3</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145</w:t>
            </w:r>
          </w:p>
        </w:tc>
        <w:tc>
          <w:tcPr>
            <w:tcW w:w="2489" w:type="dxa"/>
            <w:tcBorders>
              <w:left w:val="single" w:sz="4" w:space="0" w:color="7E7E7E"/>
            </w:tcBorders>
          </w:tcPr>
          <w:p>
            <w:pPr>
              <w:pStyle w:val="TableParagraph"/>
              <w:ind w:left="949" w:right="893"/>
              <w:rPr>
                <w:sz w:val="24"/>
              </w:rPr>
            </w:pPr>
            <w:r>
              <w:rPr>
                <w:sz w:val="24"/>
              </w:rPr>
              <w:t>291</w:t>
            </w:r>
          </w:p>
        </w:tc>
        <w:tc>
          <w:tcPr>
            <w:tcW w:w="2318" w:type="dxa"/>
          </w:tcPr>
          <w:p>
            <w:pPr>
              <w:pStyle w:val="TableParagraph"/>
              <w:ind w:left="892" w:right="785"/>
              <w:rPr>
                <w:sz w:val="24"/>
              </w:rPr>
            </w:pPr>
            <w:r>
              <w:rPr>
                <w:sz w:val="24"/>
              </w:rPr>
              <w:t>293.5</w:t>
            </w:r>
          </w:p>
        </w:tc>
        <w:tc>
          <w:tcPr>
            <w:tcW w:w="1473" w:type="dxa"/>
          </w:tcPr>
          <w:p>
            <w:pPr>
              <w:pStyle w:val="TableParagraph"/>
              <w:ind w:right="264"/>
              <w:jc w:val="right"/>
              <w:rPr>
                <w:sz w:val="24"/>
              </w:rPr>
            </w:pPr>
            <w:r>
              <w:rPr>
                <w:sz w:val="24"/>
              </w:rPr>
              <w:t>2.5</w:t>
            </w:r>
          </w:p>
        </w:tc>
      </w:tr>
      <w:tr>
        <w:trPr>
          <w:trHeight w:val="296" w:hRule="exact"/>
        </w:trPr>
        <w:tc>
          <w:tcPr>
            <w:tcW w:w="1213" w:type="dxa"/>
            <w:tcBorders>
              <w:right w:val="single" w:sz="4" w:space="0" w:color="7E7E7E"/>
            </w:tcBorders>
            <w:shd w:val="clear" w:color="auto" w:fill="F1F1F1"/>
          </w:tcPr>
          <w:p>
            <w:pPr>
              <w:pStyle w:val="TableParagraph"/>
              <w:spacing w:line="270" w:lineRule="exact"/>
              <w:ind w:left="200"/>
              <w:jc w:val="left"/>
              <w:rPr>
                <w:b/>
                <w:sz w:val="24"/>
              </w:rPr>
            </w:pPr>
            <w:r>
              <w:rPr>
                <w:b/>
                <w:sz w:val="24"/>
              </w:rPr>
              <w:t>146</w:t>
            </w:r>
          </w:p>
        </w:tc>
        <w:tc>
          <w:tcPr>
            <w:tcW w:w="2489" w:type="dxa"/>
            <w:tcBorders>
              <w:left w:val="single" w:sz="4" w:space="0" w:color="7E7E7E"/>
            </w:tcBorders>
            <w:shd w:val="clear" w:color="auto" w:fill="F1F1F1"/>
          </w:tcPr>
          <w:p>
            <w:pPr>
              <w:pStyle w:val="TableParagraph"/>
              <w:spacing w:line="270" w:lineRule="exact"/>
              <w:ind w:left="949" w:right="893"/>
              <w:rPr>
                <w:sz w:val="24"/>
              </w:rPr>
            </w:pPr>
            <w:r>
              <w:rPr>
                <w:sz w:val="24"/>
              </w:rPr>
              <w:t>299</w:t>
            </w:r>
          </w:p>
        </w:tc>
        <w:tc>
          <w:tcPr>
            <w:tcW w:w="2318" w:type="dxa"/>
            <w:shd w:val="clear" w:color="auto" w:fill="F1F1F1"/>
          </w:tcPr>
          <w:p>
            <w:pPr>
              <w:pStyle w:val="TableParagraph"/>
              <w:spacing w:line="270" w:lineRule="exact"/>
              <w:ind w:left="892" w:right="785"/>
              <w:rPr>
                <w:sz w:val="24"/>
              </w:rPr>
            </w:pPr>
            <w:r>
              <w:rPr>
                <w:sz w:val="24"/>
              </w:rPr>
              <w:t>300.6</w:t>
            </w:r>
          </w:p>
        </w:tc>
        <w:tc>
          <w:tcPr>
            <w:tcW w:w="1473" w:type="dxa"/>
            <w:shd w:val="clear" w:color="auto" w:fill="F1F1F1"/>
          </w:tcPr>
          <w:p>
            <w:pPr>
              <w:pStyle w:val="TableParagraph"/>
              <w:spacing w:line="270" w:lineRule="exact"/>
              <w:ind w:right="264"/>
              <w:jc w:val="right"/>
              <w:rPr>
                <w:sz w:val="24"/>
              </w:rPr>
            </w:pPr>
            <w:r>
              <w:rPr>
                <w:sz w:val="24"/>
              </w:rPr>
              <w:t>1.6</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147</w:t>
            </w:r>
          </w:p>
        </w:tc>
        <w:tc>
          <w:tcPr>
            <w:tcW w:w="2489" w:type="dxa"/>
            <w:tcBorders>
              <w:left w:val="single" w:sz="4" w:space="0" w:color="7E7E7E"/>
            </w:tcBorders>
          </w:tcPr>
          <w:p>
            <w:pPr>
              <w:pStyle w:val="TableParagraph"/>
              <w:ind w:left="949" w:right="893"/>
              <w:rPr>
                <w:sz w:val="24"/>
              </w:rPr>
            </w:pPr>
            <w:r>
              <w:rPr>
                <w:sz w:val="24"/>
              </w:rPr>
              <w:t>296.5</w:t>
            </w:r>
          </w:p>
        </w:tc>
        <w:tc>
          <w:tcPr>
            <w:tcW w:w="2318" w:type="dxa"/>
          </w:tcPr>
          <w:p>
            <w:pPr>
              <w:pStyle w:val="TableParagraph"/>
              <w:ind w:left="892" w:right="785"/>
              <w:rPr>
                <w:sz w:val="24"/>
              </w:rPr>
            </w:pPr>
            <w:r>
              <w:rPr>
                <w:sz w:val="24"/>
              </w:rPr>
              <w:t>296.6</w:t>
            </w:r>
          </w:p>
        </w:tc>
        <w:tc>
          <w:tcPr>
            <w:tcW w:w="1473" w:type="dxa"/>
          </w:tcPr>
          <w:p>
            <w:pPr>
              <w:pStyle w:val="TableParagraph"/>
              <w:ind w:right="264"/>
              <w:jc w:val="right"/>
              <w:rPr>
                <w:sz w:val="24"/>
              </w:rPr>
            </w:pPr>
            <w:r>
              <w:rPr>
                <w:sz w:val="24"/>
              </w:rPr>
              <w:t>0.1</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148</w:t>
            </w:r>
          </w:p>
        </w:tc>
        <w:tc>
          <w:tcPr>
            <w:tcW w:w="2489" w:type="dxa"/>
            <w:tcBorders>
              <w:left w:val="single" w:sz="4" w:space="0" w:color="7E7E7E"/>
            </w:tcBorders>
            <w:shd w:val="clear" w:color="auto" w:fill="F1F1F1"/>
          </w:tcPr>
          <w:p>
            <w:pPr>
              <w:pStyle w:val="TableParagraph"/>
              <w:ind w:left="949" w:right="893"/>
              <w:rPr>
                <w:sz w:val="24"/>
              </w:rPr>
            </w:pPr>
            <w:r>
              <w:rPr>
                <w:sz w:val="24"/>
              </w:rPr>
              <w:t>296.5</w:t>
            </w:r>
          </w:p>
        </w:tc>
        <w:tc>
          <w:tcPr>
            <w:tcW w:w="2318" w:type="dxa"/>
            <w:shd w:val="clear" w:color="auto" w:fill="F1F1F1"/>
          </w:tcPr>
          <w:p>
            <w:pPr>
              <w:pStyle w:val="TableParagraph"/>
              <w:ind w:left="892" w:right="785"/>
              <w:rPr>
                <w:sz w:val="24"/>
              </w:rPr>
            </w:pPr>
            <w:r>
              <w:rPr>
                <w:sz w:val="24"/>
              </w:rPr>
              <w:t>299.4</w:t>
            </w:r>
          </w:p>
        </w:tc>
        <w:tc>
          <w:tcPr>
            <w:tcW w:w="1473" w:type="dxa"/>
            <w:shd w:val="clear" w:color="auto" w:fill="F1F1F1"/>
          </w:tcPr>
          <w:p>
            <w:pPr>
              <w:pStyle w:val="TableParagraph"/>
              <w:ind w:right="264"/>
              <w:jc w:val="right"/>
              <w:rPr>
                <w:sz w:val="24"/>
              </w:rPr>
            </w:pPr>
            <w:r>
              <w:rPr>
                <w:sz w:val="24"/>
              </w:rPr>
              <w:t>2.9</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149</w:t>
            </w:r>
          </w:p>
        </w:tc>
        <w:tc>
          <w:tcPr>
            <w:tcW w:w="2489" w:type="dxa"/>
            <w:tcBorders>
              <w:left w:val="single" w:sz="4" w:space="0" w:color="7E7E7E"/>
            </w:tcBorders>
          </w:tcPr>
          <w:p>
            <w:pPr>
              <w:pStyle w:val="TableParagraph"/>
              <w:ind w:left="949" w:right="893"/>
              <w:rPr>
                <w:sz w:val="24"/>
              </w:rPr>
            </w:pPr>
            <w:r>
              <w:rPr>
                <w:sz w:val="24"/>
              </w:rPr>
              <w:t>298</w:t>
            </w:r>
          </w:p>
        </w:tc>
        <w:tc>
          <w:tcPr>
            <w:tcW w:w="2318" w:type="dxa"/>
          </w:tcPr>
          <w:p>
            <w:pPr>
              <w:pStyle w:val="TableParagraph"/>
              <w:ind w:left="892" w:right="785"/>
              <w:rPr>
                <w:sz w:val="24"/>
              </w:rPr>
            </w:pPr>
            <w:r>
              <w:rPr>
                <w:sz w:val="24"/>
              </w:rPr>
              <w:t>298.9</w:t>
            </w:r>
          </w:p>
        </w:tc>
        <w:tc>
          <w:tcPr>
            <w:tcW w:w="1473" w:type="dxa"/>
          </w:tcPr>
          <w:p>
            <w:pPr>
              <w:pStyle w:val="TableParagraph"/>
              <w:ind w:right="264"/>
              <w:jc w:val="right"/>
              <w:rPr>
                <w:sz w:val="24"/>
              </w:rPr>
            </w:pPr>
            <w:r>
              <w:rPr>
                <w:sz w:val="24"/>
              </w:rPr>
              <w:t>0.9</w:t>
            </w:r>
          </w:p>
        </w:tc>
      </w:tr>
      <w:tr>
        <w:trPr>
          <w:trHeight w:val="295"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150</w:t>
            </w:r>
          </w:p>
        </w:tc>
        <w:tc>
          <w:tcPr>
            <w:tcW w:w="2489" w:type="dxa"/>
            <w:tcBorders>
              <w:left w:val="single" w:sz="4" w:space="0" w:color="7E7E7E"/>
            </w:tcBorders>
            <w:shd w:val="clear" w:color="auto" w:fill="F1F1F1"/>
          </w:tcPr>
          <w:p>
            <w:pPr>
              <w:pStyle w:val="TableParagraph"/>
              <w:ind w:left="948" w:right="893"/>
              <w:rPr>
                <w:sz w:val="24"/>
              </w:rPr>
            </w:pPr>
            <w:r>
              <w:rPr>
                <w:sz w:val="24"/>
              </w:rPr>
              <w:t>301</w:t>
            </w:r>
          </w:p>
        </w:tc>
        <w:tc>
          <w:tcPr>
            <w:tcW w:w="2318" w:type="dxa"/>
            <w:shd w:val="clear" w:color="auto" w:fill="F1F1F1"/>
          </w:tcPr>
          <w:p>
            <w:pPr>
              <w:pStyle w:val="TableParagraph"/>
              <w:ind w:left="892" w:right="785"/>
              <w:rPr>
                <w:sz w:val="24"/>
              </w:rPr>
            </w:pPr>
            <w:r>
              <w:rPr>
                <w:sz w:val="24"/>
              </w:rPr>
              <w:t>300.3</w:t>
            </w:r>
          </w:p>
        </w:tc>
        <w:tc>
          <w:tcPr>
            <w:tcW w:w="1473" w:type="dxa"/>
            <w:shd w:val="clear" w:color="auto" w:fill="F1F1F1"/>
          </w:tcPr>
          <w:p>
            <w:pPr>
              <w:pStyle w:val="TableParagraph"/>
              <w:ind w:right="225"/>
              <w:jc w:val="right"/>
              <w:rPr>
                <w:sz w:val="24"/>
              </w:rPr>
            </w:pPr>
            <w:r>
              <w:rPr>
                <w:sz w:val="24"/>
              </w:rPr>
              <w:t>-0.7</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151</w:t>
            </w:r>
          </w:p>
        </w:tc>
        <w:tc>
          <w:tcPr>
            <w:tcW w:w="2489" w:type="dxa"/>
            <w:tcBorders>
              <w:left w:val="single" w:sz="4" w:space="0" w:color="7E7E7E"/>
            </w:tcBorders>
          </w:tcPr>
          <w:p>
            <w:pPr>
              <w:pStyle w:val="TableParagraph"/>
              <w:ind w:left="949" w:right="893"/>
              <w:rPr>
                <w:sz w:val="24"/>
              </w:rPr>
            </w:pPr>
            <w:r>
              <w:rPr>
                <w:sz w:val="24"/>
              </w:rPr>
              <w:t>299.5</w:t>
            </w:r>
          </w:p>
        </w:tc>
        <w:tc>
          <w:tcPr>
            <w:tcW w:w="2318" w:type="dxa"/>
          </w:tcPr>
          <w:p>
            <w:pPr>
              <w:pStyle w:val="TableParagraph"/>
              <w:ind w:left="892" w:right="785"/>
              <w:rPr>
                <w:sz w:val="24"/>
              </w:rPr>
            </w:pPr>
            <w:r>
              <w:rPr>
                <w:sz w:val="24"/>
              </w:rPr>
              <w:t>299.6</w:t>
            </w:r>
          </w:p>
        </w:tc>
        <w:tc>
          <w:tcPr>
            <w:tcW w:w="1473" w:type="dxa"/>
          </w:tcPr>
          <w:p>
            <w:pPr>
              <w:pStyle w:val="TableParagraph"/>
              <w:ind w:right="264"/>
              <w:jc w:val="right"/>
              <w:rPr>
                <w:sz w:val="24"/>
              </w:rPr>
            </w:pPr>
            <w:r>
              <w:rPr>
                <w:sz w:val="24"/>
              </w:rPr>
              <w:t>0.1</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152</w:t>
            </w:r>
          </w:p>
        </w:tc>
        <w:tc>
          <w:tcPr>
            <w:tcW w:w="2489" w:type="dxa"/>
            <w:tcBorders>
              <w:left w:val="single" w:sz="4" w:space="0" w:color="7E7E7E"/>
            </w:tcBorders>
            <w:shd w:val="clear" w:color="auto" w:fill="F1F1F1"/>
          </w:tcPr>
          <w:p>
            <w:pPr>
              <w:pStyle w:val="TableParagraph"/>
              <w:ind w:left="949" w:right="893"/>
              <w:rPr>
                <w:sz w:val="24"/>
              </w:rPr>
            </w:pPr>
            <w:r>
              <w:rPr>
                <w:sz w:val="24"/>
              </w:rPr>
              <w:t>293</w:t>
            </w:r>
          </w:p>
        </w:tc>
        <w:tc>
          <w:tcPr>
            <w:tcW w:w="2318" w:type="dxa"/>
            <w:shd w:val="clear" w:color="auto" w:fill="F1F1F1"/>
          </w:tcPr>
          <w:p>
            <w:pPr>
              <w:pStyle w:val="TableParagraph"/>
              <w:ind w:left="892" w:right="785"/>
              <w:rPr>
                <w:sz w:val="24"/>
              </w:rPr>
            </w:pPr>
            <w:r>
              <w:rPr>
                <w:sz w:val="24"/>
              </w:rPr>
              <w:t>295.6</w:t>
            </w:r>
          </w:p>
        </w:tc>
        <w:tc>
          <w:tcPr>
            <w:tcW w:w="1473" w:type="dxa"/>
            <w:shd w:val="clear" w:color="auto" w:fill="F1F1F1"/>
          </w:tcPr>
          <w:p>
            <w:pPr>
              <w:pStyle w:val="TableParagraph"/>
              <w:ind w:right="264"/>
              <w:jc w:val="right"/>
              <w:rPr>
                <w:sz w:val="24"/>
              </w:rPr>
            </w:pPr>
            <w:r>
              <w:rPr>
                <w:sz w:val="24"/>
              </w:rPr>
              <w:t>2.6</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153</w:t>
            </w:r>
          </w:p>
        </w:tc>
        <w:tc>
          <w:tcPr>
            <w:tcW w:w="2489" w:type="dxa"/>
            <w:tcBorders>
              <w:left w:val="single" w:sz="4" w:space="0" w:color="7E7E7E"/>
            </w:tcBorders>
          </w:tcPr>
          <w:p>
            <w:pPr>
              <w:pStyle w:val="TableParagraph"/>
              <w:ind w:left="949" w:right="893"/>
              <w:rPr>
                <w:sz w:val="24"/>
              </w:rPr>
            </w:pPr>
            <w:r>
              <w:rPr>
                <w:sz w:val="24"/>
              </w:rPr>
              <w:t>295</w:t>
            </w:r>
          </w:p>
        </w:tc>
        <w:tc>
          <w:tcPr>
            <w:tcW w:w="2318" w:type="dxa"/>
          </w:tcPr>
          <w:p>
            <w:pPr>
              <w:pStyle w:val="TableParagraph"/>
              <w:ind w:left="892" w:right="785"/>
              <w:rPr>
                <w:sz w:val="24"/>
              </w:rPr>
            </w:pPr>
            <w:r>
              <w:rPr>
                <w:sz w:val="24"/>
              </w:rPr>
              <w:t>299.3</w:t>
            </w:r>
          </w:p>
        </w:tc>
        <w:tc>
          <w:tcPr>
            <w:tcW w:w="1473" w:type="dxa"/>
          </w:tcPr>
          <w:p>
            <w:pPr>
              <w:pStyle w:val="TableParagraph"/>
              <w:ind w:right="264"/>
              <w:jc w:val="right"/>
              <w:rPr>
                <w:sz w:val="24"/>
              </w:rPr>
            </w:pPr>
            <w:r>
              <w:rPr>
                <w:sz w:val="24"/>
              </w:rPr>
              <w:t>4.3</w:t>
            </w:r>
          </w:p>
        </w:tc>
      </w:tr>
      <w:tr>
        <w:trPr>
          <w:trHeight w:val="295"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154</w:t>
            </w:r>
          </w:p>
        </w:tc>
        <w:tc>
          <w:tcPr>
            <w:tcW w:w="2489" w:type="dxa"/>
            <w:tcBorders>
              <w:left w:val="single" w:sz="4" w:space="0" w:color="7E7E7E"/>
            </w:tcBorders>
            <w:shd w:val="clear" w:color="auto" w:fill="F1F1F1"/>
          </w:tcPr>
          <w:p>
            <w:pPr>
              <w:pStyle w:val="TableParagraph"/>
              <w:ind w:left="949" w:right="893"/>
              <w:rPr>
                <w:sz w:val="24"/>
              </w:rPr>
            </w:pPr>
            <w:r>
              <w:rPr>
                <w:sz w:val="24"/>
              </w:rPr>
              <w:t>290.5</w:t>
            </w:r>
          </w:p>
        </w:tc>
        <w:tc>
          <w:tcPr>
            <w:tcW w:w="2318" w:type="dxa"/>
            <w:shd w:val="clear" w:color="auto" w:fill="F1F1F1"/>
          </w:tcPr>
          <w:p>
            <w:pPr>
              <w:pStyle w:val="TableParagraph"/>
              <w:ind w:left="892" w:right="785"/>
              <w:rPr>
                <w:sz w:val="24"/>
              </w:rPr>
            </w:pPr>
            <w:r>
              <w:rPr>
                <w:sz w:val="24"/>
              </w:rPr>
              <w:t>296.9</w:t>
            </w:r>
          </w:p>
        </w:tc>
        <w:tc>
          <w:tcPr>
            <w:tcW w:w="1473" w:type="dxa"/>
            <w:shd w:val="clear" w:color="auto" w:fill="F1F1F1"/>
          </w:tcPr>
          <w:p>
            <w:pPr>
              <w:pStyle w:val="TableParagraph"/>
              <w:ind w:right="264"/>
              <w:jc w:val="right"/>
              <w:rPr>
                <w:sz w:val="24"/>
              </w:rPr>
            </w:pPr>
            <w:r>
              <w:rPr>
                <w:sz w:val="24"/>
              </w:rPr>
              <w:t>6.4</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155</w:t>
            </w:r>
          </w:p>
        </w:tc>
        <w:tc>
          <w:tcPr>
            <w:tcW w:w="2489" w:type="dxa"/>
            <w:tcBorders>
              <w:left w:val="single" w:sz="4" w:space="0" w:color="7E7E7E"/>
            </w:tcBorders>
          </w:tcPr>
          <w:p>
            <w:pPr>
              <w:pStyle w:val="TableParagraph"/>
              <w:ind w:left="949" w:right="893"/>
              <w:rPr>
                <w:sz w:val="24"/>
              </w:rPr>
            </w:pPr>
            <w:r>
              <w:rPr>
                <w:sz w:val="24"/>
              </w:rPr>
              <w:t>289</w:t>
            </w:r>
          </w:p>
        </w:tc>
        <w:tc>
          <w:tcPr>
            <w:tcW w:w="2318" w:type="dxa"/>
          </w:tcPr>
          <w:p>
            <w:pPr>
              <w:pStyle w:val="TableParagraph"/>
              <w:ind w:left="892" w:right="785"/>
              <w:rPr>
                <w:sz w:val="24"/>
              </w:rPr>
            </w:pPr>
            <w:r>
              <w:rPr>
                <w:sz w:val="24"/>
              </w:rPr>
              <w:t>291.9</w:t>
            </w:r>
          </w:p>
        </w:tc>
        <w:tc>
          <w:tcPr>
            <w:tcW w:w="1473" w:type="dxa"/>
          </w:tcPr>
          <w:p>
            <w:pPr>
              <w:pStyle w:val="TableParagraph"/>
              <w:ind w:right="264"/>
              <w:jc w:val="right"/>
              <w:rPr>
                <w:sz w:val="24"/>
              </w:rPr>
            </w:pPr>
            <w:r>
              <w:rPr>
                <w:sz w:val="24"/>
              </w:rPr>
              <w:t>2.9</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156</w:t>
            </w:r>
          </w:p>
        </w:tc>
        <w:tc>
          <w:tcPr>
            <w:tcW w:w="2489" w:type="dxa"/>
            <w:tcBorders>
              <w:left w:val="single" w:sz="4" w:space="0" w:color="7E7E7E"/>
            </w:tcBorders>
            <w:shd w:val="clear" w:color="auto" w:fill="F1F1F1"/>
          </w:tcPr>
          <w:p>
            <w:pPr>
              <w:pStyle w:val="TableParagraph"/>
              <w:ind w:left="949" w:right="893"/>
              <w:rPr>
                <w:sz w:val="24"/>
              </w:rPr>
            </w:pPr>
            <w:r>
              <w:rPr>
                <w:sz w:val="24"/>
              </w:rPr>
              <w:t>290</w:t>
            </w:r>
          </w:p>
        </w:tc>
        <w:tc>
          <w:tcPr>
            <w:tcW w:w="2318" w:type="dxa"/>
            <w:shd w:val="clear" w:color="auto" w:fill="F1F1F1"/>
          </w:tcPr>
          <w:p>
            <w:pPr>
              <w:pStyle w:val="TableParagraph"/>
              <w:ind w:left="892" w:right="785"/>
              <w:rPr>
                <w:sz w:val="24"/>
              </w:rPr>
            </w:pPr>
            <w:r>
              <w:rPr>
                <w:sz w:val="24"/>
              </w:rPr>
              <w:t>290.1</w:t>
            </w:r>
          </w:p>
        </w:tc>
        <w:tc>
          <w:tcPr>
            <w:tcW w:w="1473" w:type="dxa"/>
            <w:shd w:val="clear" w:color="auto" w:fill="F1F1F1"/>
          </w:tcPr>
          <w:p>
            <w:pPr>
              <w:pStyle w:val="TableParagraph"/>
              <w:ind w:right="264"/>
              <w:jc w:val="right"/>
              <w:rPr>
                <w:sz w:val="24"/>
              </w:rPr>
            </w:pPr>
            <w:r>
              <w:rPr>
                <w:sz w:val="24"/>
              </w:rPr>
              <w:t>0.1</w:t>
            </w:r>
          </w:p>
        </w:tc>
      </w:tr>
      <w:tr>
        <w:trPr>
          <w:trHeight w:val="298" w:hRule="exact"/>
        </w:trPr>
        <w:tc>
          <w:tcPr>
            <w:tcW w:w="1213" w:type="dxa"/>
            <w:tcBorders>
              <w:right w:val="single" w:sz="4" w:space="0" w:color="7E7E7E"/>
            </w:tcBorders>
          </w:tcPr>
          <w:p>
            <w:pPr>
              <w:pStyle w:val="TableParagraph"/>
              <w:spacing w:line="270" w:lineRule="exact"/>
              <w:ind w:left="200"/>
              <w:jc w:val="left"/>
              <w:rPr>
                <w:b/>
                <w:sz w:val="24"/>
              </w:rPr>
            </w:pPr>
            <w:r>
              <w:rPr>
                <w:b/>
                <w:sz w:val="24"/>
              </w:rPr>
              <w:t>157</w:t>
            </w:r>
          </w:p>
        </w:tc>
        <w:tc>
          <w:tcPr>
            <w:tcW w:w="2489" w:type="dxa"/>
            <w:tcBorders>
              <w:left w:val="single" w:sz="4" w:space="0" w:color="7E7E7E"/>
            </w:tcBorders>
          </w:tcPr>
          <w:p>
            <w:pPr>
              <w:pStyle w:val="TableParagraph"/>
              <w:spacing w:line="270" w:lineRule="exact"/>
              <w:ind w:left="949" w:right="893"/>
              <w:rPr>
                <w:sz w:val="24"/>
              </w:rPr>
            </w:pPr>
            <w:r>
              <w:rPr>
                <w:sz w:val="24"/>
              </w:rPr>
              <w:t>286</w:t>
            </w:r>
          </w:p>
        </w:tc>
        <w:tc>
          <w:tcPr>
            <w:tcW w:w="2318" w:type="dxa"/>
          </w:tcPr>
          <w:p>
            <w:pPr>
              <w:pStyle w:val="TableParagraph"/>
              <w:spacing w:line="270" w:lineRule="exact"/>
              <w:ind w:left="892" w:right="785"/>
              <w:rPr>
                <w:sz w:val="24"/>
              </w:rPr>
            </w:pPr>
            <w:r>
              <w:rPr>
                <w:sz w:val="24"/>
              </w:rPr>
              <w:t>291.5</w:t>
            </w:r>
          </w:p>
        </w:tc>
        <w:tc>
          <w:tcPr>
            <w:tcW w:w="1473" w:type="dxa"/>
          </w:tcPr>
          <w:p>
            <w:pPr>
              <w:pStyle w:val="TableParagraph"/>
              <w:spacing w:line="270" w:lineRule="exact"/>
              <w:ind w:right="264"/>
              <w:jc w:val="right"/>
              <w:rPr>
                <w:sz w:val="24"/>
              </w:rPr>
            </w:pPr>
            <w:r>
              <w:rPr>
                <w:sz w:val="24"/>
              </w:rPr>
              <w:t>5.5</w:t>
            </w:r>
          </w:p>
        </w:tc>
      </w:tr>
      <w:tr>
        <w:trPr>
          <w:trHeight w:val="295"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158</w:t>
            </w:r>
          </w:p>
        </w:tc>
        <w:tc>
          <w:tcPr>
            <w:tcW w:w="2489" w:type="dxa"/>
            <w:tcBorders>
              <w:left w:val="single" w:sz="4" w:space="0" w:color="7E7E7E"/>
            </w:tcBorders>
            <w:shd w:val="clear" w:color="auto" w:fill="F1F1F1"/>
          </w:tcPr>
          <w:p>
            <w:pPr>
              <w:pStyle w:val="TableParagraph"/>
              <w:ind w:left="949" w:right="893"/>
              <w:rPr>
                <w:sz w:val="24"/>
              </w:rPr>
            </w:pPr>
            <w:r>
              <w:rPr>
                <w:sz w:val="24"/>
              </w:rPr>
              <w:t>294</w:t>
            </w:r>
          </w:p>
        </w:tc>
        <w:tc>
          <w:tcPr>
            <w:tcW w:w="2318" w:type="dxa"/>
            <w:shd w:val="clear" w:color="auto" w:fill="F1F1F1"/>
          </w:tcPr>
          <w:p>
            <w:pPr>
              <w:pStyle w:val="TableParagraph"/>
              <w:ind w:left="892" w:right="785"/>
              <w:rPr>
                <w:sz w:val="24"/>
              </w:rPr>
            </w:pPr>
            <w:r>
              <w:rPr>
                <w:sz w:val="24"/>
              </w:rPr>
              <w:t>293.3</w:t>
            </w:r>
          </w:p>
        </w:tc>
        <w:tc>
          <w:tcPr>
            <w:tcW w:w="1473" w:type="dxa"/>
            <w:shd w:val="clear" w:color="auto" w:fill="F1F1F1"/>
          </w:tcPr>
          <w:p>
            <w:pPr>
              <w:pStyle w:val="TableParagraph"/>
              <w:ind w:right="225"/>
              <w:jc w:val="right"/>
              <w:rPr>
                <w:sz w:val="24"/>
              </w:rPr>
            </w:pPr>
            <w:r>
              <w:rPr>
                <w:sz w:val="24"/>
              </w:rPr>
              <w:t>-0.7</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159</w:t>
            </w:r>
          </w:p>
        </w:tc>
        <w:tc>
          <w:tcPr>
            <w:tcW w:w="2489" w:type="dxa"/>
            <w:tcBorders>
              <w:left w:val="single" w:sz="4" w:space="0" w:color="7E7E7E"/>
            </w:tcBorders>
          </w:tcPr>
          <w:p>
            <w:pPr>
              <w:pStyle w:val="TableParagraph"/>
              <w:ind w:left="949" w:right="893"/>
              <w:rPr>
                <w:sz w:val="24"/>
              </w:rPr>
            </w:pPr>
            <w:r>
              <w:rPr>
                <w:sz w:val="24"/>
              </w:rPr>
              <w:t>290.5</w:t>
            </w:r>
          </w:p>
        </w:tc>
        <w:tc>
          <w:tcPr>
            <w:tcW w:w="2318" w:type="dxa"/>
          </w:tcPr>
          <w:p>
            <w:pPr>
              <w:pStyle w:val="TableParagraph"/>
              <w:ind w:left="892" w:right="785"/>
              <w:rPr>
                <w:sz w:val="24"/>
              </w:rPr>
            </w:pPr>
            <w:r>
              <w:rPr>
                <w:sz w:val="24"/>
              </w:rPr>
              <w:t>291.2</w:t>
            </w:r>
          </w:p>
        </w:tc>
        <w:tc>
          <w:tcPr>
            <w:tcW w:w="1473" w:type="dxa"/>
          </w:tcPr>
          <w:p>
            <w:pPr>
              <w:pStyle w:val="TableParagraph"/>
              <w:ind w:right="264"/>
              <w:jc w:val="right"/>
              <w:rPr>
                <w:sz w:val="24"/>
              </w:rPr>
            </w:pPr>
            <w:r>
              <w:rPr>
                <w:sz w:val="24"/>
              </w:rPr>
              <w:t>0.7</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160</w:t>
            </w:r>
          </w:p>
        </w:tc>
        <w:tc>
          <w:tcPr>
            <w:tcW w:w="2489" w:type="dxa"/>
            <w:tcBorders>
              <w:left w:val="single" w:sz="4" w:space="0" w:color="7E7E7E"/>
            </w:tcBorders>
            <w:shd w:val="clear" w:color="auto" w:fill="F1F1F1"/>
          </w:tcPr>
          <w:p>
            <w:pPr>
              <w:pStyle w:val="TableParagraph"/>
              <w:ind w:left="949" w:right="893"/>
              <w:rPr>
                <w:sz w:val="24"/>
              </w:rPr>
            </w:pPr>
            <w:r>
              <w:rPr>
                <w:sz w:val="24"/>
              </w:rPr>
              <w:t>298.5</w:t>
            </w:r>
          </w:p>
        </w:tc>
        <w:tc>
          <w:tcPr>
            <w:tcW w:w="2318" w:type="dxa"/>
            <w:shd w:val="clear" w:color="auto" w:fill="F1F1F1"/>
          </w:tcPr>
          <w:p>
            <w:pPr>
              <w:pStyle w:val="TableParagraph"/>
              <w:ind w:left="892" w:right="785"/>
              <w:rPr>
                <w:sz w:val="24"/>
              </w:rPr>
            </w:pPr>
            <w:r>
              <w:rPr>
                <w:sz w:val="24"/>
              </w:rPr>
              <w:t>298.2</w:t>
            </w:r>
          </w:p>
        </w:tc>
        <w:tc>
          <w:tcPr>
            <w:tcW w:w="1473" w:type="dxa"/>
            <w:shd w:val="clear" w:color="auto" w:fill="F1F1F1"/>
          </w:tcPr>
          <w:p>
            <w:pPr>
              <w:pStyle w:val="TableParagraph"/>
              <w:ind w:right="225"/>
              <w:jc w:val="right"/>
              <w:rPr>
                <w:sz w:val="24"/>
              </w:rPr>
            </w:pPr>
            <w:r>
              <w:rPr>
                <w:sz w:val="24"/>
              </w:rPr>
              <w:t>-0.3</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161</w:t>
            </w:r>
          </w:p>
        </w:tc>
        <w:tc>
          <w:tcPr>
            <w:tcW w:w="2489" w:type="dxa"/>
            <w:tcBorders>
              <w:left w:val="single" w:sz="4" w:space="0" w:color="7E7E7E"/>
            </w:tcBorders>
          </w:tcPr>
          <w:p>
            <w:pPr>
              <w:pStyle w:val="TableParagraph"/>
              <w:ind w:left="949" w:right="893"/>
              <w:rPr>
                <w:sz w:val="24"/>
              </w:rPr>
            </w:pPr>
            <w:r>
              <w:rPr>
                <w:sz w:val="24"/>
              </w:rPr>
              <w:t>285</w:t>
            </w:r>
          </w:p>
        </w:tc>
        <w:tc>
          <w:tcPr>
            <w:tcW w:w="2318" w:type="dxa"/>
          </w:tcPr>
          <w:p>
            <w:pPr>
              <w:pStyle w:val="TableParagraph"/>
              <w:ind w:left="892" w:right="781"/>
              <w:rPr>
                <w:sz w:val="24"/>
              </w:rPr>
            </w:pPr>
            <w:r>
              <w:rPr>
                <w:sz w:val="24"/>
              </w:rPr>
              <w:t>289</w:t>
            </w:r>
          </w:p>
        </w:tc>
        <w:tc>
          <w:tcPr>
            <w:tcW w:w="1473" w:type="dxa"/>
          </w:tcPr>
          <w:p>
            <w:pPr>
              <w:pStyle w:val="TableParagraph"/>
              <w:ind w:left="970"/>
              <w:jc w:val="left"/>
              <w:rPr>
                <w:sz w:val="24"/>
              </w:rPr>
            </w:pPr>
            <w:r>
              <w:rPr>
                <w:w w:val="99"/>
                <w:sz w:val="24"/>
              </w:rPr>
              <w:t>4</w:t>
            </w:r>
          </w:p>
        </w:tc>
      </w:tr>
      <w:tr>
        <w:trPr>
          <w:trHeight w:val="295"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162</w:t>
            </w:r>
          </w:p>
        </w:tc>
        <w:tc>
          <w:tcPr>
            <w:tcW w:w="2489" w:type="dxa"/>
            <w:tcBorders>
              <w:left w:val="single" w:sz="4" w:space="0" w:color="7E7E7E"/>
            </w:tcBorders>
            <w:shd w:val="clear" w:color="auto" w:fill="F1F1F1"/>
          </w:tcPr>
          <w:p>
            <w:pPr>
              <w:pStyle w:val="TableParagraph"/>
              <w:ind w:left="949" w:right="893"/>
              <w:rPr>
                <w:sz w:val="24"/>
              </w:rPr>
            </w:pPr>
            <w:r>
              <w:rPr>
                <w:sz w:val="24"/>
              </w:rPr>
              <w:t>277</w:t>
            </w:r>
          </w:p>
        </w:tc>
        <w:tc>
          <w:tcPr>
            <w:tcW w:w="2318" w:type="dxa"/>
            <w:shd w:val="clear" w:color="auto" w:fill="F1F1F1"/>
          </w:tcPr>
          <w:p>
            <w:pPr>
              <w:pStyle w:val="TableParagraph"/>
              <w:ind w:left="892" w:right="785"/>
              <w:rPr>
                <w:sz w:val="24"/>
              </w:rPr>
            </w:pPr>
            <w:r>
              <w:rPr>
                <w:sz w:val="24"/>
              </w:rPr>
              <w:t>281.9</w:t>
            </w:r>
          </w:p>
        </w:tc>
        <w:tc>
          <w:tcPr>
            <w:tcW w:w="1473" w:type="dxa"/>
            <w:shd w:val="clear" w:color="auto" w:fill="F1F1F1"/>
          </w:tcPr>
          <w:p>
            <w:pPr>
              <w:pStyle w:val="TableParagraph"/>
              <w:ind w:right="264"/>
              <w:jc w:val="right"/>
              <w:rPr>
                <w:sz w:val="24"/>
              </w:rPr>
            </w:pPr>
            <w:r>
              <w:rPr>
                <w:sz w:val="24"/>
              </w:rPr>
              <w:t>4.9</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163</w:t>
            </w:r>
          </w:p>
        </w:tc>
        <w:tc>
          <w:tcPr>
            <w:tcW w:w="2489" w:type="dxa"/>
            <w:tcBorders>
              <w:left w:val="single" w:sz="4" w:space="0" w:color="7E7E7E"/>
            </w:tcBorders>
          </w:tcPr>
          <w:p>
            <w:pPr>
              <w:pStyle w:val="TableParagraph"/>
              <w:ind w:left="949" w:right="892"/>
              <w:rPr>
                <w:sz w:val="24"/>
              </w:rPr>
            </w:pPr>
            <w:r>
              <w:rPr>
                <w:sz w:val="24"/>
              </w:rPr>
              <w:t>285.5</w:t>
            </w:r>
          </w:p>
        </w:tc>
        <w:tc>
          <w:tcPr>
            <w:tcW w:w="2318" w:type="dxa"/>
          </w:tcPr>
          <w:p>
            <w:pPr>
              <w:pStyle w:val="TableParagraph"/>
              <w:ind w:left="892" w:right="785"/>
              <w:rPr>
                <w:sz w:val="24"/>
              </w:rPr>
            </w:pPr>
            <w:r>
              <w:rPr>
                <w:sz w:val="24"/>
              </w:rPr>
              <w:t>288.5</w:t>
            </w:r>
          </w:p>
        </w:tc>
        <w:tc>
          <w:tcPr>
            <w:tcW w:w="1473" w:type="dxa"/>
          </w:tcPr>
          <w:p>
            <w:pPr>
              <w:pStyle w:val="TableParagraph"/>
              <w:ind w:left="970"/>
              <w:jc w:val="left"/>
              <w:rPr>
                <w:sz w:val="24"/>
              </w:rPr>
            </w:pPr>
            <w:r>
              <w:rPr>
                <w:w w:val="99"/>
                <w:sz w:val="24"/>
              </w:rPr>
              <w:t>3</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164</w:t>
            </w:r>
          </w:p>
        </w:tc>
        <w:tc>
          <w:tcPr>
            <w:tcW w:w="2489" w:type="dxa"/>
            <w:tcBorders>
              <w:left w:val="single" w:sz="4" w:space="0" w:color="7E7E7E"/>
            </w:tcBorders>
            <w:shd w:val="clear" w:color="auto" w:fill="F1F1F1"/>
          </w:tcPr>
          <w:p>
            <w:pPr>
              <w:pStyle w:val="TableParagraph"/>
              <w:ind w:left="949" w:right="893"/>
              <w:rPr>
                <w:sz w:val="24"/>
              </w:rPr>
            </w:pPr>
            <w:r>
              <w:rPr>
                <w:sz w:val="24"/>
              </w:rPr>
              <w:t>284</w:t>
            </w:r>
          </w:p>
        </w:tc>
        <w:tc>
          <w:tcPr>
            <w:tcW w:w="2318" w:type="dxa"/>
            <w:shd w:val="clear" w:color="auto" w:fill="F1F1F1"/>
          </w:tcPr>
          <w:p>
            <w:pPr>
              <w:pStyle w:val="TableParagraph"/>
              <w:ind w:left="892" w:right="785"/>
              <w:rPr>
                <w:sz w:val="24"/>
              </w:rPr>
            </w:pPr>
            <w:r>
              <w:rPr>
                <w:sz w:val="24"/>
              </w:rPr>
              <w:t>286.6</w:t>
            </w:r>
          </w:p>
        </w:tc>
        <w:tc>
          <w:tcPr>
            <w:tcW w:w="1473" w:type="dxa"/>
            <w:shd w:val="clear" w:color="auto" w:fill="F1F1F1"/>
          </w:tcPr>
          <w:p>
            <w:pPr>
              <w:pStyle w:val="TableParagraph"/>
              <w:ind w:right="264"/>
              <w:jc w:val="right"/>
              <w:rPr>
                <w:sz w:val="24"/>
              </w:rPr>
            </w:pPr>
            <w:r>
              <w:rPr>
                <w:sz w:val="24"/>
              </w:rPr>
              <w:t>2.6</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165</w:t>
            </w:r>
          </w:p>
        </w:tc>
        <w:tc>
          <w:tcPr>
            <w:tcW w:w="2489" w:type="dxa"/>
            <w:tcBorders>
              <w:left w:val="single" w:sz="4" w:space="0" w:color="7E7E7E"/>
            </w:tcBorders>
          </w:tcPr>
          <w:p>
            <w:pPr>
              <w:pStyle w:val="TableParagraph"/>
              <w:ind w:left="949" w:right="893"/>
              <w:rPr>
                <w:sz w:val="24"/>
              </w:rPr>
            </w:pPr>
            <w:r>
              <w:rPr>
                <w:sz w:val="24"/>
              </w:rPr>
              <w:t>286</w:t>
            </w:r>
          </w:p>
        </w:tc>
        <w:tc>
          <w:tcPr>
            <w:tcW w:w="2318" w:type="dxa"/>
          </w:tcPr>
          <w:p>
            <w:pPr>
              <w:pStyle w:val="TableParagraph"/>
              <w:ind w:left="892" w:right="785"/>
              <w:rPr>
                <w:sz w:val="24"/>
              </w:rPr>
            </w:pPr>
            <w:r>
              <w:rPr>
                <w:sz w:val="24"/>
              </w:rPr>
              <w:t>285.7</w:t>
            </w:r>
          </w:p>
        </w:tc>
        <w:tc>
          <w:tcPr>
            <w:tcW w:w="1473" w:type="dxa"/>
          </w:tcPr>
          <w:p>
            <w:pPr>
              <w:pStyle w:val="TableParagraph"/>
              <w:ind w:right="225"/>
              <w:jc w:val="right"/>
              <w:rPr>
                <w:sz w:val="24"/>
              </w:rPr>
            </w:pPr>
            <w:r>
              <w:rPr>
                <w:sz w:val="24"/>
              </w:rPr>
              <w:t>-0.3</w:t>
            </w:r>
          </w:p>
        </w:tc>
      </w:tr>
      <w:tr>
        <w:trPr>
          <w:trHeight w:val="295"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166</w:t>
            </w:r>
          </w:p>
        </w:tc>
        <w:tc>
          <w:tcPr>
            <w:tcW w:w="2489" w:type="dxa"/>
            <w:tcBorders>
              <w:left w:val="single" w:sz="4" w:space="0" w:color="7E7E7E"/>
            </w:tcBorders>
            <w:shd w:val="clear" w:color="auto" w:fill="F1F1F1"/>
          </w:tcPr>
          <w:p>
            <w:pPr>
              <w:pStyle w:val="TableParagraph"/>
              <w:ind w:left="949" w:right="893"/>
              <w:rPr>
                <w:sz w:val="24"/>
              </w:rPr>
            </w:pPr>
            <w:r>
              <w:rPr>
                <w:sz w:val="24"/>
              </w:rPr>
              <w:t>285.5</w:t>
            </w:r>
          </w:p>
        </w:tc>
        <w:tc>
          <w:tcPr>
            <w:tcW w:w="2318" w:type="dxa"/>
            <w:shd w:val="clear" w:color="auto" w:fill="F1F1F1"/>
          </w:tcPr>
          <w:p>
            <w:pPr>
              <w:pStyle w:val="TableParagraph"/>
              <w:ind w:left="892" w:right="785"/>
              <w:rPr>
                <w:sz w:val="24"/>
              </w:rPr>
            </w:pPr>
            <w:r>
              <w:rPr>
                <w:sz w:val="24"/>
              </w:rPr>
              <w:t>290.2</w:t>
            </w:r>
          </w:p>
        </w:tc>
        <w:tc>
          <w:tcPr>
            <w:tcW w:w="1473" w:type="dxa"/>
            <w:shd w:val="clear" w:color="auto" w:fill="F1F1F1"/>
          </w:tcPr>
          <w:p>
            <w:pPr>
              <w:pStyle w:val="TableParagraph"/>
              <w:ind w:right="264"/>
              <w:jc w:val="right"/>
              <w:rPr>
                <w:sz w:val="24"/>
              </w:rPr>
            </w:pPr>
            <w:r>
              <w:rPr>
                <w:sz w:val="24"/>
              </w:rPr>
              <w:t>4.7</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167</w:t>
            </w:r>
          </w:p>
        </w:tc>
        <w:tc>
          <w:tcPr>
            <w:tcW w:w="2489" w:type="dxa"/>
            <w:tcBorders>
              <w:left w:val="single" w:sz="4" w:space="0" w:color="7E7E7E"/>
            </w:tcBorders>
          </w:tcPr>
          <w:p>
            <w:pPr>
              <w:pStyle w:val="TableParagraph"/>
              <w:ind w:left="949" w:right="893"/>
              <w:rPr>
                <w:sz w:val="24"/>
              </w:rPr>
            </w:pPr>
            <w:r>
              <w:rPr>
                <w:sz w:val="24"/>
              </w:rPr>
              <w:t>283</w:t>
            </w:r>
          </w:p>
        </w:tc>
        <w:tc>
          <w:tcPr>
            <w:tcW w:w="2318" w:type="dxa"/>
          </w:tcPr>
          <w:p>
            <w:pPr>
              <w:pStyle w:val="TableParagraph"/>
              <w:ind w:left="892" w:right="785"/>
              <w:rPr>
                <w:sz w:val="24"/>
              </w:rPr>
            </w:pPr>
            <w:r>
              <w:rPr>
                <w:sz w:val="24"/>
              </w:rPr>
              <w:t>284.6</w:t>
            </w:r>
          </w:p>
        </w:tc>
        <w:tc>
          <w:tcPr>
            <w:tcW w:w="1473" w:type="dxa"/>
          </w:tcPr>
          <w:p>
            <w:pPr>
              <w:pStyle w:val="TableParagraph"/>
              <w:ind w:right="264"/>
              <w:jc w:val="right"/>
              <w:rPr>
                <w:sz w:val="24"/>
              </w:rPr>
            </w:pPr>
            <w:r>
              <w:rPr>
                <w:sz w:val="24"/>
              </w:rPr>
              <w:t>1.6</w:t>
            </w:r>
          </w:p>
        </w:tc>
      </w:tr>
      <w:tr>
        <w:trPr>
          <w:trHeight w:val="298" w:hRule="exact"/>
        </w:trPr>
        <w:tc>
          <w:tcPr>
            <w:tcW w:w="1213" w:type="dxa"/>
            <w:tcBorders>
              <w:right w:val="single" w:sz="4" w:space="0" w:color="7E7E7E"/>
            </w:tcBorders>
            <w:shd w:val="clear" w:color="auto" w:fill="F1F1F1"/>
          </w:tcPr>
          <w:p>
            <w:pPr>
              <w:pStyle w:val="TableParagraph"/>
              <w:spacing w:line="270" w:lineRule="exact"/>
              <w:ind w:left="200"/>
              <w:jc w:val="left"/>
              <w:rPr>
                <w:b/>
                <w:sz w:val="24"/>
              </w:rPr>
            </w:pPr>
            <w:r>
              <w:rPr>
                <w:b/>
                <w:sz w:val="24"/>
              </w:rPr>
              <w:t>168</w:t>
            </w:r>
          </w:p>
        </w:tc>
        <w:tc>
          <w:tcPr>
            <w:tcW w:w="2489" w:type="dxa"/>
            <w:tcBorders>
              <w:left w:val="single" w:sz="4" w:space="0" w:color="7E7E7E"/>
            </w:tcBorders>
            <w:shd w:val="clear" w:color="auto" w:fill="F1F1F1"/>
          </w:tcPr>
          <w:p>
            <w:pPr>
              <w:pStyle w:val="TableParagraph"/>
              <w:spacing w:line="270" w:lineRule="exact"/>
              <w:ind w:left="949" w:right="893"/>
              <w:rPr>
                <w:sz w:val="24"/>
              </w:rPr>
            </w:pPr>
            <w:r>
              <w:rPr>
                <w:sz w:val="24"/>
              </w:rPr>
              <w:t>287.5</w:t>
            </w:r>
          </w:p>
        </w:tc>
        <w:tc>
          <w:tcPr>
            <w:tcW w:w="2318" w:type="dxa"/>
            <w:shd w:val="clear" w:color="auto" w:fill="F1F1F1"/>
          </w:tcPr>
          <w:p>
            <w:pPr>
              <w:pStyle w:val="TableParagraph"/>
              <w:spacing w:line="270" w:lineRule="exact"/>
              <w:ind w:left="892" w:right="781"/>
              <w:rPr>
                <w:sz w:val="24"/>
              </w:rPr>
            </w:pPr>
            <w:r>
              <w:rPr>
                <w:sz w:val="24"/>
              </w:rPr>
              <w:t>287</w:t>
            </w:r>
          </w:p>
        </w:tc>
        <w:tc>
          <w:tcPr>
            <w:tcW w:w="1473" w:type="dxa"/>
            <w:shd w:val="clear" w:color="auto" w:fill="F1F1F1"/>
          </w:tcPr>
          <w:p>
            <w:pPr>
              <w:pStyle w:val="TableParagraph"/>
              <w:spacing w:line="270" w:lineRule="exact"/>
              <w:ind w:right="225"/>
              <w:jc w:val="right"/>
              <w:rPr>
                <w:sz w:val="24"/>
              </w:rPr>
            </w:pPr>
            <w:r>
              <w:rPr>
                <w:sz w:val="24"/>
              </w:rPr>
              <w:t>-0.5</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169</w:t>
            </w:r>
          </w:p>
        </w:tc>
        <w:tc>
          <w:tcPr>
            <w:tcW w:w="2489" w:type="dxa"/>
            <w:tcBorders>
              <w:left w:val="single" w:sz="4" w:space="0" w:color="7E7E7E"/>
            </w:tcBorders>
          </w:tcPr>
          <w:p>
            <w:pPr>
              <w:pStyle w:val="TableParagraph"/>
              <w:ind w:left="949" w:right="893"/>
              <w:rPr>
                <w:sz w:val="24"/>
              </w:rPr>
            </w:pPr>
            <w:r>
              <w:rPr>
                <w:sz w:val="24"/>
              </w:rPr>
              <w:t>279</w:t>
            </w:r>
          </w:p>
        </w:tc>
        <w:tc>
          <w:tcPr>
            <w:tcW w:w="2318" w:type="dxa"/>
          </w:tcPr>
          <w:p>
            <w:pPr>
              <w:pStyle w:val="TableParagraph"/>
              <w:ind w:left="892" w:right="785"/>
              <w:rPr>
                <w:sz w:val="24"/>
              </w:rPr>
            </w:pPr>
            <w:r>
              <w:rPr>
                <w:sz w:val="24"/>
              </w:rPr>
              <w:t>283.6</w:t>
            </w:r>
          </w:p>
        </w:tc>
        <w:tc>
          <w:tcPr>
            <w:tcW w:w="1473" w:type="dxa"/>
          </w:tcPr>
          <w:p>
            <w:pPr>
              <w:pStyle w:val="TableParagraph"/>
              <w:ind w:right="264"/>
              <w:jc w:val="right"/>
              <w:rPr>
                <w:sz w:val="24"/>
              </w:rPr>
            </w:pPr>
            <w:r>
              <w:rPr>
                <w:sz w:val="24"/>
              </w:rPr>
              <w:t>4.6</w:t>
            </w:r>
          </w:p>
        </w:tc>
      </w:tr>
      <w:tr>
        <w:trPr>
          <w:trHeight w:val="295"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170</w:t>
            </w:r>
          </w:p>
        </w:tc>
        <w:tc>
          <w:tcPr>
            <w:tcW w:w="2489" w:type="dxa"/>
            <w:tcBorders>
              <w:left w:val="single" w:sz="4" w:space="0" w:color="7E7E7E"/>
            </w:tcBorders>
            <w:shd w:val="clear" w:color="auto" w:fill="F1F1F1"/>
          </w:tcPr>
          <w:p>
            <w:pPr>
              <w:pStyle w:val="TableParagraph"/>
              <w:ind w:left="949" w:right="893"/>
              <w:rPr>
                <w:sz w:val="24"/>
              </w:rPr>
            </w:pPr>
            <w:r>
              <w:rPr>
                <w:sz w:val="24"/>
              </w:rPr>
              <w:t>283.5</w:t>
            </w:r>
          </w:p>
        </w:tc>
        <w:tc>
          <w:tcPr>
            <w:tcW w:w="2318" w:type="dxa"/>
            <w:shd w:val="clear" w:color="auto" w:fill="F1F1F1"/>
          </w:tcPr>
          <w:p>
            <w:pPr>
              <w:pStyle w:val="TableParagraph"/>
              <w:ind w:left="892" w:right="785"/>
              <w:rPr>
                <w:sz w:val="24"/>
              </w:rPr>
            </w:pPr>
            <w:r>
              <w:rPr>
                <w:sz w:val="24"/>
              </w:rPr>
              <w:t>288.7</w:t>
            </w:r>
          </w:p>
        </w:tc>
        <w:tc>
          <w:tcPr>
            <w:tcW w:w="1473" w:type="dxa"/>
            <w:shd w:val="clear" w:color="auto" w:fill="F1F1F1"/>
          </w:tcPr>
          <w:p>
            <w:pPr>
              <w:pStyle w:val="TableParagraph"/>
              <w:ind w:right="264"/>
              <w:jc w:val="right"/>
              <w:rPr>
                <w:sz w:val="24"/>
              </w:rPr>
            </w:pPr>
            <w:r>
              <w:rPr>
                <w:sz w:val="24"/>
              </w:rPr>
              <w:t>5.2</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171</w:t>
            </w:r>
          </w:p>
        </w:tc>
        <w:tc>
          <w:tcPr>
            <w:tcW w:w="2489" w:type="dxa"/>
            <w:tcBorders>
              <w:left w:val="single" w:sz="4" w:space="0" w:color="7E7E7E"/>
            </w:tcBorders>
          </w:tcPr>
          <w:p>
            <w:pPr>
              <w:pStyle w:val="TableParagraph"/>
              <w:ind w:left="949" w:right="893"/>
              <w:rPr>
                <w:sz w:val="24"/>
              </w:rPr>
            </w:pPr>
            <w:r>
              <w:rPr>
                <w:sz w:val="24"/>
              </w:rPr>
              <w:t>286</w:t>
            </w:r>
          </w:p>
        </w:tc>
        <w:tc>
          <w:tcPr>
            <w:tcW w:w="2318" w:type="dxa"/>
          </w:tcPr>
          <w:p>
            <w:pPr>
              <w:pStyle w:val="TableParagraph"/>
              <w:ind w:left="892" w:right="785"/>
              <w:rPr>
                <w:sz w:val="24"/>
              </w:rPr>
            </w:pPr>
            <w:r>
              <w:rPr>
                <w:sz w:val="24"/>
              </w:rPr>
              <w:t>288.8</w:t>
            </w:r>
          </w:p>
        </w:tc>
        <w:tc>
          <w:tcPr>
            <w:tcW w:w="1473" w:type="dxa"/>
          </w:tcPr>
          <w:p>
            <w:pPr>
              <w:pStyle w:val="TableParagraph"/>
              <w:ind w:right="264"/>
              <w:jc w:val="right"/>
              <w:rPr>
                <w:sz w:val="24"/>
              </w:rPr>
            </w:pPr>
            <w:r>
              <w:rPr>
                <w:sz w:val="24"/>
              </w:rPr>
              <w:t>2.8</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172</w:t>
            </w:r>
          </w:p>
        </w:tc>
        <w:tc>
          <w:tcPr>
            <w:tcW w:w="2489" w:type="dxa"/>
            <w:tcBorders>
              <w:left w:val="single" w:sz="4" w:space="0" w:color="7E7E7E"/>
            </w:tcBorders>
            <w:shd w:val="clear" w:color="auto" w:fill="F1F1F1"/>
          </w:tcPr>
          <w:p>
            <w:pPr>
              <w:pStyle w:val="TableParagraph"/>
              <w:ind w:left="949" w:right="893"/>
              <w:rPr>
                <w:sz w:val="24"/>
              </w:rPr>
            </w:pPr>
            <w:r>
              <w:rPr>
                <w:sz w:val="24"/>
              </w:rPr>
              <w:t>282</w:t>
            </w:r>
          </w:p>
        </w:tc>
        <w:tc>
          <w:tcPr>
            <w:tcW w:w="2318" w:type="dxa"/>
            <w:shd w:val="clear" w:color="auto" w:fill="F1F1F1"/>
          </w:tcPr>
          <w:p>
            <w:pPr>
              <w:pStyle w:val="TableParagraph"/>
              <w:ind w:left="892" w:right="785"/>
              <w:rPr>
                <w:sz w:val="24"/>
              </w:rPr>
            </w:pPr>
            <w:r>
              <w:rPr>
                <w:sz w:val="24"/>
              </w:rPr>
              <w:t>287.7</w:t>
            </w:r>
          </w:p>
        </w:tc>
        <w:tc>
          <w:tcPr>
            <w:tcW w:w="1473" w:type="dxa"/>
            <w:shd w:val="clear" w:color="auto" w:fill="F1F1F1"/>
          </w:tcPr>
          <w:p>
            <w:pPr>
              <w:pStyle w:val="TableParagraph"/>
              <w:ind w:right="264"/>
              <w:jc w:val="right"/>
              <w:rPr>
                <w:sz w:val="24"/>
              </w:rPr>
            </w:pPr>
            <w:r>
              <w:rPr>
                <w:sz w:val="24"/>
              </w:rPr>
              <w:t>5.7</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173</w:t>
            </w:r>
          </w:p>
        </w:tc>
        <w:tc>
          <w:tcPr>
            <w:tcW w:w="2489" w:type="dxa"/>
            <w:tcBorders>
              <w:left w:val="single" w:sz="4" w:space="0" w:color="7E7E7E"/>
            </w:tcBorders>
          </w:tcPr>
          <w:p>
            <w:pPr>
              <w:pStyle w:val="TableParagraph"/>
              <w:ind w:left="949" w:right="893"/>
              <w:rPr>
                <w:sz w:val="24"/>
              </w:rPr>
            </w:pPr>
            <w:r>
              <w:rPr>
                <w:sz w:val="24"/>
              </w:rPr>
              <w:t>282.5</w:t>
            </w:r>
          </w:p>
        </w:tc>
        <w:tc>
          <w:tcPr>
            <w:tcW w:w="2318" w:type="dxa"/>
          </w:tcPr>
          <w:p>
            <w:pPr>
              <w:pStyle w:val="TableParagraph"/>
              <w:ind w:left="892" w:right="785"/>
              <w:rPr>
                <w:sz w:val="24"/>
              </w:rPr>
            </w:pPr>
            <w:r>
              <w:rPr>
                <w:sz w:val="24"/>
              </w:rPr>
              <w:t>294.8</w:t>
            </w:r>
          </w:p>
        </w:tc>
        <w:tc>
          <w:tcPr>
            <w:tcW w:w="1473" w:type="dxa"/>
          </w:tcPr>
          <w:p>
            <w:pPr>
              <w:pStyle w:val="TableParagraph"/>
              <w:ind w:right="198"/>
              <w:jc w:val="right"/>
              <w:rPr>
                <w:sz w:val="24"/>
              </w:rPr>
            </w:pPr>
            <w:r>
              <w:rPr>
                <w:w w:val="95"/>
                <w:sz w:val="24"/>
              </w:rPr>
              <w:t>12.3</w:t>
            </w:r>
          </w:p>
        </w:tc>
      </w:tr>
      <w:tr>
        <w:trPr>
          <w:trHeight w:val="295"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174</w:t>
            </w:r>
          </w:p>
        </w:tc>
        <w:tc>
          <w:tcPr>
            <w:tcW w:w="2489" w:type="dxa"/>
            <w:tcBorders>
              <w:left w:val="single" w:sz="4" w:space="0" w:color="7E7E7E"/>
            </w:tcBorders>
            <w:shd w:val="clear" w:color="auto" w:fill="F1F1F1"/>
          </w:tcPr>
          <w:p>
            <w:pPr>
              <w:pStyle w:val="TableParagraph"/>
              <w:ind w:left="949" w:right="893"/>
              <w:rPr>
                <w:sz w:val="24"/>
              </w:rPr>
            </w:pPr>
            <w:r>
              <w:rPr>
                <w:sz w:val="24"/>
              </w:rPr>
              <w:t>284.5</w:t>
            </w:r>
          </w:p>
        </w:tc>
        <w:tc>
          <w:tcPr>
            <w:tcW w:w="2318" w:type="dxa"/>
            <w:shd w:val="clear" w:color="auto" w:fill="F1F1F1"/>
          </w:tcPr>
          <w:p>
            <w:pPr>
              <w:pStyle w:val="TableParagraph"/>
              <w:ind w:left="892" w:right="785"/>
              <w:rPr>
                <w:sz w:val="24"/>
              </w:rPr>
            </w:pPr>
            <w:r>
              <w:rPr>
                <w:sz w:val="24"/>
              </w:rPr>
              <w:t>290.4</w:t>
            </w:r>
          </w:p>
        </w:tc>
        <w:tc>
          <w:tcPr>
            <w:tcW w:w="1473" w:type="dxa"/>
            <w:shd w:val="clear" w:color="auto" w:fill="F1F1F1"/>
          </w:tcPr>
          <w:p>
            <w:pPr>
              <w:pStyle w:val="TableParagraph"/>
              <w:ind w:right="264"/>
              <w:jc w:val="right"/>
              <w:rPr>
                <w:sz w:val="24"/>
              </w:rPr>
            </w:pPr>
            <w:r>
              <w:rPr>
                <w:sz w:val="24"/>
              </w:rPr>
              <w:t>5.9</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175</w:t>
            </w:r>
          </w:p>
        </w:tc>
        <w:tc>
          <w:tcPr>
            <w:tcW w:w="2489" w:type="dxa"/>
            <w:tcBorders>
              <w:left w:val="single" w:sz="4" w:space="0" w:color="7E7E7E"/>
            </w:tcBorders>
          </w:tcPr>
          <w:p>
            <w:pPr>
              <w:pStyle w:val="TableParagraph"/>
              <w:ind w:left="949" w:right="893"/>
              <w:rPr>
                <w:sz w:val="24"/>
              </w:rPr>
            </w:pPr>
            <w:r>
              <w:rPr>
                <w:sz w:val="24"/>
              </w:rPr>
              <w:t>281.5</w:t>
            </w:r>
          </w:p>
        </w:tc>
        <w:tc>
          <w:tcPr>
            <w:tcW w:w="2318" w:type="dxa"/>
          </w:tcPr>
          <w:p>
            <w:pPr>
              <w:pStyle w:val="TableParagraph"/>
              <w:ind w:left="892" w:right="785"/>
              <w:rPr>
                <w:sz w:val="24"/>
              </w:rPr>
            </w:pPr>
            <w:r>
              <w:rPr>
                <w:sz w:val="24"/>
              </w:rPr>
              <w:t>285.8</w:t>
            </w:r>
          </w:p>
        </w:tc>
        <w:tc>
          <w:tcPr>
            <w:tcW w:w="1473" w:type="dxa"/>
          </w:tcPr>
          <w:p>
            <w:pPr>
              <w:pStyle w:val="TableParagraph"/>
              <w:ind w:right="264"/>
              <w:jc w:val="right"/>
              <w:rPr>
                <w:sz w:val="24"/>
              </w:rPr>
            </w:pPr>
            <w:r>
              <w:rPr>
                <w:sz w:val="24"/>
              </w:rPr>
              <w:t>4.3</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176</w:t>
            </w:r>
          </w:p>
        </w:tc>
        <w:tc>
          <w:tcPr>
            <w:tcW w:w="2489" w:type="dxa"/>
            <w:tcBorders>
              <w:left w:val="single" w:sz="4" w:space="0" w:color="7E7E7E"/>
            </w:tcBorders>
            <w:shd w:val="clear" w:color="auto" w:fill="F1F1F1"/>
          </w:tcPr>
          <w:p>
            <w:pPr>
              <w:pStyle w:val="TableParagraph"/>
              <w:ind w:left="949" w:right="893"/>
              <w:rPr>
                <w:sz w:val="24"/>
              </w:rPr>
            </w:pPr>
            <w:r>
              <w:rPr>
                <w:sz w:val="24"/>
              </w:rPr>
              <w:t>280.5</w:t>
            </w:r>
          </w:p>
        </w:tc>
        <w:tc>
          <w:tcPr>
            <w:tcW w:w="2318" w:type="dxa"/>
            <w:shd w:val="clear" w:color="auto" w:fill="F1F1F1"/>
          </w:tcPr>
          <w:p>
            <w:pPr>
              <w:pStyle w:val="TableParagraph"/>
              <w:ind w:left="892" w:right="785"/>
              <w:rPr>
                <w:sz w:val="24"/>
              </w:rPr>
            </w:pPr>
            <w:r>
              <w:rPr>
                <w:sz w:val="24"/>
              </w:rPr>
              <w:t>285.4</w:t>
            </w:r>
          </w:p>
        </w:tc>
        <w:tc>
          <w:tcPr>
            <w:tcW w:w="1473" w:type="dxa"/>
            <w:shd w:val="clear" w:color="auto" w:fill="F1F1F1"/>
          </w:tcPr>
          <w:p>
            <w:pPr>
              <w:pStyle w:val="TableParagraph"/>
              <w:ind w:right="264"/>
              <w:jc w:val="right"/>
              <w:rPr>
                <w:sz w:val="24"/>
              </w:rPr>
            </w:pPr>
            <w:r>
              <w:rPr>
                <w:sz w:val="24"/>
              </w:rPr>
              <w:t>4.9</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177</w:t>
            </w:r>
          </w:p>
        </w:tc>
        <w:tc>
          <w:tcPr>
            <w:tcW w:w="2489" w:type="dxa"/>
            <w:tcBorders>
              <w:left w:val="single" w:sz="4" w:space="0" w:color="7E7E7E"/>
            </w:tcBorders>
          </w:tcPr>
          <w:p>
            <w:pPr>
              <w:pStyle w:val="TableParagraph"/>
              <w:ind w:left="949" w:right="893"/>
              <w:rPr>
                <w:sz w:val="24"/>
              </w:rPr>
            </w:pPr>
            <w:r>
              <w:rPr>
                <w:sz w:val="24"/>
              </w:rPr>
              <w:t>291</w:t>
            </w:r>
          </w:p>
        </w:tc>
        <w:tc>
          <w:tcPr>
            <w:tcW w:w="2318" w:type="dxa"/>
          </w:tcPr>
          <w:p>
            <w:pPr>
              <w:pStyle w:val="TableParagraph"/>
              <w:ind w:left="892" w:right="785"/>
              <w:rPr>
                <w:sz w:val="24"/>
              </w:rPr>
            </w:pPr>
            <w:r>
              <w:rPr>
                <w:sz w:val="24"/>
              </w:rPr>
              <w:t>294.4</w:t>
            </w:r>
          </w:p>
        </w:tc>
        <w:tc>
          <w:tcPr>
            <w:tcW w:w="1473" w:type="dxa"/>
          </w:tcPr>
          <w:p>
            <w:pPr>
              <w:pStyle w:val="TableParagraph"/>
              <w:ind w:right="264"/>
              <w:jc w:val="right"/>
              <w:rPr>
                <w:sz w:val="24"/>
              </w:rPr>
            </w:pPr>
            <w:r>
              <w:rPr>
                <w:sz w:val="24"/>
              </w:rPr>
              <w:t>3.4</w:t>
            </w:r>
          </w:p>
        </w:tc>
      </w:tr>
      <w:tr>
        <w:trPr>
          <w:trHeight w:val="295"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178</w:t>
            </w:r>
          </w:p>
        </w:tc>
        <w:tc>
          <w:tcPr>
            <w:tcW w:w="2489" w:type="dxa"/>
            <w:tcBorders>
              <w:left w:val="single" w:sz="4" w:space="0" w:color="7E7E7E"/>
            </w:tcBorders>
            <w:shd w:val="clear" w:color="auto" w:fill="F1F1F1"/>
          </w:tcPr>
          <w:p>
            <w:pPr>
              <w:pStyle w:val="TableParagraph"/>
              <w:ind w:left="949" w:right="893"/>
              <w:rPr>
                <w:sz w:val="24"/>
              </w:rPr>
            </w:pPr>
            <w:r>
              <w:rPr>
                <w:sz w:val="24"/>
              </w:rPr>
              <w:t>289</w:t>
            </w:r>
          </w:p>
        </w:tc>
        <w:tc>
          <w:tcPr>
            <w:tcW w:w="2318" w:type="dxa"/>
            <w:shd w:val="clear" w:color="auto" w:fill="F1F1F1"/>
          </w:tcPr>
          <w:p>
            <w:pPr>
              <w:pStyle w:val="TableParagraph"/>
              <w:ind w:left="892" w:right="785"/>
              <w:rPr>
                <w:sz w:val="24"/>
              </w:rPr>
            </w:pPr>
            <w:r>
              <w:rPr>
                <w:sz w:val="24"/>
              </w:rPr>
              <w:t>291.7</w:t>
            </w:r>
          </w:p>
        </w:tc>
        <w:tc>
          <w:tcPr>
            <w:tcW w:w="1473" w:type="dxa"/>
            <w:shd w:val="clear" w:color="auto" w:fill="F1F1F1"/>
          </w:tcPr>
          <w:p>
            <w:pPr>
              <w:pStyle w:val="TableParagraph"/>
              <w:ind w:right="264"/>
              <w:jc w:val="right"/>
              <w:rPr>
                <w:sz w:val="24"/>
              </w:rPr>
            </w:pPr>
            <w:r>
              <w:rPr>
                <w:sz w:val="24"/>
              </w:rPr>
              <w:t>2.7</w:t>
            </w:r>
          </w:p>
        </w:tc>
      </w:tr>
      <w:tr>
        <w:trPr>
          <w:trHeight w:val="298" w:hRule="exact"/>
        </w:trPr>
        <w:tc>
          <w:tcPr>
            <w:tcW w:w="1213" w:type="dxa"/>
            <w:tcBorders>
              <w:right w:val="single" w:sz="4" w:space="0" w:color="7E7E7E"/>
            </w:tcBorders>
          </w:tcPr>
          <w:p>
            <w:pPr>
              <w:pStyle w:val="TableParagraph"/>
              <w:spacing w:line="270" w:lineRule="exact"/>
              <w:ind w:left="200"/>
              <w:jc w:val="left"/>
              <w:rPr>
                <w:b/>
                <w:sz w:val="24"/>
              </w:rPr>
            </w:pPr>
            <w:r>
              <w:rPr>
                <w:b/>
                <w:sz w:val="24"/>
              </w:rPr>
              <w:t>179</w:t>
            </w:r>
          </w:p>
        </w:tc>
        <w:tc>
          <w:tcPr>
            <w:tcW w:w="2489" w:type="dxa"/>
            <w:tcBorders>
              <w:left w:val="single" w:sz="4" w:space="0" w:color="7E7E7E"/>
            </w:tcBorders>
          </w:tcPr>
          <w:p>
            <w:pPr>
              <w:pStyle w:val="TableParagraph"/>
              <w:spacing w:line="270" w:lineRule="exact"/>
              <w:ind w:left="949" w:right="893"/>
              <w:rPr>
                <w:sz w:val="24"/>
              </w:rPr>
            </w:pPr>
            <w:r>
              <w:rPr>
                <w:sz w:val="24"/>
              </w:rPr>
              <w:t>283</w:t>
            </w:r>
          </w:p>
        </w:tc>
        <w:tc>
          <w:tcPr>
            <w:tcW w:w="2318" w:type="dxa"/>
          </w:tcPr>
          <w:p>
            <w:pPr>
              <w:pStyle w:val="TableParagraph"/>
              <w:spacing w:line="270" w:lineRule="exact"/>
              <w:ind w:left="892" w:right="785"/>
              <w:rPr>
                <w:sz w:val="24"/>
              </w:rPr>
            </w:pPr>
            <w:r>
              <w:rPr>
                <w:sz w:val="24"/>
              </w:rPr>
              <w:t>289.7</w:t>
            </w:r>
          </w:p>
        </w:tc>
        <w:tc>
          <w:tcPr>
            <w:tcW w:w="1473" w:type="dxa"/>
          </w:tcPr>
          <w:p>
            <w:pPr>
              <w:pStyle w:val="TableParagraph"/>
              <w:spacing w:line="270" w:lineRule="exact"/>
              <w:ind w:right="264"/>
              <w:jc w:val="right"/>
              <w:rPr>
                <w:sz w:val="24"/>
              </w:rPr>
            </w:pPr>
            <w:r>
              <w:rPr>
                <w:sz w:val="24"/>
              </w:rPr>
              <w:t>6.7</w:t>
            </w:r>
          </w:p>
        </w:tc>
      </w:tr>
      <w:tr>
        <w:trPr>
          <w:trHeight w:val="298" w:hRule="exact"/>
        </w:trPr>
        <w:tc>
          <w:tcPr>
            <w:tcW w:w="1213" w:type="dxa"/>
            <w:tcBorders>
              <w:right w:val="single" w:sz="4" w:space="0" w:color="7E7E7E"/>
            </w:tcBorders>
            <w:shd w:val="clear" w:color="auto" w:fill="F1F1F1"/>
          </w:tcPr>
          <w:p>
            <w:pPr>
              <w:pStyle w:val="TableParagraph"/>
              <w:ind w:left="200"/>
              <w:jc w:val="left"/>
              <w:rPr>
                <w:b/>
                <w:sz w:val="24"/>
              </w:rPr>
            </w:pPr>
            <w:r>
              <w:rPr>
                <w:b/>
                <w:sz w:val="24"/>
              </w:rPr>
              <w:t>180</w:t>
            </w:r>
          </w:p>
        </w:tc>
        <w:tc>
          <w:tcPr>
            <w:tcW w:w="2489" w:type="dxa"/>
            <w:tcBorders>
              <w:left w:val="single" w:sz="4" w:space="0" w:color="7E7E7E"/>
            </w:tcBorders>
            <w:shd w:val="clear" w:color="auto" w:fill="F1F1F1"/>
          </w:tcPr>
          <w:p>
            <w:pPr>
              <w:pStyle w:val="TableParagraph"/>
              <w:ind w:left="949" w:right="893"/>
              <w:rPr>
                <w:sz w:val="24"/>
              </w:rPr>
            </w:pPr>
            <w:r>
              <w:rPr>
                <w:sz w:val="24"/>
              </w:rPr>
              <w:t>288</w:t>
            </w:r>
          </w:p>
        </w:tc>
        <w:tc>
          <w:tcPr>
            <w:tcW w:w="2318" w:type="dxa"/>
            <w:shd w:val="clear" w:color="auto" w:fill="F1F1F1"/>
          </w:tcPr>
          <w:p>
            <w:pPr>
              <w:pStyle w:val="TableParagraph"/>
              <w:ind w:left="892" w:right="785"/>
              <w:rPr>
                <w:sz w:val="24"/>
              </w:rPr>
            </w:pPr>
            <w:r>
              <w:rPr>
                <w:sz w:val="24"/>
              </w:rPr>
              <w:t>293.3</w:t>
            </w:r>
          </w:p>
        </w:tc>
        <w:tc>
          <w:tcPr>
            <w:tcW w:w="1473" w:type="dxa"/>
            <w:shd w:val="clear" w:color="auto" w:fill="F1F1F1"/>
          </w:tcPr>
          <w:p>
            <w:pPr>
              <w:pStyle w:val="TableParagraph"/>
              <w:ind w:right="264"/>
              <w:jc w:val="right"/>
              <w:rPr>
                <w:sz w:val="24"/>
              </w:rPr>
            </w:pPr>
            <w:r>
              <w:rPr>
                <w:sz w:val="24"/>
              </w:rPr>
              <w:t>5.3</w:t>
            </w:r>
          </w:p>
        </w:tc>
      </w:tr>
      <w:tr>
        <w:trPr>
          <w:trHeight w:val="298" w:hRule="exact"/>
        </w:trPr>
        <w:tc>
          <w:tcPr>
            <w:tcW w:w="1213" w:type="dxa"/>
            <w:tcBorders>
              <w:right w:val="single" w:sz="4" w:space="0" w:color="7E7E7E"/>
            </w:tcBorders>
          </w:tcPr>
          <w:p>
            <w:pPr>
              <w:pStyle w:val="TableParagraph"/>
              <w:ind w:left="200"/>
              <w:jc w:val="left"/>
              <w:rPr>
                <w:b/>
                <w:sz w:val="24"/>
              </w:rPr>
            </w:pPr>
            <w:r>
              <w:rPr>
                <w:b/>
                <w:sz w:val="24"/>
              </w:rPr>
              <w:t>181</w:t>
            </w:r>
          </w:p>
        </w:tc>
        <w:tc>
          <w:tcPr>
            <w:tcW w:w="2489" w:type="dxa"/>
            <w:tcBorders>
              <w:left w:val="single" w:sz="4" w:space="0" w:color="7E7E7E"/>
            </w:tcBorders>
          </w:tcPr>
          <w:p>
            <w:pPr>
              <w:pStyle w:val="TableParagraph"/>
              <w:ind w:left="949" w:right="893"/>
              <w:rPr>
                <w:sz w:val="24"/>
              </w:rPr>
            </w:pPr>
            <w:r>
              <w:rPr>
                <w:sz w:val="24"/>
              </w:rPr>
              <w:t>268.5</w:t>
            </w:r>
          </w:p>
        </w:tc>
        <w:tc>
          <w:tcPr>
            <w:tcW w:w="2318" w:type="dxa"/>
          </w:tcPr>
          <w:p>
            <w:pPr>
              <w:pStyle w:val="TableParagraph"/>
              <w:ind w:left="892" w:right="781"/>
              <w:rPr>
                <w:sz w:val="24"/>
              </w:rPr>
            </w:pPr>
            <w:r>
              <w:rPr>
                <w:sz w:val="24"/>
              </w:rPr>
              <w:t>274</w:t>
            </w:r>
          </w:p>
        </w:tc>
        <w:tc>
          <w:tcPr>
            <w:tcW w:w="1473" w:type="dxa"/>
          </w:tcPr>
          <w:p>
            <w:pPr>
              <w:pStyle w:val="TableParagraph"/>
              <w:ind w:right="264"/>
              <w:jc w:val="right"/>
              <w:rPr>
                <w:sz w:val="24"/>
              </w:rPr>
            </w:pPr>
            <w:r>
              <w:rPr>
                <w:sz w:val="24"/>
              </w:rPr>
              <w:t>5.5</w:t>
            </w:r>
          </w:p>
        </w:tc>
      </w:tr>
    </w:tbl>
    <w:p>
      <w:pPr>
        <w:rPr>
          <w:sz w:val="2"/>
          <w:szCs w:val="2"/>
        </w:rPr>
      </w:pPr>
      <w:r>
        <w:rPr/>
        <w:pict>
          <v:shape style="position:absolute;margin-left:79.704002pt;margin-top:85.699944pt;width:423.2pt;height:14.9pt;mso-position-horizontal-relative:page;mso-position-vertical-relative:page;z-index:-121312" coordorigin="1594,1714" coordsize="8464,298" path="m3212,1714l1594,1714,1594,2012,3212,2012,3212,1714m5766,1714l3216,1714,3216,2012,5766,2012,5766,1714m10058,1714l8073,1714,5766,1714,5766,2012,8073,2012,10058,2012,10058,1714e" filled="true" fillcolor="#f1f1f1" stroked="false">
            <v:path arrowok="t"/>
            <v:fill type="solid"/>
            <w10:wrap type="none"/>
          </v:shape>
        </w:pict>
      </w:r>
      <w:r>
        <w:rPr/>
        <w:pict>
          <v:shape style="position:absolute;margin-left:79.704002pt;margin-top:115.459946pt;width:423.2pt;height:14.8pt;mso-position-horizontal-relative:page;mso-position-vertical-relative:page;z-index:-121288" coordorigin="1594,2309" coordsize="8464,296" path="m3212,2309l1594,2309,1594,2604,3212,2604,3212,2309m5766,2309l3216,2309,3216,2604,5766,2604,5766,2309m10058,2309l8073,2309,5766,2309,5766,2604,8073,2604,10058,2604,10058,2309e" filled="true" fillcolor="#f1f1f1" stroked="false">
            <v:path arrowok="t"/>
            <v:fill type="solid"/>
            <w10:wrap type="none"/>
          </v:shape>
        </w:pict>
      </w:r>
      <w:r>
        <w:rPr/>
        <w:pict>
          <v:shape style="position:absolute;margin-left:79.704002pt;margin-top:145.099945pt;width:423.2pt;height:14.9pt;mso-position-horizontal-relative:page;mso-position-vertical-relative:page;z-index:-121264" coordorigin="1594,2902" coordsize="8464,298" path="m3212,2902l1594,2902,1594,3200,3212,3200,3212,2902m5766,2902l3216,2902,3216,3200,5766,3200,5766,2902m10058,2902l8073,2902,5766,2902,5766,3200,8073,3200,10058,3200,10058,2902e" filled="true" fillcolor="#f1f1f1" stroked="false">
            <v:path arrowok="t"/>
            <v:fill type="solid"/>
            <w10:wrap type="none"/>
          </v:shape>
        </w:pict>
      </w:r>
      <w:r>
        <w:rPr/>
        <w:pict>
          <v:shape style="position:absolute;margin-left:79.704002pt;margin-top:174.859955pt;width:423.2pt;height:14.8pt;mso-position-horizontal-relative:page;mso-position-vertical-relative:page;z-index:-121240" coordorigin="1594,3497" coordsize="8464,296" path="m3212,3497l3108,3497,1702,3497,1594,3497,1594,3792,3212,3792,3212,3497m5766,3497l5658,3497,3324,3497,3216,3497,3216,3792,5766,3792,5766,3497m10058,3497l9950,3497,8178,3497,8073,3497,7962,3497,5874,3497,5766,3497,5766,3792,8073,3792,10058,3792,10058,3497e" filled="true" fillcolor="#f1f1f1" stroked="false">
            <v:path arrowok="t"/>
            <v:fill type="solid"/>
            <w10:wrap type="none"/>
          </v:shape>
        </w:pict>
      </w:r>
      <w:r>
        <w:rPr/>
        <w:pict>
          <v:shape style="position:absolute;margin-left:79.704002pt;margin-top:204.499954pt;width:423.2pt;height:14.9pt;mso-position-horizontal-relative:page;mso-position-vertical-relative:page;z-index:-121216" coordorigin="1594,4090" coordsize="8464,298" path="m3212,4090l3108,4090,1702,4090,1594,4090,1594,4388,3212,4388,3212,4090m5766,4090l5658,4090,3324,4090,3216,4090,3216,4388,5766,4388,5766,4090m10058,4090l9950,4090,8178,4090,8073,4090,7962,4090,5874,4090,5766,4090,5766,4388,8073,4388,10058,4388,10058,4090e" filled="true" fillcolor="#f1f1f1" stroked="false">
            <v:path arrowok="t"/>
            <v:fill type="solid"/>
            <w10:wrap type="none"/>
          </v:shape>
        </w:pict>
      </w:r>
      <w:r>
        <w:rPr/>
        <w:pict>
          <v:shape style="position:absolute;margin-left:79.704002pt;margin-top:234.265961pt;width:423.2pt;height:14.8pt;mso-position-horizontal-relative:page;mso-position-vertical-relative:page;z-index:-121192" coordorigin="1594,4685" coordsize="8464,296" path="m3212,4685l3108,4685,1702,4685,1594,4685,1594,4981,3212,4981,3212,4685m5766,4685l5658,4685,3324,4685,3216,4685,3216,4981,5766,4981,5766,4685m10058,4685l9950,4685,8178,4685,8073,4685,7962,4685,5874,4685,5766,4685,5766,4981,8073,4981,10058,4981,10058,4685e" filled="true" fillcolor="#f1f1f1" stroked="false">
            <v:path arrowok="t"/>
            <v:fill type="solid"/>
            <w10:wrap type="none"/>
          </v:shape>
        </w:pict>
      </w:r>
      <w:r>
        <w:rPr/>
        <w:pict>
          <v:shape style="position:absolute;margin-left:79.704002pt;margin-top:263.929962pt;width:423.2pt;height:14.9pt;mso-position-horizontal-relative:page;mso-position-vertical-relative:page;z-index:-121168" coordorigin="1594,5279" coordsize="8464,298" path="m3212,5279l3108,5279,1702,5279,1594,5279,1594,5576,3212,5576,3212,5279m5766,5279l5658,5279,3324,5279,3216,5279,3216,5576,5766,5576,5766,5279m10058,5279l9950,5279,8178,5279,8073,5279,7962,5279,5874,5279,5766,5279,5766,5576,8073,5576,10058,5576,10058,5279e" filled="true" fillcolor="#f1f1f1" stroked="false">
            <v:path arrowok="t"/>
            <v:fill type="solid"/>
            <w10:wrap type="none"/>
          </v:shape>
        </w:pict>
      </w:r>
      <w:r>
        <w:rPr/>
        <w:pict>
          <v:shape style="position:absolute;margin-left:79.704002pt;margin-top:293.689972pt;width:423.2pt;height:14.8pt;mso-position-horizontal-relative:page;mso-position-vertical-relative:page;z-index:-121144" coordorigin="1594,5874" coordsize="8464,296" path="m3212,5874l1594,5874,1594,6169,3212,6169,3212,5874m5766,5874l3216,5874,3216,6169,5766,6169,5766,5874m10058,5874l8073,5874,5766,5874,5766,6169,8073,6169,10058,6169,10058,5874e" filled="true" fillcolor="#f1f1f1" stroked="false">
            <v:path arrowok="t"/>
            <v:fill type="solid"/>
            <w10:wrap type="none"/>
          </v:shape>
        </w:pict>
      </w:r>
      <w:r>
        <w:rPr/>
        <w:pict>
          <v:shape style="position:absolute;margin-left:79.704002pt;margin-top:323.329956pt;width:423.2pt;height:14.9pt;mso-position-horizontal-relative:page;mso-position-vertical-relative:page;z-index:-121120" coordorigin="1594,6467" coordsize="8464,298" path="m3212,6467l3108,6467,1702,6467,1594,6467,1594,6764,3212,6764,3212,6467m5766,6467l5658,6467,3324,6467,3216,6467,3216,6764,5766,6764,5766,6467m10058,6467l9950,6467,8178,6467,8073,6467,7962,6467,5874,6467,5766,6467,5766,6764,8073,6764,10058,6764,10058,6467e" filled="true" fillcolor="#f1f1f1" stroked="false">
            <v:path arrowok="t"/>
            <v:fill type="solid"/>
            <w10:wrap type="none"/>
          </v:shape>
        </w:pict>
      </w:r>
      <w:r>
        <w:rPr/>
        <w:pict>
          <v:shape style="position:absolute;margin-left:79.704002pt;margin-top:353.089966pt;width:423.2pt;height:14.8pt;mso-position-horizontal-relative:page;mso-position-vertical-relative:page;z-index:-121096" coordorigin="1594,7062" coordsize="8464,296" path="m3212,7062l3108,7062,1702,7062,1594,7062,1594,7357,3212,7357,3212,7062m5766,7062l5658,7062,3324,7062,3216,7062,3216,7357,5766,7357,5766,7062m10058,7062l9950,7062,8178,7062,8073,7062,7962,7062,5874,7062,5766,7062,5766,7357,8073,7357,10058,7357,10058,7062e" filled="true" fillcolor="#f1f1f1" stroked="false">
            <v:path arrowok="t"/>
            <v:fill type="solid"/>
            <w10:wrap type="none"/>
          </v:shape>
        </w:pict>
      </w:r>
      <w:r>
        <w:rPr/>
        <w:pict>
          <v:shape style="position:absolute;margin-left:79.704002pt;margin-top:382.72995pt;width:423.2pt;height:14.9pt;mso-position-horizontal-relative:page;mso-position-vertical-relative:page;z-index:-121072" coordorigin="1594,7655" coordsize="8464,298" path="m3212,7655l3108,7655,1702,7655,1594,7655,1594,7952,3212,7952,3212,7655m5766,7655l5658,7655,3324,7655,3216,7655,3216,7952,5766,7952,5766,7655m10058,7655l9950,7655,8178,7655,8073,7655,7962,7655,5874,7655,5766,7655,5766,7952,8073,7952,10058,7952,10058,7655e" filled="true" fillcolor="#f1f1f1" stroked="false">
            <v:path arrowok="t"/>
            <v:fill type="solid"/>
            <w10:wrap type="none"/>
          </v:shape>
        </w:pict>
      </w:r>
      <w:r>
        <w:rPr/>
        <w:pict>
          <v:shape style="position:absolute;margin-left:79.704002pt;margin-top:412.509949pt;width:423.2pt;height:14.8pt;mso-position-horizontal-relative:page;mso-position-vertical-relative:page;z-index:-121048" coordorigin="1594,8250" coordsize="8464,296" path="m3212,8250l3108,8250,3108,8250,1702,8250,1702,8250,1594,8250,1594,8545,3212,8545,3212,8250m5766,8250l5658,8250,5658,8250,3324,8250,3324,8250,3216,8250,3216,8545,5766,8545,5766,8250m10058,8250l9950,8250,9950,8250,8178,8250,8178,8250,8073,8250,7962,8250,7962,8250,5874,8250,5874,8250,5766,8250,5766,8545,8073,8545,10058,8545,10058,8250e" filled="true" fillcolor="#f1f1f1" stroked="false">
            <v:path arrowok="t"/>
            <v:fill type="solid"/>
            <w10:wrap type="none"/>
          </v:shape>
        </w:pict>
      </w:r>
      <w:r>
        <w:rPr/>
        <w:pict>
          <v:shape style="position:absolute;margin-left:79.704002pt;margin-top:442.149963pt;width:423.2pt;height:14.9pt;mso-position-horizontal-relative:page;mso-position-vertical-relative:page;z-index:-121024" coordorigin="1594,8843" coordsize="8464,298" path="m3212,8843l3108,8843,1702,8843,1594,8843,1594,9141,3212,9141,3212,8843m5766,8843l5658,8843,3324,8843,3216,8843,3216,9141,5766,9141,5766,8843m10058,8843l9950,8843,8178,8843,8073,8843,7962,8843,5874,8843,5766,8843,5766,9141,8073,9141,10058,9141,10058,8843e" filled="true" fillcolor="#f1f1f1" stroked="false">
            <v:path arrowok="t"/>
            <v:fill type="solid"/>
            <w10:wrap type="none"/>
          </v:shape>
        </w:pict>
      </w:r>
      <w:r>
        <w:rPr/>
        <w:pict>
          <v:shape style="position:absolute;margin-left:79.704002pt;margin-top:471.909973pt;width:423.2pt;height:14.8pt;mso-position-horizontal-relative:page;mso-position-vertical-relative:page;z-index:-121000" coordorigin="1594,9438" coordsize="8464,296" path="m3212,9438l3108,9438,1702,9438,1594,9438,1594,9733,3212,9733,3212,9438m5766,9438l5658,9438,3324,9438,3216,9438,3216,9733,5766,9733,5766,9438m10058,9438l9950,9438,8178,9438,8073,9438,7962,9438,5874,9438,5766,9438,5766,9733,8073,9733,10058,9733,10058,9438e" filled="true" fillcolor="#f1f1f1" stroked="false">
            <v:path arrowok="t"/>
            <v:fill type="solid"/>
            <w10:wrap type="none"/>
          </v:shape>
        </w:pict>
      </w:r>
      <w:r>
        <w:rPr/>
        <w:pict>
          <v:shape style="position:absolute;margin-left:79.704002pt;margin-top:501.549957pt;width:423.2pt;height:14.9pt;mso-position-horizontal-relative:page;mso-position-vertical-relative:page;z-index:-120976" coordorigin="1594,10031" coordsize="8464,298" path="m3212,10031l3108,10031,1702,10031,1594,10031,1594,10329,3212,10329,3212,10031m5766,10031l5658,10031,3324,10031,3216,10031,3216,10329,5766,10329,5766,10031m10058,10031l9950,10031,8178,10031,8073,10031,7962,10031,5874,10031,5766,10031,5766,10329,8073,10329,10058,10329,10058,10031e" filled="true" fillcolor="#f1f1f1" stroked="false">
            <v:path arrowok="t"/>
            <v:fill type="solid"/>
            <w10:wrap type="none"/>
          </v:shape>
        </w:pict>
      </w:r>
      <w:r>
        <w:rPr/>
        <w:pict>
          <v:shape style="position:absolute;margin-left:79.704002pt;margin-top:531.309998pt;width:423.2pt;height:14.8pt;mso-position-horizontal-relative:page;mso-position-vertical-relative:page;z-index:-120952" coordorigin="1594,10626" coordsize="8464,296" path="m3212,10626l3108,10626,1702,10626,1594,10626,1594,10921,3212,10921,3212,10626m5766,10626l5658,10626,3324,10626,3216,10626,3216,10921,5766,10921,5766,10626m10058,10626l9950,10626,8178,10626,8073,10626,7962,10626,5874,10626,5766,10626,5766,10921,8073,10921,10058,10921,10058,10626e" filled="true" fillcolor="#f1f1f1" stroked="false">
            <v:path arrowok="t"/>
            <v:fill type="solid"/>
            <w10:wrap type="none"/>
          </v:shape>
        </w:pict>
      </w:r>
      <w:r>
        <w:rPr/>
        <w:pict>
          <v:shape style="position:absolute;margin-left:79.704002pt;margin-top:560.955994pt;width:423.2pt;height:14.95pt;mso-position-horizontal-relative:page;mso-position-vertical-relative:page;z-index:-120928" coordorigin="1594,11219" coordsize="8464,299" path="m3212,11219l3108,11219,1702,11219,1594,11219,1594,11517,3212,11517,3212,11219m5766,11219l5658,11219,3324,11219,3216,11219,3216,11517,5766,11517,5766,11219m10058,11219l9950,11219,8178,11219,8073,11219,7962,11219,5874,11219,5766,11219,5766,11517,8073,11517,10058,11517,10058,11219e" filled="true" fillcolor="#f1f1f1" stroked="false">
            <v:path arrowok="t"/>
            <v:fill type="solid"/>
            <w10:wrap type="none"/>
          </v:shape>
        </w:pict>
      </w:r>
      <w:r>
        <w:rPr/>
        <w:pict>
          <v:shape style="position:absolute;margin-left:79.704002pt;margin-top:590.73999pt;width:423.2pt;height:14.8pt;mso-position-horizontal-relative:page;mso-position-vertical-relative:page;z-index:-120904" coordorigin="1594,11815" coordsize="8464,296" path="m3212,11815l3108,11815,3108,11815,1702,11815,1702,11815,1594,11815,1594,12110,3212,12110,3212,11815m5766,11815l5658,11815,5658,11815,3324,11815,3324,11815,3216,11815,3216,12110,5766,12110,5766,11815m10058,11815l9950,11815,9950,11815,8178,11815,8178,11815,8073,11815,7962,11815,7962,11815,5874,11815,5874,11815,5766,11815,5766,12110,8073,12110,10058,12110,10058,11815e" filled="true" fillcolor="#f1f1f1" stroked="false">
            <v:path arrowok="t"/>
            <v:fill type="solid"/>
            <w10:wrap type="none"/>
          </v:shape>
        </w:pict>
      </w:r>
      <w:r>
        <w:rPr/>
        <w:pict>
          <v:shape style="position:absolute;margin-left:79.704002pt;margin-top:620.379944pt;width:423.2pt;height:14.9pt;mso-position-horizontal-relative:page;mso-position-vertical-relative:page;z-index:-120880" coordorigin="1594,12408" coordsize="8464,298" path="m3212,12408l3108,12408,1702,12408,1594,12408,1594,12705,3212,12705,3212,12408m5766,12408l5658,12408,3324,12408,3216,12408,3216,12705,5766,12705,5766,12408m10058,12408l9950,12408,8178,12408,8073,12408,7962,12408,5874,12408,5766,12408,5766,12705,8073,12705,10058,12705,10058,12408e" filled="true" fillcolor="#f1f1f1" stroked="false">
            <v:path arrowok="t"/>
            <v:fill type="solid"/>
            <w10:wrap type="none"/>
          </v:shape>
        </w:pict>
      </w:r>
      <w:r>
        <w:rPr/>
        <w:pict>
          <v:shape style="position:absolute;margin-left:79.704002pt;margin-top:650.139954pt;width:423.2pt;height:14.8pt;mso-position-horizontal-relative:page;mso-position-vertical-relative:page;z-index:-120856" coordorigin="1594,13003" coordsize="8464,296" path="m3212,13003l3108,13003,1702,13003,1594,13003,1594,13298,3212,13298,3212,13003m5766,13003l5658,13003,3324,13003,3216,13003,3216,13298,5766,13298,5766,13003m10058,13003l9950,13003,8178,13003,8073,13003,7962,13003,5874,13003,5766,13003,5766,13298,8073,13298,10058,13298,10058,13003e" filled="true" fillcolor="#f1f1f1" stroked="false">
            <v:path arrowok="t"/>
            <v:fill type="solid"/>
            <w10:wrap type="none"/>
          </v:shape>
        </w:pict>
      </w:r>
      <w:r>
        <w:rPr/>
        <w:pict>
          <v:shape style="position:absolute;margin-left:79.704002pt;margin-top:679.779968pt;width:423.2pt;height:14.9pt;mso-position-horizontal-relative:page;mso-position-vertical-relative:page;z-index:-120832" coordorigin="1594,13596" coordsize="8464,298" path="m3212,13596l3108,13596,1702,13596,1594,13596,1594,13893,3212,13893,3212,13596m5766,13596l5658,13596,3324,13596,3216,13596,3216,13893,5766,13893,5766,13596m10058,13596l9950,13596,8178,13596,8073,13596,7962,13596,5874,13596,5766,13596,5766,13893,8073,13893,10058,13893,10058,13596e" filled="true" fillcolor="#f1f1f1" stroked="false">
            <v:path arrowok="t"/>
            <v:fill type="solid"/>
            <w10:wrap type="none"/>
          </v:shape>
        </w:pict>
      </w:r>
      <w:r>
        <w:rPr/>
        <w:pict>
          <v:shape style="position:absolute;margin-left:79.704002pt;margin-top:709.539978pt;width:423.2pt;height:14.8pt;mso-position-horizontal-relative:page;mso-position-vertical-relative:page;z-index:-120808" coordorigin="1594,14191" coordsize="8464,296" path="m3212,14191l3108,14191,1702,14191,1594,14191,1594,14486,3212,14486,3212,14191m5766,14191l5658,14191,3324,14191,3216,14191,3216,14486,5766,14486,5766,14191m10058,14191l9950,14191,8178,14191,8073,14191,7962,14191,5874,14191,5766,14191,5766,14486,8073,14486,10058,14486,10058,14191e" filled="true" fillcolor="#f1f1f1" stroked="false">
            <v:path arrowok="t"/>
            <v:fill type="solid"/>
            <w10:wrap type="none"/>
          </v:shape>
        </w:pict>
      </w:r>
      <w:r>
        <w:rPr/>
        <w:pict>
          <v:shape style="position:absolute;margin-left:79.704002pt;margin-top:739.199951pt;width:423.2pt;height:14.9pt;mso-position-horizontal-relative:page;mso-position-vertical-relative:page;z-index:-120784" coordorigin="1594,14784" coordsize="8464,298" path="m3212,14784l3108,14784,1702,14784,1594,14784,1594,15082,3212,15082,3212,14784m5766,14784l5658,14784,3324,14784,3216,14784,3216,15082,5766,15082,5766,14784m10058,14784l9950,14784,8178,14784,8073,14784,7962,14784,5874,14784,5766,14784,5766,15082,8073,15082,10058,15082,10058,14784e" filled="true" fillcolor="#f1f1f1" stroked="false">
            <v:path arrowok="t"/>
            <v:fill type="solid"/>
            <w10:wrap type="none"/>
          </v:shape>
        </w:pict>
      </w:r>
    </w:p>
    <w:p>
      <w:pPr>
        <w:spacing w:after="0"/>
        <w:rPr>
          <w:sz w:val="2"/>
          <w:szCs w:val="2"/>
        </w:rPr>
        <w:sectPr>
          <w:pgSz w:w="11910" w:h="16840"/>
          <w:pgMar w:header="0" w:footer="983" w:top="1400" w:bottom="1180" w:left="1480" w:right="158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22"/>
        <w:gridCol w:w="2488"/>
        <w:gridCol w:w="2285"/>
        <w:gridCol w:w="2068"/>
      </w:tblGrid>
      <w:tr>
        <w:trPr>
          <w:trHeight w:val="298" w:hRule="exact"/>
        </w:trPr>
        <w:tc>
          <w:tcPr>
            <w:tcW w:w="1622" w:type="dxa"/>
            <w:tcBorders>
              <w:right w:val="single" w:sz="4" w:space="0" w:color="7E7E7E"/>
            </w:tcBorders>
            <w:shd w:val="clear" w:color="auto" w:fill="F1F1F1"/>
          </w:tcPr>
          <w:p>
            <w:pPr>
              <w:pStyle w:val="TableParagraph"/>
              <w:spacing w:line="270" w:lineRule="exact"/>
              <w:ind w:left="230" w:right="226"/>
              <w:rPr>
                <w:b/>
                <w:sz w:val="24"/>
              </w:rPr>
            </w:pPr>
            <w:r>
              <w:rPr>
                <w:b/>
                <w:sz w:val="24"/>
              </w:rPr>
              <w:t>182</w:t>
            </w:r>
          </w:p>
        </w:tc>
        <w:tc>
          <w:tcPr>
            <w:tcW w:w="2488" w:type="dxa"/>
            <w:tcBorders>
              <w:left w:val="single" w:sz="4" w:space="0" w:color="7E7E7E"/>
            </w:tcBorders>
            <w:shd w:val="clear" w:color="auto" w:fill="F1F1F1"/>
          </w:tcPr>
          <w:p>
            <w:pPr>
              <w:pStyle w:val="TableParagraph"/>
              <w:spacing w:line="270" w:lineRule="exact"/>
              <w:ind w:left="548" w:right="491"/>
              <w:rPr>
                <w:sz w:val="24"/>
              </w:rPr>
            </w:pPr>
            <w:r>
              <w:rPr>
                <w:sz w:val="24"/>
              </w:rPr>
              <w:t>268</w:t>
            </w:r>
          </w:p>
        </w:tc>
        <w:tc>
          <w:tcPr>
            <w:tcW w:w="2285" w:type="dxa"/>
            <w:shd w:val="clear" w:color="auto" w:fill="F1F1F1"/>
          </w:tcPr>
          <w:p>
            <w:pPr>
              <w:pStyle w:val="TableParagraph"/>
              <w:spacing w:line="270" w:lineRule="exact"/>
              <w:ind w:left="492" w:right="349"/>
              <w:rPr>
                <w:sz w:val="24"/>
              </w:rPr>
            </w:pPr>
            <w:r>
              <w:rPr>
                <w:sz w:val="24"/>
              </w:rPr>
              <w:t>268.7</w:t>
            </w:r>
          </w:p>
        </w:tc>
        <w:tc>
          <w:tcPr>
            <w:tcW w:w="2068" w:type="dxa"/>
            <w:shd w:val="clear" w:color="auto" w:fill="F1F1F1"/>
          </w:tcPr>
          <w:p>
            <w:pPr>
              <w:pStyle w:val="TableParagraph"/>
              <w:spacing w:line="270" w:lineRule="exact"/>
              <w:ind w:left="350" w:right="271"/>
              <w:rPr>
                <w:sz w:val="24"/>
              </w:rPr>
            </w:pPr>
            <w:r>
              <w:rPr>
                <w:sz w:val="24"/>
              </w:rPr>
              <w:t>0.7</w:t>
            </w:r>
          </w:p>
        </w:tc>
      </w:tr>
      <w:tr>
        <w:trPr>
          <w:trHeight w:val="298" w:hRule="exact"/>
        </w:trPr>
        <w:tc>
          <w:tcPr>
            <w:tcW w:w="1622" w:type="dxa"/>
            <w:tcBorders>
              <w:right w:val="single" w:sz="4" w:space="0" w:color="7E7E7E"/>
            </w:tcBorders>
          </w:tcPr>
          <w:p>
            <w:pPr>
              <w:pStyle w:val="TableParagraph"/>
              <w:ind w:left="230" w:right="226"/>
              <w:rPr>
                <w:b/>
                <w:sz w:val="24"/>
              </w:rPr>
            </w:pPr>
            <w:r>
              <w:rPr>
                <w:b/>
                <w:sz w:val="24"/>
              </w:rPr>
              <w:t>183</w:t>
            </w:r>
          </w:p>
        </w:tc>
        <w:tc>
          <w:tcPr>
            <w:tcW w:w="2488" w:type="dxa"/>
            <w:tcBorders>
              <w:left w:val="single" w:sz="4" w:space="0" w:color="7E7E7E"/>
            </w:tcBorders>
          </w:tcPr>
          <w:p>
            <w:pPr>
              <w:pStyle w:val="TableParagraph"/>
              <w:ind w:left="548" w:right="490"/>
              <w:rPr>
                <w:sz w:val="24"/>
              </w:rPr>
            </w:pPr>
            <w:r>
              <w:rPr>
                <w:sz w:val="24"/>
              </w:rPr>
              <w:t>269.5</w:t>
            </w:r>
          </w:p>
        </w:tc>
        <w:tc>
          <w:tcPr>
            <w:tcW w:w="2285" w:type="dxa"/>
          </w:tcPr>
          <w:p>
            <w:pPr>
              <w:pStyle w:val="TableParagraph"/>
              <w:ind w:left="492" w:right="349"/>
              <w:rPr>
                <w:sz w:val="24"/>
              </w:rPr>
            </w:pPr>
            <w:r>
              <w:rPr>
                <w:sz w:val="24"/>
              </w:rPr>
              <w:t>271.3</w:t>
            </w:r>
          </w:p>
        </w:tc>
        <w:tc>
          <w:tcPr>
            <w:tcW w:w="2068" w:type="dxa"/>
          </w:tcPr>
          <w:p>
            <w:pPr>
              <w:pStyle w:val="TableParagraph"/>
              <w:ind w:left="350" w:right="271"/>
              <w:rPr>
                <w:sz w:val="24"/>
              </w:rPr>
            </w:pPr>
            <w:r>
              <w:rPr>
                <w:sz w:val="24"/>
              </w:rPr>
              <w:t>1.8</w:t>
            </w:r>
          </w:p>
        </w:tc>
      </w:tr>
      <w:tr>
        <w:trPr>
          <w:trHeight w:val="298" w:hRule="exact"/>
        </w:trPr>
        <w:tc>
          <w:tcPr>
            <w:tcW w:w="1622" w:type="dxa"/>
            <w:tcBorders>
              <w:right w:val="single" w:sz="4" w:space="0" w:color="7E7E7E"/>
            </w:tcBorders>
            <w:shd w:val="clear" w:color="auto" w:fill="F1F1F1"/>
          </w:tcPr>
          <w:p>
            <w:pPr>
              <w:pStyle w:val="TableParagraph"/>
              <w:ind w:left="230" w:right="226"/>
              <w:rPr>
                <w:b/>
                <w:sz w:val="24"/>
              </w:rPr>
            </w:pPr>
            <w:r>
              <w:rPr>
                <w:b/>
                <w:sz w:val="24"/>
              </w:rPr>
              <w:t>184</w:t>
            </w:r>
          </w:p>
        </w:tc>
        <w:tc>
          <w:tcPr>
            <w:tcW w:w="2488" w:type="dxa"/>
            <w:tcBorders>
              <w:left w:val="single" w:sz="4" w:space="0" w:color="7E7E7E"/>
            </w:tcBorders>
            <w:shd w:val="clear" w:color="auto" w:fill="F1F1F1"/>
          </w:tcPr>
          <w:p>
            <w:pPr>
              <w:pStyle w:val="TableParagraph"/>
              <w:ind w:left="548" w:right="491"/>
              <w:rPr>
                <w:sz w:val="24"/>
              </w:rPr>
            </w:pPr>
            <w:r>
              <w:rPr>
                <w:sz w:val="24"/>
              </w:rPr>
              <w:t>270</w:t>
            </w:r>
          </w:p>
        </w:tc>
        <w:tc>
          <w:tcPr>
            <w:tcW w:w="2285" w:type="dxa"/>
            <w:shd w:val="clear" w:color="auto" w:fill="F1F1F1"/>
          </w:tcPr>
          <w:p>
            <w:pPr>
              <w:pStyle w:val="TableParagraph"/>
              <w:ind w:left="492" w:right="349"/>
              <w:rPr>
                <w:sz w:val="24"/>
              </w:rPr>
            </w:pPr>
            <w:r>
              <w:rPr>
                <w:sz w:val="24"/>
              </w:rPr>
              <w:t>275.4</w:t>
            </w:r>
          </w:p>
        </w:tc>
        <w:tc>
          <w:tcPr>
            <w:tcW w:w="2068" w:type="dxa"/>
            <w:shd w:val="clear" w:color="auto" w:fill="F1F1F1"/>
          </w:tcPr>
          <w:p>
            <w:pPr>
              <w:pStyle w:val="TableParagraph"/>
              <w:ind w:left="350" w:right="271"/>
              <w:rPr>
                <w:sz w:val="24"/>
              </w:rPr>
            </w:pPr>
            <w:r>
              <w:rPr>
                <w:sz w:val="24"/>
              </w:rPr>
              <w:t>5.4</w:t>
            </w:r>
          </w:p>
        </w:tc>
      </w:tr>
      <w:tr>
        <w:trPr>
          <w:trHeight w:val="295" w:hRule="exact"/>
        </w:trPr>
        <w:tc>
          <w:tcPr>
            <w:tcW w:w="1622" w:type="dxa"/>
            <w:tcBorders>
              <w:right w:val="single" w:sz="4" w:space="0" w:color="7E7E7E"/>
            </w:tcBorders>
          </w:tcPr>
          <w:p>
            <w:pPr>
              <w:pStyle w:val="TableParagraph"/>
              <w:ind w:left="230" w:right="226"/>
              <w:rPr>
                <w:b/>
                <w:sz w:val="24"/>
              </w:rPr>
            </w:pPr>
            <w:r>
              <w:rPr>
                <w:b/>
                <w:sz w:val="24"/>
              </w:rPr>
              <w:t>185</w:t>
            </w:r>
          </w:p>
        </w:tc>
        <w:tc>
          <w:tcPr>
            <w:tcW w:w="2488" w:type="dxa"/>
            <w:tcBorders>
              <w:left w:val="single" w:sz="4" w:space="0" w:color="7E7E7E"/>
            </w:tcBorders>
          </w:tcPr>
          <w:p>
            <w:pPr>
              <w:pStyle w:val="TableParagraph"/>
              <w:ind w:left="548" w:right="490"/>
              <w:rPr>
                <w:sz w:val="24"/>
              </w:rPr>
            </w:pPr>
            <w:r>
              <w:rPr>
                <w:sz w:val="24"/>
              </w:rPr>
              <w:t>264.5</w:t>
            </w:r>
          </w:p>
        </w:tc>
        <w:tc>
          <w:tcPr>
            <w:tcW w:w="2285" w:type="dxa"/>
          </w:tcPr>
          <w:p>
            <w:pPr>
              <w:pStyle w:val="TableParagraph"/>
              <w:ind w:left="492" w:right="349"/>
              <w:rPr>
                <w:sz w:val="24"/>
              </w:rPr>
            </w:pPr>
            <w:r>
              <w:rPr>
                <w:sz w:val="24"/>
              </w:rPr>
              <w:t>272.3</w:t>
            </w:r>
          </w:p>
        </w:tc>
        <w:tc>
          <w:tcPr>
            <w:tcW w:w="2068" w:type="dxa"/>
          </w:tcPr>
          <w:p>
            <w:pPr>
              <w:pStyle w:val="TableParagraph"/>
              <w:ind w:left="350" w:right="271"/>
              <w:rPr>
                <w:sz w:val="24"/>
              </w:rPr>
            </w:pPr>
            <w:r>
              <w:rPr>
                <w:sz w:val="24"/>
              </w:rPr>
              <w:t>7.8</w:t>
            </w:r>
          </w:p>
        </w:tc>
      </w:tr>
      <w:tr>
        <w:trPr>
          <w:trHeight w:val="298" w:hRule="exact"/>
        </w:trPr>
        <w:tc>
          <w:tcPr>
            <w:tcW w:w="1622" w:type="dxa"/>
            <w:tcBorders>
              <w:right w:val="single" w:sz="4" w:space="0" w:color="7E7E7E"/>
            </w:tcBorders>
            <w:shd w:val="clear" w:color="auto" w:fill="F1F1F1"/>
          </w:tcPr>
          <w:p>
            <w:pPr>
              <w:pStyle w:val="TableParagraph"/>
              <w:ind w:left="230" w:right="226"/>
              <w:rPr>
                <w:b/>
                <w:sz w:val="24"/>
              </w:rPr>
            </w:pPr>
            <w:r>
              <w:rPr>
                <w:b/>
                <w:sz w:val="24"/>
              </w:rPr>
              <w:t>186</w:t>
            </w:r>
          </w:p>
        </w:tc>
        <w:tc>
          <w:tcPr>
            <w:tcW w:w="2488" w:type="dxa"/>
            <w:tcBorders>
              <w:left w:val="single" w:sz="4" w:space="0" w:color="7E7E7E"/>
            </w:tcBorders>
            <w:shd w:val="clear" w:color="auto" w:fill="F1F1F1"/>
          </w:tcPr>
          <w:p>
            <w:pPr>
              <w:pStyle w:val="TableParagraph"/>
              <w:ind w:left="548" w:right="490"/>
              <w:rPr>
                <w:sz w:val="24"/>
              </w:rPr>
            </w:pPr>
            <w:r>
              <w:rPr>
                <w:sz w:val="24"/>
              </w:rPr>
              <w:t>266.5</w:t>
            </w:r>
          </w:p>
        </w:tc>
        <w:tc>
          <w:tcPr>
            <w:tcW w:w="2285" w:type="dxa"/>
            <w:shd w:val="clear" w:color="auto" w:fill="F1F1F1"/>
          </w:tcPr>
          <w:p>
            <w:pPr>
              <w:pStyle w:val="TableParagraph"/>
              <w:ind w:left="492" w:right="349"/>
              <w:rPr>
                <w:sz w:val="24"/>
              </w:rPr>
            </w:pPr>
            <w:r>
              <w:rPr>
                <w:sz w:val="24"/>
              </w:rPr>
              <w:t>264.7</w:t>
            </w:r>
          </w:p>
        </w:tc>
        <w:tc>
          <w:tcPr>
            <w:tcW w:w="2068" w:type="dxa"/>
            <w:shd w:val="clear" w:color="auto" w:fill="F1F1F1"/>
          </w:tcPr>
          <w:p>
            <w:pPr>
              <w:pStyle w:val="TableParagraph"/>
              <w:ind w:left="350" w:right="274"/>
              <w:rPr>
                <w:sz w:val="24"/>
              </w:rPr>
            </w:pPr>
            <w:r>
              <w:rPr>
                <w:sz w:val="24"/>
              </w:rPr>
              <w:t>-1.8</w:t>
            </w:r>
          </w:p>
        </w:tc>
      </w:tr>
      <w:tr>
        <w:trPr>
          <w:trHeight w:val="298" w:hRule="exact"/>
        </w:trPr>
        <w:tc>
          <w:tcPr>
            <w:tcW w:w="1622" w:type="dxa"/>
            <w:tcBorders>
              <w:right w:val="single" w:sz="4" w:space="0" w:color="7E7E7E"/>
            </w:tcBorders>
          </w:tcPr>
          <w:p>
            <w:pPr>
              <w:pStyle w:val="TableParagraph"/>
              <w:ind w:left="230" w:right="226"/>
              <w:rPr>
                <w:b/>
                <w:sz w:val="24"/>
              </w:rPr>
            </w:pPr>
            <w:r>
              <w:rPr>
                <w:b/>
                <w:sz w:val="24"/>
              </w:rPr>
              <w:t>187</w:t>
            </w:r>
          </w:p>
        </w:tc>
        <w:tc>
          <w:tcPr>
            <w:tcW w:w="2488" w:type="dxa"/>
            <w:tcBorders>
              <w:left w:val="single" w:sz="4" w:space="0" w:color="7E7E7E"/>
            </w:tcBorders>
          </w:tcPr>
          <w:p>
            <w:pPr>
              <w:pStyle w:val="TableParagraph"/>
              <w:ind w:left="548" w:right="490"/>
              <w:rPr>
                <w:sz w:val="24"/>
              </w:rPr>
            </w:pPr>
            <w:r>
              <w:rPr>
                <w:sz w:val="24"/>
              </w:rPr>
              <w:t>266.5</w:t>
            </w:r>
          </w:p>
        </w:tc>
        <w:tc>
          <w:tcPr>
            <w:tcW w:w="2285" w:type="dxa"/>
          </w:tcPr>
          <w:p>
            <w:pPr>
              <w:pStyle w:val="TableParagraph"/>
              <w:ind w:left="492" w:right="349"/>
              <w:rPr>
                <w:sz w:val="24"/>
              </w:rPr>
            </w:pPr>
            <w:r>
              <w:rPr>
                <w:sz w:val="24"/>
              </w:rPr>
              <w:t>270.8</w:t>
            </w:r>
          </w:p>
        </w:tc>
        <w:tc>
          <w:tcPr>
            <w:tcW w:w="2068" w:type="dxa"/>
          </w:tcPr>
          <w:p>
            <w:pPr>
              <w:pStyle w:val="TableParagraph"/>
              <w:ind w:left="350" w:right="271"/>
              <w:rPr>
                <w:sz w:val="24"/>
              </w:rPr>
            </w:pPr>
            <w:r>
              <w:rPr>
                <w:sz w:val="24"/>
              </w:rPr>
              <w:t>4.3</w:t>
            </w:r>
          </w:p>
        </w:tc>
      </w:tr>
      <w:tr>
        <w:trPr>
          <w:trHeight w:val="298" w:hRule="exact"/>
        </w:trPr>
        <w:tc>
          <w:tcPr>
            <w:tcW w:w="1622" w:type="dxa"/>
            <w:tcBorders>
              <w:right w:val="single" w:sz="4" w:space="0" w:color="7E7E7E"/>
            </w:tcBorders>
            <w:shd w:val="clear" w:color="auto" w:fill="F1F1F1"/>
          </w:tcPr>
          <w:p>
            <w:pPr>
              <w:pStyle w:val="TableParagraph"/>
              <w:ind w:left="230" w:right="226"/>
              <w:rPr>
                <w:b/>
                <w:sz w:val="24"/>
              </w:rPr>
            </w:pPr>
            <w:r>
              <w:rPr>
                <w:b/>
                <w:sz w:val="24"/>
              </w:rPr>
              <w:t>188</w:t>
            </w:r>
          </w:p>
        </w:tc>
        <w:tc>
          <w:tcPr>
            <w:tcW w:w="2488" w:type="dxa"/>
            <w:tcBorders>
              <w:left w:val="single" w:sz="4" w:space="0" w:color="7E7E7E"/>
            </w:tcBorders>
            <w:shd w:val="clear" w:color="auto" w:fill="F1F1F1"/>
          </w:tcPr>
          <w:p>
            <w:pPr>
              <w:pStyle w:val="TableParagraph"/>
              <w:ind w:left="548" w:right="490"/>
              <w:rPr>
                <w:sz w:val="24"/>
              </w:rPr>
            </w:pPr>
            <w:r>
              <w:rPr>
                <w:sz w:val="24"/>
              </w:rPr>
              <w:t>261.5</w:t>
            </w:r>
          </w:p>
        </w:tc>
        <w:tc>
          <w:tcPr>
            <w:tcW w:w="2285" w:type="dxa"/>
            <w:shd w:val="clear" w:color="auto" w:fill="F1F1F1"/>
          </w:tcPr>
          <w:p>
            <w:pPr>
              <w:pStyle w:val="TableParagraph"/>
              <w:ind w:left="492" w:right="349"/>
              <w:rPr>
                <w:sz w:val="24"/>
              </w:rPr>
            </w:pPr>
            <w:r>
              <w:rPr>
                <w:sz w:val="24"/>
              </w:rPr>
              <w:t>265.1</w:t>
            </w:r>
          </w:p>
        </w:tc>
        <w:tc>
          <w:tcPr>
            <w:tcW w:w="2068" w:type="dxa"/>
            <w:shd w:val="clear" w:color="auto" w:fill="F1F1F1"/>
          </w:tcPr>
          <w:p>
            <w:pPr>
              <w:pStyle w:val="TableParagraph"/>
              <w:ind w:left="350" w:right="271"/>
              <w:rPr>
                <w:sz w:val="24"/>
              </w:rPr>
            </w:pPr>
            <w:r>
              <w:rPr>
                <w:sz w:val="24"/>
              </w:rPr>
              <w:t>3.6</w:t>
            </w:r>
          </w:p>
        </w:tc>
      </w:tr>
      <w:tr>
        <w:trPr>
          <w:trHeight w:val="295" w:hRule="exact"/>
        </w:trPr>
        <w:tc>
          <w:tcPr>
            <w:tcW w:w="1622" w:type="dxa"/>
            <w:tcBorders>
              <w:right w:val="single" w:sz="4" w:space="0" w:color="7E7E7E"/>
            </w:tcBorders>
          </w:tcPr>
          <w:p>
            <w:pPr>
              <w:pStyle w:val="TableParagraph"/>
              <w:ind w:left="230" w:right="226"/>
              <w:rPr>
                <w:b/>
                <w:sz w:val="24"/>
              </w:rPr>
            </w:pPr>
            <w:r>
              <w:rPr>
                <w:b/>
                <w:sz w:val="24"/>
              </w:rPr>
              <w:t>189</w:t>
            </w:r>
          </w:p>
        </w:tc>
        <w:tc>
          <w:tcPr>
            <w:tcW w:w="2488" w:type="dxa"/>
            <w:tcBorders>
              <w:left w:val="single" w:sz="4" w:space="0" w:color="7E7E7E"/>
            </w:tcBorders>
          </w:tcPr>
          <w:p>
            <w:pPr>
              <w:pStyle w:val="TableParagraph"/>
              <w:ind w:left="548" w:right="490"/>
              <w:rPr>
                <w:sz w:val="24"/>
              </w:rPr>
            </w:pPr>
            <w:r>
              <w:rPr>
                <w:sz w:val="24"/>
              </w:rPr>
              <w:t>279.5</w:t>
            </w:r>
          </w:p>
        </w:tc>
        <w:tc>
          <w:tcPr>
            <w:tcW w:w="2285" w:type="dxa"/>
          </w:tcPr>
          <w:p>
            <w:pPr>
              <w:pStyle w:val="TableParagraph"/>
              <w:ind w:left="492" w:right="349"/>
              <w:rPr>
                <w:sz w:val="24"/>
              </w:rPr>
            </w:pPr>
            <w:r>
              <w:rPr>
                <w:sz w:val="24"/>
              </w:rPr>
              <w:t>277.8</w:t>
            </w:r>
          </w:p>
        </w:tc>
        <w:tc>
          <w:tcPr>
            <w:tcW w:w="2068" w:type="dxa"/>
          </w:tcPr>
          <w:p>
            <w:pPr>
              <w:pStyle w:val="TableParagraph"/>
              <w:ind w:left="350" w:right="274"/>
              <w:rPr>
                <w:sz w:val="24"/>
              </w:rPr>
            </w:pPr>
            <w:r>
              <w:rPr>
                <w:sz w:val="24"/>
              </w:rPr>
              <w:t>-1.7</w:t>
            </w:r>
          </w:p>
        </w:tc>
      </w:tr>
      <w:tr>
        <w:trPr>
          <w:trHeight w:val="298" w:hRule="exact"/>
        </w:trPr>
        <w:tc>
          <w:tcPr>
            <w:tcW w:w="1622" w:type="dxa"/>
            <w:tcBorders>
              <w:right w:val="single" w:sz="4" w:space="0" w:color="7E7E7E"/>
            </w:tcBorders>
            <w:shd w:val="clear" w:color="auto" w:fill="F1F1F1"/>
          </w:tcPr>
          <w:p>
            <w:pPr>
              <w:pStyle w:val="TableParagraph"/>
              <w:ind w:left="230" w:right="226"/>
              <w:rPr>
                <w:b/>
                <w:sz w:val="24"/>
              </w:rPr>
            </w:pPr>
            <w:r>
              <w:rPr>
                <w:b/>
                <w:sz w:val="24"/>
              </w:rPr>
              <w:t>190</w:t>
            </w:r>
          </w:p>
        </w:tc>
        <w:tc>
          <w:tcPr>
            <w:tcW w:w="2488" w:type="dxa"/>
            <w:tcBorders>
              <w:left w:val="single" w:sz="4" w:space="0" w:color="7E7E7E"/>
            </w:tcBorders>
            <w:shd w:val="clear" w:color="auto" w:fill="F1F1F1"/>
          </w:tcPr>
          <w:p>
            <w:pPr>
              <w:pStyle w:val="TableParagraph"/>
              <w:ind w:left="548" w:right="490"/>
              <w:rPr>
                <w:sz w:val="24"/>
              </w:rPr>
            </w:pPr>
            <w:r>
              <w:rPr>
                <w:sz w:val="24"/>
              </w:rPr>
              <w:t>261.5</w:t>
            </w:r>
          </w:p>
        </w:tc>
        <w:tc>
          <w:tcPr>
            <w:tcW w:w="2285" w:type="dxa"/>
            <w:shd w:val="clear" w:color="auto" w:fill="F1F1F1"/>
          </w:tcPr>
          <w:p>
            <w:pPr>
              <w:pStyle w:val="TableParagraph"/>
              <w:ind w:left="492" w:right="349"/>
              <w:rPr>
                <w:sz w:val="24"/>
              </w:rPr>
            </w:pPr>
            <w:r>
              <w:rPr>
                <w:sz w:val="24"/>
              </w:rPr>
              <w:t>263.4</w:t>
            </w:r>
          </w:p>
        </w:tc>
        <w:tc>
          <w:tcPr>
            <w:tcW w:w="2068" w:type="dxa"/>
            <w:shd w:val="clear" w:color="auto" w:fill="F1F1F1"/>
          </w:tcPr>
          <w:p>
            <w:pPr>
              <w:pStyle w:val="TableParagraph"/>
              <w:ind w:left="350" w:right="271"/>
              <w:rPr>
                <w:sz w:val="24"/>
              </w:rPr>
            </w:pPr>
            <w:r>
              <w:rPr>
                <w:sz w:val="24"/>
              </w:rPr>
              <w:t>1.9</w:t>
            </w:r>
          </w:p>
        </w:tc>
      </w:tr>
      <w:tr>
        <w:trPr>
          <w:trHeight w:val="298" w:hRule="exact"/>
        </w:trPr>
        <w:tc>
          <w:tcPr>
            <w:tcW w:w="1622" w:type="dxa"/>
            <w:tcBorders>
              <w:right w:val="single" w:sz="4" w:space="0" w:color="7E7E7E"/>
            </w:tcBorders>
          </w:tcPr>
          <w:p>
            <w:pPr>
              <w:pStyle w:val="TableParagraph"/>
              <w:ind w:left="230" w:right="226"/>
              <w:rPr>
                <w:b/>
                <w:sz w:val="24"/>
              </w:rPr>
            </w:pPr>
            <w:r>
              <w:rPr>
                <w:b/>
                <w:sz w:val="24"/>
              </w:rPr>
              <w:t>191</w:t>
            </w:r>
          </w:p>
        </w:tc>
        <w:tc>
          <w:tcPr>
            <w:tcW w:w="2488" w:type="dxa"/>
            <w:tcBorders>
              <w:left w:val="single" w:sz="4" w:space="0" w:color="7E7E7E"/>
            </w:tcBorders>
          </w:tcPr>
          <w:p>
            <w:pPr>
              <w:pStyle w:val="TableParagraph"/>
              <w:ind w:left="548" w:right="490"/>
              <w:rPr>
                <w:sz w:val="24"/>
              </w:rPr>
            </w:pPr>
            <w:r>
              <w:rPr>
                <w:sz w:val="24"/>
              </w:rPr>
              <w:t>275.5</w:t>
            </w:r>
          </w:p>
        </w:tc>
        <w:tc>
          <w:tcPr>
            <w:tcW w:w="2285" w:type="dxa"/>
          </w:tcPr>
          <w:p>
            <w:pPr>
              <w:pStyle w:val="TableParagraph"/>
              <w:ind w:left="492" w:right="349"/>
              <w:rPr>
                <w:sz w:val="24"/>
              </w:rPr>
            </w:pPr>
            <w:r>
              <w:rPr>
                <w:sz w:val="24"/>
              </w:rPr>
              <w:t>276.7</w:t>
            </w:r>
          </w:p>
        </w:tc>
        <w:tc>
          <w:tcPr>
            <w:tcW w:w="2068" w:type="dxa"/>
          </w:tcPr>
          <w:p>
            <w:pPr>
              <w:pStyle w:val="TableParagraph"/>
              <w:ind w:left="350" w:right="271"/>
              <w:rPr>
                <w:sz w:val="24"/>
              </w:rPr>
            </w:pPr>
            <w:r>
              <w:rPr>
                <w:sz w:val="24"/>
              </w:rPr>
              <w:t>1.2</w:t>
            </w:r>
          </w:p>
        </w:tc>
      </w:tr>
      <w:tr>
        <w:trPr>
          <w:trHeight w:val="298" w:hRule="exact"/>
        </w:trPr>
        <w:tc>
          <w:tcPr>
            <w:tcW w:w="1622" w:type="dxa"/>
            <w:tcBorders>
              <w:right w:val="single" w:sz="4" w:space="0" w:color="7E7E7E"/>
            </w:tcBorders>
            <w:shd w:val="clear" w:color="auto" w:fill="F1F1F1"/>
          </w:tcPr>
          <w:p>
            <w:pPr>
              <w:pStyle w:val="TableParagraph"/>
              <w:ind w:left="230" w:right="226"/>
              <w:rPr>
                <w:b/>
                <w:sz w:val="24"/>
              </w:rPr>
            </w:pPr>
            <w:r>
              <w:rPr>
                <w:b/>
                <w:sz w:val="24"/>
              </w:rPr>
              <w:t>192</w:t>
            </w:r>
          </w:p>
        </w:tc>
        <w:tc>
          <w:tcPr>
            <w:tcW w:w="2488" w:type="dxa"/>
            <w:tcBorders>
              <w:left w:val="single" w:sz="4" w:space="0" w:color="7E7E7E"/>
            </w:tcBorders>
            <w:shd w:val="clear" w:color="auto" w:fill="F1F1F1"/>
          </w:tcPr>
          <w:p>
            <w:pPr>
              <w:pStyle w:val="TableParagraph"/>
              <w:ind w:left="548" w:right="490"/>
              <w:rPr>
                <w:sz w:val="24"/>
              </w:rPr>
            </w:pPr>
            <w:r>
              <w:rPr>
                <w:sz w:val="24"/>
              </w:rPr>
              <w:t>260.5</w:t>
            </w:r>
          </w:p>
        </w:tc>
        <w:tc>
          <w:tcPr>
            <w:tcW w:w="2285" w:type="dxa"/>
            <w:shd w:val="clear" w:color="auto" w:fill="F1F1F1"/>
          </w:tcPr>
          <w:p>
            <w:pPr>
              <w:pStyle w:val="TableParagraph"/>
              <w:ind w:left="492" w:right="349"/>
              <w:rPr>
                <w:sz w:val="24"/>
              </w:rPr>
            </w:pPr>
            <w:r>
              <w:rPr>
                <w:sz w:val="24"/>
              </w:rPr>
              <w:t>262.2</w:t>
            </w:r>
          </w:p>
        </w:tc>
        <w:tc>
          <w:tcPr>
            <w:tcW w:w="2068" w:type="dxa"/>
            <w:shd w:val="clear" w:color="auto" w:fill="F1F1F1"/>
          </w:tcPr>
          <w:p>
            <w:pPr>
              <w:pStyle w:val="TableParagraph"/>
              <w:ind w:left="350" w:right="271"/>
              <w:rPr>
                <w:sz w:val="24"/>
              </w:rPr>
            </w:pPr>
            <w:r>
              <w:rPr>
                <w:sz w:val="24"/>
              </w:rPr>
              <w:t>1.7</w:t>
            </w:r>
          </w:p>
        </w:tc>
      </w:tr>
      <w:tr>
        <w:trPr>
          <w:trHeight w:val="296" w:hRule="exact"/>
        </w:trPr>
        <w:tc>
          <w:tcPr>
            <w:tcW w:w="1622" w:type="dxa"/>
            <w:tcBorders>
              <w:right w:val="single" w:sz="4" w:space="0" w:color="7E7E7E"/>
            </w:tcBorders>
          </w:tcPr>
          <w:p>
            <w:pPr>
              <w:pStyle w:val="TableParagraph"/>
              <w:spacing w:line="270" w:lineRule="exact"/>
              <w:ind w:left="230" w:right="226"/>
              <w:rPr>
                <w:b/>
                <w:sz w:val="24"/>
              </w:rPr>
            </w:pPr>
            <w:r>
              <w:rPr>
                <w:b/>
                <w:sz w:val="24"/>
              </w:rPr>
              <w:t>193</w:t>
            </w:r>
          </w:p>
        </w:tc>
        <w:tc>
          <w:tcPr>
            <w:tcW w:w="2488" w:type="dxa"/>
            <w:tcBorders>
              <w:left w:val="single" w:sz="4" w:space="0" w:color="7E7E7E"/>
            </w:tcBorders>
          </w:tcPr>
          <w:p>
            <w:pPr>
              <w:pStyle w:val="TableParagraph"/>
              <w:spacing w:line="270" w:lineRule="exact"/>
              <w:ind w:left="548" w:right="490"/>
              <w:rPr>
                <w:sz w:val="24"/>
              </w:rPr>
            </w:pPr>
            <w:r>
              <w:rPr>
                <w:sz w:val="24"/>
              </w:rPr>
              <w:t>260.5</w:t>
            </w:r>
          </w:p>
        </w:tc>
        <w:tc>
          <w:tcPr>
            <w:tcW w:w="2285" w:type="dxa"/>
          </w:tcPr>
          <w:p>
            <w:pPr>
              <w:pStyle w:val="TableParagraph"/>
              <w:spacing w:line="270" w:lineRule="exact"/>
              <w:ind w:left="492" w:right="349"/>
              <w:rPr>
                <w:sz w:val="24"/>
              </w:rPr>
            </w:pPr>
            <w:r>
              <w:rPr>
                <w:sz w:val="24"/>
              </w:rPr>
              <w:t>262.9</w:t>
            </w:r>
          </w:p>
        </w:tc>
        <w:tc>
          <w:tcPr>
            <w:tcW w:w="2068" w:type="dxa"/>
          </w:tcPr>
          <w:p>
            <w:pPr>
              <w:pStyle w:val="TableParagraph"/>
              <w:spacing w:line="270" w:lineRule="exact"/>
              <w:ind w:left="350" w:right="271"/>
              <w:rPr>
                <w:sz w:val="24"/>
              </w:rPr>
            </w:pPr>
            <w:r>
              <w:rPr>
                <w:sz w:val="24"/>
              </w:rPr>
              <w:t>2.4</w:t>
            </w:r>
          </w:p>
        </w:tc>
      </w:tr>
      <w:tr>
        <w:trPr>
          <w:trHeight w:val="298" w:hRule="exact"/>
        </w:trPr>
        <w:tc>
          <w:tcPr>
            <w:tcW w:w="1622" w:type="dxa"/>
            <w:tcBorders>
              <w:right w:val="single" w:sz="4" w:space="0" w:color="7E7E7E"/>
            </w:tcBorders>
            <w:shd w:val="clear" w:color="auto" w:fill="F1F1F1"/>
          </w:tcPr>
          <w:p>
            <w:pPr>
              <w:pStyle w:val="TableParagraph"/>
              <w:ind w:left="230" w:right="226"/>
              <w:rPr>
                <w:b/>
                <w:sz w:val="24"/>
              </w:rPr>
            </w:pPr>
            <w:r>
              <w:rPr>
                <w:b/>
                <w:sz w:val="24"/>
              </w:rPr>
              <w:t>194</w:t>
            </w:r>
          </w:p>
        </w:tc>
        <w:tc>
          <w:tcPr>
            <w:tcW w:w="2488" w:type="dxa"/>
            <w:tcBorders>
              <w:left w:val="single" w:sz="4" w:space="0" w:color="7E7E7E"/>
            </w:tcBorders>
            <w:shd w:val="clear" w:color="auto" w:fill="F1F1F1"/>
          </w:tcPr>
          <w:p>
            <w:pPr>
              <w:pStyle w:val="TableParagraph"/>
              <w:ind w:left="548" w:right="491"/>
              <w:rPr>
                <w:sz w:val="24"/>
              </w:rPr>
            </w:pPr>
            <w:r>
              <w:rPr>
                <w:sz w:val="24"/>
              </w:rPr>
              <w:t>265</w:t>
            </w:r>
          </w:p>
        </w:tc>
        <w:tc>
          <w:tcPr>
            <w:tcW w:w="2285" w:type="dxa"/>
            <w:shd w:val="clear" w:color="auto" w:fill="F1F1F1"/>
          </w:tcPr>
          <w:p>
            <w:pPr>
              <w:pStyle w:val="TableParagraph"/>
              <w:ind w:left="492" w:right="349"/>
              <w:rPr>
                <w:sz w:val="24"/>
              </w:rPr>
            </w:pPr>
            <w:r>
              <w:rPr>
                <w:sz w:val="24"/>
              </w:rPr>
              <w:t>267.5</w:t>
            </w:r>
          </w:p>
        </w:tc>
        <w:tc>
          <w:tcPr>
            <w:tcW w:w="2068" w:type="dxa"/>
            <w:shd w:val="clear" w:color="auto" w:fill="F1F1F1"/>
          </w:tcPr>
          <w:p>
            <w:pPr>
              <w:pStyle w:val="TableParagraph"/>
              <w:ind w:left="350" w:right="271"/>
              <w:rPr>
                <w:sz w:val="24"/>
              </w:rPr>
            </w:pPr>
            <w:r>
              <w:rPr>
                <w:sz w:val="24"/>
              </w:rPr>
              <w:t>2.5</w:t>
            </w:r>
          </w:p>
        </w:tc>
      </w:tr>
      <w:tr>
        <w:trPr>
          <w:trHeight w:val="298" w:hRule="exact"/>
        </w:trPr>
        <w:tc>
          <w:tcPr>
            <w:tcW w:w="1622" w:type="dxa"/>
            <w:tcBorders>
              <w:right w:val="single" w:sz="4" w:space="0" w:color="7E7E7E"/>
            </w:tcBorders>
          </w:tcPr>
          <w:p>
            <w:pPr>
              <w:pStyle w:val="TableParagraph"/>
              <w:ind w:left="230" w:right="226"/>
              <w:rPr>
                <w:b/>
                <w:sz w:val="24"/>
              </w:rPr>
            </w:pPr>
            <w:r>
              <w:rPr>
                <w:b/>
                <w:sz w:val="24"/>
              </w:rPr>
              <w:t>195</w:t>
            </w:r>
          </w:p>
        </w:tc>
        <w:tc>
          <w:tcPr>
            <w:tcW w:w="2488" w:type="dxa"/>
            <w:tcBorders>
              <w:left w:val="single" w:sz="4" w:space="0" w:color="7E7E7E"/>
            </w:tcBorders>
          </w:tcPr>
          <w:p>
            <w:pPr>
              <w:pStyle w:val="TableParagraph"/>
              <w:ind w:left="548" w:right="491"/>
              <w:rPr>
                <w:sz w:val="24"/>
              </w:rPr>
            </w:pPr>
            <w:r>
              <w:rPr>
                <w:sz w:val="24"/>
              </w:rPr>
              <w:t>277</w:t>
            </w:r>
          </w:p>
        </w:tc>
        <w:tc>
          <w:tcPr>
            <w:tcW w:w="2285" w:type="dxa"/>
          </w:tcPr>
          <w:p>
            <w:pPr>
              <w:pStyle w:val="TableParagraph"/>
              <w:ind w:left="492" w:right="349"/>
              <w:rPr>
                <w:sz w:val="24"/>
              </w:rPr>
            </w:pPr>
            <w:r>
              <w:rPr>
                <w:sz w:val="24"/>
              </w:rPr>
              <w:t>277.5</w:t>
            </w:r>
          </w:p>
        </w:tc>
        <w:tc>
          <w:tcPr>
            <w:tcW w:w="2068" w:type="dxa"/>
          </w:tcPr>
          <w:p>
            <w:pPr>
              <w:pStyle w:val="TableParagraph"/>
              <w:ind w:left="350" w:right="271"/>
              <w:rPr>
                <w:sz w:val="24"/>
              </w:rPr>
            </w:pPr>
            <w:r>
              <w:rPr>
                <w:sz w:val="24"/>
              </w:rPr>
              <w:t>0.5</w:t>
            </w:r>
          </w:p>
        </w:tc>
      </w:tr>
      <w:tr>
        <w:trPr>
          <w:trHeight w:val="298" w:hRule="exact"/>
        </w:trPr>
        <w:tc>
          <w:tcPr>
            <w:tcW w:w="1622" w:type="dxa"/>
            <w:tcBorders>
              <w:right w:val="single" w:sz="4" w:space="0" w:color="7E7E7E"/>
            </w:tcBorders>
            <w:shd w:val="clear" w:color="auto" w:fill="F1F1F1"/>
          </w:tcPr>
          <w:p>
            <w:pPr>
              <w:pStyle w:val="TableParagraph"/>
              <w:ind w:left="230" w:right="226"/>
              <w:rPr>
                <w:b/>
                <w:sz w:val="24"/>
              </w:rPr>
            </w:pPr>
            <w:r>
              <w:rPr>
                <w:b/>
                <w:sz w:val="24"/>
              </w:rPr>
              <w:t>196</w:t>
            </w:r>
          </w:p>
        </w:tc>
        <w:tc>
          <w:tcPr>
            <w:tcW w:w="2488" w:type="dxa"/>
            <w:tcBorders>
              <w:left w:val="single" w:sz="4" w:space="0" w:color="7E7E7E"/>
            </w:tcBorders>
            <w:shd w:val="clear" w:color="auto" w:fill="F1F1F1"/>
          </w:tcPr>
          <w:p>
            <w:pPr>
              <w:pStyle w:val="TableParagraph"/>
              <w:ind w:left="548" w:right="491"/>
              <w:rPr>
                <w:sz w:val="24"/>
              </w:rPr>
            </w:pPr>
            <w:r>
              <w:rPr>
                <w:sz w:val="24"/>
              </w:rPr>
              <w:t>275</w:t>
            </w:r>
          </w:p>
        </w:tc>
        <w:tc>
          <w:tcPr>
            <w:tcW w:w="2285" w:type="dxa"/>
            <w:shd w:val="clear" w:color="auto" w:fill="F1F1F1"/>
          </w:tcPr>
          <w:p>
            <w:pPr>
              <w:pStyle w:val="TableParagraph"/>
              <w:ind w:left="492" w:right="349"/>
              <w:rPr>
                <w:sz w:val="24"/>
              </w:rPr>
            </w:pPr>
            <w:r>
              <w:rPr>
                <w:sz w:val="24"/>
              </w:rPr>
              <w:t>276.6</w:t>
            </w:r>
          </w:p>
        </w:tc>
        <w:tc>
          <w:tcPr>
            <w:tcW w:w="2068" w:type="dxa"/>
            <w:shd w:val="clear" w:color="auto" w:fill="F1F1F1"/>
          </w:tcPr>
          <w:p>
            <w:pPr>
              <w:pStyle w:val="TableParagraph"/>
              <w:ind w:left="350" w:right="271"/>
              <w:rPr>
                <w:sz w:val="24"/>
              </w:rPr>
            </w:pPr>
            <w:r>
              <w:rPr>
                <w:sz w:val="24"/>
              </w:rPr>
              <w:t>1.6</w:t>
            </w:r>
          </w:p>
        </w:tc>
      </w:tr>
      <w:tr>
        <w:trPr>
          <w:trHeight w:val="295" w:hRule="exact"/>
        </w:trPr>
        <w:tc>
          <w:tcPr>
            <w:tcW w:w="1622" w:type="dxa"/>
            <w:tcBorders>
              <w:right w:val="single" w:sz="4" w:space="0" w:color="7E7E7E"/>
            </w:tcBorders>
          </w:tcPr>
          <w:p>
            <w:pPr>
              <w:pStyle w:val="TableParagraph"/>
              <w:ind w:left="230" w:right="226"/>
              <w:rPr>
                <w:b/>
                <w:sz w:val="24"/>
              </w:rPr>
            </w:pPr>
            <w:r>
              <w:rPr>
                <w:b/>
                <w:sz w:val="24"/>
              </w:rPr>
              <w:t>197</w:t>
            </w:r>
          </w:p>
        </w:tc>
        <w:tc>
          <w:tcPr>
            <w:tcW w:w="2488" w:type="dxa"/>
            <w:tcBorders>
              <w:left w:val="single" w:sz="4" w:space="0" w:color="7E7E7E"/>
            </w:tcBorders>
          </w:tcPr>
          <w:p>
            <w:pPr>
              <w:pStyle w:val="TableParagraph"/>
              <w:ind w:left="548" w:right="490"/>
              <w:rPr>
                <w:sz w:val="24"/>
              </w:rPr>
            </w:pPr>
            <w:r>
              <w:rPr>
                <w:sz w:val="24"/>
              </w:rPr>
              <w:t>282.5</w:t>
            </w:r>
          </w:p>
        </w:tc>
        <w:tc>
          <w:tcPr>
            <w:tcW w:w="2285" w:type="dxa"/>
          </w:tcPr>
          <w:p>
            <w:pPr>
              <w:pStyle w:val="TableParagraph"/>
              <w:ind w:left="492" w:right="345"/>
              <w:rPr>
                <w:sz w:val="24"/>
              </w:rPr>
            </w:pPr>
            <w:r>
              <w:rPr>
                <w:sz w:val="24"/>
              </w:rPr>
              <w:t>283</w:t>
            </w:r>
          </w:p>
        </w:tc>
        <w:tc>
          <w:tcPr>
            <w:tcW w:w="2068" w:type="dxa"/>
          </w:tcPr>
          <w:p>
            <w:pPr>
              <w:pStyle w:val="TableParagraph"/>
              <w:ind w:left="350" w:right="271"/>
              <w:rPr>
                <w:sz w:val="24"/>
              </w:rPr>
            </w:pPr>
            <w:r>
              <w:rPr>
                <w:sz w:val="24"/>
              </w:rPr>
              <w:t>0.5</w:t>
            </w:r>
          </w:p>
        </w:tc>
      </w:tr>
      <w:tr>
        <w:trPr>
          <w:trHeight w:val="298" w:hRule="exact"/>
        </w:trPr>
        <w:tc>
          <w:tcPr>
            <w:tcW w:w="1622" w:type="dxa"/>
            <w:tcBorders>
              <w:right w:val="single" w:sz="4" w:space="0" w:color="7E7E7E"/>
            </w:tcBorders>
            <w:shd w:val="clear" w:color="auto" w:fill="F1F1F1"/>
          </w:tcPr>
          <w:p>
            <w:pPr>
              <w:pStyle w:val="TableParagraph"/>
              <w:ind w:left="230" w:right="226"/>
              <w:rPr>
                <w:b/>
                <w:sz w:val="24"/>
              </w:rPr>
            </w:pPr>
            <w:r>
              <w:rPr>
                <w:b/>
                <w:sz w:val="24"/>
              </w:rPr>
              <w:t>198</w:t>
            </w:r>
          </w:p>
        </w:tc>
        <w:tc>
          <w:tcPr>
            <w:tcW w:w="2488" w:type="dxa"/>
            <w:tcBorders>
              <w:left w:val="single" w:sz="4" w:space="0" w:color="7E7E7E"/>
            </w:tcBorders>
            <w:shd w:val="clear" w:color="auto" w:fill="F1F1F1"/>
          </w:tcPr>
          <w:p>
            <w:pPr>
              <w:pStyle w:val="TableParagraph"/>
              <w:ind w:left="548" w:right="490"/>
              <w:rPr>
                <w:sz w:val="24"/>
              </w:rPr>
            </w:pPr>
            <w:r>
              <w:rPr>
                <w:sz w:val="24"/>
              </w:rPr>
              <w:t>269.5</w:t>
            </w:r>
          </w:p>
        </w:tc>
        <w:tc>
          <w:tcPr>
            <w:tcW w:w="2285" w:type="dxa"/>
            <w:shd w:val="clear" w:color="auto" w:fill="F1F1F1"/>
          </w:tcPr>
          <w:p>
            <w:pPr>
              <w:pStyle w:val="TableParagraph"/>
              <w:ind w:left="492" w:right="349"/>
              <w:rPr>
                <w:sz w:val="24"/>
              </w:rPr>
            </w:pPr>
            <w:r>
              <w:rPr>
                <w:sz w:val="24"/>
              </w:rPr>
              <w:t>274.5</w:t>
            </w:r>
          </w:p>
        </w:tc>
        <w:tc>
          <w:tcPr>
            <w:tcW w:w="2068" w:type="dxa"/>
            <w:shd w:val="clear" w:color="auto" w:fill="F1F1F1"/>
          </w:tcPr>
          <w:p>
            <w:pPr>
              <w:pStyle w:val="TableParagraph"/>
              <w:ind w:left="75"/>
              <w:rPr>
                <w:sz w:val="24"/>
              </w:rPr>
            </w:pPr>
            <w:r>
              <w:rPr>
                <w:w w:val="99"/>
                <w:sz w:val="24"/>
              </w:rPr>
              <w:t>5</w:t>
            </w:r>
          </w:p>
        </w:tc>
      </w:tr>
      <w:tr>
        <w:trPr>
          <w:trHeight w:val="298" w:hRule="exact"/>
        </w:trPr>
        <w:tc>
          <w:tcPr>
            <w:tcW w:w="1622" w:type="dxa"/>
            <w:tcBorders>
              <w:right w:val="single" w:sz="4" w:space="0" w:color="7E7E7E"/>
            </w:tcBorders>
          </w:tcPr>
          <w:p>
            <w:pPr>
              <w:pStyle w:val="TableParagraph"/>
              <w:ind w:left="230" w:right="226"/>
              <w:rPr>
                <w:b/>
                <w:sz w:val="24"/>
              </w:rPr>
            </w:pPr>
            <w:r>
              <w:rPr>
                <w:b/>
                <w:sz w:val="24"/>
              </w:rPr>
              <w:t>199</w:t>
            </w:r>
          </w:p>
        </w:tc>
        <w:tc>
          <w:tcPr>
            <w:tcW w:w="2488" w:type="dxa"/>
            <w:tcBorders>
              <w:left w:val="single" w:sz="4" w:space="0" w:color="7E7E7E"/>
            </w:tcBorders>
          </w:tcPr>
          <w:p>
            <w:pPr>
              <w:pStyle w:val="TableParagraph"/>
              <w:ind w:left="548" w:right="491"/>
              <w:rPr>
                <w:sz w:val="24"/>
              </w:rPr>
            </w:pPr>
            <w:r>
              <w:rPr>
                <w:sz w:val="24"/>
              </w:rPr>
              <w:t>285</w:t>
            </w:r>
          </w:p>
        </w:tc>
        <w:tc>
          <w:tcPr>
            <w:tcW w:w="2285" w:type="dxa"/>
          </w:tcPr>
          <w:p>
            <w:pPr>
              <w:pStyle w:val="TableParagraph"/>
              <w:ind w:left="492" w:right="349"/>
              <w:rPr>
                <w:sz w:val="24"/>
              </w:rPr>
            </w:pPr>
            <w:r>
              <w:rPr>
                <w:sz w:val="24"/>
              </w:rPr>
              <w:t>288.1</w:t>
            </w:r>
          </w:p>
        </w:tc>
        <w:tc>
          <w:tcPr>
            <w:tcW w:w="2068" w:type="dxa"/>
          </w:tcPr>
          <w:p>
            <w:pPr>
              <w:pStyle w:val="TableParagraph"/>
              <w:ind w:left="350" w:right="271"/>
              <w:rPr>
                <w:sz w:val="24"/>
              </w:rPr>
            </w:pPr>
            <w:r>
              <w:rPr>
                <w:sz w:val="24"/>
              </w:rPr>
              <w:t>3.1</w:t>
            </w:r>
          </w:p>
        </w:tc>
      </w:tr>
      <w:tr>
        <w:trPr>
          <w:trHeight w:val="312" w:hRule="exact"/>
        </w:trPr>
        <w:tc>
          <w:tcPr>
            <w:tcW w:w="1622" w:type="dxa"/>
            <w:tcBorders>
              <w:right w:val="single" w:sz="4" w:space="0" w:color="7E7E7E"/>
            </w:tcBorders>
            <w:shd w:val="clear" w:color="auto" w:fill="F1F1F1"/>
          </w:tcPr>
          <w:p>
            <w:pPr>
              <w:pStyle w:val="TableParagraph"/>
              <w:ind w:left="230" w:right="226"/>
              <w:rPr>
                <w:b/>
                <w:sz w:val="24"/>
              </w:rPr>
            </w:pPr>
            <w:r>
              <w:rPr>
                <w:b/>
                <w:sz w:val="24"/>
              </w:rPr>
              <w:t>200</w:t>
            </w:r>
          </w:p>
        </w:tc>
        <w:tc>
          <w:tcPr>
            <w:tcW w:w="2488" w:type="dxa"/>
            <w:tcBorders>
              <w:left w:val="single" w:sz="4" w:space="0" w:color="7E7E7E"/>
            </w:tcBorders>
            <w:shd w:val="clear" w:color="auto" w:fill="F1F1F1"/>
          </w:tcPr>
          <w:p>
            <w:pPr>
              <w:pStyle w:val="TableParagraph"/>
              <w:ind w:left="548" w:right="491"/>
              <w:rPr>
                <w:sz w:val="24"/>
              </w:rPr>
            </w:pPr>
            <w:r>
              <w:rPr>
                <w:sz w:val="24"/>
              </w:rPr>
              <w:t>277</w:t>
            </w:r>
          </w:p>
        </w:tc>
        <w:tc>
          <w:tcPr>
            <w:tcW w:w="2285" w:type="dxa"/>
            <w:shd w:val="clear" w:color="auto" w:fill="F1F1F1"/>
          </w:tcPr>
          <w:p>
            <w:pPr>
              <w:pStyle w:val="TableParagraph"/>
              <w:ind w:left="492" w:right="345"/>
              <w:rPr>
                <w:sz w:val="24"/>
              </w:rPr>
            </w:pPr>
            <w:r>
              <w:rPr>
                <w:sz w:val="24"/>
              </w:rPr>
              <w:t>279</w:t>
            </w:r>
          </w:p>
        </w:tc>
        <w:tc>
          <w:tcPr>
            <w:tcW w:w="2068" w:type="dxa"/>
            <w:shd w:val="clear" w:color="auto" w:fill="F1F1F1"/>
          </w:tcPr>
          <w:p>
            <w:pPr>
              <w:pStyle w:val="TableParagraph"/>
              <w:ind w:left="75"/>
              <w:rPr>
                <w:sz w:val="24"/>
              </w:rPr>
            </w:pPr>
            <w:r>
              <w:rPr>
                <w:w w:val="99"/>
                <w:sz w:val="24"/>
              </w:rPr>
              <w:t>2</w:t>
            </w:r>
          </w:p>
        </w:tc>
      </w:tr>
      <w:tr>
        <w:trPr>
          <w:trHeight w:val="312" w:hRule="exact"/>
        </w:trPr>
        <w:tc>
          <w:tcPr>
            <w:tcW w:w="1622" w:type="dxa"/>
            <w:tcBorders>
              <w:right w:val="single" w:sz="4" w:space="0" w:color="7E7E7E"/>
            </w:tcBorders>
          </w:tcPr>
          <w:p>
            <w:pPr>
              <w:pStyle w:val="TableParagraph"/>
              <w:ind w:left="230" w:right="225"/>
              <w:rPr>
                <w:b/>
                <w:sz w:val="24"/>
              </w:rPr>
            </w:pPr>
            <w:r>
              <w:rPr>
                <w:b/>
                <w:sz w:val="24"/>
              </w:rPr>
              <w:t>PROM</w:t>
            </w:r>
          </w:p>
        </w:tc>
        <w:tc>
          <w:tcPr>
            <w:tcW w:w="2488" w:type="dxa"/>
            <w:tcBorders>
              <w:left w:val="single" w:sz="4" w:space="0" w:color="7E7E7E"/>
            </w:tcBorders>
          </w:tcPr>
          <w:p>
            <w:pPr>
              <w:pStyle w:val="TableParagraph"/>
              <w:ind w:left="547" w:right="492"/>
              <w:rPr>
                <w:sz w:val="24"/>
              </w:rPr>
            </w:pPr>
            <w:r>
              <w:rPr>
                <w:sz w:val="24"/>
              </w:rPr>
              <w:t>274.8725</w:t>
            </w:r>
          </w:p>
        </w:tc>
        <w:tc>
          <w:tcPr>
            <w:tcW w:w="2285" w:type="dxa"/>
          </w:tcPr>
          <w:p>
            <w:pPr>
              <w:pStyle w:val="TableParagraph"/>
              <w:ind w:left="492" w:right="346"/>
              <w:rPr>
                <w:sz w:val="24"/>
              </w:rPr>
            </w:pPr>
            <w:r>
              <w:rPr>
                <w:sz w:val="24"/>
              </w:rPr>
              <w:t>277.9185</w:t>
            </w:r>
          </w:p>
        </w:tc>
        <w:tc>
          <w:tcPr>
            <w:tcW w:w="2068" w:type="dxa"/>
          </w:tcPr>
          <w:p>
            <w:pPr>
              <w:pStyle w:val="TableParagraph"/>
              <w:ind w:left="350" w:right="274"/>
              <w:rPr>
                <w:sz w:val="24"/>
              </w:rPr>
            </w:pPr>
            <w:r>
              <w:rPr>
                <w:sz w:val="24"/>
              </w:rPr>
              <w:t>3.046</w:t>
            </w:r>
          </w:p>
        </w:tc>
      </w:tr>
      <w:tr>
        <w:trPr>
          <w:trHeight w:val="312" w:hRule="exact"/>
        </w:trPr>
        <w:tc>
          <w:tcPr>
            <w:tcW w:w="1622" w:type="dxa"/>
            <w:tcBorders>
              <w:right w:val="single" w:sz="4" w:space="0" w:color="7E7E7E"/>
            </w:tcBorders>
            <w:shd w:val="clear" w:color="auto" w:fill="F1F1F1"/>
          </w:tcPr>
          <w:p>
            <w:pPr>
              <w:pStyle w:val="TableParagraph"/>
              <w:ind w:left="230" w:right="226"/>
              <w:rPr>
                <w:b/>
                <w:sz w:val="24"/>
              </w:rPr>
            </w:pPr>
            <w:r>
              <w:rPr>
                <w:b/>
                <w:sz w:val="24"/>
              </w:rPr>
              <w:t>DESVEST</w:t>
            </w:r>
          </w:p>
        </w:tc>
        <w:tc>
          <w:tcPr>
            <w:tcW w:w="2488" w:type="dxa"/>
            <w:tcBorders>
              <w:left w:val="single" w:sz="4" w:space="0" w:color="7E7E7E"/>
            </w:tcBorders>
            <w:shd w:val="clear" w:color="auto" w:fill="F1F1F1"/>
          </w:tcPr>
          <w:p>
            <w:pPr>
              <w:pStyle w:val="TableParagraph"/>
              <w:ind w:left="548" w:right="492"/>
              <w:rPr>
                <w:sz w:val="24"/>
              </w:rPr>
            </w:pPr>
            <w:r>
              <w:rPr>
                <w:sz w:val="24"/>
              </w:rPr>
              <w:t>11.01871381</w:t>
            </w:r>
          </w:p>
        </w:tc>
        <w:tc>
          <w:tcPr>
            <w:tcW w:w="2285" w:type="dxa"/>
            <w:shd w:val="clear" w:color="auto" w:fill="F1F1F1"/>
          </w:tcPr>
          <w:p>
            <w:pPr>
              <w:pStyle w:val="TableParagraph"/>
              <w:ind w:left="492" w:right="351"/>
              <w:rPr>
                <w:sz w:val="24"/>
              </w:rPr>
            </w:pPr>
            <w:r>
              <w:rPr>
                <w:sz w:val="24"/>
              </w:rPr>
              <w:t>10.60012837</w:t>
            </w:r>
          </w:p>
        </w:tc>
        <w:tc>
          <w:tcPr>
            <w:tcW w:w="2068" w:type="dxa"/>
            <w:shd w:val="clear" w:color="auto" w:fill="F1F1F1"/>
          </w:tcPr>
          <w:p>
            <w:pPr>
              <w:pStyle w:val="TableParagraph"/>
              <w:ind w:left="350" w:right="275"/>
              <w:rPr>
                <w:sz w:val="24"/>
              </w:rPr>
            </w:pPr>
            <w:r>
              <w:rPr>
                <w:sz w:val="24"/>
              </w:rPr>
              <w:t>2.283474387</w:t>
            </w:r>
          </w:p>
        </w:tc>
      </w:tr>
    </w:tbl>
    <w:p>
      <w:pPr>
        <w:spacing w:after="0"/>
        <w:rPr>
          <w:sz w:val="24"/>
        </w:rPr>
        <w:sectPr>
          <w:pgSz w:w="11910" w:h="16840"/>
          <w:pgMar w:header="0" w:footer="983" w:top="1400" w:bottom="1180" w:left="1480" w:right="1580"/>
        </w:sectPr>
      </w:pPr>
    </w:p>
    <w:p>
      <w:pPr>
        <w:pStyle w:val="Heading2"/>
        <w:spacing w:line="312" w:lineRule="auto" w:before="40"/>
      </w:pPr>
      <w:r>
        <w:rPr/>
        <w:t>ANEXO 4. CONTROL CHARTS DEL ANTES Y DESPUES DE LOGRAR LOS RESULTADOS</w:t>
      </w:r>
    </w:p>
    <w:p>
      <w:pPr>
        <w:pStyle w:val="BodyText"/>
        <w:spacing w:before="7"/>
        <w:rPr>
          <w:b/>
          <w:sz w:val="31"/>
        </w:rPr>
      </w:pPr>
    </w:p>
    <w:p>
      <w:pPr>
        <w:spacing w:before="0"/>
        <w:ind w:left="102" w:right="0" w:firstLine="0"/>
        <w:jc w:val="left"/>
        <w:rPr>
          <w:b/>
          <w:sz w:val="24"/>
        </w:rPr>
      </w:pPr>
      <w:r>
        <w:rPr>
          <w:b/>
          <w:sz w:val="24"/>
        </w:rPr>
        <w:t>Turno A</w:t>
      </w:r>
    </w:p>
    <w:p>
      <w:pPr>
        <w:pStyle w:val="BodyText"/>
        <w:rPr>
          <w:b/>
        </w:rPr>
      </w:pPr>
    </w:p>
    <w:p>
      <w:pPr>
        <w:pStyle w:val="ListParagraph"/>
        <w:numPr>
          <w:ilvl w:val="0"/>
          <w:numId w:val="29"/>
        </w:numPr>
        <w:tabs>
          <w:tab w:pos="424" w:val="left" w:leader="none"/>
        </w:tabs>
        <w:spacing w:line="240" w:lineRule="auto" w:before="168" w:after="0"/>
        <w:ind w:left="423" w:right="0" w:hanging="321"/>
        <w:jc w:val="left"/>
        <w:rPr>
          <w:b/>
          <w:sz w:val="24"/>
        </w:rPr>
      </w:pPr>
      <w:r>
        <w:rPr>
          <w:b/>
          <w:sz w:val="24"/>
        </w:rPr>
        <w:t>Antes de realizar la propuesta</w:t>
      </w:r>
      <w:r>
        <w:rPr>
          <w:b/>
          <w:spacing w:val="-14"/>
          <w:sz w:val="24"/>
        </w:rPr>
        <w:t> </w:t>
      </w:r>
      <w:r>
        <w:rPr>
          <w:b/>
          <w:sz w:val="24"/>
        </w:rPr>
        <w:t>innovadora</w:t>
      </w:r>
    </w:p>
    <w:p>
      <w:pPr>
        <w:pStyle w:val="BodyText"/>
        <w:rPr>
          <w:b/>
          <w:sz w:val="28"/>
        </w:rPr>
      </w:pPr>
      <w:r>
        <w:rPr/>
        <w:drawing>
          <wp:anchor distT="0" distB="0" distL="0" distR="0" allowOverlap="1" layoutInCell="1" locked="0" behindDoc="0" simplePos="0" relativeHeight="3616">
            <wp:simplePos x="0" y="0"/>
            <wp:positionH relativeFrom="page">
              <wp:posOffset>1447800</wp:posOffset>
            </wp:positionH>
            <wp:positionV relativeFrom="paragraph">
              <wp:posOffset>229578</wp:posOffset>
            </wp:positionV>
            <wp:extent cx="4645842" cy="2816352"/>
            <wp:effectExtent l="0" t="0" r="0" b="0"/>
            <wp:wrapTopAndBottom/>
            <wp:docPr id="61" name="image31.png" descr=""/>
            <wp:cNvGraphicFramePr>
              <a:graphicFrameLocks noChangeAspect="1"/>
            </wp:cNvGraphicFramePr>
            <a:graphic>
              <a:graphicData uri="http://schemas.openxmlformats.org/drawingml/2006/picture">
                <pic:pic>
                  <pic:nvPicPr>
                    <pic:cNvPr id="62" name="image31.png"/>
                    <pic:cNvPicPr/>
                  </pic:nvPicPr>
                  <pic:blipFill>
                    <a:blip r:embed="rId62" cstate="print"/>
                    <a:stretch>
                      <a:fillRect/>
                    </a:stretch>
                  </pic:blipFill>
                  <pic:spPr>
                    <a:xfrm>
                      <a:off x="0" y="0"/>
                      <a:ext cx="4645842" cy="2816352"/>
                    </a:xfrm>
                    <a:prstGeom prst="rect">
                      <a:avLst/>
                    </a:prstGeom>
                  </pic:spPr>
                </pic:pic>
              </a:graphicData>
            </a:graphic>
          </wp:anchor>
        </w:drawing>
      </w:r>
    </w:p>
    <w:p>
      <w:pPr>
        <w:pStyle w:val="BodyText"/>
        <w:rPr>
          <w:b/>
        </w:rPr>
      </w:pPr>
    </w:p>
    <w:p>
      <w:pPr>
        <w:pStyle w:val="ListParagraph"/>
        <w:numPr>
          <w:ilvl w:val="0"/>
          <w:numId w:val="29"/>
        </w:numPr>
        <w:tabs>
          <w:tab w:pos="421" w:val="left" w:leader="none"/>
        </w:tabs>
        <w:spacing w:line="240" w:lineRule="auto" w:before="157" w:after="0"/>
        <w:ind w:left="420" w:right="0" w:hanging="318"/>
        <w:jc w:val="left"/>
        <w:rPr>
          <w:b/>
          <w:sz w:val="24"/>
        </w:rPr>
      </w:pPr>
      <w:r>
        <w:rPr>
          <w:b/>
          <w:sz w:val="24"/>
        </w:rPr>
        <w:t>Después de realizar la propuesta</w:t>
      </w:r>
      <w:r>
        <w:rPr>
          <w:b/>
          <w:spacing w:val="-12"/>
          <w:sz w:val="24"/>
        </w:rPr>
        <w:t> </w:t>
      </w:r>
      <w:r>
        <w:rPr>
          <w:b/>
          <w:sz w:val="24"/>
        </w:rPr>
        <w:t>innovadora</w:t>
      </w:r>
    </w:p>
    <w:p>
      <w:pPr>
        <w:pStyle w:val="BodyText"/>
        <w:spacing w:before="8"/>
        <w:rPr>
          <w:b/>
          <w:sz w:val="27"/>
        </w:rPr>
      </w:pPr>
      <w:r>
        <w:rPr/>
        <w:drawing>
          <wp:anchor distT="0" distB="0" distL="0" distR="0" allowOverlap="1" layoutInCell="1" locked="0" behindDoc="0" simplePos="0" relativeHeight="3640">
            <wp:simplePos x="0" y="0"/>
            <wp:positionH relativeFrom="page">
              <wp:posOffset>1447800</wp:posOffset>
            </wp:positionH>
            <wp:positionV relativeFrom="paragraph">
              <wp:posOffset>227419</wp:posOffset>
            </wp:positionV>
            <wp:extent cx="4651582" cy="2889504"/>
            <wp:effectExtent l="0" t="0" r="0" b="0"/>
            <wp:wrapTopAndBottom/>
            <wp:docPr id="63" name="image32.png" descr=""/>
            <wp:cNvGraphicFramePr>
              <a:graphicFrameLocks noChangeAspect="1"/>
            </wp:cNvGraphicFramePr>
            <a:graphic>
              <a:graphicData uri="http://schemas.openxmlformats.org/drawingml/2006/picture">
                <pic:pic>
                  <pic:nvPicPr>
                    <pic:cNvPr id="64" name="image32.png"/>
                    <pic:cNvPicPr/>
                  </pic:nvPicPr>
                  <pic:blipFill>
                    <a:blip r:embed="rId63" cstate="print"/>
                    <a:stretch>
                      <a:fillRect/>
                    </a:stretch>
                  </pic:blipFill>
                  <pic:spPr>
                    <a:xfrm>
                      <a:off x="0" y="0"/>
                      <a:ext cx="4651582" cy="2889504"/>
                    </a:xfrm>
                    <a:prstGeom prst="rect">
                      <a:avLst/>
                    </a:prstGeom>
                  </pic:spPr>
                </pic:pic>
              </a:graphicData>
            </a:graphic>
          </wp:anchor>
        </w:drawing>
      </w:r>
    </w:p>
    <w:p>
      <w:pPr>
        <w:spacing w:after="0"/>
        <w:rPr>
          <w:sz w:val="27"/>
        </w:rPr>
        <w:sectPr>
          <w:pgSz w:w="11910" w:h="16840"/>
          <w:pgMar w:header="0" w:footer="983" w:top="1440" w:bottom="1180" w:left="1600" w:right="1580"/>
        </w:sectPr>
      </w:pPr>
    </w:p>
    <w:p>
      <w:pPr>
        <w:spacing w:before="40"/>
        <w:ind w:left="102" w:right="0" w:firstLine="0"/>
        <w:jc w:val="left"/>
        <w:rPr>
          <w:b/>
          <w:sz w:val="24"/>
        </w:rPr>
      </w:pPr>
      <w:r>
        <w:rPr>
          <w:b/>
          <w:sz w:val="24"/>
        </w:rPr>
        <w:t>Turno B</w:t>
      </w:r>
    </w:p>
    <w:p>
      <w:pPr>
        <w:pStyle w:val="BodyText"/>
        <w:rPr>
          <w:b/>
        </w:rPr>
      </w:pPr>
    </w:p>
    <w:p>
      <w:pPr>
        <w:pStyle w:val="ListParagraph"/>
        <w:numPr>
          <w:ilvl w:val="0"/>
          <w:numId w:val="30"/>
        </w:numPr>
        <w:tabs>
          <w:tab w:pos="424" w:val="left" w:leader="none"/>
        </w:tabs>
        <w:spacing w:line="240" w:lineRule="auto" w:before="168" w:after="0"/>
        <w:ind w:left="423" w:right="0" w:hanging="321"/>
        <w:jc w:val="left"/>
        <w:rPr>
          <w:b/>
          <w:sz w:val="24"/>
        </w:rPr>
      </w:pPr>
      <w:r>
        <w:rPr>
          <w:b/>
          <w:sz w:val="24"/>
        </w:rPr>
        <w:t>Antes de realizar la propuesta</w:t>
      </w:r>
      <w:r>
        <w:rPr>
          <w:b/>
          <w:spacing w:val="-14"/>
          <w:sz w:val="24"/>
        </w:rPr>
        <w:t> </w:t>
      </w:r>
      <w:r>
        <w:rPr>
          <w:b/>
          <w:sz w:val="24"/>
        </w:rPr>
        <w:t>innovadora</w:t>
      </w:r>
    </w:p>
    <w:p>
      <w:pPr>
        <w:pStyle w:val="BodyText"/>
        <w:rPr>
          <w:b/>
          <w:sz w:val="28"/>
        </w:rPr>
      </w:pPr>
      <w:r>
        <w:rPr/>
        <w:drawing>
          <wp:anchor distT="0" distB="0" distL="0" distR="0" allowOverlap="1" layoutInCell="1" locked="0" behindDoc="0" simplePos="0" relativeHeight="3664">
            <wp:simplePos x="0" y="0"/>
            <wp:positionH relativeFrom="page">
              <wp:posOffset>1478280</wp:posOffset>
            </wp:positionH>
            <wp:positionV relativeFrom="paragraph">
              <wp:posOffset>229578</wp:posOffset>
            </wp:positionV>
            <wp:extent cx="4576142" cy="2670048"/>
            <wp:effectExtent l="0" t="0" r="0" b="0"/>
            <wp:wrapTopAndBottom/>
            <wp:docPr id="65" name="image33.png" descr=""/>
            <wp:cNvGraphicFramePr>
              <a:graphicFrameLocks noChangeAspect="1"/>
            </wp:cNvGraphicFramePr>
            <a:graphic>
              <a:graphicData uri="http://schemas.openxmlformats.org/drawingml/2006/picture">
                <pic:pic>
                  <pic:nvPicPr>
                    <pic:cNvPr id="66" name="image33.png"/>
                    <pic:cNvPicPr/>
                  </pic:nvPicPr>
                  <pic:blipFill>
                    <a:blip r:embed="rId64" cstate="print"/>
                    <a:stretch>
                      <a:fillRect/>
                    </a:stretch>
                  </pic:blipFill>
                  <pic:spPr>
                    <a:xfrm>
                      <a:off x="0" y="0"/>
                      <a:ext cx="4576142" cy="2670048"/>
                    </a:xfrm>
                    <a:prstGeom prst="rect">
                      <a:avLst/>
                    </a:prstGeom>
                  </pic:spPr>
                </pic:pic>
              </a:graphicData>
            </a:graphic>
          </wp:anchor>
        </w:drawing>
      </w:r>
    </w:p>
    <w:p>
      <w:pPr>
        <w:pStyle w:val="BodyText"/>
        <w:rPr>
          <w:b/>
        </w:rPr>
      </w:pPr>
    </w:p>
    <w:p>
      <w:pPr>
        <w:pStyle w:val="ListParagraph"/>
        <w:numPr>
          <w:ilvl w:val="0"/>
          <w:numId w:val="30"/>
        </w:numPr>
        <w:tabs>
          <w:tab w:pos="421" w:val="left" w:leader="none"/>
        </w:tabs>
        <w:spacing w:line="240" w:lineRule="auto" w:before="162" w:after="0"/>
        <w:ind w:left="420" w:right="0" w:hanging="318"/>
        <w:jc w:val="left"/>
        <w:rPr>
          <w:b/>
          <w:sz w:val="24"/>
        </w:rPr>
      </w:pPr>
      <w:r>
        <w:rPr>
          <w:b/>
          <w:sz w:val="24"/>
        </w:rPr>
        <w:t>Después de realizar la propuesta</w:t>
      </w:r>
      <w:r>
        <w:rPr>
          <w:b/>
          <w:spacing w:val="-12"/>
          <w:sz w:val="24"/>
        </w:rPr>
        <w:t> </w:t>
      </w:r>
      <w:r>
        <w:rPr>
          <w:b/>
          <w:sz w:val="24"/>
        </w:rPr>
        <w:t>innovadora</w:t>
      </w:r>
    </w:p>
    <w:p>
      <w:pPr>
        <w:pStyle w:val="BodyText"/>
        <w:rPr>
          <w:b/>
          <w:sz w:val="28"/>
        </w:rPr>
      </w:pPr>
      <w:r>
        <w:rPr/>
        <w:drawing>
          <wp:anchor distT="0" distB="0" distL="0" distR="0" allowOverlap="1" layoutInCell="1" locked="0" behindDoc="0" simplePos="0" relativeHeight="3688">
            <wp:simplePos x="0" y="0"/>
            <wp:positionH relativeFrom="page">
              <wp:posOffset>1385569</wp:posOffset>
            </wp:positionH>
            <wp:positionV relativeFrom="paragraph">
              <wp:posOffset>229324</wp:posOffset>
            </wp:positionV>
            <wp:extent cx="4787062" cy="3268408"/>
            <wp:effectExtent l="0" t="0" r="0" b="0"/>
            <wp:wrapTopAndBottom/>
            <wp:docPr id="67" name="image34.png" descr=""/>
            <wp:cNvGraphicFramePr>
              <a:graphicFrameLocks noChangeAspect="1"/>
            </wp:cNvGraphicFramePr>
            <a:graphic>
              <a:graphicData uri="http://schemas.openxmlformats.org/drawingml/2006/picture">
                <pic:pic>
                  <pic:nvPicPr>
                    <pic:cNvPr id="68" name="image34.png"/>
                    <pic:cNvPicPr/>
                  </pic:nvPicPr>
                  <pic:blipFill>
                    <a:blip r:embed="rId65" cstate="print"/>
                    <a:stretch>
                      <a:fillRect/>
                    </a:stretch>
                  </pic:blipFill>
                  <pic:spPr>
                    <a:xfrm>
                      <a:off x="0" y="0"/>
                      <a:ext cx="4787062" cy="3268408"/>
                    </a:xfrm>
                    <a:prstGeom prst="rect">
                      <a:avLst/>
                    </a:prstGeom>
                  </pic:spPr>
                </pic:pic>
              </a:graphicData>
            </a:graphic>
          </wp:anchor>
        </w:drawing>
      </w:r>
    </w:p>
    <w:p>
      <w:pPr>
        <w:spacing w:after="0"/>
        <w:rPr>
          <w:sz w:val="28"/>
        </w:rPr>
        <w:sectPr>
          <w:pgSz w:w="11910" w:h="16840"/>
          <w:pgMar w:header="0" w:footer="983" w:top="1440" w:bottom="1240" w:left="1600" w:right="1580"/>
        </w:sectPr>
      </w:pPr>
    </w:p>
    <w:p>
      <w:pPr>
        <w:spacing w:before="40"/>
        <w:ind w:left="102" w:right="0" w:firstLine="0"/>
        <w:jc w:val="left"/>
        <w:rPr>
          <w:b/>
          <w:sz w:val="24"/>
        </w:rPr>
      </w:pPr>
      <w:r>
        <w:rPr>
          <w:b/>
          <w:sz w:val="24"/>
        </w:rPr>
        <w:t>Turno C</w:t>
      </w:r>
    </w:p>
    <w:p>
      <w:pPr>
        <w:pStyle w:val="BodyText"/>
        <w:rPr>
          <w:b/>
        </w:rPr>
      </w:pPr>
    </w:p>
    <w:p>
      <w:pPr>
        <w:pStyle w:val="ListParagraph"/>
        <w:numPr>
          <w:ilvl w:val="0"/>
          <w:numId w:val="31"/>
        </w:numPr>
        <w:tabs>
          <w:tab w:pos="424" w:val="left" w:leader="none"/>
        </w:tabs>
        <w:spacing w:line="240" w:lineRule="auto" w:before="168" w:after="0"/>
        <w:ind w:left="423" w:right="0" w:hanging="321"/>
        <w:jc w:val="left"/>
        <w:rPr>
          <w:b/>
          <w:sz w:val="24"/>
        </w:rPr>
      </w:pPr>
      <w:r>
        <w:rPr>
          <w:b/>
          <w:sz w:val="24"/>
        </w:rPr>
        <w:t>Antes de realizar la propuesta</w:t>
      </w:r>
      <w:r>
        <w:rPr>
          <w:b/>
          <w:spacing w:val="-14"/>
          <w:sz w:val="24"/>
        </w:rPr>
        <w:t> </w:t>
      </w:r>
      <w:r>
        <w:rPr>
          <w:b/>
          <w:sz w:val="24"/>
        </w:rPr>
        <w:t>innovadora</w:t>
      </w:r>
    </w:p>
    <w:p>
      <w:pPr>
        <w:pStyle w:val="BodyText"/>
        <w:rPr>
          <w:b/>
          <w:sz w:val="28"/>
        </w:rPr>
      </w:pPr>
      <w:r>
        <w:rPr/>
        <w:drawing>
          <wp:anchor distT="0" distB="0" distL="0" distR="0" allowOverlap="1" layoutInCell="1" locked="0" behindDoc="0" simplePos="0" relativeHeight="3712">
            <wp:simplePos x="0" y="0"/>
            <wp:positionH relativeFrom="page">
              <wp:posOffset>1398905</wp:posOffset>
            </wp:positionH>
            <wp:positionV relativeFrom="paragraph">
              <wp:posOffset>229578</wp:posOffset>
            </wp:positionV>
            <wp:extent cx="4779294" cy="3035807"/>
            <wp:effectExtent l="0" t="0" r="0" b="0"/>
            <wp:wrapTopAndBottom/>
            <wp:docPr id="69" name="image35.png" descr=""/>
            <wp:cNvGraphicFramePr>
              <a:graphicFrameLocks noChangeAspect="1"/>
            </wp:cNvGraphicFramePr>
            <a:graphic>
              <a:graphicData uri="http://schemas.openxmlformats.org/drawingml/2006/picture">
                <pic:pic>
                  <pic:nvPicPr>
                    <pic:cNvPr id="70" name="image35.png"/>
                    <pic:cNvPicPr/>
                  </pic:nvPicPr>
                  <pic:blipFill>
                    <a:blip r:embed="rId66" cstate="print"/>
                    <a:stretch>
                      <a:fillRect/>
                    </a:stretch>
                  </pic:blipFill>
                  <pic:spPr>
                    <a:xfrm>
                      <a:off x="0" y="0"/>
                      <a:ext cx="4779294" cy="3035807"/>
                    </a:xfrm>
                    <a:prstGeom prst="rect">
                      <a:avLst/>
                    </a:prstGeom>
                  </pic:spPr>
                </pic:pic>
              </a:graphicData>
            </a:graphic>
          </wp:anchor>
        </w:drawing>
      </w:r>
    </w:p>
    <w:p>
      <w:pPr>
        <w:pStyle w:val="BodyText"/>
        <w:spacing w:before="6"/>
        <w:rPr>
          <w:b/>
          <w:sz w:val="34"/>
        </w:rPr>
      </w:pPr>
    </w:p>
    <w:p>
      <w:pPr>
        <w:pStyle w:val="ListParagraph"/>
        <w:numPr>
          <w:ilvl w:val="0"/>
          <w:numId w:val="31"/>
        </w:numPr>
        <w:tabs>
          <w:tab w:pos="421" w:val="left" w:leader="none"/>
        </w:tabs>
        <w:spacing w:line="240" w:lineRule="auto" w:before="0" w:after="0"/>
        <w:ind w:left="420" w:right="0" w:hanging="318"/>
        <w:jc w:val="left"/>
        <w:rPr>
          <w:b/>
          <w:sz w:val="24"/>
        </w:rPr>
      </w:pPr>
      <w:r>
        <w:rPr>
          <w:b/>
          <w:sz w:val="24"/>
        </w:rPr>
        <w:t>Después de realizar la propuesta</w:t>
      </w:r>
      <w:r>
        <w:rPr>
          <w:b/>
          <w:spacing w:val="-12"/>
          <w:sz w:val="24"/>
        </w:rPr>
        <w:t> </w:t>
      </w:r>
      <w:r>
        <w:rPr>
          <w:b/>
          <w:sz w:val="24"/>
        </w:rPr>
        <w:t>innovadora</w:t>
      </w:r>
    </w:p>
    <w:p>
      <w:pPr>
        <w:pStyle w:val="BodyText"/>
        <w:spacing w:before="11"/>
        <w:rPr>
          <w:b/>
          <w:sz w:val="27"/>
        </w:rPr>
      </w:pPr>
      <w:r>
        <w:rPr/>
        <w:drawing>
          <wp:anchor distT="0" distB="0" distL="0" distR="0" allowOverlap="1" layoutInCell="1" locked="0" behindDoc="0" simplePos="0" relativeHeight="3736">
            <wp:simplePos x="0" y="0"/>
            <wp:positionH relativeFrom="page">
              <wp:posOffset>1431289</wp:posOffset>
            </wp:positionH>
            <wp:positionV relativeFrom="paragraph">
              <wp:posOffset>228943</wp:posOffset>
            </wp:positionV>
            <wp:extent cx="4664070" cy="3035808"/>
            <wp:effectExtent l="0" t="0" r="0" b="0"/>
            <wp:wrapTopAndBottom/>
            <wp:docPr id="71" name="image36.png" descr=""/>
            <wp:cNvGraphicFramePr>
              <a:graphicFrameLocks noChangeAspect="1"/>
            </wp:cNvGraphicFramePr>
            <a:graphic>
              <a:graphicData uri="http://schemas.openxmlformats.org/drawingml/2006/picture">
                <pic:pic>
                  <pic:nvPicPr>
                    <pic:cNvPr id="72" name="image36.png"/>
                    <pic:cNvPicPr/>
                  </pic:nvPicPr>
                  <pic:blipFill>
                    <a:blip r:embed="rId67" cstate="print"/>
                    <a:stretch>
                      <a:fillRect/>
                    </a:stretch>
                  </pic:blipFill>
                  <pic:spPr>
                    <a:xfrm>
                      <a:off x="0" y="0"/>
                      <a:ext cx="4664070" cy="3035808"/>
                    </a:xfrm>
                    <a:prstGeom prst="rect">
                      <a:avLst/>
                    </a:prstGeom>
                  </pic:spPr>
                </pic:pic>
              </a:graphicData>
            </a:graphic>
          </wp:anchor>
        </w:drawing>
      </w:r>
    </w:p>
    <w:sectPr>
      <w:pgSz w:w="11910" w:h="16840"/>
      <w:pgMar w:header="0" w:footer="983" w:top="1440" w:bottom="124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ahoma">
    <w:altName w:val="Tahoma"/>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2.220001pt;margin-top:778.76001pt;width:10.1pt;height:14pt;mso-position-horizontal-relative:page;mso-position-vertical-relative:page;z-index:-123352"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220001pt;margin-top:778.76001pt;width:16.25pt;height:14pt;mso-position-horizontal-relative:page;mso-position-vertical-relative:page;z-index:-123136"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41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220001pt;margin-top:778.76001pt;width:14.25pt;height:14pt;mso-position-horizontal-relative:page;mso-position-vertical-relative:page;z-index:-123112" type="#_x0000_t202" filled="false" stroked="false">
          <v:textbox inset="0,0,0,0">
            <w:txbxContent>
              <w:p>
                <w:pPr>
                  <w:pStyle w:val="BodyText"/>
                  <w:spacing w:line="264" w:lineRule="exact"/>
                  <w:ind w:left="20"/>
                  <w:rPr>
                    <w:rFonts w:ascii="Calibri"/>
                  </w:rPr>
                </w:pPr>
                <w:r>
                  <w:rPr>
                    <w:rFonts w:ascii="Calibri"/>
                  </w:rPr>
                  <w:t>50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220001pt;margin-top:778.76001pt;width:16.25pt;height:14pt;mso-position-horizontal-relative:page;mso-position-vertical-relative:page;z-index:-123088"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51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220001pt;margin-top:778.76001pt;width:14.25pt;height:14pt;mso-position-horizontal-relative:page;mso-position-vertical-relative:page;z-index:-123064" type="#_x0000_t202" filled="false" stroked="false">
          <v:textbox inset="0,0,0,0">
            <w:txbxContent>
              <w:p>
                <w:pPr>
                  <w:pStyle w:val="BodyText"/>
                  <w:spacing w:line="264" w:lineRule="exact"/>
                  <w:ind w:left="20"/>
                  <w:rPr>
                    <w:rFonts w:ascii="Calibri"/>
                  </w:rPr>
                </w:pPr>
                <w:r>
                  <w:rPr>
                    <w:rFonts w:ascii="Calibri"/>
                  </w:rPr>
                  <w:t>60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220001pt;margin-top:778.76001pt;width:16.25pt;height:14pt;mso-position-horizontal-relative:page;mso-position-vertical-relative:page;z-index:-123040"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61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220001pt;margin-top:778.76001pt;width:14.25pt;height:14pt;mso-position-horizontal-relative:page;mso-position-vertical-relative:page;z-index:-123016" type="#_x0000_t202" filled="false" stroked="false">
          <v:textbox inset="0,0,0,0">
            <w:txbxContent>
              <w:p>
                <w:pPr>
                  <w:pStyle w:val="BodyText"/>
                  <w:spacing w:line="264" w:lineRule="exact"/>
                  <w:ind w:left="20"/>
                  <w:rPr>
                    <w:rFonts w:ascii="Calibri"/>
                  </w:rPr>
                </w:pPr>
                <w:r>
                  <w:rPr>
                    <w:rFonts w:ascii="Calibri"/>
                  </w:rPr>
                  <w:t>70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220001pt;margin-top:778.76001pt;width:16.25pt;height:14pt;mso-position-horizontal-relative:page;mso-position-vertical-relative:page;z-index:-122992"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71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220001pt;margin-top:778.76001pt;width:14.25pt;height:14pt;mso-position-horizontal-relative:page;mso-position-vertical-relative:page;z-index:-122968" type="#_x0000_t202" filled="false" stroked="false">
          <v:textbox inset="0,0,0,0">
            <w:txbxContent>
              <w:p>
                <w:pPr>
                  <w:pStyle w:val="BodyText"/>
                  <w:spacing w:line="264" w:lineRule="exact"/>
                  <w:ind w:left="20"/>
                  <w:rPr>
                    <w:rFonts w:ascii="Calibri"/>
                  </w:rPr>
                </w:pPr>
                <w:r>
                  <w:rPr>
                    <w:rFonts w:ascii="Calibri"/>
                  </w:rPr>
                  <w:t>80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220001pt;margin-top:778.76001pt;width:16.25pt;height:14pt;mso-position-horizontal-relative:page;mso-position-vertical-relative:page;z-index:-122944"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81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704002pt;margin-top:739.199951pt;width:423.2pt;height:14.9pt;mso-position-horizontal-relative:page;mso-position-vertical-relative:page;z-index:-122920" coordorigin="1594,14784" coordsize="8464,298" path="m3212,14784l3108,14784,1702,14784,1594,14784,1594,15082,3212,15082,3212,14784m5766,14784l5658,14784,3324,14784,3216,14784,3216,15082,5766,15082,5766,14784m10058,14784l9950,14784,8178,14784,8073,14784,7962,14784,5874,14784,5766,14784,5766,15082,8073,15082,10058,15082,10058,14784e" filled="true" fillcolor="#f1f1f1" stroked="false">
          <v:path arrowok="t"/>
          <v:fill type="solid"/>
          <w10:wrap type="none"/>
        </v:shape>
      </w:pict>
    </w:r>
    <w:r>
      <w:rPr/>
      <w:pict>
        <v:shape style="position:absolute;margin-left:497.220001pt;margin-top:778.76001pt;width:14.25pt;height:14pt;mso-position-horizontal-relative:page;mso-position-vertical-relative:page;z-index:-122896" type="#_x0000_t202" filled="false" stroked="false">
          <v:textbox inset="0,0,0,0">
            <w:txbxContent>
              <w:p>
                <w:pPr>
                  <w:pStyle w:val="BodyText"/>
                  <w:spacing w:line="264" w:lineRule="exact"/>
                  <w:ind w:left="20"/>
                  <w:rPr>
                    <w:rFonts w:ascii="Calibri"/>
                  </w:rPr>
                </w:pPr>
                <w:r>
                  <w:rPr>
                    <w:rFonts w:ascii="Calibri"/>
                  </w:rPr>
                  <w:t>83</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220001pt;margin-top:778.76001pt;width:10.1pt;height:14pt;mso-position-horizontal-relative:page;mso-position-vertical-relative:page;z-index:-123328"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6</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220001pt;margin-top:778.76001pt;width:16.25pt;height:14pt;mso-position-horizontal-relative:page;mso-position-vertical-relative:page;z-index:-122872"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84</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220001pt;margin-top:778.76001pt;width:14.25pt;height:14pt;mso-position-horizontal-relative:page;mso-position-vertical-relative:page;z-index:-123304" type="#_x0000_t202" filled="false" stroked="false">
          <v:textbox inset="0,0,0,0">
            <w:txbxContent>
              <w:p>
                <w:pPr>
                  <w:pStyle w:val="BodyText"/>
                  <w:spacing w:line="264" w:lineRule="exact"/>
                  <w:ind w:left="20"/>
                  <w:rPr>
                    <w:rFonts w:ascii="Calibri"/>
                  </w:rPr>
                </w:pPr>
                <w:r>
                  <w:rPr>
                    <w:rFonts w:ascii="Calibri"/>
                  </w:rPr>
                  <w:t>10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220001pt;margin-top:778.76001pt;width:16.25pt;height:14pt;mso-position-horizontal-relative:page;mso-position-vertical-relative:page;z-index:-123280"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220001pt;margin-top:778.76001pt;width:14.25pt;height:14pt;mso-position-horizontal-relative:page;mso-position-vertical-relative:page;z-index:-123256" type="#_x0000_t202" filled="false" stroked="false">
          <v:textbox inset="0,0,0,0">
            <w:txbxContent>
              <w:p>
                <w:pPr>
                  <w:pStyle w:val="BodyText"/>
                  <w:spacing w:line="264" w:lineRule="exact"/>
                  <w:ind w:left="20"/>
                  <w:rPr>
                    <w:rFonts w:ascii="Calibri"/>
                  </w:rPr>
                </w:pPr>
                <w:r>
                  <w:rPr>
                    <w:rFonts w:ascii="Calibri"/>
                  </w:rPr>
                  <w:t>20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220001pt;margin-top:778.76001pt;width:16.25pt;height:14pt;mso-position-horizontal-relative:page;mso-position-vertical-relative:page;z-index:-123232"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220001pt;margin-top:778.76001pt;width:14.25pt;height:14pt;mso-position-horizontal-relative:page;mso-position-vertical-relative:page;z-index:-123208" type="#_x0000_t202" filled="false" stroked="false">
          <v:textbox inset="0,0,0,0">
            <w:txbxContent>
              <w:p>
                <w:pPr>
                  <w:pStyle w:val="BodyText"/>
                  <w:spacing w:line="264" w:lineRule="exact"/>
                  <w:ind w:left="20"/>
                  <w:rPr>
                    <w:rFonts w:ascii="Calibri"/>
                  </w:rPr>
                </w:pPr>
                <w:r>
                  <w:rPr>
                    <w:rFonts w:ascii="Calibri"/>
                  </w:rPr>
                  <w:t>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220001pt;margin-top:778.76001pt;width:16.25pt;height:14pt;mso-position-horizontal-relative:page;mso-position-vertical-relative:page;z-index:-123184"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220001pt;margin-top:778.76001pt;width:14.25pt;height:14pt;mso-position-horizontal-relative:page;mso-position-vertical-relative:page;z-index:-123160" type="#_x0000_t202" filled="false" stroked="false">
          <v:textbox inset="0,0,0,0">
            <w:txbxContent>
              <w:p>
                <w:pPr>
                  <w:pStyle w:val="BodyText"/>
                  <w:spacing w:line="264" w:lineRule="exact"/>
                  <w:ind w:left="20"/>
                  <w:rPr>
                    <w:rFonts w:ascii="Calibri"/>
                  </w:rPr>
                </w:pPr>
                <w:r>
                  <w:rPr>
                    <w:rFonts w:ascii="Calibri"/>
                  </w:rPr>
                  <w:t>40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decimal"/>
      <w:lvlText w:val="%1."/>
      <w:lvlJc w:val="left"/>
      <w:pPr>
        <w:ind w:left="750" w:hanging="360"/>
        <w:jc w:val="right"/>
      </w:pPr>
      <w:rPr>
        <w:rFonts w:hint="default" w:ascii="Arial" w:hAnsi="Arial" w:eastAsia="Arial" w:cs="Arial"/>
        <w:b/>
        <w:bCs/>
        <w:color w:val="2E2E2E"/>
        <w:w w:val="99"/>
        <w:sz w:val="24"/>
        <w:szCs w:val="24"/>
      </w:rPr>
    </w:lvl>
    <w:lvl w:ilvl="1">
      <w:start w:val="1"/>
      <w:numFmt w:val="decimal"/>
      <w:lvlText w:val="%1.%2"/>
      <w:lvlJc w:val="left"/>
      <w:pPr>
        <w:ind w:left="793" w:hanging="404"/>
        <w:jc w:val="left"/>
      </w:pPr>
      <w:rPr>
        <w:rFonts w:hint="default" w:ascii="Arial" w:hAnsi="Arial" w:eastAsia="Arial" w:cs="Arial"/>
        <w:b/>
        <w:bCs/>
        <w:color w:val="2E2E2E"/>
        <w:w w:val="99"/>
        <w:sz w:val="24"/>
        <w:szCs w:val="24"/>
      </w:rPr>
    </w:lvl>
    <w:lvl w:ilvl="2">
      <w:start w:val="1"/>
      <w:numFmt w:val="decimal"/>
      <w:lvlText w:val="%1.%2.%3"/>
      <w:lvlJc w:val="left"/>
      <w:pPr>
        <w:ind w:left="102" w:hanging="603"/>
        <w:jc w:val="left"/>
      </w:pPr>
      <w:rPr>
        <w:rFonts w:hint="default" w:ascii="Arial" w:hAnsi="Arial" w:eastAsia="Arial" w:cs="Arial"/>
        <w:b/>
        <w:bCs/>
        <w:color w:val="2E2E2E"/>
        <w:spacing w:val="-2"/>
        <w:w w:val="99"/>
        <w:sz w:val="24"/>
        <w:szCs w:val="24"/>
      </w:rPr>
    </w:lvl>
    <w:lvl w:ilvl="3">
      <w:start w:val="1"/>
      <w:numFmt w:val="bullet"/>
      <w:lvlText w:val="•"/>
      <w:lvlJc w:val="left"/>
      <w:pPr>
        <w:ind w:left="800" w:hanging="603"/>
      </w:pPr>
      <w:rPr>
        <w:rFonts w:hint="default"/>
      </w:rPr>
    </w:lvl>
    <w:lvl w:ilvl="4">
      <w:start w:val="1"/>
      <w:numFmt w:val="bullet"/>
      <w:lvlText w:val="•"/>
      <w:lvlJc w:val="left"/>
      <w:pPr>
        <w:ind w:left="1000" w:hanging="603"/>
      </w:pPr>
      <w:rPr>
        <w:rFonts w:hint="default"/>
      </w:rPr>
    </w:lvl>
    <w:lvl w:ilvl="5">
      <w:start w:val="1"/>
      <w:numFmt w:val="bullet"/>
      <w:lvlText w:val="•"/>
      <w:lvlJc w:val="left"/>
      <w:pPr>
        <w:ind w:left="2287" w:hanging="603"/>
      </w:pPr>
      <w:rPr>
        <w:rFonts w:hint="default"/>
      </w:rPr>
    </w:lvl>
    <w:lvl w:ilvl="6">
      <w:start w:val="1"/>
      <w:numFmt w:val="bullet"/>
      <w:lvlText w:val="•"/>
      <w:lvlJc w:val="left"/>
      <w:pPr>
        <w:ind w:left="3575" w:hanging="603"/>
      </w:pPr>
      <w:rPr>
        <w:rFonts w:hint="default"/>
      </w:rPr>
    </w:lvl>
    <w:lvl w:ilvl="7">
      <w:start w:val="1"/>
      <w:numFmt w:val="bullet"/>
      <w:lvlText w:val="•"/>
      <w:lvlJc w:val="left"/>
      <w:pPr>
        <w:ind w:left="4863" w:hanging="603"/>
      </w:pPr>
      <w:rPr>
        <w:rFonts w:hint="default"/>
      </w:rPr>
    </w:lvl>
    <w:lvl w:ilvl="8">
      <w:start w:val="1"/>
      <w:numFmt w:val="bullet"/>
      <w:lvlText w:val="•"/>
      <w:lvlJc w:val="left"/>
      <w:pPr>
        <w:ind w:left="6150" w:hanging="603"/>
      </w:pPr>
      <w:rPr>
        <w:rFonts w:hint="default"/>
      </w:rPr>
    </w:lvl>
  </w:abstractNum>
  <w:abstractNum w:abstractNumId="30">
    <w:multiLevelType w:val="hybridMultilevel"/>
    <w:lvl w:ilvl="0">
      <w:start w:val="1"/>
      <w:numFmt w:val="upperLetter"/>
      <w:lvlText w:val="%1)"/>
      <w:lvlJc w:val="left"/>
      <w:pPr>
        <w:ind w:left="423" w:hanging="322"/>
        <w:jc w:val="left"/>
      </w:pPr>
      <w:rPr>
        <w:rFonts w:hint="default" w:ascii="Arial" w:hAnsi="Arial" w:eastAsia="Arial" w:cs="Arial"/>
        <w:b/>
        <w:bCs/>
        <w:spacing w:val="-3"/>
        <w:w w:val="99"/>
        <w:sz w:val="24"/>
        <w:szCs w:val="24"/>
      </w:rPr>
    </w:lvl>
    <w:lvl w:ilvl="1">
      <w:start w:val="1"/>
      <w:numFmt w:val="bullet"/>
      <w:lvlText w:val="•"/>
      <w:lvlJc w:val="left"/>
      <w:pPr>
        <w:ind w:left="1250" w:hanging="322"/>
      </w:pPr>
      <w:rPr>
        <w:rFonts w:hint="default"/>
      </w:rPr>
    </w:lvl>
    <w:lvl w:ilvl="2">
      <w:start w:val="1"/>
      <w:numFmt w:val="bullet"/>
      <w:lvlText w:val="•"/>
      <w:lvlJc w:val="left"/>
      <w:pPr>
        <w:ind w:left="2081" w:hanging="322"/>
      </w:pPr>
      <w:rPr>
        <w:rFonts w:hint="default"/>
      </w:rPr>
    </w:lvl>
    <w:lvl w:ilvl="3">
      <w:start w:val="1"/>
      <w:numFmt w:val="bullet"/>
      <w:lvlText w:val="•"/>
      <w:lvlJc w:val="left"/>
      <w:pPr>
        <w:ind w:left="2911" w:hanging="322"/>
      </w:pPr>
      <w:rPr>
        <w:rFonts w:hint="default"/>
      </w:rPr>
    </w:lvl>
    <w:lvl w:ilvl="4">
      <w:start w:val="1"/>
      <w:numFmt w:val="bullet"/>
      <w:lvlText w:val="•"/>
      <w:lvlJc w:val="left"/>
      <w:pPr>
        <w:ind w:left="3742" w:hanging="322"/>
      </w:pPr>
      <w:rPr>
        <w:rFonts w:hint="default"/>
      </w:rPr>
    </w:lvl>
    <w:lvl w:ilvl="5">
      <w:start w:val="1"/>
      <w:numFmt w:val="bullet"/>
      <w:lvlText w:val="•"/>
      <w:lvlJc w:val="left"/>
      <w:pPr>
        <w:ind w:left="4573" w:hanging="322"/>
      </w:pPr>
      <w:rPr>
        <w:rFonts w:hint="default"/>
      </w:rPr>
    </w:lvl>
    <w:lvl w:ilvl="6">
      <w:start w:val="1"/>
      <w:numFmt w:val="bullet"/>
      <w:lvlText w:val="•"/>
      <w:lvlJc w:val="left"/>
      <w:pPr>
        <w:ind w:left="5403" w:hanging="322"/>
      </w:pPr>
      <w:rPr>
        <w:rFonts w:hint="default"/>
      </w:rPr>
    </w:lvl>
    <w:lvl w:ilvl="7">
      <w:start w:val="1"/>
      <w:numFmt w:val="bullet"/>
      <w:lvlText w:val="•"/>
      <w:lvlJc w:val="left"/>
      <w:pPr>
        <w:ind w:left="6234" w:hanging="322"/>
      </w:pPr>
      <w:rPr>
        <w:rFonts w:hint="default"/>
      </w:rPr>
    </w:lvl>
    <w:lvl w:ilvl="8">
      <w:start w:val="1"/>
      <w:numFmt w:val="bullet"/>
      <w:lvlText w:val="•"/>
      <w:lvlJc w:val="left"/>
      <w:pPr>
        <w:ind w:left="7065" w:hanging="322"/>
      </w:pPr>
      <w:rPr>
        <w:rFonts w:hint="default"/>
      </w:rPr>
    </w:lvl>
  </w:abstractNum>
  <w:abstractNum w:abstractNumId="29">
    <w:multiLevelType w:val="hybridMultilevel"/>
    <w:lvl w:ilvl="0">
      <w:start w:val="1"/>
      <w:numFmt w:val="upperLetter"/>
      <w:lvlText w:val="%1)"/>
      <w:lvlJc w:val="left"/>
      <w:pPr>
        <w:ind w:left="423" w:hanging="322"/>
        <w:jc w:val="left"/>
      </w:pPr>
      <w:rPr>
        <w:rFonts w:hint="default" w:ascii="Arial" w:hAnsi="Arial" w:eastAsia="Arial" w:cs="Arial"/>
        <w:b/>
        <w:bCs/>
        <w:spacing w:val="-3"/>
        <w:w w:val="99"/>
        <w:sz w:val="24"/>
        <w:szCs w:val="24"/>
      </w:rPr>
    </w:lvl>
    <w:lvl w:ilvl="1">
      <w:start w:val="1"/>
      <w:numFmt w:val="bullet"/>
      <w:lvlText w:val="•"/>
      <w:lvlJc w:val="left"/>
      <w:pPr>
        <w:ind w:left="1250" w:hanging="322"/>
      </w:pPr>
      <w:rPr>
        <w:rFonts w:hint="default"/>
      </w:rPr>
    </w:lvl>
    <w:lvl w:ilvl="2">
      <w:start w:val="1"/>
      <w:numFmt w:val="bullet"/>
      <w:lvlText w:val="•"/>
      <w:lvlJc w:val="left"/>
      <w:pPr>
        <w:ind w:left="2081" w:hanging="322"/>
      </w:pPr>
      <w:rPr>
        <w:rFonts w:hint="default"/>
      </w:rPr>
    </w:lvl>
    <w:lvl w:ilvl="3">
      <w:start w:val="1"/>
      <w:numFmt w:val="bullet"/>
      <w:lvlText w:val="•"/>
      <w:lvlJc w:val="left"/>
      <w:pPr>
        <w:ind w:left="2911" w:hanging="322"/>
      </w:pPr>
      <w:rPr>
        <w:rFonts w:hint="default"/>
      </w:rPr>
    </w:lvl>
    <w:lvl w:ilvl="4">
      <w:start w:val="1"/>
      <w:numFmt w:val="bullet"/>
      <w:lvlText w:val="•"/>
      <w:lvlJc w:val="left"/>
      <w:pPr>
        <w:ind w:left="3742" w:hanging="322"/>
      </w:pPr>
      <w:rPr>
        <w:rFonts w:hint="default"/>
      </w:rPr>
    </w:lvl>
    <w:lvl w:ilvl="5">
      <w:start w:val="1"/>
      <w:numFmt w:val="bullet"/>
      <w:lvlText w:val="•"/>
      <w:lvlJc w:val="left"/>
      <w:pPr>
        <w:ind w:left="4573" w:hanging="322"/>
      </w:pPr>
      <w:rPr>
        <w:rFonts w:hint="default"/>
      </w:rPr>
    </w:lvl>
    <w:lvl w:ilvl="6">
      <w:start w:val="1"/>
      <w:numFmt w:val="bullet"/>
      <w:lvlText w:val="•"/>
      <w:lvlJc w:val="left"/>
      <w:pPr>
        <w:ind w:left="5403" w:hanging="322"/>
      </w:pPr>
      <w:rPr>
        <w:rFonts w:hint="default"/>
      </w:rPr>
    </w:lvl>
    <w:lvl w:ilvl="7">
      <w:start w:val="1"/>
      <w:numFmt w:val="bullet"/>
      <w:lvlText w:val="•"/>
      <w:lvlJc w:val="left"/>
      <w:pPr>
        <w:ind w:left="6234" w:hanging="322"/>
      </w:pPr>
      <w:rPr>
        <w:rFonts w:hint="default"/>
      </w:rPr>
    </w:lvl>
    <w:lvl w:ilvl="8">
      <w:start w:val="1"/>
      <w:numFmt w:val="bullet"/>
      <w:lvlText w:val="•"/>
      <w:lvlJc w:val="left"/>
      <w:pPr>
        <w:ind w:left="7065" w:hanging="322"/>
      </w:pPr>
      <w:rPr>
        <w:rFonts w:hint="default"/>
      </w:rPr>
    </w:lvl>
  </w:abstractNum>
  <w:abstractNum w:abstractNumId="28">
    <w:multiLevelType w:val="hybridMultilevel"/>
    <w:lvl w:ilvl="0">
      <w:start w:val="1"/>
      <w:numFmt w:val="upperLetter"/>
      <w:lvlText w:val="%1)"/>
      <w:lvlJc w:val="left"/>
      <w:pPr>
        <w:ind w:left="423" w:hanging="322"/>
        <w:jc w:val="left"/>
      </w:pPr>
      <w:rPr>
        <w:rFonts w:hint="default" w:ascii="Arial" w:hAnsi="Arial" w:eastAsia="Arial" w:cs="Arial"/>
        <w:b/>
        <w:bCs/>
        <w:spacing w:val="-3"/>
        <w:w w:val="99"/>
        <w:sz w:val="24"/>
        <w:szCs w:val="24"/>
      </w:rPr>
    </w:lvl>
    <w:lvl w:ilvl="1">
      <w:start w:val="1"/>
      <w:numFmt w:val="bullet"/>
      <w:lvlText w:val="•"/>
      <w:lvlJc w:val="left"/>
      <w:pPr>
        <w:ind w:left="1250" w:hanging="322"/>
      </w:pPr>
      <w:rPr>
        <w:rFonts w:hint="default"/>
      </w:rPr>
    </w:lvl>
    <w:lvl w:ilvl="2">
      <w:start w:val="1"/>
      <w:numFmt w:val="bullet"/>
      <w:lvlText w:val="•"/>
      <w:lvlJc w:val="left"/>
      <w:pPr>
        <w:ind w:left="2081" w:hanging="322"/>
      </w:pPr>
      <w:rPr>
        <w:rFonts w:hint="default"/>
      </w:rPr>
    </w:lvl>
    <w:lvl w:ilvl="3">
      <w:start w:val="1"/>
      <w:numFmt w:val="bullet"/>
      <w:lvlText w:val="•"/>
      <w:lvlJc w:val="left"/>
      <w:pPr>
        <w:ind w:left="2911" w:hanging="322"/>
      </w:pPr>
      <w:rPr>
        <w:rFonts w:hint="default"/>
      </w:rPr>
    </w:lvl>
    <w:lvl w:ilvl="4">
      <w:start w:val="1"/>
      <w:numFmt w:val="bullet"/>
      <w:lvlText w:val="•"/>
      <w:lvlJc w:val="left"/>
      <w:pPr>
        <w:ind w:left="3742" w:hanging="322"/>
      </w:pPr>
      <w:rPr>
        <w:rFonts w:hint="default"/>
      </w:rPr>
    </w:lvl>
    <w:lvl w:ilvl="5">
      <w:start w:val="1"/>
      <w:numFmt w:val="bullet"/>
      <w:lvlText w:val="•"/>
      <w:lvlJc w:val="left"/>
      <w:pPr>
        <w:ind w:left="4573" w:hanging="322"/>
      </w:pPr>
      <w:rPr>
        <w:rFonts w:hint="default"/>
      </w:rPr>
    </w:lvl>
    <w:lvl w:ilvl="6">
      <w:start w:val="1"/>
      <w:numFmt w:val="bullet"/>
      <w:lvlText w:val="•"/>
      <w:lvlJc w:val="left"/>
      <w:pPr>
        <w:ind w:left="5403" w:hanging="322"/>
      </w:pPr>
      <w:rPr>
        <w:rFonts w:hint="default"/>
      </w:rPr>
    </w:lvl>
    <w:lvl w:ilvl="7">
      <w:start w:val="1"/>
      <w:numFmt w:val="bullet"/>
      <w:lvlText w:val="•"/>
      <w:lvlJc w:val="left"/>
      <w:pPr>
        <w:ind w:left="6234" w:hanging="322"/>
      </w:pPr>
      <w:rPr>
        <w:rFonts w:hint="default"/>
      </w:rPr>
    </w:lvl>
    <w:lvl w:ilvl="8">
      <w:start w:val="1"/>
      <w:numFmt w:val="bullet"/>
      <w:lvlText w:val="•"/>
      <w:lvlJc w:val="left"/>
      <w:pPr>
        <w:ind w:left="7065" w:hanging="322"/>
      </w:pPr>
      <w:rPr>
        <w:rFonts w:hint="default"/>
      </w:rPr>
    </w:lvl>
  </w:abstractNum>
  <w:abstractNum w:abstractNumId="27">
    <w:multiLevelType w:val="hybridMultilevel"/>
    <w:lvl w:ilvl="0">
      <w:start w:val="1"/>
      <w:numFmt w:val="lowerLetter"/>
      <w:lvlText w:val="%1)"/>
      <w:lvlJc w:val="left"/>
      <w:pPr>
        <w:ind w:left="102" w:hanging="281"/>
        <w:jc w:val="left"/>
      </w:pPr>
      <w:rPr>
        <w:rFonts w:hint="default" w:ascii="Arial" w:hAnsi="Arial" w:eastAsia="Arial" w:cs="Arial"/>
        <w:b/>
        <w:bCs/>
        <w:color w:val="2E2E2E"/>
        <w:w w:val="99"/>
        <w:sz w:val="24"/>
        <w:szCs w:val="24"/>
      </w:rPr>
    </w:lvl>
    <w:lvl w:ilvl="1">
      <w:start w:val="1"/>
      <w:numFmt w:val="bullet"/>
      <w:lvlText w:val="•"/>
      <w:lvlJc w:val="left"/>
      <w:pPr>
        <w:ind w:left="962" w:hanging="281"/>
      </w:pPr>
      <w:rPr>
        <w:rFonts w:hint="default"/>
      </w:rPr>
    </w:lvl>
    <w:lvl w:ilvl="2">
      <w:start w:val="1"/>
      <w:numFmt w:val="bullet"/>
      <w:lvlText w:val="•"/>
      <w:lvlJc w:val="left"/>
      <w:pPr>
        <w:ind w:left="1825" w:hanging="281"/>
      </w:pPr>
      <w:rPr>
        <w:rFonts w:hint="default"/>
      </w:rPr>
    </w:lvl>
    <w:lvl w:ilvl="3">
      <w:start w:val="1"/>
      <w:numFmt w:val="bullet"/>
      <w:lvlText w:val="•"/>
      <w:lvlJc w:val="left"/>
      <w:pPr>
        <w:ind w:left="2687" w:hanging="281"/>
      </w:pPr>
      <w:rPr>
        <w:rFonts w:hint="default"/>
      </w:rPr>
    </w:lvl>
    <w:lvl w:ilvl="4">
      <w:start w:val="1"/>
      <w:numFmt w:val="bullet"/>
      <w:lvlText w:val="•"/>
      <w:lvlJc w:val="left"/>
      <w:pPr>
        <w:ind w:left="3550" w:hanging="281"/>
      </w:pPr>
      <w:rPr>
        <w:rFonts w:hint="default"/>
      </w:rPr>
    </w:lvl>
    <w:lvl w:ilvl="5">
      <w:start w:val="1"/>
      <w:numFmt w:val="bullet"/>
      <w:lvlText w:val="•"/>
      <w:lvlJc w:val="left"/>
      <w:pPr>
        <w:ind w:left="4413" w:hanging="281"/>
      </w:pPr>
      <w:rPr>
        <w:rFonts w:hint="default"/>
      </w:rPr>
    </w:lvl>
    <w:lvl w:ilvl="6">
      <w:start w:val="1"/>
      <w:numFmt w:val="bullet"/>
      <w:lvlText w:val="•"/>
      <w:lvlJc w:val="left"/>
      <w:pPr>
        <w:ind w:left="5275" w:hanging="281"/>
      </w:pPr>
      <w:rPr>
        <w:rFonts w:hint="default"/>
      </w:rPr>
    </w:lvl>
    <w:lvl w:ilvl="7">
      <w:start w:val="1"/>
      <w:numFmt w:val="bullet"/>
      <w:lvlText w:val="•"/>
      <w:lvlJc w:val="left"/>
      <w:pPr>
        <w:ind w:left="6138" w:hanging="281"/>
      </w:pPr>
      <w:rPr>
        <w:rFonts w:hint="default"/>
      </w:rPr>
    </w:lvl>
    <w:lvl w:ilvl="8">
      <w:start w:val="1"/>
      <w:numFmt w:val="bullet"/>
      <w:lvlText w:val="•"/>
      <w:lvlJc w:val="left"/>
      <w:pPr>
        <w:ind w:left="7001" w:hanging="281"/>
      </w:pPr>
      <w:rPr>
        <w:rFonts w:hint="default"/>
      </w:rPr>
    </w:lvl>
  </w:abstractNum>
  <w:abstractNum w:abstractNumId="26">
    <w:multiLevelType w:val="hybridMultilevel"/>
    <w:lvl w:ilvl="0">
      <w:start w:val="3"/>
      <w:numFmt w:val="upperLetter"/>
      <w:lvlText w:val="%1"/>
      <w:lvlJc w:val="left"/>
      <w:pPr>
        <w:ind w:left="102" w:hanging="442"/>
        <w:jc w:val="left"/>
      </w:pPr>
      <w:rPr>
        <w:rFonts w:hint="default"/>
      </w:rPr>
    </w:lvl>
    <w:lvl w:ilvl="1">
      <w:start w:val="1"/>
      <w:numFmt w:val="decimal"/>
      <w:lvlText w:val="%1.%2"/>
      <w:lvlJc w:val="left"/>
      <w:pPr>
        <w:ind w:left="102" w:hanging="442"/>
        <w:jc w:val="left"/>
      </w:pPr>
      <w:rPr>
        <w:rFonts w:hint="default" w:ascii="Arial" w:hAnsi="Arial" w:eastAsia="Arial" w:cs="Arial"/>
        <w:b/>
        <w:bCs/>
        <w:color w:val="2E2E2E"/>
        <w:w w:val="99"/>
        <w:sz w:val="24"/>
        <w:szCs w:val="24"/>
      </w:rPr>
    </w:lvl>
    <w:lvl w:ilvl="2">
      <w:start w:val="1"/>
      <w:numFmt w:val="decimal"/>
      <w:lvlText w:val="%1.%2.%3"/>
      <w:lvlJc w:val="left"/>
      <w:pPr>
        <w:ind w:left="102" w:hanging="644"/>
        <w:jc w:val="left"/>
      </w:pPr>
      <w:rPr>
        <w:rFonts w:hint="default" w:ascii="Arial" w:hAnsi="Arial" w:eastAsia="Arial" w:cs="Arial"/>
        <w:b/>
        <w:bCs/>
        <w:color w:val="2E2E2E"/>
        <w:w w:val="99"/>
        <w:sz w:val="24"/>
        <w:szCs w:val="24"/>
      </w:rPr>
    </w:lvl>
    <w:lvl w:ilvl="3">
      <w:start w:val="1"/>
      <w:numFmt w:val="bullet"/>
      <w:lvlText w:val="•"/>
      <w:lvlJc w:val="left"/>
      <w:pPr>
        <w:ind w:left="2687" w:hanging="644"/>
      </w:pPr>
      <w:rPr>
        <w:rFonts w:hint="default"/>
      </w:rPr>
    </w:lvl>
    <w:lvl w:ilvl="4">
      <w:start w:val="1"/>
      <w:numFmt w:val="bullet"/>
      <w:lvlText w:val="•"/>
      <w:lvlJc w:val="left"/>
      <w:pPr>
        <w:ind w:left="3550" w:hanging="644"/>
      </w:pPr>
      <w:rPr>
        <w:rFonts w:hint="default"/>
      </w:rPr>
    </w:lvl>
    <w:lvl w:ilvl="5">
      <w:start w:val="1"/>
      <w:numFmt w:val="bullet"/>
      <w:lvlText w:val="•"/>
      <w:lvlJc w:val="left"/>
      <w:pPr>
        <w:ind w:left="4413" w:hanging="644"/>
      </w:pPr>
      <w:rPr>
        <w:rFonts w:hint="default"/>
      </w:rPr>
    </w:lvl>
    <w:lvl w:ilvl="6">
      <w:start w:val="1"/>
      <w:numFmt w:val="bullet"/>
      <w:lvlText w:val="•"/>
      <w:lvlJc w:val="left"/>
      <w:pPr>
        <w:ind w:left="5275" w:hanging="644"/>
      </w:pPr>
      <w:rPr>
        <w:rFonts w:hint="default"/>
      </w:rPr>
    </w:lvl>
    <w:lvl w:ilvl="7">
      <w:start w:val="1"/>
      <w:numFmt w:val="bullet"/>
      <w:lvlText w:val="•"/>
      <w:lvlJc w:val="left"/>
      <w:pPr>
        <w:ind w:left="6138" w:hanging="644"/>
      </w:pPr>
      <w:rPr>
        <w:rFonts w:hint="default"/>
      </w:rPr>
    </w:lvl>
    <w:lvl w:ilvl="8">
      <w:start w:val="1"/>
      <w:numFmt w:val="bullet"/>
      <w:lvlText w:val="•"/>
      <w:lvlJc w:val="left"/>
      <w:pPr>
        <w:ind w:left="7001" w:hanging="644"/>
      </w:pPr>
      <w:rPr>
        <w:rFonts w:hint="default"/>
      </w:rPr>
    </w:lvl>
  </w:abstractNum>
  <w:abstractNum w:abstractNumId="25">
    <w:multiLevelType w:val="hybridMultilevel"/>
    <w:lvl w:ilvl="0">
      <w:start w:val="9"/>
      <w:numFmt w:val="decimal"/>
      <w:lvlText w:val="%1."/>
      <w:lvlJc w:val="left"/>
      <w:pPr>
        <w:ind w:left="658" w:hanging="269"/>
        <w:jc w:val="left"/>
      </w:pPr>
      <w:rPr>
        <w:rFonts w:hint="default" w:ascii="Arial" w:hAnsi="Arial" w:eastAsia="Arial" w:cs="Arial"/>
        <w:b/>
        <w:bCs/>
        <w:color w:val="2E2E2E"/>
        <w:w w:val="99"/>
        <w:sz w:val="24"/>
        <w:szCs w:val="24"/>
      </w:rPr>
    </w:lvl>
    <w:lvl w:ilvl="1">
      <w:start w:val="1"/>
      <w:numFmt w:val="bullet"/>
      <w:lvlText w:val="•"/>
      <w:lvlJc w:val="left"/>
      <w:pPr>
        <w:ind w:left="1466" w:hanging="269"/>
      </w:pPr>
      <w:rPr>
        <w:rFonts w:hint="default"/>
      </w:rPr>
    </w:lvl>
    <w:lvl w:ilvl="2">
      <w:start w:val="1"/>
      <w:numFmt w:val="bullet"/>
      <w:lvlText w:val="•"/>
      <w:lvlJc w:val="left"/>
      <w:pPr>
        <w:ind w:left="2273" w:hanging="269"/>
      </w:pPr>
      <w:rPr>
        <w:rFonts w:hint="default"/>
      </w:rPr>
    </w:lvl>
    <w:lvl w:ilvl="3">
      <w:start w:val="1"/>
      <w:numFmt w:val="bullet"/>
      <w:lvlText w:val="•"/>
      <w:lvlJc w:val="left"/>
      <w:pPr>
        <w:ind w:left="3079" w:hanging="269"/>
      </w:pPr>
      <w:rPr>
        <w:rFonts w:hint="default"/>
      </w:rPr>
    </w:lvl>
    <w:lvl w:ilvl="4">
      <w:start w:val="1"/>
      <w:numFmt w:val="bullet"/>
      <w:lvlText w:val="•"/>
      <w:lvlJc w:val="left"/>
      <w:pPr>
        <w:ind w:left="3886" w:hanging="269"/>
      </w:pPr>
      <w:rPr>
        <w:rFonts w:hint="default"/>
      </w:rPr>
    </w:lvl>
    <w:lvl w:ilvl="5">
      <w:start w:val="1"/>
      <w:numFmt w:val="bullet"/>
      <w:lvlText w:val="•"/>
      <w:lvlJc w:val="left"/>
      <w:pPr>
        <w:ind w:left="4693" w:hanging="269"/>
      </w:pPr>
      <w:rPr>
        <w:rFonts w:hint="default"/>
      </w:rPr>
    </w:lvl>
    <w:lvl w:ilvl="6">
      <w:start w:val="1"/>
      <w:numFmt w:val="bullet"/>
      <w:lvlText w:val="•"/>
      <w:lvlJc w:val="left"/>
      <w:pPr>
        <w:ind w:left="5499" w:hanging="269"/>
      </w:pPr>
      <w:rPr>
        <w:rFonts w:hint="default"/>
      </w:rPr>
    </w:lvl>
    <w:lvl w:ilvl="7">
      <w:start w:val="1"/>
      <w:numFmt w:val="bullet"/>
      <w:lvlText w:val="•"/>
      <w:lvlJc w:val="left"/>
      <w:pPr>
        <w:ind w:left="6306" w:hanging="269"/>
      </w:pPr>
      <w:rPr>
        <w:rFonts w:hint="default"/>
      </w:rPr>
    </w:lvl>
    <w:lvl w:ilvl="8">
      <w:start w:val="1"/>
      <w:numFmt w:val="bullet"/>
      <w:lvlText w:val="•"/>
      <w:lvlJc w:val="left"/>
      <w:pPr>
        <w:ind w:left="7113" w:hanging="269"/>
      </w:pPr>
      <w:rPr>
        <w:rFonts w:hint="default"/>
      </w:rPr>
    </w:lvl>
  </w:abstractNum>
  <w:abstractNum w:abstractNumId="24">
    <w:multiLevelType w:val="hybridMultilevel"/>
    <w:lvl w:ilvl="0">
      <w:start w:val="8"/>
      <w:numFmt w:val="decimal"/>
      <w:lvlText w:val="%1"/>
      <w:lvlJc w:val="left"/>
      <w:pPr>
        <w:ind w:left="102" w:hanging="603"/>
        <w:jc w:val="left"/>
      </w:pPr>
      <w:rPr>
        <w:rFonts w:hint="default"/>
      </w:rPr>
    </w:lvl>
    <w:lvl w:ilvl="1">
      <w:start w:val="4"/>
      <w:numFmt w:val="decimal"/>
      <w:lvlText w:val="%1.%2"/>
      <w:lvlJc w:val="left"/>
      <w:pPr>
        <w:ind w:left="102" w:hanging="603"/>
        <w:jc w:val="left"/>
      </w:pPr>
      <w:rPr>
        <w:rFonts w:hint="default"/>
      </w:rPr>
    </w:lvl>
    <w:lvl w:ilvl="2">
      <w:start w:val="1"/>
      <w:numFmt w:val="decimal"/>
      <w:lvlText w:val="%1.%2.%3"/>
      <w:lvlJc w:val="left"/>
      <w:pPr>
        <w:ind w:left="102" w:hanging="603"/>
        <w:jc w:val="left"/>
      </w:pPr>
      <w:rPr>
        <w:rFonts w:hint="default" w:ascii="Arial" w:hAnsi="Arial" w:eastAsia="Arial" w:cs="Arial"/>
        <w:b/>
        <w:bCs/>
        <w:color w:val="2E2E2E"/>
        <w:spacing w:val="-2"/>
        <w:w w:val="99"/>
        <w:sz w:val="24"/>
        <w:szCs w:val="24"/>
      </w:rPr>
    </w:lvl>
    <w:lvl w:ilvl="3">
      <w:start w:val="1"/>
      <w:numFmt w:val="bullet"/>
      <w:lvlText w:val="•"/>
      <w:lvlJc w:val="left"/>
      <w:pPr>
        <w:ind w:left="2687" w:hanging="603"/>
      </w:pPr>
      <w:rPr>
        <w:rFonts w:hint="default"/>
      </w:rPr>
    </w:lvl>
    <w:lvl w:ilvl="4">
      <w:start w:val="1"/>
      <w:numFmt w:val="bullet"/>
      <w:lvlText w:val="•"/>
      <w:lvlJc w:val="left"/>
      <w:pPr>
        <w:ind w:left="3550" w:hanging="603"/>
      </w:pPr>
      <w:rPr>
        <w:rFonts w:hint="default"/>
      </w:rPr>
    </w:lvl>
    <w:lvl w:ilvl="5">
      <w:start w:val="1"/>
      <w:numFmt w:val="bullet"/>
      <w:lvlText w:val="•"/>
      <w:lvlJc w:val="left"/>
      <w:pPr>
        <w:ind w:left="4413" w:hanging="603"/>
      </w:pPr>
      <w:rPr>
        <w:rFonts w:hint="default"/>
      </w:rPr>
    </w:lvl>
    <w:lvl w:ilvl="6">
      <w:start w:val="1"/>
      <w:numFmt w:val="bullet"/>
      <w:lvlText w:val="•"/>
      <w:lvlJc w:val="left"/>
      <w:pPr>
        <w:ind w:left="5275" w:hanging="603"/>
      </w:pPr>
      <w:rPr>
        <w:rFonts w:hint="default"/>
      </w:rPr>
    </w:lvl>
    <w:lvl w:ilvl="7">
      <w:start w:val="1"/>
      <w:numFmt w:val="bullet"/>
      <w:lvlText w:val="•"/>
      <w:lvlJc w:val="left"/>
      <w:pPr>
        <w:ind w:left="6138" w:hanging="603"/>
      </w:pPr>
      <w:rPr>
        <w:rFonts w:hint="default"/>
      </w:rPr>
    </w:lvl>
    <w:lvl w:ilvl="8">
      <w:start w:val="1"/>
      <w:numFmt w:val="bullet"/>
      <w:lvlText w:val="•"/>
      <w:lvlJc w:val="left"/>
      <w:pPr>
        <w:ind w:left="7001" w:hanging="603"/>
      </w:pPr>
      <w:rPr>
        <w:rFonts w:hint="default"/>
      </w:rPr>
    </w:lvl>
  </w:abstractNum>
  <w:abstractNum w:abstractNumId="23">
    <w:multiLevelType w:val="hybridMultilevel"/>
    <w:lvl w:ilvl="0">
      <w:start w:val="8"/>
      <w:numFmt w:val="decimal"/>
      <w:lvlText w:val="%1"/>
      <w:lvlJc w:val="left"/>
      <w:pPr>
        <w:ind w:left="542" w:hanging="404"/>
        <w:jc w:val="left"/>
      </w:pPr>
      <w:rPr>
        <w:rFonts w:hint="default"/>
      </w:rPr>
    </w:lvl>
    <w:lvl w:ilvl="1">
      <w:start w:val="3"/>
      <w:numFmt w:val="decimal"/>
      <w:lvlText w:val="%1.%2"/>
      <w:lvlJc w:val="left"/>
      <w:pPr>
        <w:ind w:left="542" w:hanging="404"/>
        <w:jc w:val="left"/>
      </w:pPr>
      <w:rPr>
        <w:rFonts w:hint="default" w:ascii="Arial" w:hAnsi="Arial" w:eastAsia="Arial" w:cs="Arial"/>
        <w:b/>
        <w:bCs/>
        <w:color w:val="2E2E2E"/>
        <w:w w:val="99"/>
        <w:sz w:val="24"/>
        <w:szCs w:val="24"/>
      </w:rPr>
    </w:lvl>
    <w:lvl w:ilvl="2">
      <w:start w:val="1"/>
      <w:numFmt w:val="bullet"/>
      <w:lvlText w:val="•"/>
      <w:lvlJc w:val="left"/>
      <w:pPr>
        <w:ind w:left="2333" w:hanging="404"/>
      </w:pPr>
      <w:rPr>
        <w:rFonts w:hint="default"/>
      </w:rPr>
    </w:lvl>
    <w:lvl w:ilvl="3">
      <w:start w:val="1"/>
      <w:numFmt w:val="bullet"/>
      <w:lvlText w:val="•"/>
      <w:lvlJc w:val="left"/>
      <w:pPr>
        <w:ind w:left="3229" w:hanging="404"/>
      </w:pPr>
      <w:rPr>
        <w:rFonts w:hint="default"/>
      </w:rPr>
    </w:lvl>
    <w:lvl w:ilvl="4">
      <w:start w:val="1"/>
      <w:numFmt w:val="bullet"/>
      <w:lvlText w:val="•"/>
      <w:lvlJc w:val="left"/>
      <w:pPr>
        <w:ind w:left="4126" w:hanging="404"/>
      </w:pPr>
      <w:rPr>
        <w:rFonts w:hint="default"/>
      </w:rPr>
    </w:lvl>
    <w:lvl w:ilvl="5">
      <w:start w:val="1"/>
      <w:numFmt w:val="bullet"/>
      <w:lvlText w:val="•"/>
      <w:lvlJc w:val="left"/>
      <w:pPr>
        <w:ind w:left="5023" w:hanging="404"/>
      </w:pPr>
      <w:rPr>
        <w:rFonts w:hint="default"/>
      </w:rPr>
    </w:lvl>
    <w:lvl w:ilvl="6">
      <w:start w:val="1"/>
      <w:numFmt w:val="bullet"/>
      <w:lvlText w:val="•"/>
      <w:lvlJc w:val="left"/>
      <w:pPr>
        <w:ind w:left="5919" w:hanging="404"/>
      </w:pPr>
      <w:rPr>
        <w:rFonts w:hint="default"/>
      </w:rPr>
    </w:lvl>
    <w:lvl w:ilvl="7">
      <w:start w:val="1"/>
      <w:numFmt w:val="bullet"/>
      <w:lvlText w:val="•"/>
      <w:lvlJc w:val="left"/>
      <w:pPr>
        <w:ind w:left="6816" w:hanging="404"/>
      </w:pPr>
      <w:rPr>
        <w:rFonts w:hint="default"/>
      </w:rPr>
    </w:lvl>
    <w:lvl w:ilvl="8">
      <w:start w:val="1"/>
      <w:numFmt w:val="bullet"/>
      <w:lvlText w:val="•"/>
      <w:lvlJc w:val="left"/>
      <w:pPr>
        <w:ind w:left="7713" w:hanging="404"/>
      </w:pPr>
      <w:rPr>
        <w:rFonts w:hint="default"/>
      </w:rPr>
    </w:lvl>
  </w:abstractNum>
  <w:abstractNum w:abstractNumId="22">
    <w:multiLevelType w:val="hybridMultilevel"/>
    <w:lvl w:ilvl="0">
      <w:start w:val="1"/>
      <w:numFmt w:val="lowerLetter"/>
      <w:lvlText w:val="%1)"/>
      <w:lvlJc w:val="left"/>
      <w:pPr>
        <w:ind w:left="542" w:hanging="550"/>
        <w:jc w:val="left"/>
      </w:pPr>
      <w:rPr>
        <w:rFonts w:hint="default" w:ascii="Arial" w:hAnsi="Arial" w:eastAsia="Arial" w:cs="Arial"/>
        <w:b/>
        <w:bCs/>
        <w:color w:val="2E2E2E"/>
        <w:w w:val="99"/>
        <w:sz w:val="24"/>
        <w:szCs w:val="24"/>
      </w:rPr>
    </w:lvl>
    <w:lvl w:ilvl="1">
      <w:start w:val="1"/>
      <w:numFmt w:val="bullet"/>
      <w:lvlText w:val="•"/>
      <w:lvlJc w:val="left"/>
      <w:pPr>
        <w:ind w:left="1436" w:hanging="550"/>
      </w:pPr>
      <w:rPr>
        <w:rFonts w:hint="default"/>
      </w:rPr>
    </w:lvl>
    <w:lvl w:ilvl="2">
      <w:start w:val="1"/>
      <w:numFmt w:val="bullet"/>
      <w:lvlText w:val="•"/>
      <w:lvlJc w:val="left"/>
      <w:pPr>
        <w:ind w:left="2333" w:hanging="550"/>
      </w:pPr>
      <w:rPr>
        <w:rFonts w:hint="default"/>
      </w:rPr>
    </w:lvl>
    <w:lvl w:ilvl="3">
      <w:start w:val="1"/>
      <w:numFmt w:val="bullet"/>
      <w:lvlText w:val="•"/>
      <w:lvlJc w:val="left"/>
      <w:pPr>
        <w:ind w:left="3229" w:hanging="550"/>
      </w:pPr>
      <w:rPr>
        <w:rFonts w:hint="default"/>
      </w:rPr>
    </w:lvl>
    <w:lvl w:ilvl="4">
      <w:start w:val="1"/>
      <w:numFmt w:val="bullet"/>
      <w:lvlText w:val="•"/>
      <w:lvlJc w:val="left"/>
      <w:pPr>
        <w:ind w:left="4126" w:hanging="550"/>
      </w:pPr>
      <w:rPr>
        <w:rFonts w:hint="default"/>
      </w:rPr>
    </w:lvl>
    <w:lvl w:ilvl="5">
      <w:start w:val="1"/>
      <w:numFmt w:val="bullet"/>
      <w:lvlText w:val="•"/>
      <w:lvlJc w:val="left"/>
      <w:pPr>
        <w:ind w:left="5023" w:hanging="550"/>
      </w:pPr>
      <w:rPr>
        <w:rFonts w:hint="default"/>
      </w:rPr>
    </w:lvl>
    <w:lvl w:ilvl="6">
      <w:start w:val="1"/>
      <w:numFmt w:val="bullet"/>
      <w:lvlText w:val="•"/>
      <w:lvlJc w:val="left"/>
      <w:pPr>
        <w:ind w:left="5919" w:hanging="550"/>
      </w:pPr>
      <w:rPr>
        <w:rFonts w:hint="default"/>
      </w:rPr>
    </w:lvl>
    <w:lvl w:ilvl="7">
      <w:start w:val="1"/>
      <w:numFmt w:val="bullet"/>
      <w:lvlText w:val="•"/>
      <w:lvlJc w:val="left"/>
      <w:pPr>
        <w:ind w:left="6816" w:hanging="550"/>
      </w:pPr>
      <w:rPr>
        <w:rFonts w:hint="default"/>
      </w:rPr>
    </w:lvl>
    <w:lvl w:ilvl="8">
      <w:start w:val="1"/>
      <w:numFmt w:val="bullet"/>
      <w:lvlText w:val="•"/>
      <w:lvlJc w:val="left"/>
      <w:pPr>
        <w:ind w:left="7713" w:hanging="550"/>
      </w:pPr>
      <w:rPr>
        <w:rFonts w:hint="default"/>
      </w:rPr>
    </w:lvl>
  </w:abstractNum>
  <w:abstractNum w:abstractNumId="21">
    <w:multiLevelType w:val="hybridMultilevel"/>
    <w:lvl w:ilvl="0">
      <w:start w:val="7"/>
      <w:numFmt w:val="decimal"/>
      <w:lvlText w:val="%1"/>
      <w:lvlJc w:val="left"/>
      <w:pPr>
        <w:ind w:left="1432" w:hanging="603"/>
        <w:jc w:val="left"/>
      </w:pPr>
      <w:rPr>
        <w:rFonts w:hint="default"/>
      </w:rPr>
    </w:lvl>
    <w:lvl w:ilvl="1">
      <w:start w:val="5"/>
      <w:numFmt w:val="decimal"/>
      <w:lvlText w:val="%1.%2"/>
      <w:lvlJc w:val="left"/>
      <w:pPr>
        <w:ind w:left="1432" w:hanging="603"/>
        <w:jc w:val="left"/>
      </w:pPr>
      <w:rPr>
        <w:rFonts w:hint="default"/>
      </w:rPr>
    </w:lvl>
    <w:lvl w:ilvl="2">
      <w:start w:val="2"/>
      <w:numFmt w:val="decimal"/>
      <w:lvlText w:val="%1.%2.%3"/>
      <w:lvlJc w:val="left"/>
      <w:pPr>
        <w:ind w:left="1432" w:hanging="603"/>
        <w:jc w:val="left"/>
      </w:pPr>
      <w:rPr>
        <w:rFonts w:hint="default" w:ascii="Arial" w:hAnsi="Arial" w:eastAsia="Arial" w:cs="Arial"/>
        <w:b/>
        <w:bCs/>
        <w:color w:val="2E2E2E"/>
        <w:spacing w:val="-2"/>
        <w:w w:val="99"/>
        <w:sz w:val="24"/>
        <w:szCs w:val="24"/>
      </w:rPr>
    </w:lvl>
    <w:lvl w:ilvl="3">
      <w:start w:val="1"/>
      <w:numFmt w:val="decimal"/>
      <w:lvlText w:val="%1.%2.%3.%4"/>
      <w:lvlJc w:val="left"/>
      <w:pPr>
        <w:ind w:left="1631" w:hanging="802"/>
        <w:jc w:val="left"/>
      </w:pPr>
      <w:rPr>
        <w:rFonts w:hint="default" w:ascii="Arial" w:hAnsi="Arial" w:eastAsia="Arial" w:cs="Arial"/>
        <w:b/>
        <w:bCs/>
        <w:color w:val="2E2E2E"/>
        <w:spacing w:val="-2"/>
        <w:w w:val="99"/>
        <w:sz w:val="24"/>
        <w:szCs w:val="24"/>
      </w:rPr>
    </w:lvl>
    <w:lvl w:ilvl="4">
      <w:start w:val="1"/>
      <w:numFmt w:val="bullet"/>
      <w:lvlText w:val="•"/>
      <w:lvlJc w:val="left"/>
      <w:pPr>
        <w:ind w:left="4148" w:hanging="802"/>
      </w:pPr>
      <w:rPr>
        <w:rFonts w:hint="default"/>
      </w:rPr>
    </w:lvl>
    <w:lvl w:ilvl="5">
      <w:start w:val="1"/>
      <w:numFmt w:val="bullet"/>
      <w:lvlText w:val="•"/>
      <w:lvlJc w:val="left"/>
      <w:pPr>
        <w:ind w:left="4985" w:hanging="802"/>
      </w:pPr>
      <w:rPr>
        <w:rFonts w:hint="default"/>
      </w:rPr>
    </w:lvl>
    <w:lvl w:ilvl="6">
      <w:start w:val="1"/>
      <w:numFmt w:val="bullet"/>
      <w:lvlText w:val="•"/>
      <w:lvlJc w:val="left"/>
      <w:pPr>
        <w:ind w:left="5821" w:hanging="802"/>
      </w:pPr>
      <w:rPr>
        <w:rFonts w:hint="default"/>
      </w:rPr>
    </w:lvl>
    <w:lvl w:ilvl="7">
      <w:start w:val="1"/>
      <w:numFmt w:val="bullet"/>
      <w:lvlText w:val="•"/>
      <w:lvlJc w:val="left"/>
      <w:pPr>
        <w:ind w:left="6657" w:hanging="802"/>
      </w:pPr>
      <w:rPr>
        <w:rFonts w:hint="default"/>
      </w:rPr>
    </w:lvl>
    <w:lvl w:ilvl="8">
      <w:start w:val="1"/>
      <w:numFmt w:val="bullet"/>
      <w:lvlText w:val="•"/>
      <w:lvlJc w:val="left"/>
      <w:pPr>
        <w:ind w:left="7493" w:hanging="802"/>
      </w:pPr>
      <w:rPr>
        <w:rFonts w:hint="default"/>
      </w:rPr>
    </w:lvl>
  </w:abstractNum>
  <w:abstractNum w:abstractNumId="20">
    <w:multiLevelType w:val="hybridMultilevel"/>
    <w:lvl w:ilvl="0">
      <w:start w:val="1"/>
      <w:numFmt w:val="lowerLetter"/>
      <w:lvlText w:val="%1)"/>
      <w:lvlJc w:val="left"/>
      <w:pPr>
        <w:ind w:left="542" w:hanging="550"/>
        <w:jc w:val="left"/>
      </w:pPr>
      <w:rPr>
        <w:rFonts w:hint="default" w:ascii="Arial" w:hAnsi="Arial" w:eastAsia="Arial" w:cs="Arial"/>
        <w:b/>
        <w:bCs/>
        <w:color w:val="2E2E2E"/>
        <w:w w:val="99"/>
        <w:sz w:val="24"/>
        <w:szCs w:val="24"/>
      </w:rPr>
    </w:lvl>
    <w:lvl w:ilvl="1">
      <w:start w:val="1"/>
      <w:numFmt w:val="bullet"/>
      <w:lvlText w:val="•"/>
      <w:lvlJc w:val="left"/>
      <w:pPr>
        <w:ind w:left="1402" w:hanging="550"/>
      </w:pPr>
      <w:rPr>
        <w:rFonts w:hint="default"/>
      </w:rPr>
    </w:lvl>
    <w:lvl w:ilvl="2">
      <w:start w:val="1"/>
      <w:numFmt w:val="bullet"/>
      <w:lvlText w:val="•"/>
      <w:lvlJc w:val="left"/>
      <w:pPr>
        <w:ind w:left="2265" w:hanging="550"/>
      </w:pPr>
      <w:rPr>
        <w:rFonts w:hint="default"/>
      </w:rPr>
    </w:lvl>
    <w:lvl w:ilvl="3">
      <w:start w:val="1"/>
      <w:numFmt w:val="bullet"/>
      <w:lvlText w:val="•"/>
      <w:lvlJc w:val="left"/>
      <w:pPr>
        <w:ind w:left="3127" w:hanging="550"/>
      </w:pPr>
      <w:rPr>
        <w:rFonts w:hint="default"/>
      </w:rPr>
    </w:lvl>
    <w:lvl w:ilvl="4">
      <w:start w:val="1"/>
      <w:numFmt w:val="bullet"/>
      <w:lvlText w:val="•"/>
      <w:lvlJc w:val="left"/>
      <w:pPr>
        <w:ind w:left="3990" w:hanging="550"/>
      </w:pPr>
      <w:rPr>
        <w:rFonts w:hint="default"/>
      </w:rPr>
    </w:lvl>
    <w:lvl w:ilvl="5">
      <w:start w:val="1"/>
      <w:numFmt w:val="bullet"/>
      <w:lvlText w:val="•"/>
      <w:lvlJc w:val="left"/>
      <w:pPr>
        <w:ind w:left="4853" w:hanging="550"/>
      </w:pPr>
      <w:rPr>
        <w:rFonts w:hint="default"/>
      </w:rPr>
    </w:lvl>
    <w:lvl w:ilvl="6">
      <w:start w:val="1"/>
      <w:numFmt w:val="bullet"/>
      <w:lvlText w:val="•"/>
      <w:lvlJc w:val="left"/>
      <w:pPr>
        <w:ind w:left="5715" w:hanging="550"/>
      </w:pPr>
      <w:rPr>
        <w:rFonts w:hint="default"/>
      </w:rPr>
    </w:lvl>
    <w:lvl w:ilvl="7">
      <w:start w:val="1"/>
      <w:numFmt w:val="bullet"/>
      <w:lvlText w:val="•"/>
      <w:lvlJc w:val="left"/>
      <w:pPr>
        <w:ind w:left="6578" w:hanging="550"/>
      </w:pPr>
      <w:rPr>
        <w:rFonts w:hint="default"/>
      </w:rPr>
    </w:lvl>
    <w:lvl w:ilvl="8">
      <w:start w:val="1"/>
      <w:numFmt w:val="bullet"/>
      <w:lvlText w:val="•"/>
      <w:lvlJc w:val="left"/>
      <w:pPr>
        <w:ind w:left="7441" w:hanging="550"/>
      </w:pPr>
      <w:rPr>
        <w:rFonts w:hint="default"/>
      </w:rPr>
    </w:lvl>
  </w:abstractNum>
  <w:abstractNum w:abstractNumId="19">
    <w:multiLevelType w:val="hybridMultilevel"/>
    <w:lvl w:ilvl="0">
      <w:start w:val="7"/>
      <w:numFmt w:val="decimal"/>
      <w:lvlText w:val="%1"/>
      <w:lvlJc w:val="left"/>
      <w:pPr>
        <w:ind w:left="542" w:hanging="404"/>
        <w:jc w:val="left"/>
      </w:pPr>
      <w:rPr>
        <w:rFonts w:hint="default"/>
      </w:rPr>
    </w:lvl>
    <w:lvl w:ilvl="1">
      <w:start w:val="2"/>
      <w:numFmt w:val="decimal"/>
      <w:lvlText w:val="%1.%2"/>
      <w:lvlJc w:val="left"/>
      <w:pPr>
        <w:ind w:left="542" w:hanging="404"/>
        <w:jc w:val="left"/>
      </w:pPr>
      <w:rPr>
        <w:rFonts w:hint="default" w:ascii="Arial" w:hAnsi="Arial" w:eastAsia="Arial" w:cs="Arial"/>
        <w:b/>
        <w:bCs/>
        <w:color w:val="2E2E2E"/>
        <w:w w:val="99"/>
        <w:sz w:val="24"/>
        <w:szCs w:val="24"/>
      </w:rPr>
    </w:lvl>
    <w:lvl w:ilvl="2">
      <w:start w:val="1"/>
      <w:numFmt w:val="decimal"/>
      <w:lvlText w:val="%1.%2.%3"/>
      <w:lvlJc w:val="left"/>
      <w:pPr>
        <w:ind w:left="1432" w:hanging="603"/>
        <w:jc w:val="left"/>
      </w:pPr>
      <w:rPr>
        <w:rFonts w:hint="default" w:ascii="Arial" w:hAnsi="Arial" w:eastAsia="Arial" w:cs="Arial"/>
        <w:b/>
        <w:bCs/>
        <w:color w:val="2E2E2E"/>
        <w:spacing w:val="-2"/>
        <w:w w:val="99"/>
        <w:sz w:val="24"/>
        <w:szCs w:val="24"/>
      </w:rPr>
    </w:lvl>
    <w:lvl w:ilvl="3">
      <w:start w:val="1"/>
      <w:numFmt w:val="decimal"/>
      <w:lvlText w:val="%1.%2.%3.%4"/>
      <w:lvlJc w:val="left"/>
      <w:pPr>
        <w:ind w:left="1631" w:hanging="802"/>
        <w:jc w:val="left"/>
      </w:pPr>
      <w:rPr>
        <w:rFonts w:hint="default" w:ascii="Arial" w:hAnsi="Arial" w:eastAsia="Arial" w:cs="Arial"/>
        <w:b/>
        <w:bCs/>
        <w:color w:val="2E2E2E"/>
        <w:spacing w:val="-2"/>
        <w:w w:val="99"/>
        <w:sz w:val="24"/>
        <w:szCs w:val="24"/>
      </w:rPr>
    </w:lvl>
    <w:lvl w:ilvl="4">
      <w:start w:val="1"/>
      <w:numFmt w:val="bullet"/>
      <w:lvlText w:val="•"/>
      <w:lvlJc w:val="left"/>
      <w:pPr>
        <w:ind w:left="3521" w:hanging="802"/>
      </w:pPr>
      <w:rPr>
        <w:rFonts w:hint="default"/>
      </w:rPr>
    </w:lvl>
    <w:lvl w:ilvl="5">
      <w:start w:val="1"/>
      <w:numFmt w:val="bullet"/>
      <w:lvlText w:val="•"/>
      <w:lvlJc w:val="left"/>
      <w:pPr>
        <w:ind w:left="4462" w:hanging="802"/>
      </w:pPr>
      <w:rPr>
        <w:rFonts w:hint="default"/>
      </w:rPr>
    </w:lvl>
    <w:lvl w:ilvl="6">
      <w:start w:val="1"/>
      <w:numFmt w:val="bullet"/>
      <w:lvlText w:val="•"/>
      <w:lvlJc w:val="left"/>
      <w:pPr>
        <w:ind w:left="5403" w:hanging="802"/>
      </w:pPr>
      <w:rPr>
        <w:rFonts w:hint="default"/>
      </w:rPr>
    </w:lvl>
    <w:lvl w:ilvl="7">
      <w:start w:val="1"/>
      <w:numFmt w:val="bullet"/>
      <w:lvlText w:val="•"/>
      <w:lvlJc w:val="left"/>
      <w:pPr>
        <w:ind w:left="6344" w:hanging="802"/>
      </w:pPr>
      <w:rPr>
        <w:rFonts w:hint="default"/>
      </w:rPr>
    </w:lvl>
    <w:lvl w:ilvl="8">
      <w:start w:val="1"/>
      <w:numFmt w:val="bullet"/>
      <w:lvlText w:val="•"/>
      <w:lvlJc w:val="left"/>
      <w:pPr>
        <w:ind w:left="7284" w:hanging="802"/>
      </w:pPr>
      <w:rPr>
        <w:rFonts w:hint="default"/>
      </w:rPr>
    </w:lvl>
  </w:abstractNum>
  <w:abstractNum w:abstractNumId="18">
    <w:multiLevelType w:val="hybridMultilevel"/>
    <w:lvl w:ilvl="0">
      <w:start w:val="19"/>
      <w:numFmt w:val="lowerLetter"/>
      <w:lvlText w:val="%1"/>
      <w:lvlJc w:val="left"/>
      <w:pPr>
        <w:ind w:left="102" w:hanging="521"/>
        <w:jc w:val="left"/>
      </w:pPr>
      <w:rPr>
        <w:rFonts w:hint="default" w:ascii="Arial" w:hAnsi="Arial" w:eastAsia="Arial" w:cs="Arial"/>
        <w:color w:val="2E2E2E"/>
        <w:spacing w:val="-3"/>
        <w:w w:val="99"/>
        <w:sz w:val="24"/>
        <w:szCs w:val="24"/>
      </w:rPr>
    </w:lvl>
    <w:lvl w:ilvl="1">
      <w:start w:val="1"/>
      <w:numFmt w:val="bullet"/>
      <w:lvlText w:val="•"/>
      <w:lvlJc w:val="left"/>
      <w:pPr>
        <w:ind w:left="962" w:hanging="521"/>
      </w:pPr>
      <w:rPr>
        <w:rFonts w:hint="default"/>
      </w:rPr>
    </w:lvl>
    <w:lvl w:ilvl="2">
      <w:start w:val="1"/>
      <w:numFmt w:val="bullet"/>
      <w:lvlText w:val="•"/>
      <w:lvlJc w:val="left"/>
      <w:pPr>
        <w:ind w:left="1825" w:hanging="521"/>
      </w:pPr>
      <w:rPr>
        <w:rFonts w:hint="default"/>
      </w:rPr>
    </w:lvl>
    <w:lvl w:ilvl="3">
      <w:start w:val="1"/>
      <w:numFmt w:val="bullet"/>
      <w:lvlText w:val="•"/>
      <w:lvlJc w:val="left"/>
      <w:pPr>
        <w:ind w:left="2687" w:hanging="521"/>
      </w:pPr>
      <w:rPr>
        <w:rFonts w:hint="default"/>
      </w:rPr>
    </w:lvl>
    <w:lvl w:ilvl="4">
      <w:start w:val="1"/>
      <w:numFmt w:val="bullet"/>
      <w:lvlText w:val="•"/>
      <w:lvlJc w:val="left"/>
      <w:pPr>
        <w:ind w:left="3550" w:hanging="521"/>
      </w:pPr>
      <w:rPr>
        <w:rFonts w:hint="default"/>
      </w:rPr>
    </w:lvl>
    <w:lvl w:ilvl="5">
      <w:start w:val="1"/>
      <w:numFmt w:val="bullet"/>
      <w:lvlText w:val="•"/>
      <w:lvlJc w:val="left"/>
      <w:pPr>
        <w:ind w:left="4413" w:hanging="521"/>
      </w:pPr>
      <w:rPr>
        <w:rFonts w:hint="default"/>
      </w:rPr>
    </w:lvl>
    <w:lvl w:ilvl="6">
      <w:start w:val="1"/>
      <w:numFmt w:val="bullet"/>
      <w:lvlText w:val="•"/>
      <w:lvlJc w:val="left"/>
      <w:pPr>
        <w:ind w:left="5275" w:hanging="521"/>
      </w:pPr>
      <w:rPr>
        <w:rFonts w:hint="default"/>
      </w:rPr>
    </w:lvl>
    <w:lvl w:ilvl="7">
      <w:start w:val="1"/>
      <w:numFmt w:val="bullet"/>
      <w:lvlText w:val="•"/>
      <w:lvlJc w:val="left"/>
      <w:pPr>
        <w:ind w:left="6138" w:hanging="521"/>
      </w:pPr>
      <w:rPr>
        <w:rFonts w:hint="default"/>
      </w:rPr>
    </w:lvl>
    <w:lvl w:ilvl="8">
      <w:start w:val="1"/>
      <w:numFmt w:val="bullet"/>
      <w:lvlText w:val="•"/>
      <w:lvlJc w:val="left"/>
      <w:pPr>
        <w:ind w:left="7001" w:hanging="521"/>
      </w:pPr>
      <w:rPr>
        <w:rFonts w:hint="default"/>
      </w:rPr>
    </w:lvl>
  </w:abstractNum>
  <w:abstractNum w:abstractNumId="17">
    <w:multiLevelType w:val="hybridMultilevel"/>
    <w:lvl w:ilvl="0">
      <w:start w:val="3"/>
      <w:numFmt w:val="decimal"/>
      <w:lvlText w:val="%1"/>
      <w:lvlJc w:val="left"/>
      <w:pPr>
        <w:ind w:left="925" w:hanging="536"/>
        <w:jc w:val="left"/>
      </w:pPr>
      <w:rPr>
        <w:rFonts w:hint="default"/>
      </w:rPr>
    </w:lvl>
    <w:lvl w:ilvl="1">
      <w:start w:val="14"/>
      <w:numFmt w:val="decimal"/>
      <w:lvlText w:val="%1.%2"/>
      <w:lvlJc w:val="left"/>
      <w:pPr>
        <w:ind w:left="925" w:hanging="536"/>
        <w:jc w:val="left"/>
      </w:pPr>
      <w:rPr>
        <w:rFonts w:hint="default" w:ascii="Arial" w:hAnsi="Arial" w:eastAsia="Arial" w:cs="Arial"/>
        <w:b/>
        <w:bCs/>
        <w:color w:val="2E2E2E"/>
        <w:w w:val="99"/>
        <w:sz w:val="24"/>
        <w:szCs w:val="24"/>
      </w:rPr>
    </w:lvl>
    <w:lvl w:ilvl="2">
      <w:start w:val="1"/>
      <w:numFmt w:val="decimal"/>
      <w:lvlText w:val="%1.%2.%3"/>
      <w:lvlJc w:val="left"/>
      <w:pPr>
        <w:ind w:left="1126" w:hanging="737"/>
        <w:jc w:val="left"/>
      </w:pPr>
      <w:rPr>
        <w:rFonts w:hint="default" w:ascii="Arial" w:hAnsi="Arial" w:eastAsia="Arial" w:cs="Arial"/>
        <w:b/>
        <w:bCs/>
        <w:color w:val="2E2E2E"/>
        <w:spacing w:val="-2"/>
        <w:w w:val="99"/>
        <w:sz w:val="24"/>
        <w:szCs w:val="24"/>
      </w:rPr>
    </w:lvl>
    <w:lvl w:ilvl="3">
      <w:start w:val="1"/>
      <w:numFmt w:val="bullet"/>
      <w:lvlText w:val="•"/>
      <w:lvlJc w:val="left"/>
      <w:pPr>
        <w:ind w:left="2810" w:hanging="737"/>
      </w:pPr>
      <w:rPr>
        <w:rFonts w:hint="default"/>
      </w:rPr>
    </w:lvl>
    <w:lvl w:ilvl="4">
      <w:start w:val="1"/>
      <w:numFmt w:val="bullet"/>
      <w:lvlText w:val="•"/>
      <w:lvlJc w:val="left"/>
      <w:pPr>
        <w:ind w:left="3655" w:hanging="737"/>
      </w:pPr>
      <w:rPr>
        <w:rFonts w:hint="default"/>
      </w:rPr>
    </w:lvl>
    <w:lvl w:ilvl="5">
      <w:start w:val="1"/>
      <w:numFmt w:val="bullet"/>
      <w:lvlText w:val="•"/>
      <w:lvlJc w:val="left"/>
      <w:pPr>
        <w:ind w:left="4500" w:hanging="737"/>
      </w:pPr>
      <w:rPr>
        <w:rFonts w:hint="default"/>
      </w:rPr>
    </w:lvl>
    <w:lvl w:ilvl="6">
      <w:start w:val="1"/>
      <w:numFmt w:val="bullet"/>
      <w:lvlText w:val="•"/>
      <w:lvlJc w:val="left"/>
      <w:pPr>
        <w:ind w:left="5345" w:hanging="737"/>
      </w:pPr>
      <w:rPr>
        <w:rFonts w:hint="default"/>
      </w:rPr>
    </w:lvl>
    <w:lvl w:ilvl="7">
      <w:start w:val="1"/>
      <w:numFmt w:val="bullet"/>
      <w:lvlText w:val="•"/>
      <w:lvlJc w:val="left"/>
      <w:pPr>
        <w:ind w:left="6190" w:hanging="737"/>
      </w:pPr>
      <w:rPr>
        <w:rFonts w:hint="default"/>
      </w:rPr>
    </w:lvl>
    <w:lvl w:ilvl="8">
      <w:start w:val="1"/>
      <w:numFmt w:val="bullet"/>
      <w:lvlText w:val="•"/>
      <w:lvlJc w:val="left"/>
      <w:pPr>
        <w:ind w:left="7036" w:hanging="737"/>
      </w:pPr>
      <w:rPr>
        <w:rFonts w:hint="default"/>
      </w:rPr>
    </w:lvl>
  </w:abstractNum>
  <w:abstractNum w:abstractNumId="16">
    <w:multiLevelType w:val="hybridMultilevel"/>
    <w:lvl w:ilvl="0">
      <w:start w:val="3"/>
      <w:numFmt w:val="decimal"/>
      <w:lvlText w:val="%1"/>
      <w:lvlJc w:val="left"/>
      <w:pPr>
        <w:ind w:left="793" w:hanging="404"/>
        <w:jc w:val="left"/>
      </w:pPr>
      <w:rPr>
        <w:rFonts w:hint="default"/>
      </w:rPr>
    </w:lvl>
    <w:lvl w:ilvl="1">
      <w:start w:val="4"/>
      <w:numFmt w:val="decimal"/>
      <w:lvlText w:val="%1.%2"/>
      <w:lvlJc w:val="left"/>
      <w:pPr>
        <w:ind w:left="793" w:hanging="404"/>
        <w:jc w:val="right"/>
      </w:pPr>
      <w:rPr>
        <w:rFonts w:hint="default" w:ascii="Arial" w:hAnsi="Arial" w:eastAsia="Arial" w:cs="Arial"/>
        <w:b/>
        <w:bCs/>
        <w:color w:val="2E2E2E"/>
        <w:w w:val="99"/>
        <w:sz w:val="24"/>
        <w:szCs w:val="24"/>
      </w:rPr>
    </w:lvl>
    <w:lvl w:ilvl="2">
      <w:start w:val="1"/>
      <w:numFmt w:val="bullet"/>
      <w:lvlText w:val="•"/>
      <w:lvlJc w:val="left"/>
      <w:pPr>
        <w:ind w:left="1965" w:hanging="404"/>
      </w:pPr>
      <w:rPr>
        <w:rFonts w:hint="default"/>
      </w:rPr>
    </w:lvl>
    <w:lvl w:ilvl="3">
      <w:start w:val="1"/>
      <w:numFmt w:val="bullet"/>
      <w:lvlText w:val="•"/>
      <w:lvlJc w:val="left"/>
      <w:pPr>
        <w:ind w:left="2810" w:hanging="404"/>
      </w:pPr>
      <w:rPr>
        <w:rFonts w:hint="default"/>
      </w:rPr>
    </w:lvl>
    <w:lvl w:ilvl="4">
      <w:start w:val="1"/>
      <w:numFmt w:val="bullet"/>
      <w:lvlText w:val="•"/>
      <w:lvlJc w:val="left"/>
      <w:pPr>
        <w:ind w:left="3655" w:hanging="404"/>
      </w:pPr>
      <w:rPr>
        <w:rFonts w:hint="default"/>
      </w:rPr>
    </w:lvl>
    <w:lvl w:ilvl="5">
      <w:start w:val="1"/>
      <w:numFmt w:val="bullet"/>
      <w:lvlText w:val="•"/>
      <w:lvlJc w:val="left"/>
      <w:pPr>
        <w:ind w:left="4500" w:hanging="404"/>
      </w:pPr>
      <w:rPr>
        <w:rFonts w:hint="default"/>
      </w:rPr>
    </w:lvl>
    <w:lvl w:ilvl="6">
      <w:start w:val="1"/>
      <w:numFmt w:val="bullet"/>
      <w:lvlText w:val="•"/>
      <w:lvlJc w:val="left"/>
      <w:pPr>
        <w:ind w:left="5345" w:hanging="404"/>
      </w:pPr>
      <w:rPr>
        <w:rFonts w:hint="default"/>
      </w:rPr>
    </w:lvl>
    <w:lvl w:ilvl="7">
      <w:start w:val="1"/>
      <w:numFmt w:val="bullet"/>
      <w:lvlText w:val="•"/>
      <w:lvlJc w:val="left"/>
      <w:pPr>
        <w:ind w:left="6190" w:hanging="404"/>
      </w:pPr>
      <w:rPr>
        <w:rFonts w:hint="default"/>
      </w:rPr>
    </w:lvl>
    <w:lvl w:ilvl="8">
      <w:start w:val="1"/>
      <w:numFmt w:val="bullet"/>
      <w:lvlText w:val="•"/>
      <w:lvlJc w:val="left"/>
      <w:pPr>
        <w:ind w:left="7036" w:hanging="404"/>
      </w:pPr>
      <w:rPr>
        <w:rFonts w:hint="default"/>
      </w:rPr>
    </w:lvl>
  </w:abstractNum>
  <w:abstractNum w:abstractNumId="14">
    <w:multiLevelType w:val="hybridMultilevel"/>
    <w:lvl w:ilvl="0">
      <w:start w:val="1"/>
      <w:numFmt w:val="decimal"/>
      <w:lvlText w:val="%1."/>
      <w:lvlJc w:val="left"/>
      <w:pPr>
        <w:ind w:left="102" w:hanging="305"/>
        <w:jc w:val="left"/>
      </w:pPr>
      <w:rPr>
        <w:rFonts w:hint="default" w:ascii="Arial" w:hAnsi="Arial" w:eastAsia="Arial" w:cs="Arial"/>
        <w:w w:val="99"/>
        <w:sz w:val="24"/>
        <w:szCs w:val="24"/>
      </w:rPr>
    </w:lvl>
    <w:lvl w:ilvl="1">
      <w:start w:val="1"/>
      <w:numFmt w:val="bullet"/>
      <w:lvlText w:val="•"/>
      <w:lvlJc w:val="left"/>
      <w:pPr>
        <w:ind w:left="962" w:hanging="305"/>
      </w:pPr>
      <w:rPr>
        <w:rFonts w:hint="default"/>
      </w:rPr>
    </w:lvl>
    <w:lvl w:ilvl="2">
      <w:start w:val="1"/>
      <w:numFmt w:val="bullet"/>
      <w:lvlText w:val="•"/>
      <w:lvlJc w:val="left"/>
      <w:pPr>
        <w:ind w:left="1825" w:hanging="305"/>
      </w:pPr>
      <w:rPr>
        <w:rFonts w:hint="default"/>
      </w:rPr>
    </w:lvl>
    <w:lvl w:ilvl="3">
      <w:start w:val="1"/>
      <w:numFmt w:val="bullet"/>
      <w:lvlText w:val="•"/>
      <w:lvlJc w:val="left"/>
      <w:pPr>
        <w:ind w:left="2687" w:hanging="305"/>
      </w:pPr>
      <w:rPr>
        <w:rFonts w:hint="default"/>
      </w:rPr>
    </w:lvl>
    <w:lvl w:ilvl="4">
      <w:start w:val="1"/>
      <w:numFmt w:val="bullet"/>
      <w:lvlText w:val="•"/>
      <w:lvlJc w:val="left"/>
      <w:pPr>
        <w:ind w:left="3550" w:hanging="305"/>
      </w:pPr>
      <w:rPr>
        <w:rFonts w:hint="default"/>
      </w:rPr>
    </w:lvl>
    <w:lvl w:ilvl="5">
      <w:start w:val="1"/>
      <w:numFmt w:val="bullet"/>
      <w:lvlText w:val="•"/>
      <w:lvlJc w:val="left"/>
      <w:pPr>
        <w:ind w:left="4413" w:hanging="305"/>
      </w:pPr>
      <w:rPr>
        <w:rFonts w:hint="default"/>
      </w:rPr>
    </w:lvl>
    <w:lvl w:ilvl="6">
      <w:start w:val="1"/>
      <w:numFmt w:val="bullet"/>
      <w:lvlText w:val="•"/>
      <w:lvlJc w:val="left"/>
      <w:pPr>
        <w:ind w:left="5275" w:hanging="305"/>
      </w:pPr>
      <w:rPr>
        <w:rFonts w:hint="default"/>
      </w:rPr>
    </w:lvl>
    <w:lvl w:ilvl="7">
      <w:start w:val="1"/>
      <w:numFmt w:val="bullet"/>
      <w:lvlText w:val="•"/>
      <w:lvlJc w:val="left"/>
      <w:pPr>
        <w:ind w:left="6138" w:hanging="305"/>
      </w:pPr>
      <w:rPr>
        <w:rFonts w:hint="default"/>
      </w:rPr>
    </w:lvl>
    <w:lvl w:ilvl="8">
      <w:start w:val="1"/>
      <w:numFmt w:val="bullet"/>
      <w:lvlText w:val="•"/>
      <w:lvlJc w:val="left"/>
      <w:pPr>
        <w:ind w:left="7001" w:hanging="305"/>
      </w:pPr>
      <w:rPr>
        <w:rFonts w:hint="default"/>
      </w:rPr>
    </w:lvl>
  </w:abstractNum>
  <w:abstractNum w:abstractNumId="13">
    <w:multiLevelType w:val="hybridMultilevel"/>
    <w:lvl w:ilvl="0">
      <w:start w:val="1"/>
      <w:numFmt w:val="bullet"/>
      <w:lvlText w:val=""/>
      <w:lvlJc w:val="left"/>
      <w:pPr>
        <w:ind w:left="822" w:hanging="348"/>
      </w:pPr>
      <w:rPr>
        <w:rFonts w:hint="default" w:ascii="Symbol" w:hAnsi="Symbol" w:eastAsia="Symbol" w:cs="Symbol"/>
        <w:w w:val="100"/>
        <w:sz w:val="24"/>
        <w:szCs w:val="24"/>
      </w:rPr>
    </w:lvl>
    <w:lvl w:ilvl="1">
      <w:start w:val="1"/>
      <w:numFmt w:val="bullet"/>
      <w:lvlText w:val="•"/>
      <w:lvlJc w:val="left"/>
      <w:pPr>
        <w:ind w:left="1610" w:hanging="348"/>
      </w:pPr>
      <w:rPr>
        <w:rFonts w:hint="default"/>
      </w:rPr>
    </w:lvl>
    <w:lvl w:ilvl="2">
      <w:start w:val="1"/>
      <w:numFmt w:val="bullet"/>
      <w:lvlText w:val="•"/>
      <w:lvlJc w:val="left"/>
      <w:pPr>
        <w:ind w:left="2401" w:hanging="348"/>
      </w:pPr>
      <w:rPr>
        <w:rFonts w:hint="default"/>
      </w:rPr>
    </w:lvl>
    <w:lvl w:ilvl="3">
      <w:start w:val="1"/>
      <w:numFmt w:val="bullet"/>
      <w:lvlText w:val="•"/>
      <w:lvlJc w:val="left"/>
      <w:pPr>
        <w:ind w:left="3191" w:hanging="348"/>
      </w:pPr>
      <w:rPr>
        <w:rFonts w:hint="default"/>
      </w:rPr>
    </w:lvl>
    <w:lvl w:ilvl="4">
      <w:start w:val="1"/>
      <w:numFmt w:val="bullet"/>
      <w:lvlText w:val="•"/>
      <w:lvlJc w:val="left"/>
      <w:pPr>
        <w:ind w:left="3982" w:hanging="348"/>
      </w:pPr>
      <w:rPr>
        <w:rFonts w:hint="default"/>
      </w:rPr>
    </w:lvl>
    <w:lvl w:ilvl="5">
      <w:start w:val="1"/>
      <w:numFmt w:val="bullet"/>
      <w:lvlText w:val="•"/>
      <w:lvlJc w:val="left"/>
      <w:pPr>
        <w:ind w:left="4773" w:hanging="348"/>
      </w:pPr>
      <w:rPr>
        <w:rFonts w:hint="default"/>
      </w:rPr>
    </w:lvl>
    <w:lvl w:ilvl="6">
      <w:start w:val="1"/>
      <w:numFmt w:val="bullet"/>
      <w:lvlText w:val="•"/>
      <w:lvlJc w:val="left"/>
      <w:pPr>
        <w:ind w:left="5563" w:hanging="348"/>
      </w:pPr>
      <w:rPr>
        <w:rFonts w:hint="default"/>
      </w:rPr>
    </w:lvl>
    <w:lvl w:ilvl="7">
      <w:start w:val="1"/>
      <w:numFmt w:val="bullet"/>
      <w:lvlText w:val="•"/>
      <w:lvlJc w:val="left"/>
      <w:pPr>
        <w:ind w:left="6354" w:hanging="348"/>
      </w:pPr>
      <w:rPr>
        <w:rFonts w:hint="default"/>
      </w:rPr>
    </w:lvl>
    <w:lvl w:ilvl="8">
      <w:start w:val="1"/>
      <w:numFmt w:val="bullet"/>
      <w:lvlText w:val="•"/>
      <w:lvlJc w:val="left"/>
      <w:pPr>
        <w:ind w:left="7145" w:hanging="348"/>
      </w:pPr>
      <w:rPr>
        <w:rFonts w:hint="default"/>
      </w:rPr>
    </w:lvl>
  </w:abstractNum>
  <w:abstractNum w:abstractNumId="12">
    <w:multiLevelType w:val="hybridMultilevel"/>
    <w:lvl w:ilvl="0">
      <w:start w:val="4"/>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w w:val="99"/>
        <w:sz w:val="24"/>
        <w:szCs w:val="24"/>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2483" w:hanging="602"/>
      </w:pPr>
      <w:rPr>
        <w:rFonts w:hint="default"/>
      </w:rPr>
    </w:lvl>
    <w:lvl w:ilvl="4">
      <w:start w:val="1"/>
      <w:numFmt w:val="bullet"/>
      <w:lvlText w:val="•"/>
      <w:lvlJc w:val="left"/>
      <w:pPr>
        <w:ind w:left="3375" w:hanging="602"/>
      </w:pPr>
      <w:rPr>
        <w:rFonts w:hint="default"/>
      </w:rPr>
    </w:lvl>
    <w:lvl w:ilvl="5">
      <w:start w:val="1"/>
      <w:numFmt w:val="bullet"/>
      <w:lvlText w:val="•"/>
      <w:lvlJc w:val="left"/>
      <w:pPr>
        <w:ind w:left="4267" w:hanging="602"/>
      </w:pPr>
      <w:rPr>
        <w:rFonts w:hint="default"/>
      </w:rPr>
    </w:lvl>
    <w:lvl w:ilvl="6">
      <w:start w:val="1"/>
      <w:numFmt w:val="bullet"/>
      <w:lvlText w:val="•"/>
      <w:lvlJc w:val="left"/>
      <w:pPr>
        <w:ind w:left="5159" w:hanging="602"/>
      </w:pPr>
      <w:rPr>
        <w:rFonts w:hint="default"/>
      </w:rPr>
    </w:lvl>
    <w:lvl w:ilvl="7">
      <w:start w:val="1"/>
      <w:numFmt w:val="bullet"/>
      <w:lvlText w:val="•"/>
      <w:lvlJc w:val="left"/>
      <w:pPr>
        <w:ind w:left="6050" w:hanging="602"/>
      </w:pPr>
      <w:rPr>
        <w:rFonts w:hint="default"/>
      </w:rPr>
    </w:lvl>
    <w:lvl w:ilvl="8">
      <w:start w:val="1"/>
      <w:numFmt w:val="bullet"/>
      <w:lvlText w:val="•"/>
      <w:lvlJc w:val="left"/>
      <w:pPr>
        <w:ind w:left="6942" w:hanging="602"/>
      </w:pPr>
      <w:rPr>
        <w:rFonts w:hint="default"/>
      </w:rPr>
    </w:lvl>
  </w:abstractNum>
  <w:abstractNum w:abstractNumId="11">
    <w:multiLevelType w:val="hybridMultilevel"/>
    <w:lvl w:ilvl="0">
      <w:start w:val="3"/>
      <w:numFmt w:val="decimal"/>
      <w:lvlText w:val="%1"/>
      <w:lvlJc w:val="left"/>
      <w:pPr>
        <w:ind w:left="102" w:hanging="404"/>
        <w:jc w:val="left"/>
      </w:pPr>
      <w:rPr>
        <w:rFonts w:hint="default"/>
      </w:rPr>
    </w:lvl>
    <w:lvl w:ilvl="1">
      <w:start w:val="1"/>
      <w:numFmt w:val="decimal"/>
      <w:lvlText w:val="%1.%2"/>
      <w:lvlJc w:val="left"/>
      <w:pPr>
        <w:ind w:left="102" w:hanging="404"/>
        <w:jc w:val="right"/>
      </w:pPr>
      <w:rPr>
        <w:rFonts w:hint="default" w:ascii="Arial" w:hAnsi="Arial" w:eastAsia="Arial" w:cs="Arial"/>
        <w:b/>
        <w:bCs/>
        <w:w w:val="99"/>
        <w:sz w:val="24"/>
        <w:szCs w:val="24"/>
      </w:rPr>
    </w:lvl>
    <w:lvl w:ilvl="2">
      <w:start w:val="1"/>
      <w:numFmt w:val="decimal"/>
      <w:lvlText w:val="%1.%2.%3"/>
      <w:lvlJc w:val="left"/>
      <w:pPr>
        <w:ind w:left="704" w:hanging="603"/>
        <w:jc w:val="left"/>
      </w:pPr>
      <w:rPr>
        <w:rFonts w:hint="default" w:ascii="Arial" w:hAnsi="Arial" w:eastAsia="Arial" w:cs="Arial"/>
        <w:b/>
        <w:bCs/>
        <w:spacing w:val="-2"/>
        <w:w w:val="99"/>
        <w:sz w:val="24"/>
        <w:szCs w:val="24"/>
      </w:rPr>
    </w:lvl>
    <w:lvl w:ilvl="3">
      <w:start w:val="1"/>
      <w:numFmt w:val="bullet"/>
      <w:lvlText w:val="•"/>
      <w:lvlJc w:val="left"/>
      <w:pPr>
        <w:ind w:left="2483" w:hanging="603"/>
      </w:pPr>
      <w:rPr>
        <w:rFonts w:hint="default"/>
      </w:rPr>
    </w:lvl>
    <w:lvl w:ilvl="4">
      <w:start w:val="1"/>
      <w:numFmt w:val="bullet"/>
      <w:lvlText w:val="•"/>
      <w:lvlJc w:val="left"/>
      <w:pPr>
        <w:ind w:left="3375" w:hanging="603"/>
      </w:pPr>
      <w:rPr>
        <w:rFonts w:hint="default"/>
      </w:rPr>
    </w:lvl>
    <w:lvl w:ilvl="5">
      <w:start w:val="1"/>
      <w:numFmt w:val="bullet"/>
      <w:lvlText w:val="•"/>
      <w:lvlJc w:val="left"/>
      <w:pPr>
        <w:ind w:left="4267" w:hanging="603"/>
      </w:pPr>
      <w:rPr>
        <w:rFonts w:hint="default"/>
      </w:rPr>
    </w:lvl>
    <w:lvl w:ilvl="6">
      <w:start w:val="1"/>
      <w:numFmt w:val="bullet"/>
      <w:lvlText w:val="•"/>
      <w:lvlJc w:val="left"/>
      <w:pPr>
        <w:ind w:left="5159" w:hanging="603"/>
      </w:pPr>
      <w:rPr>
        <w:rFonts w:hint="default"/>
      </w:rPr>
    </w:lvl>
    <w:lvl w:ilvl="7">
      <w:start w:val="1"/>
      <w:numFmt w:val="bullet"/>
      <w:lvlText w:val="•"/>
      <w:lvlJc w:val="left"/>
      <w:pPr>
        <w:ind w:left="6050" w:hanging="603"/>
      </w:pPr>
      <w:rPr>
        <w:rFonts w:hint="default"/>
      </w:rPr>
    </w:lvl>
    <w:lvl w:ilvl="8">
      <w:start w:val="1"/>
      <w:numFmt w:val="bullet"/>
      <w:lvlText w:val="•"/>
      <w:lvlJc w:val="left"/>
      <w:pPr>
        <w:ind w:left="6942" w:hanging="603"/>
      </w:pPr>
      <w:rPr>
        <w:rFonts w:hint="default"/>
      </w:rPr>
    </w:lvl>
  </w:abstractNum>
  <w:abstractNum w:abstractNumId="10">
    <w:multiLevelType w:val="hybridMultilevel"/>
    <w:lvl w:ilvl="0">
      <w:start w:val="1"/>
      <w:numFmt w:val="decimal"/>
      <w:lvlText w:val="%1."/>
      <w:lvlJc w:val="left"/>
      <w:pPr>
        <w:ind w:left="822" w:hanging="360"/>
        <w:jc w:val="left"/>
      </w:pPr>
      <w:rPr>
        <w:rFonts w:hint="default" w:ascii="Arial" w:hAnsi="Arial" w:eastAsia="Arial" w:cs="Arial"/>
        <w:spacing w:val="-16"/>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1"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3982" w:hanging="360"/>
      </w:pPr>
      <w:rPr>
        <w:rFonts w:hint="default"/>
      </w:rPr>
    </w:lvl>
    <w:lvl w:ilvl="5">
      <w:start w:val="1"/>
      <w:numFmt w:val="bullet"/>
      <w:lvlText w:val="•"/>
      <w:lvlJc w:val="left"/>
      <w:pPr>
        <w:ind w:left="4773" w:hanging="360"/>
      </w:pPr>
      <w:rPr>
        <w:rFonts w:hint="default"/>
      </w:rPr>
    </w:lvl>
    <w:lvl w:ilvl="6">
      <w:start w:val="1"/>
      <w:numFmt w:val="bullet"/>
      <w:lvlText w:val="•"/>
      <w:lvlJc w:val="left"/>
      <w:pPr>
        <w:ind w:left="5563" w:hanging="360"/>
      </w:pPr>
      <w:rPr>
        <w:rFonts w:hint="default"/>
      </w:rPr>
    </w:lvl>
    <w:lvl w:ilvl="7">
      <w:start w:val="1"/>
      <w:numFmt w:val="bullet"/>
      <w:lvlText w:val="•"/>
      <w:lvlJc w:val="left"/>
      <w:pPr>
        <w:ind w:left="6354" w:hanging="360"/>
      </w:pPr>
      <w:rPr>
        <w:rFonts w:hint="default"/>
      </w:rPr>
    </w:lvl>
    <w:lvl w:ilvl="8">
      <w:start w:val="1"/>
      <w:numFmt w:val="bullet"/>
      <w:lvlText w:val="•"/>
      <w:lvlJc w:val="left"/>
      <w:pPr>
        <w:ind w:left="7145" w:hanging="360"/>
      </w:pPr>
      <w:rPr>
        <w:rFonts w:hint="default"/>
      </w:rPr>
    </w:lvl>
  </w:abstractNum>
  <w:abstractNum w:abstractNumId="9">
    <w:multiLevelType w:val="hybridMultilevel"/>
    <w:lvl w:ilvl="0">
      <w:start w:val="2"/>
      <w:numFmt w:val="decimal"/>
      <w:lvlText w:val="%1"/>
      <w:lvlJc w:val="left"/>
      <w:pPr>
        <w:ind w:left="569" w:hanging="401"/>
        <w:jc w:val="left"/>
      </w:pPr>
      <w:rPr>
        <w:rFonts w:hint="default"/>
      </w:rPr>
    </w:lvl>
    <w:lvl w:ilvl="1">
      <w:start w:val="1"/>
      <w:numFmt w:val="decimal"/>
      <w:lvlText w:val="%1.%2"/>
      <w:lvlJc w:val="left"/>
      <w:pPr>
        <w:ind w:left="102" w:hanging="401"/>
        <w:jc w:val="right"/>
      </w:pPr>
      <w:rPr>
        <w:rFonts w:hint="default" w:ascii="Arial" w:hAnsi="Arial" w:eastAsia="Arial" w:cs="Arial"/>
        <w:b/>
        <w:bCs/>
        <w:w w:val="99"/>
        <w:sz w:val="24"/>
        <w:szCs w:val="24"/>
      </w:rPr>
    </w:lvl>
    <w:lvl w:ilvl="2">
      <w:start w:val="1"/>
      <w:numFmt w:val="decimal"/>
      <w:lvlText w:val="%3."/>
      <w:lvlJc w:val="left"/>
      <w:pPr>
        <w:ind w:left="822" w:hanging="360"/>
        <w:jc w:val="left"/>
      </w:pPr>
      <w:rPr>
        <w:rFonts w:hint="default" w:ascii="Arial" w:hAnsi="Arial" w:eastAsia="Arial" w:cs="Arial"/>
        <w:spacing w:val="-26"/>
        <w:w w:val="99"/>
        <w:sz w:val="24"/>
        <w:szCs w:val="24"/>
      </w:rPr>
    </w:lvl>
    <w:lvl w:ilvl="3">
      <w:start w:val="1"/>
      <w:numFmt w:val="bullet"/>
      <w:lvlText w:val="•"/>
      <w:lvlJc w:val="left"/>
      <w:pPr>
        <w:ind w:left="880" w:hanging="360"/>
      </w:pPr>
      <w:rPr>
        <w:rFonts w:hint="default"/>
      </w:rPr>
    </w:lvl>
    <w:lvl w:ilvl="4">
      <w:start w:val="1"/>
      <w:numFmt w:val="bullet"/>
      <w:lvlText w:val="•"/>
      <w:lvlJc w:val="left"/>
      <w:pPr>
        <w:ind w:left="2000" w:hanging="360"/>
      </w:pPr>
      <w:rPr>
        <w:rFonts w:hint="default"/>
      </w:rPr>
    </w:lvl>
    <w:lvl w:ilvl="5">
      <w:start w:val="1"/>
      <w:numFmt w:val="bullet"/>
      <w:lvlText w:val="•"/>
      <w:lvlJc w:val="left"/>
      <w:pPr>
        <w:ind w:left="3121" w:hanging="360"/>
      </w:pPr>
      <w:rPr>
        <w:rFonts w:hint="default"/>
      </w:rPr>
    </w:lvl>
    <w:lvl w:ilvl="6">
      <w:start w:val="1"/>
      <w:numFmt w:val="bullet"/>
      <w:lvlText w:val="•"/>
      <w:lvlJc w:val="left"/>
      <w:pPr>
        <w:ind w:left="4242" w:hanging="360"/>
      </w:pPr>
      <w:rPr>
        <w:rFonts w:hint="default"/>
      </w:rPr>
    </w:lvl>
    <w:lvl w:ilvl="7">
      <w:start w:val="1"/>
      <w:numFmt w:val="bullet"/>
      <w:lvlText w:val="•"/>
      <w:lvlJc w:val="left"/>
      <w:pPr>
        <w:ind w:left="5363" w:hanging="360"/>
      </w:pPr>
      <w:rPr>
        <w:rFonts w:hint="default"/>
      </w:rPr>
    </w:lvl>
    <w:lvl w:ilvl="8">
      <w:start w:val="1"/>
      <w:numFmt w:val="bullet"/>
      <w:lvlText w:val="•"/>
      <w:lvlJc w:val="left"/>
      <w:pPr>
        <w:ind w:left="6484" w:hanging="360"/>
      </w:pPr>
      <w:rPr>
        <w:rFonts w:hint="default"/>
      </w:rPr>
    </w:lvl>
  </w:abstractNum>
  <w:abstractNum w:abstractNumId="8">
    <w:multiLevelType w:val="hybridMultilevel"/>
    <w:lvl w:ilvl="0">
      <w:start w:val="1"/>
      <w:numFmt w:val="bullet"/>
      <w:lvlText w:val=""/>
      <w:lvlJc w:val="left"/>
      <w:pPr>
        <w:ind w:left="822" w:hanging="348"/>
      </w:pPr>
      <w:rPr>
        <w:rFonts w:hint="default" w:ascii="Symbol" w:hAnsi="Symbol" w:eastAsia="Symbol" w:cs="Symbol"/>
        <w:w w:val="100"/>
        <w:sz w:val="24"/>
        <w:szCs w:val="24"/>
      </w:rPr>
    </w:lvl>
    <w:lvl w:ilvl="1">
      <w:start w:val="1"/>
      <w:numFmt w:val="bullet"/>
      <w:lvlText w:val="•"/>
      <w:lvlJc w:val="left"/>
      <w:pPr>
        <w:ind w:left="1610" w:hanging="348"/>
      </w:pPr>
      <w:rPr>
        <w:rFonts w:hint="default"/>
      </w:rPr>
    </w:lvl>
    <w:lvl w:ilvl="2">
      <w:start w:val="1"/>
      <w:numFmt w:val="bullet"/>
      <w:lvlText w:val="•"/>
      <w:lvlJc w:val="left"/>
      <w:pPr>
        <w:ind w:left="2401" w:hanging="348"/>
      </w:pPr>
      <w:rPr>
        <w:rFonts w:hint="default"/>
      </w:rPr>
    </w:lvl>
    <w:lvl w:ilvl="3">
      <w:start w:val="1"/>
      <w:numFmt w:val="bullet"/>
      <w:lvlText w:val="•"/>
      <w:lvlJc w:val="left"/>
      <w:pPr>
        <w:ind w:left="3191" w:hanging="348"/>
      </w:pPr>
      <w:rPr>
        <w:rFonts w:hint="default"/>
      </w:rPr>
    </w:lvl>
    <w:lvl w:ilvl="4">
      <w:start w:val="1"/>
      <w:numFmt w:val="bullet"/>
      <w:lvlText w:val="•"/>
      <w:lvlJc w:val="left"/>
      <w:pPr>
        <w:ind w:left="3982" w:hanging="348"/>
      </w:pPr>
      <w:rPr>
        <w:rFonts w:hint="default"/>
      </w:rPr>
    </w:lvl>
    <w:lvl w:ilvl="5">
      <w:start w:val="1"/>
      <w:numFmt w:val="bullet"/>
      <w:lvlText w:val="•"/>
      <w:lvlJc w:val="left"/>
      <w:pPr>
        <w:ind w:left="4773" w:hanging="348"/>
      </w:pPr>
      <w:rPr>
        <w:rFonts w:hint="default"/>
      </w:rPr>
    </w:lvl>
    <w:lvl w:ilvl="6">
      <w:start w:val="1"/>
      <w:numFmt w:val="bullet"/>
      <w:lvlText w:val="•"/>
      <w:lvlJc w:val="left"/>
      <w:pPr>
        <w:ind w:left="5563" w:hanging="348"/>
      </w:pPr>
      <w:rPr>
        <w:rFonts w:hint="default"/>
      </w:rPr>
    </w:lvl>
    <w:lvl w:ilvl="7">
      <w:start w:val="1"/>
      <w:numFmt w:val="bullet"/>
      <w:lvlText w:val="•"/>
      <w:lvlJc w:val="left"/>
      <w:pPr>
        <w:ind w:left="6354" w:hanging="348"/>
      </w:pPr>
      <w:rPr>
        <w:rFonts w:hint="default"/>
      </w:rPr>
    </w:lvl>
    <w:lvl w:ilvl="8">
      <w:start w:val="1"/>
      <w:numFmt w:val="bullet"/>
      <w:lvlText w:val="•"/>
      <w:lvlJc w:val="left"/>
      <w:pPr>
        <w:ind w:left="7145" w:hanging="348"/>
      </w:pPr>
      <w:rPr>
        <w:rFonts w:hint="default"/>
      </w:rPr>
    </w:lvl>
  </w:abstractNum>
  <w:abstractNum w:abstractNumId="7">
    <w:multiLevelType w:val="hybridMultilevel"/>
    <w:lvl w:ilvl="0">
      <w:start w:val="1"/>
      <w:numFmt w:val="lowerLetter"/>
      <w:lvlText w:val="%1)"/>
      <w:lvlJc w:val="left"/>
      <w:pPr>
        <w:ind w:left="822" w:hanging="348"/>
        <w:jc w:val="left"/>
      </w:pPr>
      <w:rPr>
        <w:rFonts w:hint="default" w:ascii="Arial" w:hAnsi="Arial" w:eastAsia="Arial" w:cs="Arial"/>
        <w:w w:val="99"/>
        <w:sz w:val="24"/>
        <w:szCs w:val="24"/>
      </w:rPr>
    </w:lvl>
    <w:lvl w:ilvl="1">
      <w:start w:val="1"/>
      <w:numFmt w:val="bullet"/>
      <w:lvlText w:val="•"/>
      <w:lvlJc w:val="left"/>
      <w:pPr>
        <w:ind w:left="1610" w:hanging="348"/>
      </w:pPr>
      <w:rPr>
        <w:rFonts w:hint="default"/>
      </w:rPr>
    </w:lvl>
    <w:lvl w:ilvl="2">
      <w:start w:val="1"/>
      <w:numFmt w:val="bullet"/>
      <w:lvlText w:val="•"/>
      <w:lvlJc w:val="left"/>
      <w:pPr>
        <w:ind w:left="2401" w:hanging="348"/>
      </w:pPr>
      <w:rPr>
        <w:rFonts w:hint="default"/>
      </w:rPr>
    </w:lvl>
    <w:lvl w:ilvl="3">
      <w:start w:val="1"/>
      <w:numFmt w:val="bullet"/>
      <w:lvlText w:val="•"/>
      <w:lvlJc w:val="left"/>
      <w:pPr>
        <w:ind w:left="3191" w:hanging="348"/>
      </w:pPr>
      <w:rPr>
        <w:rFonts w:hint="default"/>
      </w:rPr>
    </w:lvl>
    <w:lvl w:ilvl="4">
      <w:start w:val="1"/>
      <w:numFmt w:val="bullet"/>
      <w:lvlText w:val="•"/>
      <w:lvlJc w:val="left"/>
      <w:pPr>
        <w:ind w:left="3982" w:hanging="348"/>
      </w:pPr>
      <w:rPr>
        <w:rFonts w:hint="default"/>
      </w:rPr>
    </w:lvl>
    <w:lvl w:ilvl="5">
      <w:start w:val="1"/>
      <w:numFmt w:val="bullet"/>
      <w:lvlText w:val="•"/>
      <w:lvlJc w:val="left"/>
      <w:pPr>
        <w:ind w:left="4773" w:hanging="348"/>
      </w:pPr>
      <w:rPr>
        <w:rFonts w:hint="default"/>
      </w:rPr>
    </w:lvl>
    <w:lvl w:ilvl="6">
      <w:start w:val="1"/>
      <w:numFmt w:val="bullet"/>
      <w:lvlText w:val="•"/>
      <w:lvlJc w:val="left"/>
      <w:pPr>
        <w:ind w:left="5563" w:hanging="348"/>
      </w:pPr>
      <w:rPr>
        <w:rFonts w:hint="default"/>
      </w:rPr>
    </w:lvl>
    <w:lvl w:ilvl="7">
      <w:start w:val="1"/>
      <w:numFmt w:val="bullet"/>
      <w:lvlText w:val="•"/>
      <w:lvlJc w:val="left"/>
      <w:pPr>
        <w:ind w:left="6354" w:hanging="348"/>
      </w:pPr>
      <w:rPr>
        <w:rFonts w:hint="default"/>
      </w:rPr>
    </w:lvl>
    <w:lvl w:ilvl="8">
      <w:start w:val="1"/>
      <w:numFmt w:val="bullet"/>
      <w:lvlText w:val="•"/>
      <w:lvlJc w:val="left"/>
      <w:pPr>
        <w:ind w:left="7145" w:hanging="348"/>
      </w:pPr>
      <w:rPr>
        <w:rFonts w:hint="default"/>
      </w:rPr>
    </w:lvl>
  </w:abstractNum>
  <w:abstractNum w:abstractNumId="6">
    <w:multiLevelType w:val="hybridMultilevel"/>
    <w:lvl w:ilvl="0">
      <w:start w:val="1"/>
      <w:numFmt w:val="decimal"/>
      <w:lvlText w:val="%1"/>
      <w:lvlJc w:val="left"/>
      <w:pPr>
        <w:ind w:left="505" w:hanging="404"/>
        <w:jc w:val="left"/>
      </w:pPr>
      <w:rPr>
        <w:rFonts w:hint="default"/>
      </w:rPr>
    </w:lvl>
    <w:lvl w:ilvl="1">
      <w:start w:val="2"/>
      <w:numFmt w:val="decimal"/>
      <w:lvlText w:val="%1.%2"/>
      <w:lvlJc w:val="left"/>
      <w:pPr>
        <w:ind w:left="505" w:hanging="404"/>
        <w:jc w:val="left"/>
      </w:pPr>
      <w:rPr>
        <w:rFonts w:hint="default" w:ascii="Arial" w:hAnsi="Arial" w:eastAsia="Arial" w:cs="Arial"/>
        <w:b/>
        <w:bCs/>
        <w:w w:val="99"/>
        <w:sz w:val="24"/>
        <w:szCs w:val="24"/>
      </w:rPr>
    </w:lvl>
    <w:lvl w:ilvl="2">
      <w:start w:val="1"/>
      <w:numFmt w:val="decimal"/>
      <w:lvlText w:val="%3)"/>
      <w:lvlJc w:val="left"/>
      <w:pPr>
        <w:ind w:left="822" w:hanging="348"/>
        <w:jc w:val="left"/>
      </w:pPr>
      <w:rPr>
        <w:rFonts w:hint="default" w:ascii="Arial" w:hAnsi="Arial" w:eastAsia="Arial" w:cs="Arial"/>
        <w:w w:val="99"/>
        <w:sz w:val="24"/>
        <w:szCs w:val="24"/>
      </w:rPr>
    </w:lvl>
    <w:lvl w:ilvl="3">
      <w:start w:val="1"/>
      <w:numFmt w:val="bullet"/>
      <w:lvlText w:val="•"/>
      <w:lvlJc w:val="left"/>
      <w:pPr>
        <w:ind w:left="2576" w:hanging="348"/>
      </w:pPr>
      <w:rPr>
        <w:rFonts w:hint="default"/>
      </w:rPr>
    </w:lvl>
    <w:lvl w:ilvl="4">
      <w:start w:val="1"/>
      <w:numFmt w:val="bullet"/>
      <w:lvlText w:val="•"/>
      <w:lvlJc w:val="left"/>
      <w:pPr>
        <w:ind w:left="3455" w:hanging="348"/>
      </w:pPr>
      <w:rPr>
        <w:rFonts w:hint="default"/>
      </w:rPr>
    </w:lvl>
    <w:lvl w:ilvl="5">
      <w:start w:val="1"/>
      <w:numFmt w:val="bullet"/>
      <w:lvlText w:val="•"/>
      <w:lvlJc w:val="left"/>
      <w:pPr>
        <w:ind w:left="4333" w:hanging="348"/>
      </w:pPr>
      <w:rPr>
        <w:rFonts w:hint="default"/>
      </w:rPr>
    </w:lvl>
    <w:lvl w:ilvl="6">
      <w:start w:val="1"/>
      <w:numFmt w:val="bullet"/>
      <w:lvlText w:val="•"/>
      <w:lvlJc w:val="left"/>
      <w:pPr>
        <w:ind w:left="5212" w:hanging="348"/>
      </w:pPr>
      <w:rPr>
        <w:rFonts w:hint="default"/>
      </w:rPr>
    </w:lvl>
    <w:lvl w:ilvl="7">
      <w:start w:val="1"/>
      <w:numFmt w:val="bullet"/>
      <w:lvlText w:val="•"/>
      <w:lvlJc w:val="left"/>
      <w:pPr>
        <w:ind w:left="6090" w:hanging="348"/>
      </w:pPr>
      <w:rPr>
        <w:rFonts w:hint="default"/>
      </w:rPr>
    </w:lvl>
    <w:lvl w:ilvl="8">
      <w:start w:val="1"/>
      <w:numFmt w:val="bullet"/>
      <w:lvlText w:val="•"/>
      <w:lvlJc w:val="left"/>
      <w:pPr>
        <w:ind w:left="6969" w:hanging="348"/>
      </w:pPr>
      <w:rPr>
        <w:rFonts w:hint="default"/>
      </w:rPr>
    </w:lvl>
  </w:abstractNum>
  <w:abstractNum w:abstractNumId="5">
    <w:multiLevelType w:val="hybridMultilevel"/>
    <w:lvl w:ilvl="0">
      <w:start w:val="1"/>
      <w:numFmt w:val="decimal"/>
      <w:lvlText w:val="%1"/>
      <w:lvlJc w:val="left"/>
      <w:pPr>
        <w:ind w:left="507" w:hanging="406"/>
        <w:jc w:val="left"/>
      </w:pPr>
      <w:rPr>
        <w:rFonts w:hint="default"/>
      </w:rPr>
    </w:lvl>
    <w:lvl w:ilvl="1">
      <w:start w:val="1"/>
      <w:numFmt w:val="decimal"/>
      <w:lvlText w:val="%1.%2"/>
      <w:lvlJc w:val="left"/>
      <w:pPr>
        <w:ind w:left="507" w:hanging="406"/>
        <w:jc w:val="left"/>
      </w:pPr>
      <w:rPr>
        <w:rFonts w:hint="default" w:ascii="Arial" w:hAnsi="Arial" w:eastAsia="Arial" w:cs="Arial"/>
        <w:b/>
        <w:bCs/>
        <w:w w:val="99"/>
        <w:sz w:val="24"/>
        <w:szCs w:val="24"/>
      </w:rPr>
    </w:lvl>
    <w:lvl w:ilvl="2">
      <w:start w:val="2"/>
      <w:numFmt w:val="decimal"/>
      <w:lvlText w:val="%1.%2.%3"/>
      <w:lvlJc w:val="left"/>
      <w:pPr>
        <w:ind w:left="704" w:hanging="603"/>
        <w:jc w:val="left"/>
      </w:pPr>
      <w:rPr>
        <w:rFonts w:hint="default" w:ascii="Arial" w:hAnsi="Arial" w:eastAsia="Arial" w:cs="Arial"/>
        <w:b/>
        <w:bCs/>
        <w:spacing w:val="-2"/>
        <w:w w:val="99"/>
        <w:sz w:val="24"/>
        <w:szCs w:val="24"/>
      </w:rPr>
    </w:lvl>
    <w:lvl w:ilvl="3">
      <w:start w:val="1"/>
      <w:numFmt w:val="decimal"/>
      <w:lvlText w:val="%4."/>
      <w:lvlJc w:val="left"/>
      <w:pPr>
        <w:ind w:left="822" w:hanging="360"/>
        <w:jc w:val="left"/>
      </w:pPr>
      <w:rPr>
        <w:rFonts w:hint="default"/>
        <w:spacing w:val="-34"/>
        <w:w w:val="99"/>
      </w:rPr>
    </w:lvl>
    <w:lvl w:ilvl="4">
      <w:start w:val="1"/>
      <w:numFmt w:val="bullet"/>
      <w:lvlText w:val="•"/>
      <w:lvlJc w:val="left"/>
      <w:pPr>
        <w:ind w:left="2796" w:hanging="360"/>
      </w:pPr>
      <w:rPr>
        <w:rFonts w:hint="default"/>
      </w:rPr>
    </w:lvl>
    <w:lvl w:ilvl="5">
      <w:start w:val="1"/>
      <w:numFmt w:val="bullet"/>
      <w:lvlText w:val="•"/>
      <w:lvlJc w:val="left"/>
      <w:pPr>
        <w:ind w:left="3784" w:hanging="360"/>
      </w:pPr>
      <w:rPr>
        <w:rFonts w:hint="default"/>
      </w:rPr>
    </w:lvl>
    <w:lvl w:ilvl="6">
      <w:start w:val="1"/>
      <w:numFmt w:val="bullet"/>
      <w:lvlText w:val="•"/>
      <w:lvlJc w:val="left"/>
      <w:pPr>
        <w:ind w:left="4773" w:hanging="360"/>
      </w:pPr>
      <w:rPr>
        <w:rFonts w:hint="default"/>
      </w:rPr>
    </w:lvl>
    <w:lvl w:ilvl="7">
      <w:start w:val="1"/>
      <w:numFmt w:val="bullet"/>
      <w:lvlText w:val="•"/>
      <w:lvlJc w:val="left"/>
      <w:pPr>
        <w:ind w:left="5761" w:hanging="360"/>
      </w:pPr>
      <w:rPr>
        <w:rFonts w:hint="default"/>
      </w:rPr>
    </w:lvl>
    <w:lvl w:ilvl="8">
      <w:start w:val="1"/>
      <w:numFmt w:val="bullet"/>
      <w:lvlText w:val="•"/>
      <w:lvlJc w:val="left"/>
      <w:pPr>
        <w:ind w:left="6749" w:hanging="360"/>
      </w:pPr>
      <w:rPr>
        <w:rFonts w:hint="default"/>
      </w:rPr>
    </w:lvl>
  </w:abstractNum>
  <w:abstractNum w:abstractNumId="4">
    <w:multiLevelType w:val="hybridMultilevel"/>
    <w:lvl w:ilvl="0">
      <w:start w:val="5"/>
      <w:numFmt w:val="decimal"/>
      <w:lvlText w:val="%1"/>
      <w:lvlJc w:val="left"/>
      <w:pPr>
        <w:ind w:left="745" w:hanging="404"/>
        <w:jc w:val="left"/>
      </w:pPr>
      <w:rPr>
        <w:rFonts w:hint="default"/>
      </w:rPr>
    </w:lvl>
    <w:lvl w:ilvl="1">
      <w:start w:val="1"/>
      <w:numFmt w:val="decimal"/>
      <w:lvlText w:val="%1.%2"/>
      <w:lvlJc w:val="left"/>
      <w:pPr>
        <w:ind w:left="745" w:hanging="404"/>
        <w:jc w:val="left"/>
      </w:pPr>
      <w:rPr>
        <w:rFonts w:hint="default" w:ascii="Arial" w:hAnsi="Arial" w:eastAsia="Arial" w:cs="Arial"/>
        <w:w w:val="99"/>
        <w:sz w:val="24"/>
        <w:szCs w:val="24"/>
      </w:rPr>
    </w:lvl>
    <w:lvl w:ilvl="2">
      <w:start w:val="1"/>
      <w:numFmt w:val="bullet"/>
      <w:lvlText w:val="•"/>
      <w:lvlJc w:val="left"/>
      <w:pPr>
        <w:ind w:left="2333" w:hanging="404"/>
      </w:pPr>
      <w:rPr>
        <w:rFonts w:hint="default"/>
      </w:rPr>
    </w:lvl>
    <w:lvl w:ilvl="3">
      <w:start w:val="1"/>
      <w:numFmt w:val="bullet"/>
      <w:lvlText w:val="•"/>
      <w:lvlJc w:val="left"/>
      <w:pPr>
        <w:ind w:left="3129" w:hanging="404"/>
      </w:pPr>
      <w:rPr>
        <w:rFonts w:hint="default"/>
      </w:rPr>
    </w:lvl>
    <w:lvl w:ilvl="4">
      <w:start w:val="1"/>
      <w:numFmt w:val="bullet"/>
      <w:lvlText w:val="•"/>
      <w:lvlJc w:val="left"/>
      <w:pPr>
        <w:ind w:left="3926" w:hanging="404"/>
      </w:pPr>
      <w:rPr>
        <w:rFonts w:hint="default"/>
      </w:rPr>
    </w:lvl>
    <w:lvl w:ilvl="5">
      <w:start w:val="1"/>
      <w:numFmt w:val="bullet"/>
      <w:lvlText w:val="•"/>
      <w:lvlJc w:val="left"/>
      <w:pPr>
        <w:ind w:left="4723" w:hanging="404"/>
      </w:pPr>
      <w:rPr>
        <w:rFonts w:hint="default"/>
      </w:rPr>
    </w:lvl>
    <w:lvl w:ilvl="6">
      <w:start w:val="1"/>
      <w:numFmt w:val="bullet"/>
      <w:lvlText w:val="•"/>
      <w:lvlJc w:val="left"/>
      <w:pPr>
        <w:ind w:left="5519" w:hanging="404"/>
      </w:pPr>
      <w:rPr>
        <w:rFonts w:hint="default"/>
      </w:rPr>
    </w:lvl>
    <w:lvl w:ilvl="7">
      <w:start w:val="1"/>
      <w:numFmt w:val="bullet"/>
      <w:lvlText w:val="•"/>
      <w:lvlJc w:val="left"/>
      <w:pPr>
        <w:ind w:left="6316" w:hanging="404"/>
      </w:pPr>
      <w:rPr>
        <w:rFonts w:hint="default"/>
      </w:rPr>
    </w:lvl>
    <w:lvl w:ilvl="8">
      <w:start w:val="1"/>
      <w:numFmt w:val="bullet"/>
      <w:lvlText w:val="•"/>
      <w:lvlJc w:val="left"/>
      <w:pPr>
        <w:ind w:left="7113" w:hanging="404"/>
      </w:pPr>
      <w:rPr>
        <w:rFonts w:hint="default"/>
      </w:rPr>
    </w:lvl>
  </w:abstractNum>
  <w:abstractNum w:abstractNumId="3">
    <w:multiLevelType w:val="hybridMultilevel"/>
    <w:lvl w:ilvl="0">
      <w:start w:val="4"/>
      <w:numFmt w:val="decimal"/>
      <w:lvlText w:val="%1"/>
      <w:lvlJc w:val="left"/>
      <w:pPr>
        <w:ind w:left="744" w:hanging="403"/>
        <w:jc w:val="left"/>
      </w:pPr>
      <w:rPr>
        <w:rFonts w:hint="default"/>
      </w:rPr>
    </w:lvl>
    <w:lvl w:ilvl="1">
      <w:start w:val="1"/>
      <w:numFmt w:val="decimal"/>
      <w:lvlText w:val="%1.%2"/>
      <w:lvlJc w:val="left"/>
      <w:pPr>
        <w:ind w:left="744" w:hanging="403"/>
        <w:jc w:val="left"/>
      </w:pPr>
      <w:rPr>
        <w:rFonts w:hint="default" w:ascii="Arial" w:hAnsi="Arial" w:eastAsia="Arial" w:cs="Arial"/>
        <w:w w:val="99"/>
        <w:sz w:val="24"/>
        <w:szCs w:val="24"/>
      </w:rPr>
    </w:lvl>
    <w:lvl w:ilvl="2">
      <w:start w:val="1"/>
      <w:numFmt w:val="decimal"/>
      <w:lvlText w:val="%1.%2.%3"/>
      <w:lvlJc w:val="left"/>
      <w:pPr>
        <w:ind w:left="943" w:hanging="602"/>
        <w:jc w:val="left"/>
      </w:pPr>
      <w:rPr>
        <w:rFonts w:hint="default" w:ascii="Arial" w:hAnsi="Arial" w:eastAsia="Arial" w:cs="Arial"/>
        <w:spacing w:val="-2"/>
        <w:w w:val="99"/>
        <w:sz w:val="24"/>
        <w:szCs w:val="24"/>
      </w:rPr>
    </w:lvl>
    <w:lvl w:ilvl="3">
      <w:start w:val="1"/>
      <w:numFmt w:val="bullet"/>
      <w:lvlText w:val="•"/>
      <w:lvlJc w:val="left"/>
      <w:pPr>
        <w:ind w:left="2670" w:hanging="602"/>
      </w:pPr>
      <w:rPr>
        <w:rFonts w:hint="default"/>
      </w:rPr>
    </w:lvl>
    <w:lvl w:ilvl="4">
      <w:start w:val="1"/>
      <w:numFmt w:val="bullet"/>
      <w:lvlText w:val="•"/>
      <w:lvlJc w:val="left"/>
      <w:pPr>
        <w:ind w:left="3535" w:hanging="602"/>
      </w:pPr>
      <w:rPr>
        <w:rFonts w:hint="default"/>
      </w:rPr>
    </w:lvl>
    <w:lvl w:ilvl="5">
      <w:start w:val="1"/>
      <w:numFmt w:val="bullet"/>
      <w:lvlText w:val="•"/>
      <w:lvlJc w:val="left"/>
      <w:pPr>
        <w:ind w:left="4400" w:hanging="602"/>
      </w:pPr>
      <w:rPr>
        <w:rFonts w:hint="default"/>
      </w:rPr>
    </w:lvl>
    <w:lvl w:ilvl="6">
      <w:start w:val="1"/>
      <w:numFmt w:val="bullet"/>
      <w:lvlText w:val="•"/>
      <w:lvlJc w:val="left"/>
      <w:pPr>
        <w:ind w:left="5265" w:hanging="602"/>
      </w:pPr>
      <w:rPr>
        <w:rFonts w:hint="default"/>
      </w:rPr>
    </w:lvl>
    <w:lvl w:ilvl="7">
      <w:start w:val="1"/>
      <w:numFmt w:val="bullet"/>
      <w:lvlText w:val="•"/>
      <w:lvlJc w:val="left"/>
      <w:pPr>
        <w:ind w:left="6130" w:hanging="602"/>
      </w:pPr>
      <w:rPr>
        <w:rFonts w:hint="default"/>
      </w:rPr>
    </w:lvl>
    <w:lvl w:ilvl="8">
      <w:start w:val="1"/>
      <w:numFmt w:val="bullet"/>
      <w:lvlText w:val="•"/>
      <w:lvlJc w:val="left"/>
      <w:pPr>
        <w:ind w:left="6996" w:hanging="602"/>
      </w:pPr>
      <w:rPr>
        <w:rFonts w:hint="default"/>
      </w:rPr>
    </w:lvl>
  </w:abstractNum>
  <w:abstractNum w:abstractNumId="2">
    <w:multiLevelType w:val="hybridMultilevel"/>
    <w:lvl w:ilvl="0">
      <w:start w:val="3"/>
      <w:numFmt w:val="decimal"/>
      <w:lvlText w:val="%1"/>
      <w:lvlJc w:val="left"/>
      <w:pPr>
        <w:ind w:left="342" w:hanging="401"/>
        <w:jc w:val="left"/>
      </w:pPr>
      <w:rPr>
        <w:rFonts w:hint="default"/>
      </w:rPr>
    </w:lvl>
    <w:lvl w:ilvl="1">
      <w:start w:val="1"/>
      <w:numFmt w:val="decimal"/>
      <w:lvlText w:val="%1.%2"/>
      <w:lvlJc w:val="left"/>
      <w:pPr>
        <w:ind w:left="342" w:hanging="401"/>
        <w:jc w:val="left"/>
      </w:pPr>
      <w:rPr>
        <w:rFonts w:hint="default" w:ascii="Arial" w:hAnsi="Arial" w:eastAsia="Arial" w:cs="Arial"/>
        <w:w w:val="99"/>
        <w:sz w:val="24"/>
        <w:szCs w:val="24"/>
      </w:rPr>
    </w:lvl>
    <w:lvl w:ilvl="2">
      <w:start w:val="1"/>
      <w:numFmt w:val="decimal"/>
      <w:lvlText w:val="%1.%2.%3"/>
      <w:lvlJc w:val="left"/>
      <w:pPr>
        <w:ind w:left="943" w:hanging="602"/>
        <w:jc w:val="left"/>
      </w:pPr>
      <w:rPr>
        <w:rFonts w:hint="default" w:ascii="Arial" w:hAnsi="Arial" w:eastAsia="Arial" w:cs="Arial"/>
        <w:spacing w:val="-2"/>
        <w:w w:val="99"/>
        <w:sz w:val="24"/>
        <w:szCs w:val="24"/>
      </w:rPr>
    </w:lvl>
    <w:lvl w:ilvl="3">
      <w:start w:val="1"/>
      <w:numFmt w:val="bullet"/>
      <w:lvlText w:val="•"/>
      <w:lvlJc w:val="left"/>
      <w:pPr>
        <w:ind w:left="2670" w:hanging="602"/>
      </w:pPr>
      <w:rPr>
        <w:rFonts w:hint="default"/>
      </w:rPr>
    </w:lvl>
    <w:lvl w:ilvl="4">
      <w:start w:val="1"/>
      <w:numFmt w:val="bullet"/>
      <w:lvlText w:val="•"/>
      <w:lvlJc w:val="left"/>
      <w:pPr>
        <w:ind w:left="3535" w:hanging="602"/>
      </w:pPr>
      <w:rPr>
        <w:rFonts w:hint="default"/>
      </w:rPr>
    </w:lvl>
    <w:lvl w:ilvl="5">
      <w:start w:val="1"/>
      <w:numFmt w:val="bullet"/>
      <w:lvlText w:val="•"/>
      <w:lvlJc w:val="left"/>
      <w:pPr>
        <w:ind w:left="4400" w:hanging="602"/>
      </w:pPr>
      <w:rPr>
        <w:rFonts w:hint="default"/>
      </w:rPr>
    </w:lvl>
    <w:lvl w:ilvl="6">
      <w:start w:val="1"/>
      <w:numFmt w:val="bullet"/>
      <w:lvlText w:val="•"/>
      <w:lvlJc w:val="left"/>
      <w:pPr>
        <w:ind w:left="5265" w:hanging="602"/>
      </w:pPr>
      <w:rPr>
        <w:rFonts w:hint="default"/>
      </w:rPr>
    </w:lvl>
    <w:lvl w:ilvl="7">
      <w:start w:val="1"/>
      <w:numFmt w:val="bullet"/>
      <w:lvlText w:val="•"/>
      <w:lvlJc w:val="left"/>
      <w:pPr>
        <w:ind w:left="6130" w:hanging="602"/>
      </w:pPr>
      <w:rPr>
        <w:rFonts w:hint="default"/>
      </w:rPr>
    </w:lvl>
    <w:lvl w:ilvl="8">
      <w:start w:val="1"/>
      <w:numFmt w:val="bullet"/>
      <w:lvlText w:val="•"/>
      <w:lvlJc w:val="left"/>
      <w:pPr>
        <w:ind w:left="6996" w:hanging="602"/>
      </w:pPr>
      <w:rPr>
        <w:rFonts w:hint="default"/>
      </w:rPr>
    </w:lvl>
  </w:abstractNum>
  <w:abstractNum w:abstractNumId="1">
    <w:multiLevelType w:val="hybridMultilevel"/>
    <w:lvl w:ilvl="0">
      <w:start w:val="2"/>
      <w:numFmt w:val="decimal"/>
      <w:lvlText w:val="%1"/>
      <w:lvlJc w:val="left"/>
      <w:pPr>
        <w:ind w:left="745" w:hanging="404"/>
        <w:jc w:val="left"/>
      </w:pPr>
      <w:rPr>
        <w:rFonts w:hint="default"/>
      </w:rPr>
    </w:lvl>
    <w:lvl w:ilvl="1">
      <w:start w:val="1"/>
      <w:numFmt w:val="decimal"/>
      <w:lvlText w:val="%1.%2"/>
      <w:lvlJc w:val="left"/>
      <w:pPr>
        <w:ind w:left="745" w:hanging="404"/>
        <w:jc w:val="left"/>
      </w:pPr>
      <w:rPr>
        <w:rFonts w:hint="default" w:ascii="Arial" w:hAnsi="Arial" w:eastAsia="Arial" w:cs="Arial"/>
        <w:w w:val="99"/>
        <w:sz w:val="24"/>
        <w:szCs w:val="24"/>
      </w:rPr>
    </w:lvl>
    <w:lvl w:ilvl="2">
      <w:start w:val="1"/>
      <w:numFmt w:val="bullet"/>
      <w:lvlText w:val="•"/>
      <w:lvlJc w:val="left"/>
      <w:pPr>
        <w:ind w:left="2337" w:hanging="404"/>
      </w:pPr>
      <w:rPr>
        <w:rFonts w:hint="default"/>
      </w:rPr>
    </w:lvl>
    <w:lvl w:ilvl="3">
      <w:start w:val="1"/>
      <w:numFmt w:val="bullet"/>
      <w:lvlText w:val="•"/>
      <w:lvlJc w:val="left"/>
      <w:pPr>
        <w:ind w:left="3135" w:hanging="404"/>
      </w:pPr>
      <w:rPr>
        <w:rFonts w:hint="default"/>
      </w:rPr>
    </w:lvl>
    <w:lvl w:ilvl="4">
      <w:start w:val="1"/>
      <w:numFmt w:val="bullet"/>
      <w:lvlText w:val="•"/>
      <w:lvlJc w:val="left"/>
      <w:pPr>
        <w:ind w:left="3934" w:hanging="404"/>
      </w:pPr>
      <w:rPr>
        <w:rFonts w:hint="default"/>
      </w:rPr>
    </w:lvl>
    <w:lvl w:ilvl="5">
      <w:start w:val="1"/>
      <w:numFmt w:val="bullet"/>
      <w:lvlText w:val="•"/>
      <w:lvlJc w:val="left"/>
      <w:pPr>
        <w:ind w:left="4733" w:hanging="404"/>
      </w:pPr>
      <w:rPr>
        <w:rFonts w:hint="default"/>
      </w:rPr>
    </w:lvl>
    <w:lvl w:ilvl="6">
      <w:start w:val="1"/>
      <w:numFmt w:val="bullet"/>
      <w:lvlText w:val="•"/>
      <w:lvlJc w:val="left"/>
      <w:pPr>
        <w:ind w:left="5531" w:hanging="404"/>
      </w:pPr>
      <w:rPr>
        <w:rFonts w:hint="default"/>
      </w:rPr>
    </w:lvl>
    <w:lvl w:ilvl="7">
      <w:start w:val="1"/>
      <w:numFmt w:val="bullet"/>
      <w:lvlText w:val="•"/>
      <w:lvlJc w:val="left"/>
      <w:pPr>
        <w:ind w:left="6330" w:hanging="404"/>
      </w:pPr>
      <w:rPr>
        <w:rFonts w:hint="default"/>
      </w:rPr>
    </w:lvl>
    <w:lvl w:ilvl="8">
      <w:start w:val="1"/>
      <w:numFmt w:val="bullet"/>
      <w:lvlText w:val="•"/>
      <w:lvlJc w:val="left"/>
      <w:pPr>
        <w:ind w:left="7129" w:hanging="404"/>
      </w:pPr>
      <w:rPr>
        <w:rFonts w:hint="default"/>
      </w:rPr>
    </w:lvl>
  </w:abstractNum>
  <w:abstractNum w:abstractNumId="0">
    <w:multiLevelType w:val="hybridMultilevel"/>
    <w:lvl w:ilvl="0">
      <w:start w:val="1"/>
      <w:numFmt w:val="decimal"/>
      <w:lvlText w:val="%1"/>
      <w:lvlJc w:val="left"/>
      <w:pPr>
        <w:ind w:left="744" w:hanging="403"/>
        <w:jc w:val="left"/>
      </w:pPr>
      <w:rPr>
        <w:rFonts w:hint="default"/>
      </w:rPr>
    </w:lvl>
    <w:lvl w:ilvl="1">
      <w:start w:val="2"/>
      <w:numFmt w:val="decimal"/>
      <w:lvlText w:val="%1.%2"/>
      <w:lvlJc w:val="left"/>
      <w:pPr>
        <w:ind w:left="744" w:hanging="403"/>
        <w:jc w:val="left"/>
      </w:pPr>
      <w:rPr>
        <w:rFonts w:hint="default" w:ascii="Arial" w:hAnsi="Arial" w:eastAsia="Arial" w:cs="Arial"/>
        <w:w w:val="99"/>
        <w:sz w:val="24"/>
        <w:szCs w:val="24"/>
      </w:rPr>
    </w:lvl>
    <w:lvl w:ilvl="2">
      <w:start w:val="1"/>
      <w:numFmt w:val="bullet"/>
      <w:lvlText w:val="•"/>
      <w:lvlJc w:val="left"/>
      <w:pPr>
        <w:ind w:left="2337" w:hanging="403"/>
      </w:pPr>
      <w:rPr>
        <w:rFonts w:hint="default"/>
      </w:rPr>
    </w:lvl>
    <w:lvl w:ilvl="3">
      <w:start w:val="1"/>
      <w:numFmt w:val="bullet"/>
      <w:lvlText w:val="•"/>
      <w:lvlJc w:val="left"/>
      <w:pPr>
        <w:ind w:left="3135" w:hanging="403"/>
      </w:pPr>
      <w:rPr>
        <w:rFonts w:hint="default"/>
      </w:rPr>
    </w:lvl>
    <w:lvl w:ilvl="4">
      <w:start w:val="1"/>
      <w:numFmt w:val="bullet"/>
      <w:lvlText w:val="•"/>
      <w:lvlJc w:val="left"/>
      <w:pPr>
        <w:ind w:left="3934" w:hanging="403"/>
      </w:pPr>
      <w:rPr>
        <w:rFonts w:hint="default"/>
      </w:rPr>
    </w:lvl>
    <w:lvl w:ilvl="5">
      <w:start w:val="1"/>
      <w:numFmt w:val="bullet"/>
      <w:lvlText w:val="•"/>
      <w:lvlJc w:val="left"/>
      <w:pPr>
        <w:ind w:left="4733" w:hanging="403"/>
      </w:pPr>
      <w:rPr>
        <w:rFonts w:hint="default"/>
      </w:rPr>
    </w:lvl>
    <w:lvl w:ilvl="6">
      <w:start w:val="1"/>
      <w:numFmt w:val="bullet"/>
      <w:lvlText w:val="•"/>
      <w:lvlJc w:val="left"/>
      <w:pPr>
        <w:ind w:left="5531" w:hanging="403"/>
      </w:pPr>
      <w:rPr>
        <w:rFonts w:hint="default"/>
      </w:rPr>
    </w:lvl>
    <w:lvl w:ilvl="7">
      <w:start w:val="1"/>
      <w:numFmt w:val="bullet"/>
      <w:lvlText w:val="•"/>
      <w:lvlJc w:val="left"/>
      <w:pPr>
        <w:ind w:left="6330" w:hanging="403"/>
      </w:pPr>
      <w:rPr>
        <w:rFonts w:hint="default"/>
      </w:rPr>
    </w:lvl>
    <w:lvl w:ilvl="8">
      <w:start w:val="1"/>
      <w:numFmt w:val="bullet"/>
      <w:lvlText w:val="•"/>
      <w:lvlJc w:val="left"/>
      <w:pPr>
        <w:ind w:left="7129" w:hanging="403"/>
      </w:pPr>
      <w:rPr>
        <w:rFonts w:hint="default"/>
      </w:rPr>
    </w:lvl>
  </w:abstractNum>
  <w:num w:numId="16">
    <w:abstractNumId w:val="15"/>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84"/>
      <w:ind w:left="102"/>
    </w:pPr>
    <w:rPr>
      <w:rFonts w:ascii="Arial" w:hAnsi="Arial" w:eastAsia="Arial" w:cs="Arial"/>
      <w:b/>
      <w:bCs/>
      <w:sz w:val="24"/>
      <w:szCs w:val="24"/>
    </w:rPr>
  </w:style>
  <w:style w:styleId="TOC2" w:type="paragraph">
    <w:name w:val="TOC 2"/>
    <w:basedOn w:val="Normal"/>
    <w:uiPriority w:val="1"/>
    <w:qFormat/>
    <w:pPr>
      <w:spacing w:before="84"/>
      <w:ind w:left="102"/>
    </w:pPr>
    <w:rPr>
      <w:rFonts w:ascii="Arial" w:hAnsi="Arial" w:eastAsia="Arial" w:cs="Arial"/>
      <w:sz w:val="24"/>
      <w:szCs w:val="24"/>
    </w:rPr>
  </w:style>
  <w:style w:styleId="TOC3" w:type="paragraph">
    <w:name w:val="TOC 3"/>
    <w:basedOn w:val="Normal"/>
    <w:uiPriority w:val="1"/>
    <w:qFormat/>
    <w:pPr>
      <w:spacing w:before="84"/>
      <w:ind w:left="342"/>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35"/>
      <w:ind w:left="682"/>
      <w:outlineLvl w:val="1"/>
    </w:pPr>
    <w:rPr>
      <w:rFonts w:ascii="Arial" w:hAnsi="Arial" w:eastAsia="Arial" w:cs="Arial"/>
      <w:b/>
      <w:bCs/>
      <w:sz w:val="40"/>
      <w:szCs w:val="40"/>
    </w:rPr>
  </w:style>
  <w:style w:styleId="Heading2" w:type="paragraph">
    <w:name w:val="Heading 2"/>
    <w:basedOn w:val="Normal"/>
    <w:uiPriority w:val="1"/>
    <w:qFormat/>
    <w:pPr>
      <w:ind w:left="102"/>
      <w:outlineLvl w:val="2"/>
    </w:pPr>
    <w:rPr>
      <w:rFonts w:ascii="Arial" w:hAnsi="Arial" w:eastAsia="Arial" w:cs="Arial"/>
      <w:b/>
      <w:bCs/>
      <w:sz w:val="24"/>
      <w:szCs w:val="24"/>
    </w:rPr>
  </w:style>
  <w:style w:styleId="ListParagraph" w:type="paragraph">
    <w:name w:val="List Paragraph"/>
    <w:basedOn w:val="Normal"/>
    <w:uiPriority w:val="1"/>
    <w:qFormat/>
    <w:pPr>
      <w:ind w:left="102" w:hanging="360"/>
    </w:pPr>
    <w:rPr>
      <w:rFonts w:ascii="Arial" w:hAnsi="Arial" w:eastAsia="Arial" w:cs="Arial"/>
    </w:rPr>
  </w:style>
  <w:style w:styleId="TableParagraph" w:type="paragraph">
    <w:name w:val="Table Paragraph"/>
    <w:basedOn w:val="Normal"/>
    <w:uiPriority w:val="1"/>
    <w:qFormat/>
    <w:pPr>
      <w:spacing w:line="269" w:lineRule="exact"/>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image" Target="media/image3.jpeg"/><Relationship Id="rId9" Type="http://schemas.openxmlformats.org/officeDocument/2006/relationships/image" Target="media/image4.jpeg"/><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hyperlink" Target="http://www.monografias.com/Computacion/Programacion/" TargetMode="External"/><Relationship Id="rId14" Type="http://schemas.openxmlformats.org/officeDocument/2006/relationships/hyperlink" Target="http://www.monografias.com/trabajos6/etic/etic.shtml" TargetMode="External"/><Relationship Id="rId15" Type="http://schemas.openxmlformats.org/officeDocument/2006/relationships/hyperlink" Target="http://www.monografias.com/trabajos31/las-faltas/las-faltas.shtml" TargetMode="External"/><Relationship Id="rId16" Type="http://schemas.openxmlformats.org/officeDocument/2006/relationships/hyperlink" Target="http://www.monografias.com/trabajos11/teosis/teosis.shtml" TargetMode="External"/><Relationship Id="rId17" Type="http://schemas.openxmlformats.org/officeDocument/2006/relationships/hyperlink" Target="http://www.monografias.com/trabajos5/teorsist/teorsist.shtml#retrp" TargetMode="External"/><Relationship Id="rId18" Type="http://schemas.openxmlformats.org/officeDocument/2006/relationships/hyperlink" Target="http://www.monografias.com/trabajos7/sisinf/sisinf.shtml" TargetMode="External"/><Relationship Id="rId19" Type="http://schemas.openxmlformats.org/officeDocument/2006/relationships/footer" Target="footer5.xml"/><Relationship Id="rId20" Type="http://schemas.openxmlformats.org/officeDocument/2006/relationships/footer" Target="footer6.xml"/><Relationship Id="rId21" Type="http://schemas.openxmlformats.org/officeDocument/2006/relationships/footer" Target="footer7.xml"/><Relationship Id="rId22" Type="http://schemas.openxmlformats.org/officeDocument/2006/relationships/footer" Target="footer8.xml"/><Relationship Id="rId23" Type="http://schemas.openxmlformats.org/officeDocument/2006/relationships/image" Target="media/image5.png"/><Relationship Id="rId24" Type="http://schemas.openxmlformats.org/officeDocument/2006/relationships/footer" Target="footer9.xml"/><Relationship Id="rId25" Type="http://schemas.openxmlformats.org/officeDocument/2006/relationships/footer" Target="footer10.xml"/><Relationship Id="rId26" Type="http://schemas.openxmlformats.org/officeDocument/2006/relationships/image" Target="media/image6.png"/><Relationship Id="rId27" Type="http://schemas.openxmlformats.org/officeDocument/2006/relationships/image" Target="media/image7.png"/><Relationship Id="rId28" Type="http://schemas.openxmlformats.org/officeDocument/2006/relationships/footer" Target="footer11.xml"/><Relationship Id="rId29" Type="http://schemas.openxmlformats.org/officeDocument/2006/relationships/footer" Target="footer12.xml"/><Relationship Id="rId30" Type="http://schemas.openxmlformats.org/officeDocument/2006/relationships/image" Target="media/image8.png"/><Relationship Id="rId31" Type="http://schemas.openxmlformats.org/officeDocument/2006/relationships/image" Target="media/image9.png"/><Relationship Id="rId32" Type="http://schemas.openxmlformats.org/officeDocument/2006/relationships/image" Target="media/image10.png"/><Relationship Id="rId33" Type="http://schemas.openxmlformats.org/officeDocument/2006/relationships/image" Target="media/image11.jpeg"/><Relationship Id="rId34" Type="http://schemas.openxmlformats.org/officeDocument/2006/relationships/image" Target="media/image12.jpeg"/><Relationship Id="rId35" Type="http://schemas.openxmlformats.org/officeDocument/2006/relationships/image" Target="media/image13.jpeg"/><Relationship Id="rId36" Type="http://schemas.openxmlformats.org/officeDocument/2006/relationships/image" Target="media/image14.jpeg"/><Relationship Id="rId37" Type="http://schemas.openxmlformats.org/officeDocument/2006/relationships/footer" Target="footer13.xml"/><Relationship Id="rId38" Type="http://schemas.openxmlformats.org/officeDocument/2006/relationships/footer" Target="footer14.xml"/><Relationship Id="rId39" Type="http://schemas.openxmlformats.org/officeDocument/2006/relationships/image" Target="media/image15.png"/><Relationship Id="rId40" Type="http://schemas.openxmlformats.org/officeDocument/2006/relationships/image" Target="media/image16.jpeg"/><Relationship Id="rId41" Type="http://schemas.openxmlformats.org/officeDocument/2006/relationships/image" Target="media/image17.jpeg"/><Relationship Id="rId42" Type="http://schemas.openxmlformats.org/officeDocument/2006/relationships/image" Target="media/image18.jpeg"/><Relationship Id="rId43" Type="http://schemas.openxmlformats.org/officeDocument/2006/relationships/image" Target="media/image19.jpeg"/><Relationship Id="rId44" Type="http://schemas.openxmlformats.org/officeDocument/2006/relationships/image" Target="media/image20.jpeg"/><Relationship Id="rId45" Type="http://schemas.openxmlformats.org/officeDocument/2006/relationships/image" Target="media/image21.jpeg"/><Relationship Id="rId46" Type="http://schemas.openxmlformats.org/officeDocument/2006/relationships/footer" Target="footer15.xml"/><Relationship Id="rId47" Type="http://schemas.openxmlformats.org/officeDocument/2006/relationships/footer" Target="footer16.xml"/><Relationship Id="rId48" Type="http://schemas.openxmlformats.org/officeDocument/2006/relationships/hyperlink" Target="http://docplayer.es/4424004-Control-de-procesos-ing-jose-roberto-" TargetMode="External"/><Relationship Id="rId49" Type="http://schemas.openxmlformats.org/officeDocument/2006/relationships/image" Target="media/image22.png"/><Relationship Id="rId50" Type="http://schemas.openxmlformats.org/officeDocument/2006/relationships/image" Target="media/image23.png"/><Relationship Id="rId51" Type="http://schemas.openxmlformats.org/officeDocument/2006/relationships/image" Target="media/image24.png"/><Relationship Id="rId52" Type="http://schemas.openxmlformats.org/officeDocument/2006/relationships/image" Target="media/image25.jpeg"/><Relationship Id="rId53" Type="http://schemas.openxmlformats.org/officeDocument/2006/relationships/image" Target="media/image26.png"/><Relationship Id="rId54" Type="http://schemas.openxmlformats.org/officeDocument/2006/relationships/image" Target="media/image27.png"/><Relationship Id="rId55" Type="http://schemas.openxmlformats.org/officeDocument/2006/relationships/footer" Target="footer17.xml"/><Relationship Id="rId56" Type="http://schemas.openxmlformats.org/officeDocument/2006/relationships/footer" Target="footer18.xml"/><Relationship Id="rId57" Type="http://schemas.openxmlformats.org/officeDocument/2006/relationships/image" Target="media/image28.png"/><Relationship Id="rId58" Type="http://schemas.openxmlformats.org/officeDocument/2006/relationships/image" Target="media/image29.png"/><Relationship Id="rId59" Type="http://schemas.openxmlformats.org/officeDocument/2006/relationships/image" Target="media/image30.png"/><Relationship Id="rId60" Type="http://schemas.openxmlformats.org/officeDocument/2006/relationships/footer" Target="footer19.xml"/><Relationship Id="rId61" Type="http://schemas.openxmlformats.org/officeDocument/2006/relationships/footer" Target="footer20.xml"/><Relationship Id="rId62" Type="http://schemas.openxmlformats.org/officeDocument/2006/relationships/image" Target="media/image31.png"/><Relationship Id="rId63" Type="http://schemas.openxmlformats.org/officeDocument/2006/relationships/image" Target="media/image32.png"/><Relationship Id="rId64" Type="http://schemas.openxmlformats.org/officeDocument/2006/relationships/image" Target="media/image33.png"/><Relationship Id="rId65" Type="http://schemas.openxmlformats.org/officeDocument/2006/relationships/image" Target="media/image34.png"/><Relationship Id="rId66" Type="http://schemas.openxmlformats.org/officeDocument/2006/relationships/image" Target="media/image35.png"/><Relationship Id="rId67" Type="http://schemas.openxmlformats.org/officeDocument/2006/relationships/image" Target="media/image36.png"/><Relationship Id="rId6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2017-06-21T20:02:35Z</dcterms:created>
  <dcterms:modified xsi:type="dcterms:W3CDTF">2017-06-21T20:02:35Z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2017-06-21T00:00:00Z</vt:filetime>
  </property>
</Properties>
</file>