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bookmarkStart w:name="Portada_LIBRO" w:id="1"/>
      <w:bookmarkEnd w:id="1"/>
      <w:r>
        <w:rPr/>
      </w:r>
      <w:bookmarkStart w:name="2016-LIBRO LEON - RBG" w:id="2"/>
      <w:bookmarkEnd w:id="2"/>
      <w:r>
        <w:rPr/>
      </w:r>
      <w:bookmarkStart w:name="portada_cd_ciencias" w:id="3"/>
      <w:bookmarkEnd w:id="3"/>
      <w:r>
        <w:rPr/>
      </w:r>
      <w:r>
        <w:rPr>
          <w:rFonts w:ascii="Times New Roman"/>
        </w:rPr>
        <w:drawing>
          <wp:inline distT="0" distB="0" distL="0" distR="0">
            <wp:extent cx="9753600" cy="488632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753600" cy="4886325"/>
                    </a:xfrm>
                    <a:prstGeom prst="rect">
                      <a:avLst/>
                    </a:prstGeom>
                  </pic:spPr>
                </pic:pic>
              </a:graphicData>
            </a:graphic>
          </wp:inline>
        </w:drawing>
      </w:r>
      <w:r>
        <w:rPr>
          <w:rFonts w:ascii="Times New Roman"/>
        </w:rPr>
      </w:r>
    </w:p>
    <w:p>
      <w:pPr>
        <w:spacing w:after="0"/>
        <w:rPr>
          <w:rFonts w:ascii="Times New Roman"/>
        </w:rPr>
        <w:sectPr>
          <w:type w:val="continuous"/>
          <w:pgSz w:w="15360" w:h="7700" w:orient="landscape"/>
          <w:pgMar w:top="0" w:bottom="0" w:left="0" w:right="0"/>
        </w:sectPr>
      </w:pPr>
    </w:p>
    <w:p>
      <w:pPr>
        <w:pStyle w:val="Heading2"/>
        <w:spacing w:line="276" w:lineRule="auto" w:before="33"/>
        <w:ind w:right="3223" w:firstLine="0"/>
      </w:pPr>
      <w:bookmarkStart w:name="titulo_del_libro_2016" w:id="4"/>
      <w:bookmarkEnd w:id="4"/>
      <w:r>
        <w:rPr/>
      </w:r>
      <w:r>
        <w:rPr/>
        <w:t>“Compendio de Investigaciones Científicas en México” ISBN 978-607-95228-7-2</w:t>
      </w:r>
    </w:p>
    <w:p>
      <w:pPr>
        <w:pStyle w:val="BodyText"/>
        <w:spacing w:before="2"/>
        <w:rPr>
          <w:rFonts w:ascii="Calibri"/>
          <w:sz w:val="25"/>
        </w:rPr>
      </w:pPr>
    </w:p>
    <w:p>
      <w:pPr>
        <w:pStyle w:val="ListParagraph"/>
        <w:numPr>
          <w:ilvl w:val="0"/>
          <w:numId w:val="1"/>
        </w:numPr>
        <w:tabs>
          <w:tab w:pos="702" w:val="left" w:leader="none"/>
        </w:tabs>
        <w:spacing w:line="240" w:lineRule="auto" w:before="0" w:after="0"/>
        <w:ind w:left="702" w:right="0" w:hanging="360"/>
        <w:jc w:val="left"/>
        <w:rPr>
          <w:rFonts w:ascii="Calibri"/>
          <w:sz w:val="22"/>
        </w:rPr>
      </w:pPr>
      <w:r>
        <w:rPr>
          <w:rFonts w:ascii="Calibri"/>
          <w:sz w:val="22"/>
        </w:rPr>
        <w:t>Editores</w:t>
      </w:r>
    </w:p>
    <w:p>
      <w:pPr>
        <w:pStyle w:val="ListParagraph"/>
        <w:numPr>
          <w:ilvl w:val="0"/>
          <w:numId w:val="1"/>
        </w:numPr>
        <w:tabs>
          <w:tab w:pos="702" w:val="left" w:leader="none"/>
        </w:tabs>
        <w:spacing w:line="240" w:lineRule="auto" w:before="41" w:after="0"/>
        <w:ind w:left="702" w:right="0" w:hanging="360"/>
        <w:jc w:val="left"/>
        <w:rPr>
          <w:rFonts w:ascii="Calibri" w:hAnsi="Calibri"/>
          <w:sz w:val="22"/>
        </w:rPr>
      </w:pPr>
      <w:r>
        <w:rPr>
          <w:rFonts w:ascii="Calibri" w:hAnsi="Calibri"/>
          <w:sz w:val="22"/>
        </w:rPr>
        <w:t>Índice</w:t>
      </w:r>
    </w:p>
    <w:p>
      <w:pPr>
        <w:pStyle w:val="ListParagraph"/>
        <w:numPr>
          <w:ilvl w:val="0"/>
          <w:numId w:val="1"/>
        </w:numPr>
        <w:tabs>
          <w:tab w:pos="702" w:val="left" w:leader="none"/>
        </w:tabs>
        <w:spacing w:line="240" w:lineRule="auto" w:before="41" w:after="0"/>
        <w:ind w:left="702" w:right="0" w:hanging="360"/>
        <w:jc w:val="left"/>
        <w:rPr>
          <w:rFonts w:ascii="Calibri" w:hAnsi="Calibri"/>
          <w:sz w:val="22"/>
        </w:rPr>
      </w:pPr>
      <w:r>
        <w:rPr>
          <w:rFonts w:ascii="Calibri" w:hAnsi="Calibri"/>
          <w:sz w:val="22"/>
        </w:rPr>
        <w:t>Prefacio/introducción</w:t>
      </w:r>
    </w:p>
    <w:p>
      <w:pPr>
        <w:pStyle w:val="ListParagraph"/>
        <w:numPr>
          <w:ilvl w:val="0"/>
          <w:numId w:val="1"/>
        </w:numPr>
        <w:tabs>
          <w:tab w:pos="702" w:val="left" w:leader="none"/>
        </w:tabs>
        <w:spacing w:line="240" w:lineRule="auto" w:before="41" w:after="0"/>
        <w:ind w:left="702" w:right="0" w:hanging="360"/>
        <w:jc w:val="left"/>
        <w:rPr>
          <w:rFonts w:ascii="Calibri"/>
          <w:sz w:val="22"/>
        </w:rPr>
      </w:pPr>
      <w:r>
        <w:rPr>
          <w:rFonts w:ascii="Calibri"/>
          <w:sz w:val="22"/>
        </w:rPr>
        <w:t>Contenido</w:t>
      </w:r>
    </w:p>
    <w:p>
      <w:pPr>
        <w:spacing w:line="276" w:lineRule="auto" w:before="38"/>
        <w:ind w:left="701" w:right="3643" w:firstLine="0"/>
        <w:jc w:val="left"/>
        <w:rPr>
          <w:rFonts w:ascii="Calibri" w:hAnsi="Calibri"/>
          <w:sz w:val="22"/>
        </w:rPr>
      </w:pPr>
      <w:r>
        <w:rPr>
          <w:rFonts w:ascii="Calibri" w:hAnsi="Calibri"/>
          <w:sz w:val="22"/>
        </w:rPr>
        <w:t>Capítulo I: Biotecnología y Ciencias Agropecuarias Capítulo II: Biología y Química</w:t>
      </w:r>
    </w:p>
    <w:p>
      <w:pPr>
        <w:spacing w:line="273" w:lineRule="auto" w:before="0"/>
        <w:ind w:left="701" w:right="5077" w:firstLine="0"/>
        <w:jc w:val="left"/>
        <w:rPr>
          <w:rFonts w:ascii="Calibri" w:hAnsi="Calibri"/>
          <w:sz w:val="22"/>
        </w:rPr>
      </w:pPr>
      <w:r>
        <w:rPr>
          <w:rFonts w:ascii="Calibri" w:hAnsi="Calibri"/>
          <w:sz w:val="22"/>
        </w:rPr>
        <w:t>Capítulo III: Ciencias Sociales Capítulo IV: Divulgación Científica</w:t>
      </w:r>
    </w:p>
    <w:p>
      <w:pPr>
        <w:spacing w:line="276" w:lineRule="auto" w:before="3"/>
        <w:ind w:left="701" w:right="3337" w:firstLine="0"/>
        <w:jc w:val="left"/>
        <w:rPr>
          <w:rFonts w:ascii="Calibri" w:hAnsi="Calibri"/>
          <w:sz w:val="22"/>
        </w:rPr>
      </w:pPr>
      <w:r>
        <w:rPr>
          <w:rFonts w:ascii="Calibri" w:hAnsi="Calibri"/>
          <w:sz w:val="22"/>
        </w:rPr>
        <w:t>Capítulo V: Físico-Matemáticas y Ciencias de la Tierra Capítulo VI: Humanidades y Ciencias de la Conducta Capítulo VII: Ingenierías</w:t>
      </w:r>
    </w:p>
    <w:p>
      <w:pPr>
        <w:spacing w:before="0"/>
        <w:ind w:left="701" w:right="3223" w:firstLine="0"/>
        <w:jc w:val="left"/>
        <w:rPr>
          <w:rFonts w:ascii="Calibri" w:hAnsi="Calibri"/>
          <w:sz w:val="22"/>
        </w:rPr>
      </w:pPr>
      <w:r>
        <w:rPr>
          <w:rFonts w:ascii="Calibri" w:hAnsi="Calibri"/>
          <w:sz w:val="22"/>
        </w:rPr>
        <w:t>Capítulo VIII: Medicina y Ciencias de la Salud</w:t>
      </w:r>
    </w:p>
    <w:p>
      <w:pPr>
        <w:pStyle w:val="ListParagraph"/>
        <w:numPr>
          <w:ilvl w:val="0"/>
          <w:numId w:val="1"/>
        </w:numPr>
        <w:tabs>
          <w:tab w:pos="702" w:val="left" w:leader="none"/>
        </w:tabs>
        <w:spacing w:line="240" w:lineRule="auto" w:before="41" w:after="0"/>
        <w:ind w:left="702" w:right="0" w:hanging="360"/>
        <w:jc w:val="left"/>
        <w:rPr>
          <w:rFonts w:ascii="Calibri" w:hAnsi="Calibri"/>
          <w:sz w:val="22"/>
        </w:rPr>
      </w:pPr>
      <w:r>
        <w:rPr>
          <w:rFonts w:ascii="Calibri" w:hAnsi="Calibri"/>
          <w:sz w:val="22"/>
        </w:rPr>
        <w:t>Índice de</w:t>
      </w:r>
      <w:r>
        <w:rPr>
          <w:rFonts w:ascii="Calibri" w:hAnsi="Calibri"/>
          <w:spacing w:val="-1"/>
          <w:sz w:val="22"/>
        </w:rPr>
        <w:t> </w:t>
      </w:r>
      <w:r>
        <w:rPr>
          <w:rFonts w:ascii="Calibri" w:hAnsi="Calibri"/>
          <w:sz w:val="22"/>
        </w:rPr>
        <w:t>autores</w:t>
      </w:r>
    </w:p>
    <w:p>
      <w:pPr>
        <w:spacing w:after="0" w:line="240" w:lineRule="auto"/>
        <w:jc w:val="left"/>
        <w:rPr>
          <w:rFonts w:ascii="Calibri" w:hAnsi="Calibri"/>
          <w:sz w:val="22"/>
        </w:rPr>
        <w:sectPr>
          <w:pgSz w:w="12240" w:h="15840"/>
          <w:pgMar w:top="1380" w:bottom="280" w:left="1720" w:right="1720"/>
        </w:sectPr>
      </w:pPr>
    </w:p>
    <w:p>
      <w:pPr>
        <w:pStyle w:val="BodyText"/>
        <w:ind w:right="-40"/>
        <w:rPr>
          <w:rFonts w:ascii="Calibri"/>
        </w:rPr>
      </w:pPr>
      <w:bookmarkStart w:name="isbn" w:id="5"/>
      <w:bookmarkEnd w:id="5"/>
      <w:r>
        <w:rPr/>
      </w:r>
      <w:r>
        <w:rPr>
          <w:rFonts w:ascii="Calibri"/>
        </w:rPr>
        <w:drawing>
          <wp:inline distT="0" distB="0" distL="0" distR="0">
            <wp:extent cx="7559040" cy="1068019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559040" cy="10680192"/>
                    </a:xfrm>
                    <a:prstGeom prst="rect">
                      <a:avLst/>
                    </a:prstGeom>
                  </pic:spPr>
                </pic:pic>
              </a:graphicData>
            </a:graphic>
          </wp:inline>
        </w:drawing>
      </w:r>
      <w:r>
        <w:rPr>
          <w:rFonts w:ascii="Calibri"/>
        </w:rPr>
      </w:r>
    </w:p>
    <w:p>
      <w:pPr>
        <w:spacing w:after="0"/>
        <w:rPr>
          <w:rFonts w:ascii="Calibri"/>
        </w:rPr>
        <w:sectPr>
          <w:pgSz w:w="11910" w:h="16840"/>
          <w:pgMar w:top="0" w:bottom="0" w:left="0" w:right="0"/>
        </w:sectPr>
      </w:pPr>
    </w:p>
    <w:p>
      <w:pPr>
        <w:pStyle w:val="BodyText"/>
        <w:spacing w:before="3"/>
        <w:rPr>
          <w:rFonts w:ascii="Calibri"/>
          <w:sz w:val="10"/>
        </w:rPr>
      </w:pPr>
    </w:p>
    <w:p>
      <w:pPr>
        <w:pStyle w:val="Heading1"/>
        <w:spacing w:line="240" w:lineRule="auto" w:before="70"/>
        <w:ind w:left="3705" w:right="3703"/>
        <w:jc w:val="center"/>
      </w:pPr>
      <w:bookmarkStart w:name="Autor_Gloria" w:id="6"/>
      <w:bookmarkEnd w:id="6"/>
      <w:r>
        <w:rPr/>
      </w:r>
      <w:r>
        <w:rPr/>
        <w:t>Índice de autores</w:t>
      </w: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03"/>
        <w:gridCol w:w="1087"/>
        <w:gridCol w:w="1966"/>
      </w:tblGrid>
      <w:tr>
        <w:trPr>
          <w:trHeight w:val="240" w:hRule="exact"/>
        </w:trPr>
        <w:tc>
          <w:tcPr>
            <w:tcW w:w="6003" w:type="dxa"/>
          </w:tcPr>
          <w:p>
            <w:pPr>
              <w:pStyle w:val="TableParagraph"/>
              <w:spacing w:line="225" w:lineRule="exact"/>
              <w:rPr>
                <w:b/>
                <w:sz w:val="20"/>
              </w:rPr>
            </w:pPr>
            <w:r>
              <w:rPr>
                <w:b/>
                <w:sz w:val="20"/>
              </w:rPr>
              <w:t>Nombre</w:t>
            </w:r>
          </w:p>
        </w:tc>
        <w:tc>
          <w:tcPr>
            <w:tcW w:w="1087" w:type="dxa"/>
          </w:tcPr>
          <w:p>
            <w:pPr>
              <w:pStyle w:val="TableParagraph"/>
              <w:spacing w:line="225" w:lineRule="exact"/>
              <w:rPr>
                <w:b/>
                <w:sz w:val="20"/>
              </w:rPr>
            </w:pPr>
            <w:r>
              <w:rPr>
                <w:b/>
                <w:sz w:val="20"/>
              </w:rPr>
              <w:t>Rol</w:t>
            </w:r>
          </w:p>
        </w:tc>
        <w:tc>
          <w:tcPr>
            <w:tcW w:w="1966" w:type="dxa"/>
          </w:tcPr>
          <w:p>
            <w:pPr>
              <w:pStyle w:val="TableParagraph"/>
              <w:spacing w:line="225" w:lineRule="exact"/>
              <w:rPr>
                <w:b/>
                <w:sz w:val="20"/>
              </w:rPr>
            </w:pPr>
            <w:r>
              <w:rPr>
                <w:b/>
                <w:sz w:val="20"/>
              </w:rPr>
              <w:t>Nacionalidad</w:t>
            </w:r>
          </w:p>
        </w:tc>
      </w:tr>
      <w:tr>
        <w:trPr>
          <w:trHeight w:val="240" w:hRule="exact"/>
        </w:trPr>
        <w:tc>
          <w:tcPr>
            <w:tcW w:w="6003" w:type="dxa"/>
          </w:tcPr>
          <w:p>
            <w:pPr>
              <w:pStyle w:val="TableParagraph"/>
              <w:rPr>
                <w:sz w:val="20"/>
              </w:rPr>
            </w:pPr>
            <w:r>
              <w:rPr>
                <w:sz w:val="20"/>
              </w:rPr>
              <w:t>Abdel Fattha Mohamed Salem</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Aboytes González Jesus Agustín</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Abrica Jacinto Norma Leticia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Acero Ortega Juanita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Acevedo Martínez Janete</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Acosta Cruz Erika Yaneth</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Acosta De La Rosa Alma De Jesús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38" w:hRule="exact"/>
        </w:trPr>
        <w:tc>
          <w:tcPr>
            <w:tcW w:w="6003" w:type="dxa"/>
          </w:tcPr>
          <w:p>
            <w:pPr>
              <w:pStyle w:val="TableParagraph"/>
              <w:rPr>
                <w:sz w:val="20"/>
              </w:rPr>
            </w:pPr>
            <w:r>
              <w:rPr>
                <w:sz w:val="20"/>
              </w:rPr>
              <w:t>Acosta Flores Mario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Lúa Cuauhtémoc</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Mendiola Ilse Larissa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1" w:hRule="exact"/>
        </w:trPr>
        <w:tc>
          <w:tcPr>
            <w:tcW w:w="6003" w:type="dxa"/>
          </w:tcPr>
          <w:p>
            <w:pPr>
              <w:pStyle w:val="TableParagraph"/>
              <w:spacing w:line="240" w:lineRule="auto"/>
              <w:rPr>
                <w:sz w:val="20"/>
              </w:rPr>
            </w:pPr>
            <w:r>
              <w:rPr>
                <w:sz w:val="20"/>
              </w:rPr>
              <w:t>Acosta Navarrete María Susana</w:t>
            </w:r>
          </w:p>
        </w:tc>
        <w:tc>
          <w:tcPr>
            <w:tcW w:w="1087" w:type="dxa"/>
          </w:tcPr>
          <w:p>
            <w:pPr>
              <w:pStyle w:val="TableParagraph"/>
              <w:spacing w:line="240" w:lineRule="auto"/>
              <w:rPr>
                <w:sz w:val="20"/>
              </w:rPr>
            </w:pPr>
            <w:r>
              <w:rPr>
                <w:sz w:val="20"/>
              </w:rPr>
              <w:t>Autor</w:t>
            </w:r>
          </w:p>
        </w:tc>
        <w:tc>
          <w:tcPr>
            <w:tcW w:w="1966" w:type="dxa"/>
          </w:tcPr>
          <w:p>
            <w:pPr>
              <w:pStyle w:val="TableParagraph"/>
              <w:spacing w:line="240" w:lineRule="auto"/>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Romero Alfonso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Torres Laura Susana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Uribe Beatriz</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Acosta Altamirano Gustavo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Adame García Jacel</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Águila Zendejas Aurora Abigail</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Aquino Alejandra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Espinosa María Guadalupe</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Gámez Ariadna Janine</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Gaitán Rocío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Hernández Dulce María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Mora Araceli</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40" w:lineRule="auto"/>
              <w:rPr>
                <w:sz w:val="20"/>
              </w:rPr>
            </w:pPr>
            <w:r>
              <w:rPr>
                <w:sz w:val="20"/>
              </w:rPr>
              <w:t>Aguilar Padilla Rodrigo</w:t>
            </w:r>
          </w:p>
        </w:tc>
        <w:tc>
          <w:tcPr>
            <w:tcW w:w="1087" w:type="dxa"/>
          </w:tcPr>
          <w:p>
            <w:pPr>
              <w:pStyle w:val="TableParagraph"/>
              <w:spacing w:line="240" w:lineRule="auto"/>
              <w:rPr>
                <w:sz w:val="20"/>
              </w:rPr>
            </w:pPr>
            <w:r>
              <w:rPr>
                <w:sz w:val="20"/>
              </w:rPr>
              <w:t>Autor</w:t>
            </w:r>
          </w:p>
        </w:tc>
        <w:tc>
          <w:tcPr>
            <w:tcW w:w="1966" w:type="dxa"/>
          </w:tcPr>
          <w:p>
            <w:pPr>
              <w:pStyle w:val="TableParagraph"/>
              <w:spacing w:line="240" w:lineRule="auto"/>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Reyes Ena Athenea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Sánchez Patricia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Segovia Favianna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Aguilar Tipacamú Gabriela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rPr>
                <w:sz w:val="20"/>
              </w:rPr>
            </w:pPr>
            <w:r>
              <w:rPr>
                <w:sz w:val="20"/>
              </w:rPr>
              <w:t>Aguilar Villaseñor José Manasés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Aguilar Zavala Herlinda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Aguilera Barreyro Araceli</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Aguilera Jiménez Miguel Ángel</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Aguirre Bolaños Nydia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Aguirre Paleo Salvador</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Agustín López Ricardo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Ahuatzi Bello Martha Alicia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Akita Ocampo Vanessa Hiromi</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1" w:hRule="exact"/>
        </w:trPr>
        <w:tc>
          <w:tcPr>
            <w:tcW w:w="6003" w:type="dxa"/>
          </w:tcPr>
          <w:p>
            <w:pPr>
              <w:pStyle w:val="TableParagraph"/>
              <w:spacing w:line="228" w:lineRule="exact"/>
              <w:rPr>
                <w:sz w:val="20"/>
              </w:rPr>
            </w:pPr>
            <w:r>
              <w:rPr>
                <w:sz w:val="20"/>
              </w:rPr>
              <w:t>Alaniz Sánchez Adolfo</w:t>
            </w:r>
          </w:p>
        </w:tc>
        <w:tc>
          <w:tcPr>
            <w:tcW w:w="1087" w:type="dxa"/>
          </w:tcPr>
          <w:p>
            <w:pPr>
              <w:pStyle w:val="TableParagraph"/>
              <w:spacing w:line="228" w:lineRule="exact"/>
              <w:rPr>
                <w:sz w:val="20"/>
              </w:rPr>
            </w:pPr>
            <w:r>
              <w:rPr>
                <w:sz w:val="20"/>
              </w:rPr>
              <w:t>Autor</w:t>
            </w:r>
          </w:p>
        </w:tc>
        <w:tc>
          <w:tcPr>
            <w:tcW w:w="1966" w:type="dxa"/>
          </w:tcPr>
          <w:p>
            <w:pPr>
              <w:pStyle w:val="TableParagraph"/>
              <w:spacing w:line="228" w:lineRule="exact"/>
              <w:rPr>
                <w:sz w:val="20"/>
              </w:rPr>
            </w:pPr>
            <w:r>
              <w:rPr>
                <w:sz w:val="20"/>
              </w:rPr>
              <w:t>Mexicana</w:t>
            </w:r>
          </w:p>
        </w:tc>
      </w:tr>
      <w:tr>
        <w:trPr>
          <w:trHeight w:val="240" w:hRule="exact"/>
        </w:trPr>
        <w:tc>
          <w:tcPr>
            <w:tcW w:w="6003" w:type="dxa"/>
          </w:tcPr>
          <w:p>
            <w:pPr>
              <w:pStyle w:val="TableParagraph"/>
              <w:rPr>
                <w:sz w:val="20"/>
              </w:rPr>
            </w:pPr>
            <w:r>
              <w:rPr>
                <w:sz w:val="20"/>
              </w:rPr>
              <w:t>Alarcón Bonilla Jesus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Alarcón Lizaola Thomas Manuel</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Alba Navarro Luis Enrique</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Albarrán Marmolejo Guadalupe</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Albino García Sarai</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Alcalá Barbosa Katia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Alcalá De Jesús María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Alcántar González Gabriel</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Alcaraz García Salvador Alberto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Aldaco Quijas Andreina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bl>
    <w:p>
      <w:pPr>
        <w:spacing w:after="0"/>
        <w:rPr>
          <w:sz w:val="20"/>
        </w:rPr>
        <w:sectPr>
          <w:footerReference w:type="default" r:id="rId7"/>
          <w:pgSz w:w="12250" w:h="15850"/>
          <w:pgMar w:footer="906" w:header="0" w:top="1500" w:bottom="1100" w:left="1480" w:right="1480"/>
        </w:sectPr>
      </w:pPr>
    </w:p>
    <w:p>
      <w:pPr>
        <w:pStyle w:val="BodyText"/>
        <w:spacing w:before="4"/>
        <w:rPr>
          <w:rFonts w:ascii="Times New Roman"/>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03"/>
        <w:gridCol w:w="1087"/>
        <w:gridCol w:w="1966"/>
      </w:tblGrid>
      <w:tr>
        <w:trPr>
          <w:trHeight w:val="240" w:hRule="exact"/>
        </w:trPr>
        <w:tc>
          <w:tcPr>
            <w:tcW w:w="6003" w:type="dxa"/>
          </w:tcPr>
          <w:p>
            <w:pPr>
              <w:pStyle w:val="TableParagraph"/>
              <w:rPr>
                <w:sz w:val="20"/>
              </w:rPr>
            </w:pPr>
            <w:r>
              <w:rPr>
                <w:sz w:val="20"/>
              </w:rPr>
              <w:t>Shea Shea Michael</w:t>
            </w:r>
          </w:p>
        </w:tc>
        <w:tc>
          <w:tcPr>
            <w:tcW w:w="1087" w:type="dxa"/>
          </w:tcPr>
          <w:p>
            <w:pPr>
              <w:pStyle w:val="TableParagraph"/>
              <w:rPr>
                <w:sz w:val="20"/>
              </w:rPr>
            </w:pPr>
            <w:r>
              <w:rPr>
                <w:sz w:val="20"/>
              </w:rPr>
              <w:t>Autor</w:t>
            </w:r>
          </w:p>
        </w:tc>
        <w:tc>
          <w:tcPr>
            <w:tcW w:w="1966" w:type="dxa"/>
          </w:tcPr>
          <w:p>
            <w:pPr>
              <w:pStyle w:val="TableParagraph"/>
              <w:rPr>
                <w:sz w:val="20"/>
              </w:rPr>
            </w:pPr>
            <w:r>
              <w:rPr>
                <w:sz w:val="20"/>
              </w:rPr>
              <w:t>Extranjera</w:t>
            </w:r>
          </w:p>
        </w:tc>
      </w:tr>
      <w:tr>
        <w:trPr>
          <w:trHeight w:val="240" w:hRule="exact"/>
        </w:trPr>
        <w:tc>
          <w:tcPr>
            <w:tcW w:w="6003" w:type="dxa"/>
          </w:tcPr>
          <w:p>
            <w:pPr>
              <w:pStyle w:val="TableParagraph"/>
              <w:rPr>
                <w:sz w:val="20"/>
              </w:rPr>
            </w:pPr>
            <w:r>
              <w:rPr>
                <w:sz w:val="20"/>
              </w:rPr>
              <w:t>Sierra Cedillo José Antonio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Sierra Hernández Juan Manuel</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SierraSierra Ángeles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Ambriz Ana Lilia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Ambriz Linda Laura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Arciniega Ma. Del Rosario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Mendoza Dulce Nataly</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Muñoz Sergio Antonio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Rodríguez Elizabeth Margarita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Silva Vega Mónica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Simón Bastida Patricia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Sobral Sobral Andrea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1" w:hRule="exact"/>
        </w:trPr>
        <w:tc>
          <w:tcPr>
            <w:tcW w:w="6003" w:type="dxa"/>
          </w:tcPr>
          <w:p>
            <w:pPr>
              <w:pStyle w:val="TableParagraph"/>
              <w:spacing w:line="228" w:lineRule="exact"/>
              <w:rPr>
                <w:sz w:val="20"/>
              </w:rPr>
            </w:pPr>
            <w:r>
              <w:rPr>
                <w:sz w:val="20"/>
              </w:rPr>
              <w:t>Solano Solano Lourdes</w:t>
            </w:r>
          </w:p>
        </w:tc>
        <w:tc>
          <w:tcPr>
            <w:tcW w:w="1087" w:type="dxa"/>
          </w:tcPr>
          <w:p>
            <w:pPr>
              <w:pStyle w:val="TableParagraph"/>
              <w:spacing w:line="228" w:lineRule="exact"/>
              <w:rPr>
                <w:sz w:val="20"/>
              </w:rPr>
            </w:pPr>
            <w:r>
              <w:rPr>
                <w:sz w:val="20"/>
              </w:rPr>
              <w:t>Autor</w:t>
            </w:r>
          </w:p>
        </w:tc>
        <w:tc>
          <w:tcPr>
            <w:tcW w:w="1966" w:type="dxa"/>
          </w:tcPr>
          <w:p>
            <w:pPr>
              <w:pStyle w:val="TableParagraph"/>
              <w:spacing w:line="228" w:lineRule="exact"/>
              <w:rPr>
                <w:sz w:val="20"/>
              </w:rPr>
            </w:pPr>
            <w:r>
              <w:rPr>
                <w:sz w:val="20"/>
              </w:rPr>
              <w:t>Mexicana</w:t>
            </w:r>
          </w:p>
        </w:tc>
      </w:tr>
      <w:tr>
        <w:trPr>
          <w:trHeight w:val="240" w:hRule="exact"/>
        </w:trPr>
        <w:tc>
          <w:tcPr>
            <w:tcW w:w="6003" w:type="dxa"/>
          </w:tcPr>
          <w:p>
            <w:pPr>
              <w:pStyle w:val="TableParagraph"/>
              <w:rPr>
                <w:sz w:val="20"/>
              </w:rPr>
            </w:pPr>
            <w:r>
              <w:rPr>
                <w:sz w:val="20"/>
              </w:rPr>
              <w:t>Solano Pérez Claudia Teresa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Solano Ramírez Nereida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Solano Solano Gloria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Solís Camarillo Maricruz</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Solís Rojas Carlos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Solorio Cendejas Yunuén Daniela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Solorio Leyva Juan</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Soria Castañeda Elvira Regina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Soria Ortiz Alma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Soriano Cruz Tania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Soriano Hernández María Guadalupe</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Sosa De Jesus José Omar</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Sosa García Martha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Sosa Ribadereyna Martha</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Sosa Sánchez Madai Guadalupe</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rPr>
                <w:sz w:val="20"/>
              </w:rPr>
            </w:pPr>
            <w:r>
              <w:rPr>
                <w:sz w:val="20"/>
              </w:rPr>
              <w:t>Sosa Santillán Gerardo De Jesús</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38" w:hRule="exact"/>
        </w:trPr>
        <w:tc>
          <w:tcPr>
            <w:tcW w:w="6003" w:type="dxa"/>
          </w:tcPr>
          <w:p>
            <w:pPr>
              <w:pStyle w:val="TableParagraph"/>
              <w:rPr>
                <w:sz w:val="20"/>
              </w:rPr>
            </w:pPr>
            <w:r>
              <w:rPr>
                <w:sz w:val="20"/>
              </w:rPr>
              <w:t>Sotelo Sotelo Marco</w:t>
            </w:r>
          </w:p>
        </w:tc>
        <w:tc>
          <w:tcPr>
            <w:tcW w:w="1087" w:type="dxa"/>
          </w:tcPr>
          <w:p>
            <w:pPr>
              <w:pStyle w:val="TableParagraph"/>
              <w:rPr>
                <w:sz w:val="20"/>
              </w:rPr>
            </w:pPr>
            <w:r>
              <w:rPr>
                <w:sz w:val="20"/>
              </w:rPr>
              <w:t>Autor</w:t>
            </w:r>
          </w:p>
        </w:tc>
        <w:tc>
          <w:tcPr>
            <w:tcW w:w="1966" w:type="dxa"/>
          </w:tcPr>
          <w:p>
            <w:pPr>
              <w:pStyle w:val="TableParagraph"/>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Arredondo Karla Jazmín</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Cruz Blanca Susana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Cruz Susana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Domínguez Francisco Javier</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Guzmán Jesus Adriana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Soto López Ismael</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Suárez Castellanos María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Suárez Lizárraga Alma Verónica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Suárez Lizárraga Gabriela Del Carmen</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1" w:hRule="exact"/>
        </w:trPr>
        <w:tc>
          <w:tcPr>
            <w:tcW w:w="6003" w:type="dxa"/>
          </w:tcPr>
          <w:p>
            <w:pPr>
              <w:pStyle w:val="TableParagraph"/>
              <w:spacing w:line="240" w:lineRule="auto"/>
              <w:rPr>
                <w:sz w:val="20"/>
              </w:rPr>
            </w:pPr>
            <w:r>
              <w:rPr>
                <w:sz w:val="20"/>
              </w:rPr>
              <w:t>Suárez Rodríguez Carmen Del Pilar</w:t>
            </w:r>
          </w:p>
        </w:tc>
        <w:tc>
          <w:tcPr>
            <w:tcW w:w="1087" w:type="dxa"/>
          </w:tcPr>
          <w:p>
            <w:pPr>
              <w:pStyle w:val="TableParagraph"/>
              <w:spacing w:line="240" w:lineRule="auto"/>
              <w:rPr>
                <w:sz w:val="20"/>
              </w:rPr>
            </w:pPr>
            <w:r>
              <w:rPr>
                <w:sz w:val="20"/>
              </w:rPr>
              <w:t>Autor</w:t>
            </w:r>
          </w:p>
        </w:tc>
        <w:tc>
          <w:tcPr>
            <w:tcW w:w="1966" w:type="dxa"/>
          </w:tcPr>
          <w:p>
            <w:pPr>
              <w:pStyle w:val="TableParagraph"/>
              <w:spacing w:line="240" w:lineRule="auto"/>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Suárez Albores Patricia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Suástegui Hernández Amairany</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Surovikina Surovikina Elena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Extranjera</w:t>
            </w:r>
          </w:p>
        </w:tc>
      </w:tr>
      <w:tr>
        <w:trPr>
          <w:trHeight w:val="240" w:hRule="exact"/>
        </w:trPr>
        <w:tc>
          <w:tcPr>
            <w:tcW w:w="6003" w:type="dxa"/>
          </w:tcPr>
          <w:p>
            <w:pPr>
              <w:pStyle w:val="TableParagraph"/>
              <w:spacing w:line="230" w:lineRule="exact"/>
              <w:rPr>
                <w:sz w:val="20"/>
              </w:rPr>
            </w:pPr>
            <w:r>
              <w:rPr>
                <w:sz w:val="20"/>
              </w:rPr>
              <w:t>Tajonar Sanabria Francisco Solano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Talavera Meranda Eduardo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Tamayo Garza Julieta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Tamayo León Mónica</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Tapia Licona Luis Antonio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0" w:hRule="exact"/>
        </w:trPr>
        <w:tc>
          <w:tcPr>
            <w:tcW w:w="6003" w:type="dxa"/>
          </w:tcPr>
          <w:p>
            <w:pPr>
              <w:pStyle w:val="TableParagraph"/>
              <w:spacing w:line="230" w:lineRule="exact"/>
              <w:rPr>
                <w:sz w:val="20"/>
              </w:rPr>
            </w:pPr>
            <w:r>
              <w:rPr>
                <w:sz w:val="20"/>
              </w:rPr>
              <w:t>Tapia Magallanes Denisse</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r>
        <w:trPr>
          <w:trHeight w:val="242" w:hRule="exact"/>
        </w:trPr>
        <w:tc>
          <w:tcPr>
            <w:tcW w:w="6003" w:type="dxa"/>
          </w:tcPr>
          <w:p>
            <w:pPr>
              <w:pStyle w:val="TableParagraph"/>
              <w:spacing w:line="230" w:lineRule="exact"/>
              <w:rPr>
                <w:sz w:val="20"/>
              </w:rPr>
            </w:pPr>
            <w:r>
              <w:rPr>
                <w:sz w:val="20"/>
              </w:rPr>
              <w:t>Tapia Tinoco Guillermo</w:t>
            </w:r>
          </w:p>
        </w:tc>
        <w:tc>
          <w:tcPr>
            <w:tcW w:w="1087" w:type="dxa"/>
          </w:tcPr>
          <w:p>
            <w:pPr>
              <w:pStyle w:val="TableParagraph"/>
              <w:spacing w:line="230" w:lineRule="exact"/>
              <w:rPr>
                <w:sz w:val="20"/>
              </w:rPr>
            </w:pPr>
            <w:r>
              <w:rPr>
                <w:sz w:val="20"/>
              </w:rPr>
              <w:t>Autor</w:t>
            </w:r>
          </w:p>
        </w:tc>
        <w:tc>
          <w:tcPr>
            <w:tcW w:w="1966" w:type="dxa"/>
          </w:tcPr>
          <w:p>
            <w:pPr>
              <w:pStyle w:val="TableParagraph"/>
              <w:spacing w:line="230" w:lineRule="exact"/>
              <w:rPr>
                <w:sz w:val="20"/>
              </w:rPr>
            </w:pPr>
            <w:r>
              <w:rPr>
                <w:sz w:val="20"/>
              </w:rPr>
              <w:t>Mexicana</w:t>
            </w:r>
          </w:p>
        </w:tc>
      </w:tr>
    </w:tbl>
    <w:p>
      <w:pPr>
        <w:spacing w:after="0" w:line="230" w:lineRule="exact"/>
        <w:rPr>
          <w:sz w:val="20"/>
        </w:rPr>
        <w:sectPr>
          <w:footerReference w:type="default" r:id="rId8"/>
          <w:pgSz w:w="12250" w:h="15850"/>
          <w:pgMar w:footer="906" w:header="0" w:top="1500" w:bottom="1100" w:left="1480" w:right="14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7"/>
        <w:ind w:left="3106" w:right="0" w:hanging="3001"/>
        <w:jc w:val="left"/>
        <w:rPr>
          <w:sz w:val="76"/>
        </w:rPr>
      </w:pPr>
      <w:bookmarkStart w:name="2016-LIBRO LEON - GSS" w:id="7"/>
      <w:bookmarkEnd w:id="7"/>
      <w:r>
        <w:rPr/>
      </w:r>
      <w:r>
        <w:rPr>
          <w:color w:val="17365D"/>
          <w:sz w:val="76"/>
        </w:rPr>
        <w:t>8. Medicina y Ciencias de la Salud</w:t>
      </w:r>
    </w:p>
    <w:p>
      <w:pPr>
        <w:spacing w:after="0"/>
        <w:jc w:val="left"/>
        <w:rPr>
          <w:sz w:val="76"/>
        </w:rPr>
        <w:sectPr>
          <w:footerReference w:type="default" r:id="rId9"/>
          <w:pgSz w:w="12240" w:h="15840"/>
          <w:pgMar w:footer="1320" w:header="0" w:top="1500" w:bottom="1500" w:left="1620" w:right="1620"/>
        </w:sectPr>
      </w:pPr>
    </w:p>
    <w:p>
      <w:pPr>
        <w:pStyle w:val="BodyText"/>
        <w:spacing w:before="8"/>
        <w:rPr>
          <w:sz w:val="10"/>
        </w:rPr>
      </w:pPr>
    </w:p>
    <w:p>
      <w:pPr>
        <w:spacing w:line="278" w:lineRule="auto" w:before="74"/>
        <w:ind w:left="1690" w:right="103" w:hanging="1587"/>
        <w:jc w:val="left"/>
        <w:rPr>
          <w:b/>
          <w:sz w:val="20"/>
        </w:rPr>
      </w:pPr>
      <w:r>
        <w:rPr>
          <w:b/>
          <w:sz w:val="20"/>
        </w:rPr>
        <w:t>EFECTOS DE LA UTILIZACIÓN DEL PROTOCOLO </w:t>
      </w:r>
      <w:r>
        <w:rPr>
          <w:b/>
          <w:i/>
          <w:sz w:val="20"/>
        </w:rPr>
        <w:t>STAGED DIABETES MANAGEMENT </w:t>
      </w:r>
      <w:r>
        <w:rPr>
          <w:b/>
          <w:sz w:val="20"/>
        </w:rPr>
        <w:t>EN EL CONTROL METABÓLICO DE PACIENTES CON DIABETES 2</w:t>
      </w:r>
    </w:p>
    <w:p>
      <w:pPr>
        <w:pStyle w:val="BodyText"/>
        <w:rPr>
          <w:b/>
        </w:rPr>
      </w:pPr>
    </w:p>
    <w:p>
      <w:pPr>
        <w:pStyle w:val="BodyText"/>
        <w:spacing w:before="8"/>
        <w:rPr>
          <w:b/>
          <w:sz w:val="21"/>
        </w:rPr>
      </w:pPr>
    </w:p>
    <w:p>
      <w:pPr>
        <w:pStyle w:val="BodyText"/>
        <w:spacing w:line="232" w:lineRule="exact" w:before="1"/>
        <w:ind w:left="476" w:right="494"/>
        <w:jc w:val="center"/>
        <w:rPr>
          <w:sz w:val="13"/>
        </w:rPr>
      </w:pPr>
      <w:r>
        <w:rPr/>
        <w:t>Gloria Solano Solano</w:t>
      </w:r>
      <w:r>
        <w:rPr>
          <w:position w:val="10"/>
          <w:sz w:val="13"/>
        </w:rPr>
        <w:t>1</w:t>
      </w:r>
      <w:r>
        <w:rPr/>
        <w:t>, Rebeca María Elena Guzmán Saldaña</w:t>
      </w:r>
      <w:r>
        <w:rPr>
          <w:position w:val="10"/>
          <w:sz w:val="13"/>
        </w:rPr>
        <w:t>1</w:t>
      </w:r>
      <w:r>
        <w:rPr/>
        <w:t>, Arturo del Castillo Arreola</w:t>
      </w:r>
      <w:r>
        <w:rPr>
          <w:position w:val="10"/>
          <w:sz w:val="13"/>
        </w:rPr>
        <w:t>1</w:t>
      </w:r>
      <w:r>
        <w:rPr/>
        <w:t>, Cleotilde García Reza</w:t>
      </w:r>
      <w:r>
        <w:rPr>
          <w:position w:val="10"/>
          <w:sz w:val="13"/>
        </w:rPr>
        <w:t>2</w:t>
      </w:r>
      <w:r>
        <w:rPr/>
        <w:t>, Rosario Barrera Gálvez</w:t>
      </w:r>
      <w:r>
        <w:rPr>
          <w:position w:val="10"/>
          <w:sz w:val="13"/>
        </w:rPr>
        <w:t>1</w:t>
      </w:r>
    </w:p>
    <w:p>
      <w:pPr>
        <w:pStyle w:val="BodyText"/>
        <w:spacing w:before="161"/>
        <w:ind w:left="224" w:right="103"/>
      </w:pPr>
      <w:r>
        <w:rPr>
          <w:position w:val="10"/>
          <w:sz w:val="13"/>
        </w:rPr>
        <w:t>1</w:t>
      </w:r>
      <w:r>
        <w:rPr/>
        <w:t>Universidad Autónoma del Estado del Estado de Hidalgo, </w:t>
      </w:r>
      <w:r>
        <w:rPr>
          <w:position w:val="10"/>
          <w:sz w:val="13"/>
        </w:rPr>
        <w:t>2</w:t>
      </w:r>
      <w:r>
        <w:rPr/>
        <w:t>Universidad Autónoma del Estado de</w:t>
      </w:r>
    </w:p>
    <w:p>
      <w:pPr>
        <w:pStyle w:val="BodyText"/>
        <w:rPr>
          <w:sz w:val="24"/>
        </w:rPr>
      </w:pPr>
    </w:p>
    <w:p>
      <w:pPr>
        <w:pStyle w:val="BodyText"/>
        <w:rPr>
          <w:sz w:val="24"/>
        </w:rPr>
      </w:pPr>
    </w:p>
    <w:p>
      <w:pPr>
        <w:pStyle w:val="BodyText"/>
        <w:rPr>
          <w:sz w:val="24"/>
        </w:rPr>
      </w:pPr>
    </w:p>
    <w:p>
      <w:pPr>
        <w:pStyle w:val="BodyText"/>
      </w:pPr>
    </w:p>
    <w:p>
      <w:pPr>
        <w:pStyle w:val="Heading3"/>
        <w:spacing w:before="1"/>
        <w:ind w:left="102" w:firstLine="0"/>
      </w:pPr>
      <w:r>
        <w:rPr/>
        <w:t>RESUMEN</w:t>
      </w:r>
    </w:p>
    <w:p>
      <w:pPr>
        <w:pStyle w:val="BodyText"/>
        <w:spacing w:before="3"/>
        <w:rPr>
          <w:b/>
        </w:rPr>
      </w:pPr>
    </w:p>
    <w:p>
      <w:pPr>
        <w:pStyle w:val="BodyText"/>
        <w:tabs>
          <w:tab w:pos="814" w:val="left" w:leader="none"/>
          <w:tab w:pos="2126" w:val="left" w:leader="none"/>
          <w:tab w:pos="3234" w:val="left" w:leader="none"/>
          <w:tab w:pos="3644" w:val="left" w:leader="none"/>
          <w:tab w:pos="4534" w:val="left" w:leader="none"/>
          <w:tab w:pos="5826" w:val="left" w:leader="none"/>
          <w:tab w:pos="6851" w:val="left" w:leader="none"/>
          <w:tab w:pos="7985" w:val="left" w:leader="none"/>
          <w:tab w:pos="8410" w:val="left" w:leader="none"/>
        </w:tabs>
        <w:spacing w:before="1"/>
        <w:ind w:left="102" w:right="116"/>
      </w:pPr>
      <w:r>
        <w:rPr/>
        <w:t>La Federación Mexicana de Diabetes en 2014, reportó que México ocupa el séptimo lugar a nivel mundial en prevalencia, con 12 millones de personas registradas. La atención en diabetes constituye una prioridad en salud pública, es importante direccionar las acciones en los tres niveles de atención a la salud, prevención primaria para detectar nuevos casos, prevención secundaria para</w:t>
        <w:tab/>
        <w:t>tratamiento</w:t>
        <w:tab/>
        <w:t>oportuno</w:t>
        <w:tab/>
        <w:t>y</w:t>
        <w:tab/>
        <w:t>eficaz,</w:t>
        <w:tab/>
        <w:t>prevención</w:t>
        <w:tab/>
        <w:t>terciaria</w:t>
        <w:tab/>
        <w:t>enfocada</w:t>
        <w:tab/>
        <w:t>a</w:t>
        <w:tab/>
        <w:t>tratar complicaciones. </w:t>
      </w:r>
      <w:r>
        <w:rPr>
          <w:b/>
        </w:rPr>
        <w:t>Objetivo: </w:t>
      </w:r>
      <w:r>
        <w:rPr/>
        <w:t>Evaluar los efectos de la utilización del protocolo </w:t>
      </w:r>
      <w:r>
        <w:rPr>
          <w:i/>
        </w:rPr>
        <w:t>Staged Diabetes </w:t>
      </w:r>
      <w:r>
        <w:rPr>
          <w:i/>
        </w:rPr>
        <w:t>Management </w:t>
      </w:r>
      <w:r>
        <w:rPr/>
        <w:t>(Manejo de diabetes por etapas MDE), en personas con diabetes tipo 2 (DT2), se propone una atención multidisciplinaria e integral por etapas, en un centro de salud en Pachuca, Hidalgo, en un período de 6 meses </w:t>
      </w:r>
      <w:r>
        <w:rPr>
          <w:b/>
        </w:rPr>
        <w:t>Metodología</w:t>
      </w:r>
      <w:r>
        <w:rPr/>
        <w:t>: El tipo de investigación fue experimental con un ensayo clínico randomizado, diseño de estudio con una muestra con una muestra de n=82 personas</w:t>
      </w:r>
      <w:r>
        <w:rPr>
          <w:b/>
        </w:rPr>
        <w:t>. Resultados: </w:t>
      </w:r>
      <w:r>
        <w:rPr/>
        <w:t>En el grupo de intervención predominó el sexo femenino (70,7%) y en el control el sexo masculino (51,2%). En ambos, la tasa etaria predominante fue de 50 |– 60 años. En el análisis de asociaciones intra grupos, se observaron cambios significativos (p&lt;0,005), entre la primera y la segunda medición en los valores de presión arterial sistólica (t=2,31, p==0,026); índice de masa corporal (t=5,21, p==0,001); glicemia capilar (t=7,06, p==0,001); glicemia plasmática (t=2,09, p=0,043); hemoglobina glucocilada (t=4,26, p==0,001); colesterol (t=3,78, p==0,001); triglicéridos (p=3,38, p==0,002). </w:t>
      </w:r>
      <w:r>
        <w:rPr>
          <w:b/>
        </w:rPr>
        <w:t>Conclusiones: </w:t>
      </w:r>
      <w:r>
        <w:rPr/>
        <w:t>Por la eficacia demostrada en México y otros países; se recomienda implementar el protocolo de MDE en las unidades de salud, con el desarrollo de programas de educación permanente y la evaluación de resultados, como se señala en los algoritmos del MDE; apoyando a grupos de ayuda mutua, promoviendo el desarrollo de prácticas y habilidades para el autocuidado con una alimentación saludable, ejercicio físico, farmacoterapia y auto</w:t>
      </w:r>
      <w:r>
        <w:rPr>
          <w:spacing w:val="-8"/>
        </w:rPr>
        <w:t> </w:t>
      </w:r>
      <w:r>
        <w:rPr/>
        <w:t>monitoreo.</w:t>
      </w:r>
    </w:p>
    <w:p>
      <w:pPr>
        <w:pStyle w:val="BodyText"/>
        <w:spacing w:before="4"/>
        <w:rPr>
          <w:sz w:val="17"/>
        </w:rPr>
      </w:pPr>
    </w:p>
    <w:p>
      <w:pPr>
        <w:spacing w:before="0"/>
        <w:ind w:left="102" w:right="0" w:firstLine="0"/>
        <w:jc w:val="both"/>
        <w:rPr>
          <w:sz w:val="20"/>
        </w:rPr>
      </w:pPr>
      <w:r>
        <w:rPr>
          <w:b/>
          <w:sz w:val="20"/>
        </w:rPr>
        <w:t>Palabras clave: </w:t>
      </w:r>
      <w:r>
        <w:rPr>
          <w:sz w:val="20"/>
        </w:rPr>
        <w:t>Diabetes Mellitus, Pacientes, Intervención</w:t>
      </w:r>
    </w:p>
    <w:p>
      <w:pPr>
        <w:pStyle w:val="BodyText"/>
      </w:pPr>
    </w:p>
    <w:p>
      <w:pPr>
        <w:pStyle w:val="BodyText"/>
      </w:pPr>
    </w:p>
    <w:p>
      <w:pPr>
        <w:pStyle w:val="Heading3"/>
        <w:numPr>
          <w:ilvl w:val="0"/>
          <w:numId w:val="2"/>
        </w:numPr>
        <w:tabs>
          <w:tab w:pos="328" w:val="left" w:leader="none"/>
        </w:tabs>
        <w:spacing w:line="240" w:lineRule="auto" w:before="169" w:after="0"/>
        <w:ind w:left="327" w:right="0" w:hanging="225"/>
        <w:jc w:val="both"/>
      </w:pPr>
      <w:r>
        <w:rPr/>
        <w:t>ANTECEDENTES</w:t>
      </w:r>
    </w:p>
    <w:p>
      <w:pPr>
        <w:pStyle w:val="BodyText"/>
        <w:spacing w:before="3"/>
        <w:rPr>
          <w:b/>
        </w:rPr>
      </w:pPr>
    </w:p>
    <w:p>
      <w:pPr>
        <w:pStyle w:val="BodyText"/>
        <w:ind w:left="102" w:right="119"/>
        <w:jc w:val="both"/>
      </w:pPr>
      <w:r>
        <w:rPr/>
        <w:t>La diabetes se ha convertido en una de las enfermedades no transmisibles más comunes en el mundo, es una enfermedad crónica que ocasiona un grave problema de salud para la sociedad en general. A pesar de que impone devastadoras consecuencias humanas, sociales, y económicas, la concientización de las mismas es baja, además, frente a las grandes herramientas que hoy en día tenemos para proteger a las personas enfermas, no se logra disminuir las tasas de incidencia y</w:t>
      </w:r>
    </w:p>
    <w:p>
      <w:pPr>
        <w:pStyle w:val="BodyText"/>
        <w:spacing w:line="233" w:lineRule="exact"/>
        <w:ind w:left="102"/>
        <w:jc w:val="both"/>
      </w:pPr>
      <w:r>
        <w:rPr/>
        <w:t>prevalecía del mundo</w:t>
      </w:r>
      <w:r>
        <w:rPr>
          <w:position w:val="10"/>
          <w:sz w:val="13"/>
        </w:rPr>
        <w:t>1</w:t>
      </w:r>
      <w:r>
        <w:rPr/>
        <w:t>.</w:t>
      </w:r>
    </w:p>
    <w:p>
      <w:pPr>
        <w:pStyle w:val="BodyText"/>
        <w:spacing w:before="197"/>
        <w:ind w:left="102" w:right="117"/>
        <w:jc w:val="both"/>
      </w:pPr>
      <w:r>
        <w:rPr/>
        <w:t>Epidemiológicamente en el mundo según datos de La FID (2014) registró la existencia de 387 millones de personas con diabetes alrededor del mundo, su prevalencia se calcula en un 8.3% con un rango de edad entre los 20 a 79 años. En el mundo una de cada 12 personas tiene diabetes y</w:t>
      </w:r>
    </w:p>
    <w:p>
      <w:pPr>
        <w:spacing w:after="0"/>
        <w:jc w:val="both"/>
        <w:sectPr>
          <w:footerReference w:type="default" r:id="rId10"/>
          <w:pgSz w:w="12240" w:h="15840"/>
          <w:pgMar w:footer="1024" w:header="0" w:top="1500" w:bottom="1220" w:left="1600" w:right="1580"/>
          <w:pgNumType w:start="3801"/>
        </w:sectPr>
      </w:pPr>
    </w:p>
    <w:p>
      <w:pPr>
        <w:pStyle w:val="BodyText"/>
        <w:spacing w:before="10"/>
        <w:rPr>
          <w:sz w:val="10"/>
        </w:rPr>
      </w:pPr>
    </w:p>
    <w:p>
      <w:pPr>
        <w:pStyle w:val="BodyText"/>
        <w:spacing w:line="242" w:lineRule="auto" w:before="74"/>
        <w:ind w:left="102" w:right="121"/>
        <w:jc w:val="both"/>
      </w:pPr>
      <w:r>
        <w:rPr/>
        <w:t>se estima que una de cada dos personas con diabetes no sabe que la padece, es decir, el 46.3% de la población no están diagnosticados.</w:t>
      </w:r>
    </w:p>
    <w:p>
      <w:pPr>
        <w:pStyle w:val="BodyText"/>
        <w:spacing w:before="11"/>
        <w:rPr>
          <w:sz w:val="16"/>
        </w:rPr>
      </w:pPr>
    </w:p>
    <w:p>
      <w:pPr>
        <w:pStyle w:val="BodyText"/>
        <w:ind w:left="102" w:right="117"/>
        <w:jc w:val="both"/>
      </w:pPr>
      <w:r>
        <w:rPr/>
        <w:t>Cada siete segundos una persona muere por dicho padecimiento, tan solo en el 2013 el número de muertes por diabetes alcanzaron una cifra de 4.9 millones. El gasto que se alcanzó derivado del tratamiento de la diabetes en el mundo fue de 612,000 millones de dólares, el 77% de las personas con diabetes viven en países de ingresos medios a bajos (FID, 2014).</w:t>
      </w:r>
    </w:p>
    <w:p>
      <w:pPr>
        <w:pStyle w:val="BodyText"/>
        <w:spacing w:before="1"/>
        <w:rPr>
          <w:sz w:val="17"/>
        </w:rPr>
      </w:pPr>
    </w:p>
    <w:p>
      <w:pPr>
        <w:pStyle w:val="BodyText"/>
        <w:spacing w:line="242" w:lineRule="auto"/>
        <w:ind w:left="102" w:right="118"/>
        <w:jc w:val="both"/>
      </w:pPr>
      <w:r>
        <w:rPr/>
        <w:t>En el ámbito Nacional Según la Encuesta de Salud y Nutrición [ENSANUT] (Instituto Nacional de Salud Pública [INSP] &amp; Secretaria de Salud [SSA], 2012) la diabetes junto a enfermedades cardiovasculares y obesidad son el segundo grupo de motivos por los que se acudía a consulta de servicios ambulatorios curativos, representando un 11.5% de las causas de consulta en el país.</w:t>
      </w:r>
    </w:p>
    <w:p>
      <w:pPr>
        <w:pStyle w:val="BodyText"/>
        <w:spacing w:before="11"/>
        <w:rPr>
          <w:sz w:val="16"/>
        </w:rPr>
      </w:pPr>
    </w:p>
    <w:p>
      <w:pPr>
        <w:pStyle w:val="BodyText"/>
        <w:spacing w:line="242" w:lineRule="auto"/>
        <w:ind w:left="102" w:right="127"/>
        <w:jc w:val="both"/>
      </w:pPr>
      <w:r>
        <w:rPr/>
        <w:t>En 2012 (INSP &amp; SSA) se reportaron 6,406,600 casos totales de diabetes, para 2013 se notificó la frecuencia de 24,165 casos nuevos de diabetes, de los cales 10,851 a hombres y 13,314 a mujeres (SSA, 2013).</w:t>
      </w:r>
    </w:p>
    <w:p>
      <w:pPr>
        <w:pStyle w:val="BodyText"/>
        <w:spacing w:before="8"/>
        <w:rPr>
          <w:sz w:val="17"/>
        </w:rPr>
      </w:pPr>
    </w:p>
    <w:p>
      <w:pPr>
        <w:pStyle w:val="BodyText"/>
        <w:spacing w:line="228" w:lineRule="auto" w:before="1"/>
        <w:ind w:left="102" w:right="120"/>
        <w:jc w:val="both"/>
      </w:pPr>
      <w:r>
        <w:rPr/>
        <w:t>La FID (2014) por su parte revela que México se encuentra en el segundo lugar en cuanto a la zona de América del Norte y Caribe se refiere</w:t>
      </w:r>
      <w:r>
        <w:rPr>
          <w:position w:val="10"/>
          <w:sz w:val="13"/>
        </w:rPr>
        <w:t>2</w:t>
      </w:r>
      <w:r>
        <w:rPr/>
        <w:t>, con una cifra de alrededor de nueve mil casos registrados de diabetes a los que se anexan los casi dos mil casos no diagnosticados. Los gastos sanitarios que se generan alcanzan los ocho mil millones de</w:t>
      </w:r>
      <w:r>
        <w:rPr>
          <w:spacing w:val="-21"/>
        </w:rPr>
        <w:t> </w:t>
      </w:r>
      <w:r>
        <w:rPr/>
        <w:t>dólares.</w:t>
      </w:r>
    </w:p>
    <w:p>
      <w:pPr>
        <w:pStyle w:val="BodyText"/>
        <w:spacing w:before="11"/>
        <w:rPr>
          <w:sz w:val="17"/>
        </w:rPr>
      </w:pPr>
    </w:p>
    <w:p>
      <w:pPr>
        <w:pStyle w:val="BodyText"/>
        <w:spacing w:line="230" w:lineRule="auto"/>
        <w:ind w:left="102" w:right="117"/>
        <w:jc w:val="both"/>
      </w:pPr>
      <w:r>
        <w:rPr/>
        <w:t>Cabe mencionar que uno de los motivos más frecuente de hospitalización tanto entre hombres como en mujeres es el tratamiento no quirúrgico de enfermedades como diabetes; de igual forma en necesario mencionar que se ha comenzado a observar el padecimiento de diabetes a edades más temprana</w:t>
      </w:r>
      <w:r>
        <w:rPr>
          <w:position w:val="10"/>
          <w:sz w:val="13"/>
        </w:rPr>
        <w:t>3</w:t>
      </w:r>
      <w:r>
        <w:rPr/>
        <w:t>.</w:t>
      </w:r>
    </w:p>
    <w:p>
      <w:pPr>
        <w:pStyle w:val="BodyText"/>
        <w:spacing w:line="242" w:lineRule="auto" w:before="199"/>
        <w:ind w:left="102" w:right="124"/>
        <w:jc w:val="both"/>
      </w:pPr>
      <w:r>
        <w:rPr/>
        <w:t>De acuerdo a datos del Instituto Nacional de Estadística y Geografía ([INEGI], 2014) en 2012 se catalogó a la diabetes como el segundo padecimiento más frecuente como causa de muerte en la población mexicana, esto con una cifra donde las mujeres representan un 16.6% equivalente a 43,819 casos y los hombres un 12.2%, ambos casos equivalentes a 41,236 defunciones.</w:t>
      </w:r>
    </w:p>
    <w:p>
      <w:pPr>
        <w:pStyle w:val="BodyText"/>
        <w:spacing w:before="9"/>
        <w:rPr>
          <w:sz w:val="17"/>
        </w:rPr>
      </w:pPr>
    </w:p>
    <w:p>
      <w:pPr>
        <w:pStyle w:val="BodyText"/>
        <w:spacing w:line="228" w:lineRule="auto"/>
        <w:ind w:left="102" w:right="117"/>
        <w:jc w:val="both"/>
      </w:pPr>
      <w:r>
        <w:rPr/>
        <w:t>En 2012 la ENSANUT reportó una prevalencia total de 134,200 diagnósticos médicos previos de diabetes en Hidalgo; 48, 700 corresponden a hombres y 85,500 a mujeres.  De igual forma, del  total de los casos 19,600 se ubicaron en personas de 20 a 39 años; 73, 300 en personas de 40 a 59 años y por último 41,300 en personas de 60 o más</w:t>
      </w:r>
      <w:r>
        <w:rPr>
          <w:spacing w:val="-13"/>
        </w:rPr>
        <w:t> </w:t>
      </w:r>
      <w:r>
        <w:rPr/>
        <w:t>años</w:t>
      </w:r>
      <w:r>
        <w:rPr>
          <w:position w:val="10"/>
          <w:sz w:val="13"/>
        </w:rPr>
        <w:t>3</w:t>
      </w:r>
      <w:r>
        <w:rPr/>
        <w:t>.</w:t>
      </w:r>
    </w:p>
    <w:p>
      <w:pPr>
        <w:pStyle w:val="BodyText"/>
        <w:spacing w:line="223" w:lineRule="auto" w:before="212"/>
        <w:ind w:left="102" w:right="130"/>
        <w:jc w:val="both"/>
      </w:pPr>
      <w:r>
        <w:rPr/>
        <w:t>Así mismo, la prevalencia total corresponde a un 8.2%, cifra mayor a la reportada por la ENSANUT en el 2006 (7.1%); este porcentaje del 2012 a comparación de los resultados nacionales se ubicó por debajo de la media nacional correspondiente a 9.17%</w:t>
      </w:r>
      <w:r>
        <w:rPr>
          <w:position w:val="10"/>
          <w:sz w:val="13"/>
        </w:rPr>
        <w:t>3</w:t>
      </w:r>
      <w:r>
        <w:rPr/>
        <w:t>.</w:t>
      </w:r>
    </w:p>
    <w:p>
      <w:pPr>
        <w:spacing w:line="242" w:lineRule="auto" w:before="197"/>
        <w:ind w:left="102" w:right="119" w:firstLine="0"/>
        <w:jc w:val="both"/>
        <w:rPr>
          <w:i/>
          <w:sz w:val="20"/>
        </w:rPr>
      </w:pPr>
      <w:r>
        <w:rPr>
          <w:sz w:val="20"/>
        </w:rPr>
        <w:t>Con la finalidad de enfrentar la problemática el presente estudio tiene como objetivo de: E</w:t>
      </w:r>
      <w:r>
        <w:rPr>
          <w:i/>
          <w:sz w:val="20"/>
        </w:rPr>
        <w:t>valuar los </w:t>
      </w:r>
      <w:r>
        <w:rPr>
          <w:i/>
          <w:sz w:val="20"/>
        </w:rPr>
        <w:t>efectos de la utilización del protocolo </w:t>
      </w:r>
      <w:r>
        <w:rPr>
          <w:sz w:val="20"/>
        </w:rPr>
        <w:t>Staged Diabetes Management </w:t>
      </w:r>
      <w:r>
        <w:rPr>
          <w:i/>
          <w:sz w:val="20"/>
        </w:rPr>
        <w:t>(Manejo de diabetes por </w:t>
      </w:r>
      <w:r>
        <w:rPr>
          <w:i/>
          <w:sz w:val="20"/>
        </w:rPr>
        <w:t>etapas MDE), en personas con diabetes tipo 2 (DT2), se propone una atención multidisciplinaria e integral por etapas, en un centro de salud en Pachuca, Hidalgo, en un período de 6</w:t>
      </w:r>
      <w:r>
        <w:rPr>
          <w:i/>
          <w:spacing w:val="-29"/>
          <w:sz w:val="20"/>
        </w:rPr>
        <w:t> </w:t>
      </w:r>
      <w:r>
        <w:rPr>
          <w:i/>
          <w:sz w:val="20"/>
        </w:rPr>
        <w:t>meses</w:t>
      </w:r>
    </w:p>
    <w:p>
      <w:pPr>
        <w:pStyle w:val="BodyText"/>
        <w:spacing w:before="2"/>
        <w:rPr>
          <w:i/>
          <w:sz w:val="17"/>
        </w:rPr>
      </w:pPr>
    </w:p>
    <w:p>
      <w:pPr>
        <w:pStyle w:val="Heading3"/>
        <w:numPr>
          <w:ilvl w:val="0"/>
          <w:numId w:val="2"/>
        </w:numPr>
        <w:tabs>
          <w:tab w:pos="323" w:val="left" w:leader="none"/>
        </w:tabs>
        <w:spacing w:line="240" w:lineRule="auto" w:before="0" w:after="0"/>
        <w:ind w:left="322" w:right="0" w:hanging="220"/>
        <w:jc w:val="both"/>
      </w:pPr>
      <w:r>
        <w:rPr/>
        <w:t>METODOLOGÍA</w:t>
      </w:r>
    </w:p>
    <w:p>
      <w:pPr>
        <w:pStyle w:val="BodyText"/>
        <w:spacing w:before="3"/>
        <w:rPr>
          <w:b/>
        </w:rPr>
      </w:pPr>
    </w:p>
    <w:p>
      <w:pPr>
        <w:pStyle w:val="BodyText"/>
        <w:ind w:left="102" w:right="122"/>
        <w:jc w:val="both"/>
        <w:rPr>
          <w:b/>
        </w:rPr>
      </w:pPr>
      <w:r>
        <w:rPr/>
        <w:t>Es un estudio experimental, con un ensayo clínico randomizado el tipo de investigación fue con  una muestra con una muestra de n=82</w:t>
      </w:r>
      <w:r>
        <w:rPr>
          <w:spacing w:val="-11"/>
        </w:rPr>
        <w:t> </w:t>
      </w:r>
      <w:r>
        <w:rPr/>
        <w:t>personas</w:t>
      </w:r>
      <w:r>
        <w:rPr>
          <w:b/>
        </w:rPr>
        <w:t>.</w:t>
      </w:r>
    </w:p>
    <w:p>
      <w:pPr>
        <w:pStyle w:val="BodyText"/>
        <w:spacing w:before="4"/>
        <w:rPr>
          <w:b/>
          <w:sz w:val="17"/>
        </w:rPr>
      </w:pPr>
    </w:p>
    <w:p>
      <w:pPr>
        <w:pStyle w:val="BodyText"/>
        <w:ind w:left="102" w:right="121"/>
        <w:jc w:val="both"/>
      </w:pPr>
      <w:r>
        <w:rPr/>
        <w:t>El estudio se basó en el protocolo de MDE que propone una atención multidisciplinaria e integral, fue desarrollado por el Internacional Diabetes Center  de Miniápolis en Estados Unidos por 1  Roger S. Mazze y Cols, desde el año 1993, La finalidad del MDE es brindar una orientación sistematizada</w:t>
      </w:r>
      <w:r>
        <w:rPr>
          <w:spacing w:val="38"/>
        </w:rPr>
        <w:t> </w:t>
      </w:r>
      <w:r>
        <w:rPr/>
        <w:t>basada</w:t>
      </w:r>
      <w:r>
        <w:rPr>
          <w:spacing w:val="38"/>
        </w:rPr>
        <w:t> </w:t>
      </w:r>
      <w:r>
        <w:rPr/>
        <w:t>en</w:t>
      </w:r>
      <w:r>
        <w:rPr>
          <w:spacing w:val="38"/>
        </w:rPr>
        <w:t> </w:t>
      </w:r>
      <w:r>
        <w:rPr/>
        <w:t>evidencias</w:t>
      </w:r>
      <w:r>
        <w:rPr>
          <w:spacing w:val="39"/>
        </w:rPr>
        <w:t> </w:t>
      </w:r>
      <w:r>
        <w:rPr/>
        <w:t>científica,</w:t>
      </w:r>
      <w:r>
        <w:rPr>
          <w:spacing w:val="38"/>
        </w:rPr>
        <w:t> </w:t>
      </w:r>
      <w:r>
        <w:rPr/>
        <w:t>para</w:t>
      </w:r>
      <w:r>
        <w:rPr>
          <w:spacing w:val="41"/>
        </w:rPr>
        <w:t> </w:t>
      </w:r>
      <w:r>
        <w:rPr/>
        <w:t>la</w:t>
      </w:r>
      <w:r>
        <w:rPr>
          <w:spacing w:val="38"/>
        </w:rPr>
        <w:t> </w:t>
      </w:r>
      <w:r>
        <w:rPr/>
        <w:t>toma</w:t>
      </w:r>
      <w:r>
        <w:rPr>
          <w:spacing w:val="38"/>
        </w:rPr>
        <w:t> </w:t>
      </w:r>
      <w:r>
        <w:rPr/>
        <w:t>de</w:t>
      </w:r>
      <w:r>
        <w:rPr>
          <w:spacing w:val="38"/>
        </w:rPr>
        <w:t> </w:t>
      </w:r>
      <w:r>
        <w:rPr/>
        <w:t>decisiones</w:t>
      </w:r>
      <w:r>
        <w:rPr>
          <w:spacing w:val="39"/>
        </w:rPr>
        <w:t> </w:t>
      </w:r>
      <w:r>
        <w:rPr/>
        <w:t>relacionadas</w:t>
      </w:r>
      <w:r>
        <w:rPr>
          <w:spacing w:val="39"/>
        </w:rPr>
        <w:t> </w:t>
      </w:r>
      <w:r>
        <w:rPr/>
        <w:t>con</w:t>
      </w:r>
      <w:r>
        <w:rPr>
          <w:spacing w:val="38"/>
        </w:rPr>
        <w:t> </w:t>
      </w:r>
      <w:r>
        <w:rPr/>
        <w:t>el</w:t>
      </w:r>
    </w:p>
    <w:p>
      <w:pPr>
        <w:spacing w:after="0"/>
        <w:jc w:val="both"/>
        <w:sectPr>
          <w:pgSz w:w="12240" w:h="15840"/>
          <w:pgMar w:header="0" w:footer="1024" w:top="1500" w:bottom="1220" w:left="1600" w:right="1580"/>
        </w:sectPr>
      </w:pPr>
    </w:p>
    <w:p>
      <w:pPr>
        <w:pStyle w:val="BodyText"/>
        <w:spacing w:before="10"/>
        <w:rPr>
          <w:sz w:val="10"/>
        </w:rPr>
      </w:pPr>
    </w:p>
    <w:p>
      <w:pPr>
        <w:pStyle w:val="BodyText"/>
        <w:spacing w:line="220" w:lineRule="auto" w:before="89"/>
        <w:ind w:left="102" w:right="122"/>
        <w:jc w:val="both"/>
      </w:pPr>
      <w:r>
        <w:rPr/>
        <w:t>tratamiento de la diabetes y sus complicaciones, ofrece un conjunto de guías clínicas, para abordaje integral del paciente en equipo multidisciplinario de salud. Para a intervención clinica con el  protocolo  MDE</w:t>
      </w:r>
      <w:r>
        <w:rPr>
          <w:position w:val="10"/>
          <w:sz w:val="13"/>
        </w:rPr>
        <w:t>5</w:t>
      </w:r>
      <w:r>
        <w:rPr/>
        <w:t>,  este  se  constituiye  en  etapas  y  fases,  las  etapas  consisten  em  llevar el</w:t>
      </w:r>
    </w:p>
    <w:p>
      <w:pPr>
        <w:pStyle w:val="BodyText"/>
        <w:spacing w:line="242" w:lineRule="auto" w:before="4"/>
        <w:ind w:left="102" w:right="118"/>
        <w:jc w:val="both"/>
      </w:pPr>
      <w:r>
        <w:rPr/>
        <w:t>tratamiento de manera constante, dinamica y sujeta a ajustes, abordando en la primer etapa el  plan nutricional y actividades que llevem a la persona a alcanzar un buen control, la  segunda  etapa consiste en el uso de antitiabéticos orales y la tercera, en el manejo de insulina, que incluye cuatro esquemas de aplicación por dia, además del uso de bombas de</w:t>
      </w:r>
      <w:r>
        <w:rPr>
          <w:spacing w:val="-19"/>
        </w:rPr>
        <w:t> </w:t>
      </w:r>
      <w:r>
        <w:rPr/>
        <w:t>insulina.</w:t>
      </w:r>
    </w:p>
    <w:p>
      <w:pPr>
        <w:pStyle w:val="BodyText"/>
        <w:spacing w:before="11"/>
        <w:rPr>
          <w:sz w:val="16"/>
        </w:rPr>
      </w:pPr>
    </w:p>
    <w:p>
      <w:pPr>
        <w:pStyle w:val="BodyText"/>
        <w:ind w:left="102" w:right="118"/>
        <w:jc w:val="both"/>
      </w:pPr>
      <w:r>
        <w:rPr/>
        <w:t>El (MDE), incluye cuatro fases; la corresponde al início del tratamiento, la segunda fase de ajuste; la tercera de mantenimiento y la cuarta, de tratamento de las complicaciones.  El  proceso educativo es parte importante en todas las fases de protocolo y favorece el desarrollo de habilidades para el   auto cuidado. Se considera        </w:t>
      </w:r>
      <w:r>
        <w:rPr>
          <w:spacing w:val="18"/>
        </w:rPr>
        <w:t> </w:t>
      </w:r>
      <w:r>
        <w:rPr/>
        <w:t>fundamental para el tratamiento, en la que se</w:t>
      </w:r>
    </w:p>
    <w:p>
      <w:pPr>
        <w:pStyle w:val="BodyText"/>
        <w:spacing w:line="230" w:lineRule="exact" w:before="4"/>
        <w:ind w:left="102" w:right="123"/>
        <w:jc w:val="both"/>
      </w:pPr>
      <w:r>
        <w:rPr/>
        <w:t>incorporan los princípios de manejo de la enfermedad en la vida diária y minimiza la dependencia del paciente con el equipo de salud. El MDE</w:t>
      </w:r>
      <w:r>
        <w:rPr>
          <w:position w:val="10"/>
          <w:sz w:val="13"/>
        </w:rPr>
        <w:t>6</w:t>
      </w:r>
      <w:r>
        <w:rPr/>
        <w:t>, contiene algoritmos que especifican la función de cada  miembro  del  equipo  de  salud,  considera  al  médico  de  primer  contacto  responsable del</w:t>
      </w:r>
    </w:p>
    <w:p>
      <w:pPr>
        <w:pStyle w:val="BodyText"/>
        <w:spacing w:line="228" w:lineRule="auto" w:before="6"/>
        <w:ind w:left="102" w:right="119"/>
        <w:jc w:val="both"/>
      </w:pPr>
      <w:r>
        <w:rPr/>
        <w:t>manejo inicial y subsiguiente en el primer nivel de atención, su responsabilidad incluye promoción y cuidado a la salud, diagnóstico y tratamiento, así como él envió del paciente con especialistas en caso necesario. El educador en diabetes</w:t>
      </w:r>
      <w:r>
        <w:rPr>
          <w:position w:val="10"/>
          <w:sz w:val="13"/>
        </w:rPr>
        <w:t>7</w:t>
      </w:r>
      <w:r>
        <w:rPr/>
        <w:t>, puede ser cualquier profesional, miembro del equipo multidisciplinario,  con  capacitación  específica,  la  función  del  educador  en  diabetes  es  la   de</w:t>
      </w:r>
    </w:p>
    <w:p>
      <w:pPr>
        <w:pStyle w:val="BodyText"/>
        <w:spacing w:before="2"/>
        <w:ind w:left="102" w:right="122"/>
        <w:jc w:val="both"/>
      </w:pPr>
      <w:r>
        <w:rPr/>
        <w:t>proporcionar la educación inicial y subsiguiente de los enfermos, en diversos aspectos, como autocuidado, conocimientos, prevención y detección de complicaciones, utiliza técnicas motivacionales para la asistencia a sesiones educativas, establece metas de conducta para el fomento de apego a tratamiento farmacológico, ejercicio y dieta. Una característica del educador  en diabetes es la de   tener experiencia en estrategias de enseñanza y        </w:t>
      </w:r>
      <w:r>
        <w:rPr>
          <w:spacing w:val="28"/>
        </w:rPr>
        <w:t> </w:t>
      </w:r>
      <w:r>
        <w:rPr/>
        <w:t>amplios y actualizados</w:t>
      </w:r>
    </w:p>
    <w:p>
      <w:pPr>
        <w:pStyle w:val="BodyText"/>
        <w:spacing w:line="233" w:lineRule="exact"/>
        <w:ind w:left="102"/>
        <w:jc w:val="both"/>
      </w:pPr>
      <w:r>
        <w:rPr/>
        <w:t>conocimientos de la enfermedad</w:t>
      </w:r>
      <w:r>
        <w:rPr>
          <w:position w:val="10"/>
          <w:sz w:val="13"/>
        </w:rPr>
        <w:t>8, 9</w:t>
      </w:r>
      <w:r>
        <w:rPr/>
        <w:t>.</w:t>
      </w:r>
    </w:p>
    <w:p>
      <w:pPr>
        <w:pStyle w:val="BodyText"/>
        <w:spacing w:line="242" w:lineRule="auto" w:before="195"/>
        <w:ind w:left="102" w:right="116"/>
        <w:jc w:val="both"/>
      </w:pPr>
      <w:r>
        <w:rPr/>
        <w:t>Por lo anterior se realizó el presente ensayo clínico randomizado, que tuvo como objetivo general</w:t>
      </w:r>
      <w:r>
        <w:rPr>
          <w:b/>
        </w:rPr>
        <w:t>: </w:t>
      </w:r>
      <w:r>
        <w:rPr/>
        <w:t>Evaluar los efectos de la utilización del protocolo </w:t>
      </w:r>
      <w:r>
        <w:rPr>
          <w:i/>
        </w:rPr>
        <w:t>Staged Diabetes Management </w:t>
      </w:r>
      <w:r>
        <w:rPr/>
        <w:t>(Manejo de diabetes por etapas MDE), en personas con diabetes tipo 2 (DT2). El lugar de estudio fue en un centro de salud en Pachuca, Hidalgo, en un período de 6 meses.</w:t>
      </w:r>
    </w:p>
    <w:p>
      <w:pPr>
        <w:pStyle w:val="BodyText"/>
        <w:spacing w:before="11"/>
        <w:rPr>
          <w:sz w:val="16"/>
        </w:rPr>
      </w:pPr>
    </w:p>
    <w:p>
      <w:pPr>
        <w:pStyle w:val="BodyText"/>
        <w:ind w:left="102" w:right="115"/>
        <w:jc w:val="both"/>
      </w:pPr>
      <w:r>
        <w:rPr/>
        <w:t>La muestra la constituyeron: n=82 personas, con diagnóstico de diabetes mellitus tipo 2, de menos de 10 años de evolución, con las que se formaron aleatoriamente dos grupos de 41, uno experimental y otro control, se midieron las variables de control metabólico a ambos grupos; (colesterol total, triglicéridos, (HDL), lipoproteínas de alta densidad y (LDL), lipoproteínas de baja densidad, glucemia venosa y capilar, hemoglobina glucocilada), se midió la presión arterial, el índice de masa corporal (IMC) y los conocimiento que poseen los pacientes sobre la enfermedad, antes de la intervención, cabe destacar que ambos grupos se encontraban en las mismas circunstancias; con descontrol metabólico y con falta de conocimiento relacionada con la enfermedad y el cuidado, el grupo control recibió atención convencional (consulta médica y orientación del cuidado en el consultorio), a los tres meses y 6 meses después de la intervención, el grupo experimental recibió atención multidisciplinaria en consulta medica, mutricional, realizo actividad fisica, automonitoreo domiciliario, acorde con los algoritmos del protocolo de (MDE), así como 16 sesiones de educación grupal, relacionadas con la enfermedad, sus cuidados y la prevenciòn de complicaciones, también con seguimiento trimestral a 6 meses. Para el procesamiento de datos se utilizo el paquete estadístico SPSS-15 y para los análisis estadísticos, el test t Student, para las variables continuas, Chi-cuadrada para las variables categóricas el test Wilks’ lambada, para el análisis de asociaciones inter</w:t>
      </w:r>
      <w:r>
        <w:rPr>
          <w:spacing w:val="-22"/>
        </w:rPr>
        <w:t> </w:t>
      </w:r>
      <w:r>
        <w:rPr/>
        <w:t>grupos.</w:t>
      </w:r>
    </w:p>
    <w:p>
      <w:pPr>
        <w:pStyle w:val="BodyText"/>
        <w:spacing w:before="1"/>
        <w:rPr>
          <w:sz w:val="17"/>
        </w:rPr>
      </w:pPr>
    </w:p>
    <w:p>
      <w:pPr>
        <w:pStyle w:val="Heading3"/>
        <w:numPr>
          <w:ilvl w:val="0"/>
          <w:numId w:val="2"/>
        </w:numPr>
        <w:tabs>
          <w:tab w:pos="323" w:val="left" w:leader="none"/>
        </w:tabs>
        <w:spacing w:line="240" w:lineRule="auto" w:before="0" w:after="0"/>
        <w:ind w:left="322" w:right="0" w:hanging="220"/>
        <w:jc w:val="both"/>
      </w:pPr>
      <w:r>
        <w:rPr/>
        <w:t>RESULTADOS</w:t>
      </w:r>
    </w:p>
    <w:p>
      <w:pPr>
        <w:pStyle w:val="BodyText"/>
        <w:spacing w:before="5"/>
        <w:rPr>
          <w:b/>
        </w:rPr>
      </w:pPr>
    </w:p>
    <w:p>
      <w:pPr>
        <w:pStyle w:val="BodyText"/>
        <w:ind w:left="102" w:right="120"/>
        <w:jc w:val="both"/>
      </w:pPr>
      <w:r>
        <w:rPr/>
        <w:t>En el grupo experimental predominó el sexo feminino (70,7%) y en el control el sexo masculino (51,2%). En ambos, la tasa etaria predominante fue de 50 |– 60 años; las mayores frecuencias fueron  para  escolaridad  “primária”,  ocupación  “empleado”  y  estado  civil  “casado”.    Entre   los</w:t>
      </w:r>
    </w:p>
    <w:p>
      <w:pPr>
        <w:spacing w:after="0"/>
        <w:jc w:val="both"/>
        <w:sectPr>
          <w:pgSz w:w="12240" w:h="15840"/>
          <w:pgMar w:header="0" w:footer="1024" w:top="1500" w:bottom="1220" w:left="1600" w:right="1580"/>
        </w:sectPr>
      </w:pPr>
    </w:p>
    <w:p>
      <w:pPr>
        <w:pStyle w:val="BodyText"/>
        <w:spacing w:before="10"/>
        <w:rPr>
          <w:sz w:val="10"/>
        </w:rPr>
      </w:pPr>
    </w:p>
    <w:p>
      <w:pPr>
        <w:pStyle w:val="BodyText"/>
        <w:spacing w:before="74"/>
        <w:ind w:left="122" w:right="508"/>
        <w:jc w:val="both"/>
      </w:pPr>
      <w:r>
        <w:rPr/>
        <w:t>parametros de control metabólico alterado, se destacan para ambos grupos la presión arterial sistólica, perfil glicémico, colesterol y triglicéridos. Antes de la intervención los grupos presentaban semejanzas, excepto para el sexo.</w:t>
      </w:r>
    </w:p>
    <w:p>
      <w:pPr>
        <w:pStyle w:val="BodyText"/>
        <w:spacing w:before="4"/>
        <w:rPr>
          <w:sz w:val="17"/>
        </w:rPr>
      </w:pPr>
    </w:p>
    <w:p>
      <w:pPr>
        <w:pStyle w:val="BodyText"/>
        <w:ind w:left="122" w:right="499"/>
        <w:jc w:val="both"/>
      </w:pPr>
      <w:r>
        <w:rPr/>
        <w:t>En el análisis de asociaciones intra grupos, se observaron cambios significativos (p&lt;0,005), en las siguientes variábles: entre la primera y la segunda medición hubo diferencias en los valores da presión arterial sistólica (t=2,31, p==0,026); índice de masa corporal (t=5,21, p==0,001); glicemia capilar (t=7,06, p==0,001); glicemia plasmática (t=2,09, p=0,043); hemoglobina glucocilada (t=4,26, p==0,001); colesterol (t=3,78, p==0,001); triglicéridos (p=3,38, p==0,002). (Tabla 1)En la tercera medición se observaron diferencias significantes para las variables de presión arterial sistólica (t=3,61, p==. 0001); presión arterial diastólica (t=2,42, p==0,002);Índice de masa corporal (t=4,56, p==0,001); glicemia capilar (t=7,98, p-0,001; glicemia plasmática (t=2,89, p=0,006); hemoglobina glucocilada (t=9,53, p==0,001); colesterol (t=6,18, p==0,001); triglicéridos (t=5,52, p==0,001). El grupo control mostró diferencias significativas después de la intervención en la glicemia capilar y plasmática, sin embargo están fuera de parámetros normales y las medias son superiores en el grupo de intervención.</w:t>
      </w:r>
    </w:p>
    <w:p>
      <w:pPr>
        <w:pStyle w:val="BodyText"/>
      </w:pPr>
    </w:p>
    <w:p>
      <w:pPr>
        <w:pStyle w:val="BodyText"/>
      </w:pPr>
    </w:p>
    <w:p>
      <w:pPr>
        <w:pStyle w:val="BodyText"/>
        <w:spacing w:line="244" w:lineRule="auto" w:before="164"/>
        <w:ind w:left="122" w:right="505"/>
        <w:jc w:val="both"/>
      </w:pPr>
      <w:r>
        <w:rPr>
          <w:b/>
        </w:rPr>
        <w:t>Tabla 1. </w:t>
      </w:r>
      <w:r>
        <w:rPr/>
        <w:t>Comparación de las variables de controle metabólico entre a primera y tercera  medición,en los grupos intervención y control. Pachuca Hidalgo México,</w:t>
      </w:r>
      <w:r>
        <w:rPr>
          <w:spacing w:val="-16"/>
        </w:rPr>
        <w:t> </w:t>
      </w:r>
      <w:r>
        <w:rPr/>
        <w:t>2015.</w:t>
      </w:r>
    </w:p>
    <w:p>
      <w:pPr>
        <w:pStyle w:val="BodyText"/>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989"/>
        <w:gridCol w:w="1090"/>
        <w:gridCol w:w="691"/>
        <w:gridCol w:w="694"/>
        <w:gridCol w:w="1418"/>
        <w:gridCol w:w="994"/>
        <w:gridCol w:w="850"/>
        <w:gridCol w:w="708"/>
      </w:tblGrid>
      <w:tr>
        <w:trPr>
          <w:trHeight w:val="236" w:hRule="exact"/>
        </w:trPr>
        <w:tc>
          <w:tcPr>
            <w:tcW w:w="1781" w:type="dxa"/>
            <w:tcBorders>
              <w:left w:val="nil"/>
              <w:bottom w:val="nil"/>
              <w:right w:val="nil"/>
            </w:tcBorders>
            <w:shd w:val="clear" w:color="auto" w:fill="FFFF00"/>
          </w:tcPr>
          <w:p>
            <w:pPr/>
          </w:p>
        </w:tc>
        <w:tc>
          <w:tcPr>
            <w:tcW w:w="2079" w:type="dxa"/>
            <w:gridSpan w:val="2"/>
            <w:tcBorders>
              <w:left w:val="nil"/>
              <w:bottom w:val="nil"/>
              <w:right w:val="nil"/>
            </w:tcBorders>
            <w:shd w:val="clear" w:color="auto" w:fill="FFFF00"/>
          </w:tcPr>
          <w:p>
            <w:pPr>
              <w:pStyle w:val="TableParagraph"/>
              <w:ind w:left="108"/>
              <w:rPr>
                <w:b/>
                <w:sz w:val="20"/>
              </w:rPr>
            </w:pPr>
            <w:r>
              <w:rPr>
                <w:b/>
                <w:sz w:val="20"/>
              </w:rPr>
              <w:t>Grupo intervención</w:t>
            </w:r>
          </w:p>
        </w:tc>
        <w:tc>
          <w:tcPr>
            <w:tcW w:w="691" w:type="dxa"/>
            <w:tcBorders>
              <w:left w:val="nil"/>
              <w:bottom w:val="nil"/>
              <w:right w:val="nil"/>
            </w:tcBorders>
            <w:shd w:val="clear" w:color="auto" w:fill="FFFF00"/>
          </w:tcPr>
          <w:p>
            <w:pPr/>
          </w:p>
        </w:tc>
        <w:tc>
          <w:tcPr>
            <w:tcW w:w="694" w:type="dxa"/>
            <w:tcBorders>
              <w:left w:val="nil"/>
              <w:bottom w:val="nil"/>
              <w:right w:val="nil"/>
            </w:tcBorders>
            <w:shd w:val="clear" w:color="auto" w:fill="FFFF00"/>
          </w:tcPr>
          <w:p>
            <w:pPr/>
          </w:p>
        </w:tc>
        <w:tc>
          <w:tcPr>
            <w:tcW w:w="1418" w:type="dxa"/>
            <w:tcBorders>
              <w:left w:val="nil"/>
              <w:bottom w:val="nil"/>
              <w:right w:val="nil"/>
            </w:tcBorders>
            <w:shd w:val="clear" w:color="auto" w:fill="FFFF00"/>
          </w:tcPr>
          <w:p>
            <w:pPr>
              <w:pStyle w:val="TableParagraph"/>
              <w:ind w:left="107" w:right="-34"/>
              <w:rPr>
                <w:b/>
                <w:sz w:val="20"/>
              </w:rPr>
            </w:pPr>
            <w:r>
              <w:rPr>
                <w:b/>
                <w:sz w:val="20"/>
              </w:rPr>
              <w:t>Grupo</w:t>
            </w:r>
            <w:r>
              <w:rPr>
                <w:b/>
                <w:spacing w:val="-8"/>
                <w:sz w:val="20"/>
              </w:rPr>
              <w:t> </w:t>
            </w:r>
            <w:r>
              <w:rPr>
                <w:b/>
                <w:sz w:val="20"/>
              </w:rPr>
              <w:t>control</w:t>
            </w:r>
          </w:p>
        </w:tc>
        <w:tc>
          <w:tcPr>
            <w:tcW w:w="994" w:type="dxa"/>
            <w:tcBorders>
              <w:left w:val="nil"/>
              <w:bottom w:val="nil"/>
              <w:right w:val="nil"/>
            </w:tcBorders>
            <w:shd w:val="clear" w:color="auto" w:fill="FFFF00"/>
          </w:tcPr>
          <w:p>
            <w:pPr/>
          </w:p>
        </w:tc>
        <w:tc>
          <w:tcPr>
            <w:tcW w:w="850" w:type="dxa"/>
            <w:tcBorders>
              <w:left w:val="nil"/>
              <w:bottom w:val="nil"/>
              <w:right w:val="nil"/>
            </w:tcBorders>
            <w:shd w:val="clear" w:color="auto" w:fill="FFFF00"/>
          </w:tcPr>
          <w:p>
            <w:pPr/>
          </w:p>
        </w:tc>
        <w:tc>
          <w:tcPr>
            <w:tcW w:w="708" w:type="dxa"/>
            <w:tcBorders>
              <w:left w:val="nil"/>
              <w:bottom w:val="nil"/>
              <w:right w:val="nil"/>
            </w:tcBorders>
            <w:shd w:val="clear" w:color="auto" w:fill="FFFF00"/>
          </w:tcPr>
          <w:p>
            <w:pPr/>
          </w:p>
        </w:tc>
      </w:tr>
      <w:tr>
        <w:trPr>
          <w:trHeight w:val="215" w:hRule="exact"/>
        </w:trPr>
        <w:tc>
          <w:tcPr>
            <w:tcW w:w="1781" w:type="dxa"/>
            <w:tcBorders>
              <w:top w:val="nil"/>
              <w:left w:val="nil"/>
              <w:bottom w:val="nil"/>
              <w:right w:val="nil"/>
            </w:tcBorders>
            <w:shd w:val="clear" w:color="auto" w:fill="FFFF00"/>
          </w:tcPr>
          <w:p>
            <w:pPr>
              <w:pStyle w:val="TableParagraph"/>
              <w:spacing w:line="212" w:lineRule="exact"/>
              <w:ind w:left="107"/>
              <w:rPr>
                <w:b/>
                <w:sz w:val="20"/>
              </w:rPr>
            </w:pPr>
            <w:r>
              <w:rPr>
                <w:b/>
                <w:sz w:val="20"/>
              </w:rPr>
              <w:t>Variables</w:t>
            </w:r>
          </w:p>
        </w:tc>
        <w:tc>
          <w:tcPr>
            <w:tcW w:w="989" w:type="dxa"/>
            <w:tcBorders>
              <w:top w:val="nil"/>
              <w:left w:val="nil"/>
              <w:bottom w:val="nil"/>
              <w:right w:val="nil"/>
            </w:tcBorders>
            <w:shd w:val="clear" w:color="auto" w:fill="FFFF00"/>
          </w:tcPr>
          <w:p>
            <w:pPr/>
          </w:p>
        </w:tc>
        <w:tc>
          <w:tcPr>
            <w:tcW w:w="1090" w:type="dxa"/>
            <w:tcBorders>
              <w:top w:val="nil"/>
              <w:left w:val="nil"/>
              <w:bottom w:val="nil"/>
              <w:right w:val="nil"/>
            </w:tcBorders>
            <w:shd w:val="clear" w:color="auto" w:fill="FFFF00"/>
          </w:tcPr>
          <w:p>
            <w:pPr/>
          </w:p>
        </w:tc>
        <w:tc>
          <w:tcPr>
            <w:tcW w:w="691" w:type="dxa"/>
            <w:tcBorders>
              <w:top w:val="nil"/>
              <w:left w:val="nil"/>
              <w:bottom w:val="nil"/>
              <w:right w:val="nil"/>
            </w:tcBorders>
            <w:shd w:val="clear" w:color="auto" w:fill="FFFF00"/>
          </w:tcPr>
          <w:p>
            <w:pPr/>
          </w:p>
        </w:tc>
        <w:tc>
          <w:tcPr>
            <w:tcW w:w="694" w:type="dxa"/>
            <w:tcBorders>
              <w:top w:val="nil"/>
              <w:left w:val="nil"/>
              <w:bottom w:val="nil"/>
              <w:right w:val="nil"/>
            </w:tcBorders>
            <w:shd w:val="clear" w:color="auto" w:fill="FFFF00"/>
          </w:tcPr>
          <w:p>
            <w:pPr/>
          </w:p>
        </w:tc>
        <w:tc>
          <w:tcPr>
            <w:tcW w:w="1418" w:type="dxa"/>
            <w:tcBorders>
              <w:top w:val="nil"/>
              <w:left w:val="nil"/>
              <w:bottom w:val="nil"/>
              <w:right w:val="nil"/>
            </w:tcBorders>
            <w:shd w:val="clear" w:color="auto" w:fill="FFFF00"/>
          </w:tcPr>
          <w:p>
            <w:pPr/>
          </w:p>
        </w:tc>
        <w:tc>
          <w:tcPr>
            <w:tcW w:w="994" w:type="dxa"/>
            <w:tcBorders>
              <w:top w:val="nil"/>
              <w:left w:val="nil"/>
              <w:bottom w:val="nil"/>
              <w:right w:val="nil"/>
            </w:tcBorders>
            <w:shd w:val="clear" w:color="auto" w:fill="FFFF00"/>
          </w:tcPr>
          <w:p>
            <w:pPr/>
          </w:p>
        </w:tc>
        <w:tc>
          <w:tcPr>
            <w:tcW w:w="850" w:type="dxa"/>
            <w:tcBorders>
              <w:top w:val="nil"/>
              <w:left w:val="nil"/>
              <w:bottom w:val="nil"/>
              <w:right w:val="nil"/>
            </w:tcBorders>
            <w:shd w:val="clear" w:color="auto" w:fill="FFFF00"/>
          </w:tcPr>
          <w:p>
            <w:pPr/>
          </w:p>
        </w:tc>
        <w:tc>
          <w:tcPr>
            <w:tcW w:w="708" w:type="dxa"/>
            <w:tcBorders>
              <w:top w:val="nil"/>
              <w:left w:val="nil"/>
              <w:bottom w:val="nil"/>
              <w:right w:val="nil"/>
            </w:tcBorders>
            <w:shd w:val="clear" w:color="auto" w:fill="FFFF00"/>
          </w:tcPr>
          <w:p>
            <w:pPr/>
          </w:p>
        </w:tc>
      </w:tr>
      <w:tr>
        <w:trPr>
          <w:trHeight w:val="418" w:hRule="exact"/>
        </w:trPr>
        <w:tc>
          <w:tcPr>
            <w:tcW w:w="1781" w:type="dxa"/>
            <w:tcBorders>
              <w:top w:val="nil"/>
              <w:left w:val="nil"/>
              <w:right w:val="nil"/>
            </w:tcBorders>
            <w:shd w:val="clear" w:color="auto" w:fill="FFFF00"/>
          </w:tcPr>
          <w:p>
            <w:pPr/>
          </w:p>
        </w:tc>
        <w:tc>
          <w:tcPr>
            <w:tcW w:w="989" w:type="dxa"/>
            <w:tcBorders>
              <w:top w:val="nil"/>
              <w:left w:val="nil"/>
              <w:right w:val="nil"/>
            </w:tcBorders>
            <w:shd w:val="clear" w:color="auto" w:fill="FFFF00"/>
          </w:tcPr>
          <w:p>
            <w:pPr>
              <w:pStyle w:val="TableParagraph"/>
              <w:spacing w:line="211" w:lineRule="exact"/>
              <w:ind w:left="108"/>
              <w:rPr>
                <w:b/>
                <w:sz w:val="20"/>
              </w:rPr>
            </w:pPr>
            <w:r>
              <w:rPr>
                <w:b/>
                <w:w w:val="99"/>
                <w:sz w:val="20"/>
              </w:rPr>
              <w:t>X</w:t>
            </w:r>
          </w:p>
        </w:tc>
        <w:tc>
          <w:tcPr>
            <w:tcW w:w="1090" w:type="dxa"/>
            <w:tcBorders>
              <w:top w:val="nil"/>
              <w:left w:val="nil"/>
              <w:right w:val="nil"/>
            </w:tcBorders>
            <w:shd w:val="clear" w:color="auto" w:fill="FFFF00"/>
          </w:tcPr>
          <w:p>
            <w:pPr>
              <w:pStyle w:val="TableParagraph"/>
              <w:spacing w:line="211" w:lineRule="exact"/>
              <w:ind w:left="107"/>
              <w:rPr>
                <w:b/>
                <w:sz w:val="20"/>
              </w:rPr>
            </w:pPr>
            <w:r>
              <w:rPr>
                <w:b/>
                <w:sz w:val="20"/>
              </w:rPr>
              <w:t>DE</w:t>
            </w:r>
          </w:p>
        </w:tc>
        <w:tc>
          <w:tcPr>
            <w:tcW w:w="691" w:type="dxa"/>
            <w:tcBorders>
              <w:top w:val="nil"/>
              <w:left w:val="nil"/>
              <w:right w:val="nil"/>
            </w:tcBorders>
            <w:shd w:val="clear" w:color="auto" w:fill="FFFF00"/>
          </w:tcPr>
          <w:p>
            <w:pPr>
              <w:pStyle w:val="TableParagraph"/>
              <w:spacing w:line="211" w:lineRule="exact"/>
              <w:ind w:left="107"/>
              <w:rPr>
                <w:b/>
                <w:sz w:val="20"/>
              </w:rPr>
            </w:pPr>
            <w:r>
              <w:rPr>
                <w:b/>
                <w:w w:val="99"/>
                <w:sz w:val="20"/>
              </w:rPr>
              <w:t>t</w:t>
            </w:r>
          </w:p>
        </w:tc>
        <w:tc>
          <w:tcPr>
            <w:tcW w:w="694" w:type="dxa"/>
            <w:tcBorders>
              <w:top w:val="nil"/>
              <w:left w:val="nil"/>
              <w:right w:val="nil"/>
            </w:tcBorders>
            <w:shd w:val="clear" w:color="auto" w:fill="FFFF00"/>
          </w:tcPr>
          <w:p>
            <w:pPr>
              <w:pStyle w:val="TableParagraph"/>
              <w:spacing w:line="211" w:lineRule="exact"/>
              <w:ind w:left="107"/>
              <w:rPr>
                <w:b/>
                <w:sz w:val="20"/>
              </w:rPr>
            </w:pPr>
            <w:r>
              <w:rPr>
                <w:b/>
                <w:w w:val="99"/>
                <w:sz w:val="20"/>
              </w:rPr>
              <w:t>p</w:t>
            </w:r>
          </w:p>
        </w:tc>
        <w:tc>
          <w:tcPr>
            <w:tcW w:w="1418" w:type="dxa"/>
            <w:tcBorders>
              <w:top w:val="nil"/>
              <w:left w:val="nil"/>
              <w:right w:val="nil"/>
            </w:tcBorders>
            <w:shd w:val="clear" w:color="auto" w:fill="FFFF00"/>
          </w:tcPr>
          <w:p>
            <w:pPr>
              <w:pStyle w:val="TableParagraph"/>
              <w:spacing w:line="211" w:lineRule="exact"/>
              <w:ind w:left="107"/>
              <w:rPr>
                <w:b/>
                <w:sz w:val="20"/>
              </w:rPr>
            </w:pPr>
            <w:r>
              <w:rPr>
                <w:b/>
                <w:w w:val="99"/>
                <w:sz w:val="20"/>
              </w:rPr>
              <w:t>X</w:t>
            </w:r>
          </w:p>
        </w:tc>
        <w:tc>
          <w:tcPr>
            <w:tcW w:w="994" w:type="dxa"/>
            <w:tcBorders>
              <w:top w:val="nil"/>
              <w:left w:val="nil"/>
              <w:right w:val="nil"/>
            </w:tcBorders>
            <w:shd w:val="clear" w:color="auto" w:fill="FFFF00"/>
          </w:tcPr>
          <w:p>
            <w:pPr>
              <w:pStyle w:val="TableParagraph"/>
              <w:spacing w:line="211" w:lineRule="exact"/>
              <w:ind w:left="108"/>
              <w:rPr>
                <w:b/>
                <w:sz w:val="20"/>
              </w:rPr>
            </w:pPr>
            <w:r>
              <w:rPr>
                <w:b/>
                <w:sz w:val="20"/>
              </w:rPr>
              <w:t>DE</w:t>
            </w:r>
          </w:p>
        </w:tc>
        <w:tc>
          <w:tcPr>
            <w:tcW w:w="850" w:type="dxa"/>
            <w:tcBorders>
              <w:top w:val="nil"/>
              <w:left w:val="nil"/>
              <w:right w:val="nil"/>
            </w:tcBorders>
            <w:shd w:val="clear" w:color="auto" w:fill="FFFF00"/>
          </w:tcPr>
          <w:p>
            <w:pPr>
              <w:pStyle w:val="TableParagraph"/>
              <w:spacing w:line="211" w:lineRule="exact"/>
              <w:ind w:left="105"/>
              <w:rPr>
                <w:b/>
                <w:sz w:val="20"/>
              </w:rPr>
            </w:pPr>
            <w:r>
              <w:rPr>
                <w:b/>
                <w:w w:val="99"/>
                <w:sz w:val="20"/>
              </w:rPr>
              <w:t>t</w:t>
            </w:r>
          </w:p>
        </w:tc>
        <w:tc>
          <w:tcPr>
            <w:tcW w:w="708" w:type="dxa"/>
            <w:tcBorders>
              <w:top w:val="nil"/>
              <w:left w:val="nil"/>
              <w:right w:val="nil"/>
            </w:tcBorders>
            <w:shd w:val="clear" w:color="auto" w:fill="FFFF00"/>
          </w:tcPr>
          <w:p>
            <w:pPr>
              <w:pStyle w:val="TableParagraph"/>
              <w:spacing w:line="211" w:lineRule="exact"/>
              <w:ind w:left="105"/>
              <w:rPr>
                <w:b/>
                <w:sz w:val="20"/>
              </w:rPr>
            </w:pPr>
            <w:r>
              <w:rPr>
                <w:b/>
                <w:w w:val="99"/>
                <w:sz w:val="20"/>
              </w:rPr>
              <w:t>P</w:t>
            </w:r>
          </w:p>
        </w:tc>
      </w:tr>
      <w:tr>
        <w:trPr>
          <w:trHeight w:val="871" w:hRule="exact"/>
        </w:trPr>
        <w:tc>
          <w:tcPr>
            <w:tcW w:w="1781" w:type="dxa"/>
          </w:tcPr>
          <w:p>
            <w:pPr>
              <w:pStyle w:val="TableParagraph"/>
              <w:spacing w:line="448" w:lineRule="auto" w:before="2"/>
              <w:ind w:right="536"/>
              <w:rPr>
                <w:sz w:val="20"/>
              </w:rPr>
            </w:pPr>
            <w:r>
              <w:rPr>
                <w:sz w:val="20"/>
              </w:rPr>
              <w:t>Colesterol * Colesterol **</w:t>
            </w:r>
          </w:p>
        </w:tc>
        <w:tc>
          <w:tcPr>
            <w:tcW w:w="989" w:type="dxa"/>
          </w:tcPr>
          <w:p>
            <w:pPr>
              <w:pStyle w:val="TableParagraph"/>
              <w:spacing w:line="240" w:lineRule="auto" w:before="2"/>
              <w:rPr>
                <w:sz w:val="20"/>
              </w:rPr>
            </w:pPr>
            <w:r>
              <w:rPr>
                <w:sz w:val="20"/>
              </w:rPr>
              <w:t>225.49</w:t>
            </w:r>
          </w:p>
          <w:p>
            <w:pPr>
              <w:pStyle w:val="TableParagraph"/>
              <w:spacing w:line="240" w:lineRule="auto" w:before="4"/>
              <w:ind w:left="0"/>
              <w:rPr>
                <w:sz w:val="17"/>
              </w:rPr>
            </w:pPr>
          </w:p>
          <w:p>
            <w:pPr>
              <w:pStyle w:val="TableParagraph"/>
              <w:spacing w:line="240" w:lineRule="auto"/>
              <w:rPr>
                <w:sz w:val="20"/>
              </w:rPr>
            </w:pPr>
            <w:r>
              <w:rPr>
                <w:sz w:val="20"/>
              </w:rPr>
              <w:t>189.37</w:t>
            </w:r>
          </w:p>
        </w:tc>
        <w:tc>
          <w:tcPr>
            <w:tcW w:w="1090" w:type="dxa"/>
          </w:tcPr>
          <w:p>
            <w:pPr>
              <w:pStyle w:val="TableParagraph"/>
              <w:spacing w:line="240" w:lineRule="auto" w:before="2"/>
              <w:rPr>
                <w:sz w:val="20"/>
              </w:rPr>
            </w:pPr>
            <w:r>
              <w:rPr>
                <w:sz w:val="20"/>
              </w:rPr>
              <w:t>41.83</w:t>
            </w:r>
          </w:p>
          <w:p>
            <w:pPr>
              <w:pStyle w:val="TableParagraph"/>
              <w:spacing w:line="240" w:lineRule="auto" w:before="4"/>
              <w:ind w:left="0"/>
              <w:rPr>
                <w:sz w:val="17"/>
              </w:rPr>
            </w:pPr>
          </w:p>
          <w:p>
            <w:pPr>
              <w:pStyle w:val="TableParagraph"/>
              <w:spacing w:line="240" w:lineRule="auto"/>
              <w:rPr>
                <w:sz w:val="20"/>
              </w:rPr>
            </w:pPr>
            <w:r>
              <w:rPr>
                <w:sz w:val="20"/>
              </w:rPr>
              <w:t>39.02</w:t>
            </w:r>
          </w:p>
        </w:tc>
        <w:tc>
          <w:tcPr>
            <w:tcW w:w="691" w:type="dxa"/>
          </w:tcPr>
          <w:p>
            <w:pPr>
              <w:pStyle w:val="TableParagraph"/>
              <w:spacing w:line="240" w:lineRule="auto" w:before="2"/>
              <w:rPr>
                <w:sz w:val="20"/>
              </w:rPr>
            </w:pPr>
            <w:r>
              <w:rPr>
                <w:sz w:val="20"/>
              </w:rPr>
              <w:t>6.18</w:t>
            </w:r>
          </w:p>
        </w:tc>
        <w:tc>
          <w:tcPr>
            <w:tcW w:w="694" w:type="dxa"/>
          </w:tcPr>
          <w:p>
            <w:pPr>
              <w:pStyle w:val="TableParagraph"/>
              <w:spacing w:line="240" w:lineRule="auto" w:before="2"/>
              <w:rPr>
                <w:sz w:val="20"/>
              </w:rPr>
            </w:pPr>
            <w:r>
              <w:rPr>
                <w:sz w:val="20"/>
              </w:rPr>
              <w:t>.001</w:t>
            </w:r>
          </w:p>
        </w:tc>
        <w:tc>
          <w:tcPr>
            <w:tcW w:w="1418" w:type="dxa"/>
          </w:tcPr>
          <w:p>
            <w:pPr>
              <w:pStyle w:val="TableParagraph"/>
              <w:spacing w:line="240" w:lineRule="auto" w:before="2"/>
              <w:rPr>
                <w:sz w:val="20"/>
              </w:rPr>
            </w:pPr>
            <w:r>
              <w:rPr>
                <w:sz w:val="20"/>
              </w:rPr>
              <w:t>212.32</w:t>
            </w:r>
          </w:p>
          <w:p>
            <w:pPr>
              <w:pStyle w:val="TableParagraph"/>
              <w:spacing w:line="240" w:lineRule="auto" w:before="4"/>
              <w:ind w:left="0"/>
              <w:rPr>
                <w:sz w:val="17"/>
              </w:rPr>
            </w:pPr>
          </w:p>
          <w:p>
            <w:pPr>
              <w:pStyle w:val="TableParagraph"/>
              <w:spacing w:line="240" w:lineRule="auto"/>
              <w:rPr>
                <w:sz w:val="20"/>
              </w:rPr>
            </w:pPr>
            <w:r>
              <w:rPr>
                <w:sz w:val="20"/>
              </w:rPr>
              <w:t>221.04</w:t>
            </w:r>
          </w:p>
        </w:tc>
        <w:tc>
          <w:tcPr>
            <w:tcW w:w="994" w:type="dxa"/>
          </w:tcPr>
          <w:p>
            <w:pPr>
              <w:pStyle w:val="TableParagraph"/>
              <w:spacing w:line="240" w:lineRule="auto" w:before="2"/>
              <w:rPr>
                <w:sz w:val="20"/>
              </w:rPr>
            </w:pPr>
            <w:r>
              <w:rPr>
                <w:sz w:val="20"/>
              </w:rPr>
              <w:t>38.20</w:t>
            </w:r>
          </w:p>
          <w:p>
            <w:pPr>
              <w:pStyle w:val="TableParagraph"/>
              <w:spacing w:line="240" w:lineRule="auto" w:before="4"/>
              <w:ind w:left="0"/>
              <w:rPr>
                <w:sz w:val="17"/>
              </w:rPr>
            </w:pPr>
          </w:p>
          <w:p>
            <w:pPr>
              <w:pStyle w:val="TableParagraph"/>
              <w:spacing w:line="240" w:lineRule="auto"/>
              <w:rPr>
                <w:sz w:val="20"/>
              </w:rPr>
            </w:pPr>
            <w:r>
              <w:rPr>
                <w:sz w:val="20"/>
              </w:rPr>
              <w:t>49.99</w:t>
            </w:r>
          </w:p>
        </w:tc>
        <w:tc>
          <w:tcPr>
            <w:tcW w:w="850" w:type="dxa"/>
          </w:tcPr>
          <w:p>
            <w:pPr>
              <w:pStyle w:val="TableParagraph"/>
              <w:spacing w:line="240" w:lineRule="auto" w:before="2"/>
              <w:ind w:left="100"/>
              <w:rPr>
                <w:sz w:val="20"/>
              </w:rPr>
            </w:pPr>
            <w:r>
              <w:rPr>
                <w:sz w:val="20"/>
              </w:rPr>
              <w:t>-107</w:t>
            </w:r>
          </w:p>
        </w:tc>
        <w:tc>
          <w:tcPr>
            <w:tcW w:w="708" w:type="dxa"/>
          </w:tcPr>
          <w:p>
            <w:pPr>
              <w:pStyle w:val="TableParagraph"/>
              <w:spacing w:line="240" w:lineRule="auto" w:before="2"/>
              <w:ind w:left="100"/>
              <w:rPr>
                <w:sz w:val="20"/>
              </w:rPr>
            </w:pPr>
            <w:r>
              <w:rPr>
                <w:sz w:val="20"/>
              </w:rPr>
              <w:t>.290</w:t>
            </w:r>
          </w:p>
        </w:tc>
      </w:tr>
      <w:tr>
        <w:trPr>
          <w:trHeight w:val="869" w:hRule="exact"/>
        </w:trPr>
        <w:tc>
          <w:tcPr>
            <w:tcW w:w="1781" w:type="dxa"/>
          </w:tcPr>
          <w:p>
            <w:pPr>
              <w:pStyle w:val="TableParagraph"/>
              <w:spacing w:line="230" w:lineRule="exact"/>
              <w:ind w:right="536"/>
              <w:rPr>
                <w:sz w:val="20"/>
              </w:rPr>
            </w:pPr>
            <w:r>
              <w:rPr>
                <w:sz w:val="20"/>
              </w:rPr>
              <w:t>HDLC *</w:t>
            </w:r>
          </w:p>
          <w:p>
            <w:pPr>
              <w:pStyle w:val="TableParagraph"/>
              <w:spacing w:line="240" w:lineRule="auto" w:before="4"/>
              <w:ind w:left="0"/>
              <w:rPr>
                <w:sz w:val="17"/>
              </w:rPr>
            </w:pPr>
          </w:p>
          <w:p>
            <w:pPr>
              <w:pStyle w:val="TableParagraph"/>
              <w:spacing w:line="240" w:lineRule="auto"/>
              <w:ind w:right="536"/>
              <w:rPr>
                <w:sz w:val="20"/>
              </w:rPr>
            </w:pPr>
            <w:r>
              <w:rPr>
                <w:sz w:val="20"/>
              </w:rPr>
              <w:t>HDLC **</w:t>
            </w:r>
          </w:p>
        </w:tc>
        <w:tc>
          <w:tcPr>
            <w:tcW w:w="989" w:type="dxa"/>
          </w:tcPr>
          <w:p>
            <w:pPr>
              <w:pStyle w:val="TableParagraph"/>
              <w:spacing w:line="230" w:lineRule="exact"/>
              <w:rPr>
                <w:sz w:val="20"/>
              </w:rPr>
            </w:pPr>
            <w:r>
              <w:rPr>
                <w:sz w:val="20"/>
              </w:rPr>
              <w:t>39.51</w:t>
            </w:r>
          </w:p>
          <w:p>
            <w:pPr>
              <w:pStyle w:val="TableParagraph"/>
              <w:spacing w:line="240" w:lineRule="auto" w:before="4"/>
              <w:ind w:left="0"/>
              <w:rPr>
                <w:sz w:val="17"/>
              </w:rPr>
            </w:pPr>
          </w:p>
          <w:p>
            <w:pPr>
              <w:pStyle w:val="TableParagraph"/>
              <w:spacing w:line="240" w:lineRule="auto"/>
              <w:rPr>
                <w:sz w:val="20"/>
              </w:rPr>
            </w:pPr>
            <w:r>
              <w:rPr>
                <w:sz w:val="20"/>
              </w:rPr>
              <w:t>38.93</w:t>
            </w:r>
          </w:p>
        </w:tc>
        <w:tc>
          <w:tcPr>
            <w:tcW w:w="1090" w:type="dxa"/>
          </w:tcPr>
          <w:p>
            <w:pPr>
              <w:pStyle w:val="TableParagraph"/>
              <w:spacing w:line="230" w:lineRule="exact"/>
              <w:rPr>
                <w:sz w:val="20"/>
              </w:rPr>
            </w:pPr>
            <w:r>
              <w:rPr>
                <w:sz w:val="20"/>
              </w:rPr>
              <w:t>13.92</w:t>
            </w:r>
          </w:p>
          <w:p>
            <w:pPr>
              <w:pStyle w:val="TableParagraph"/>
              <w:spacing w:line="240" w:lineRule="auto" w:before="4"/>
              <w:ind w:left="0"/>
              <w:rPr>
                <w:sz w:val="17"/>
              </w:rPr>
            </w:pPr>
          </w:p>
          <w:p>
            <w:pPr>
              <w:pStyle w:val="TableParagraph"/>
              <w:spacing w:line="240" w:lineRule="auto"/>
              <w:rPr>
                <w:sz w:val="20"/>
              </w:rPr>
            </w:pPr>
            <w:r>
              <w:rPr>
                <w:sz w:val="20"/>
              </w:rPr>
              <w:t>8.40</w:t>
            </w:r>
          </w:p>
        </w:tc>
        <w:tc>
          <w:tcPr>
            <w:tcW w:w="691" w:type="dxa"/>
          </w:tcPr>
          <w:p>
            <w:pPr>
              <w:pStyle w:val="TableParagraph"/>
              <w:spacing w:line="230" w:lineRule="exact"/>
              <w:rPr>
                <w:sz w:val="20"/>
              </w:rPr>
            </w:pPr>
            <w:r>
              <w:rPr>
                <w:sz w:val="20"/>
              </w:rPr>
              <w:t>.254</w:t>
            </w:r>
          </w:p>
        </w:tc>
        <w:tc>
          <w:tcPr>
            <w:tcW w:w="694" w:type="dxa"/>
          </w:tcPr>
          <w:p>
            <w:pPr>
              <w:pStyle w:val="TableParagraph"/>
              <w:spacing w:line="230" w:lineRule="exact"/>
              <w:rPr>
                <w:sz w:val="20"/>
              </w:rPr>
            </w:pPr>
            <w:r>
              <w:rPr>
                <w:sz w:val="20"/>
              </w:rPr>
              <w:t>.801</w:t>
            </w:r>
          </w:p>
        </w:tc>
        <w:tc>
          <w:tcPr>
            <w:tcW w:w="1418" w:type="dxa"/>
          </w:tcPr>
          <w:p>
            <w:pPr>
              <w:pStyle w:val="TableParagraph"/>
              <w:spacing w:line="230" w:lineRule="exact"/>
              <w:rPr>
                <w:sz w:val="20"/>
              </w:rPr>
            </w:pPr>
            <w:r>
              <w:rPr>
                <w:sz w:val="20"/>
              </w:rPr>
              <w:t>38.83</w:t>
            </w:r>
          </w:p>
          <w:p>
            <w:pPr>
              <w:pStyle w:val="TableParagraph"/>
              <w:spacing w:line="240" w:lineRule="auto" w:before="4"/>
              <w:ind w:left="0"/>
              <w:rPr>
                <w:sz w:val="17"/>
              </w:rPr>
            </w:pPr>
          </w:p>
          <w:p>
            <w:pPr>
              <w:pStyle w:val="TableParagraph"/>
              <w:spacing w:line="240" w:lineRule="auto"/>
              <w:rPr>
                <w:sz w:val="20"/>
              </w:rPr>
            </w:pPr>
            <w:r>
              <w:rPr>
                <w:sz w:val="20"/>
              </w:rPr>
              <w:t>43.29</w:t>
            </w:r>
          </w:p>
        </w:tc>
        <w:tc>
          <w:tcPr>
            <w:tcW w:w="994" w:type="dxa"/>
          </w:tcPr>
          <w:p>
            <w:pPr>
              <w:pStyle w:val="TableParagraph"/>
              <w:spacing w:line="230" w:lineRule="exact"/>
              <w:rPr>
                <w:sz w:val="20"/>
              </w:rPr>
            </w:pPr>
            <w:r>
              <w:rPr>
                <w:sz w:val="20"/>
              </w:rPr>
              <w:t>12.22</w:t>
            </w:r>
          </w:p>
          <w:p>
            <w:pPr>
              <w:pStyle w:val="TableParagraph"/>
              <w:spacing w:line="240" w:lineRule="auto" w:before="4"/>
              <w:ind w:left="0"/>
              <w:rPr>
                <w:sz w:val="17"/>
              </w:rPr>
            </w:pPr>
          </w:p>
          <w:p>
            <w:pPr>
              <w:pStyle w:val="TableParagraph"/>
              <w:spacing w:line="240" w:lineRule="auto"/>
              <w:rPr>
                <w:sz w:val="20"/>
              </w:rPr>
            </w:pPr>
            <w:r>
              <w:rPr>
                <w:sz w:val="20"/>
              </w:rPr>
              <w:t>15.21</w:t>
            </w:r>
          </w:p>
        </w:tc>
        <w:tc>
          <w:tcPr>
            <w:tcW w:w="850" w:type="dxa"/>
          </w:tcPr>
          <w:p>
            <w:pPr>
              <w:pStyle w:val="TableParagraph"/>
              <w:spacing w:line="230" w:lineRule="exact"/>
              <w:ind w:left="100"/>
              <w:rPr>
                <w:sz w:val="20"/>
              </w:rPr>
            </w:pPr>
            <w:r>
              <w:rPr>
                <w:sz w:val="20"/>
              </w:rPr>
              <w:t>.-2.06</w:t>
            </w:r>
          </w:p>
        </w:tc>
        <w:tc>
          <w:tcPr>
            <w:tcW w:w="708" w:type="dxa"/>
          </w:tcPr>
          <w:p>
            <w:pPr>
              <w:pStyle w:val="TableParagraph"/>
              <w:spacing w:line="230" w:lineRule="exact"/>
              <w:ind w:left="100"/>
              <w:rPr>
                <w:sz w:val="20"/>
              </w:rPr>
            </w:pPr>
            <w:r>
              <w:rPr>
                <w:sz w:val="20"/>
              </w:rPr>
              <w:t>.045</w:t>
            </w:r>
          </w:p>
        </w:tc>
      </w:tr>
      <w:tr>
        <w:trPr>
          <w:trHeight w:val="871" w:hRule="exact"/>
        </w:trPr>
        <w:tc>
          <w:tcPr>
            <w:tcW w:w="1781" w:type="dxa"/>
          </w:tcPr>
          <w:p>
            <w:pPr>
              <w:pStyle w:val="TableParagraph"/>
              <w:spacing w:line="240" w:lineRule="auto" w:before="2"/>
              <w:ind w:right="536"/>
              <w:rPr>
                <w:sz w:val="20"/>
              </w:rPr>
            </w:pPr>
            <w:r>
              <w:rPr>
                <w:sz w:val="20"/>
              </w:rPr>
              <w:t>LDL *</w:t>
            </w:r>
          </w:p>
          <w:p>
            <w:pPr>
              <w:pStyle w:val="TableParagraph"/>
              <w:spacing w:line="240" w:lineRule="auto" w:before="4"/>
              <w:ind w:left="0"/>
              <w:rPr>
                <w:sz w:val="17"/>
              </w:rPr>
            </w:pPr>
          </w:p>
          <w:p>
            <w:pPr>
              <w:pStyle w:val="TableParagraph"/>
              <w:spacing w:line="240" w:lineRule="auto"/>
              <w:ind w:right="536"/>
              <w:rPr>
                <w:sz w:val="20"/>
              </w:rPr>
            </w:pPr>
            <w:r>
              <w:rPr>
                <w:sz w:val="20"/>
              </w:rPr>
              <w:t>LDL **</w:t>
            </w:r>
          </w:p>
        </w:tc>
        <w:tc>
          <w:tcPr>
            <w:tcW w:w="989" w:type="dxa"/>
          </w:tcPr>
          <w:p>
            <w:pPr>
              <w:pStyle w:val="TableParagraph"/>
              <w:spacing w:line="240" w:lineRule="auto" w:before="2"/>
              <w:rPr>
                <w:sz w:val="20"/>
              </w:rPr>
            </w:pPr>
            <w:r>
              <w:rPr>
                <w:sz w:val="20"/>
              </w:rPr>
              <w:t>163.55</w:t>
            </w:r>
          </w:p>
          <w:p>
            <w:pPr>
              <w:pStyle w:val="TableParagraph"/>
              <w:spacing w:line="240" w:lineRule="auto" w:before="4"/>
              <w:ind w:left="0"/>
              <w:rPr>
                <w:sz w:val="17"/>
              </w:rPr>
            </w:pPr>
          </w:p>
          <w:p>
            <w:pPr>
              <w:pStyle w:val="TableParagraph"/>
              <w:spacing w:line="240" w:lineRule="auto"/>
              <w:rPr>
                <w:sz w:val="20"/>
              </w:rPr>
            </w:pPr>
            <w:r>
              <w:rPr>
                <w:sz w:val="20"/>
              </w:rPr>
              <w:t>150.28</w:t>
            </w:r>
          </w:p>
        </w:tc>
        <w:tc>
          <w:tcPr>
            <w:tcW w:w="1090" w:type="dxa"/>
          </w:tcPr>
          <w:p>
            <w:pPr>
              <w:pStyle w:val="TableParagraph"/>
              <w:spacing w:line="240" w:lineRule="auto" w:before="2"/>
              <w:rPr>
                <w:sz w:val="20"/>
              </w:rPr>
            </w:pPr>
            <w:r>
              <w:rPr>
                <w:sz w:val="20"/>
              </w:rPr>
              <w:t>217.86</w:t>
            </w:r>
          </w:p>
          <w:p>
            <w:pPr>
              <w:pStyle w:val="TableParagraph"/>
              <w:spacing w:line="240" w:lineRule="auto" w:before="4"/>
              <w:ind w:left="0"/>
              <w:rPr>
                <w:sz w:val="17"/>
              </w:rPr>
            </w:pPr>
          </w:p>
          <w:p>
            <w:pPr>
              <w:pStyle w:val="TableParagraph"/>
              <w:spacing w:line="240" w:lineRule="auto"/>
              <w:rPr>
                <w:sz w:val="20"/>
              </w:rPr>
            </w:pPr>
            <w:r>
              <w:rPr>
                <w:sz w:val="20"/>
              </w:rPr>
              <w:t>80.23</w:t>
            </w:r>
          </w:p>
        </w:tc>
        <w:tc>
          <w:tcPr>
            <w:tcW w:w="691" w:type="dxa"/>
          </w:tcPr>
          <w:p>
            <w:pPr>
              <w:pStyle w:val="TableParagraph"/>
              <w:spacing w:line="240" w:lineRule="auto" w:before="2"/>
              <w:rPr>
                <w:sz w:val="20"/>
              </w:rPr>
            </w:pPr>
            <w:r>
              <w:rPr>
                <w:sz w:val="20"/>
              </w:rPr>
              <w:t>.408</w:t>
            </w:r>
          </w:p>
        </w:tc>
        <w:tc>
          <w:tcPr>
            <w:tcW w:w="694" w:type="dxa"/>
          </w:tcPr>
          <w:p>
            <w:pPr>
              <w:pStyle w:val="TableParagraph"/>
              <w:spacing w:line="240" w:lineRule="auto" w:before="2"/>
              <w:rPr>
                <w:sz w:val="20"/>
              </w:rPr>
            </w:pPr>
            <w:r>
              <w:rPr>
                <w:sz w:val="20"/>
              </w:rPr>
              <w:t>.686</w:t>
            </w:r>
          </w:p>
        </w:tc>
        <w:tc>
          <w:tcPr>
            <w:tcW w:w="1418" w:type="dxa"/>
          </w:tcPr>
          <w:p>
            <w:pPr>
              <w:pStyle w:val="TableParagraph"/>
              <w:spacing w:line="240" w:lineRule="auto" w:before="2"/>
              <w:rPr>
                <w:sz w:val="20"/>
              </w:rPr>
            </w:pPr>
            <w:r>
              <w:rPr>
                <w:sz w:val="20"/>
              </w:rPr>
              <w:t>154.45</w:t>
            </w:r>
          </w:p>
          <w:p>
            <w:pPr>
              <w:pStyle w:val="TableParagraph"/>
              <w:spacing w:line="240" w:lineRule="auto" w:before="4"/>
              <w:ind w:left="0"/>
              <w:rPr>
                <w:sz w:val="17"/>
              </w:rPr>
            </w:pPr>
          </w:p>
          <w:p>
            <w:pPr>
              <w:pStyle w:val="TableParagraph"/>
              <w:spacing w:line="240" w:lineRule="auto"/>
              <w:rPr>
                <w:sz w:val="20"/>
              </w:rPr>
            </w:pPr>
            <w:r>
              <w:rPr>
                <w:sz w:val="20"/>
              </w:rPr>
              <w:t>108.25</w:t>
            </w:r>
          </w:p>
        </w:tc>
        <w:tc>
          <w:tcPr>
            <w:tcW w:w="994" w:type="dxa"/>
          </w:tcPr>
          <w:p>
            <w:pPr>
              <w:pStyle w:val="TableParagraph"/>
              <w:spacing w:line="240" w:lineRule="auto" w:before="2"/>
              <w:rPr>
                <w:sz w:val="20"/>
              </w:rPr>
            </w:pPr>
            <w:r>
              <w:rPr>
                <w:sz w:val="20"/>
              </w:rPr>
              <w:t>171.34</w:t>
            </w:r>
          </w:p>
          <w:p>
            <w:pPr>
              <w:pStyle w:val="TableParagraph"/>
              <w:spacing w:line="240" w:lineRule="auto" w:before="4"/>
              <w:ind w:left="0"/>
              <w:rPr>
                <w:sz w:val="17"/>
              </w:rPr>
            </w:pPr>
          </w:p>
          <w:p>
            <w:pPr>
              <w:pStyle w:val="TableParagraph"/>
              <w:spacing w:line="240" w:lineRule="auto"/>
              <w:rPr>
                <w:sz w:val="20"/>
              </w:rPr>
            </w:pPr>
            <w:r>
              <w:rPr>
                <w:sz w:val="20"/>
              </w:rPr>
              <w:t>41.34</w:t>
            </w:r>
          </w:p>
        </w:tc>
        <w:tc>
          <w:tcPr>
            <w:tcW w:w="850" w:type="dxa"/>
          </w:tcPr>
          <w:p>
            <w:pPr>
              <w:pStyle w:val="TableParagraph"/>
              <w:spacing w:line="240" w:lineRule="auto" w:before="2"/>
              <w:ind w:left="100"/>
              <w:rPr>
                <w:sz w:val="20"/>
              </w:rPr>
            </w:pPr>
            <w:r>
              <w:rPr>
                <w:sz w:val="20"/>
              </w:rPr>
              <w:t>1.79</w:t>
            </w:r>
          </w:p>
        </w:tc>
        <w:tc>
          <w:tcPr>
            <w:tcW w:w="708" w:type="dxa"/>
          </w:tcPr>
          <w:p>
            <w:pPr>
              <w:pStyle w:val="TableParagraph"/>
              <w:spacing w:line="240" w:lineRule="auto" w:before="2"/>
              <w:ind w:left="100"/>
              <w:rPr>
                <w:sz w:val="20"/>
              </w:rPr>
            </w:pPr>
            <w:r>
              <w:rPr>
                <w:sz w:val="20"/>
              </w:rPr>
              <w:t>.080</w:t>
            </w:r>
          </w:p>
        </w:tc>
      </w:tr>
      <w:tr>
        <w:trPr>
          <w:trHeight w:val="871" w:hRule="exact"/>
        </w:trPr>
        <w:tc>
          <w:tcPr>
            <w:tcW w:w="1781" w:type="dxa"/>
          </w:tcPr>
          <w:p>
            <w:pPr>
              <w:pStyle w:val="TableParagraph"/>
              <w:spacing w:line="448" w:lineRule="auto"/>
              <w:ind w:left="323" w:right="138"/>
              <w:rPr>
                <w:sz w:val="20"/>
              </w:rPr>
            </w:pPr>
            <w:r>
              <w:rPr>
                <w:sz w:val="20"/>
              </w:rPr>
              <w:t>Triglicéridos * Triglicéridos **</w:t>
            </w:r>
          </w:p>
        </w:tc>
        <w:tc>
          <w:tcPr>
            <w:tcW w:w="989" w:type="dxa"/>
          </w:tcPr>
          <w:p>
            <w:pPr>
              <w:pStyle w:val="TableParagraph"/>
              <w:spacing w:line="230" w:lineRule="exact"/>
              <w:rPr>
                <w:sz w:val="20"/>
              </w:rPr>
            </w:pPr>
            <w:r>
              <w:rPr>
                <w:sz w:val="20"/>
              </w:rPr>
              <w:t>246.44</w:t>
            </w:r>
          </w:p>
          <w:p>
            <w:pPr>
              <w:pStyle w:val="TableParagraph"/>
              <w:spacing w:line="240" w:lineRule="auto" w:before="4"/>
              <w:ind w:left="0"/>
              <w:rPr>
                <w:sz w:val="17"/>
              </w:rPr>
            </w:pPr>
          </w:p>
          <w:p>
            <w:pPr>
              <w:pStyle w:val="TableParagraph"/>
              <w:spacing w:line="240" w:lineRule="auto"/>
              <w:rPr>
                <w:sz w:val="20"/>
              </w:rPr>
            </w:pPr>
            <w:r>
              <w:rPr>
                <w:sz w:val="20"/>
              </w:rPr>
              <w:t>170.14</w:t>
            </w:r>
          </w:p>
        </w:tc>
        <w:tc>
          <w:tcPr>
            <w:tcW w:w="1090" w:type="dxa"/>
          </w:tcPr>
          <w:p>
            <w:pPr>
              <w:pStyle w:val="TableParagraph"/>
              <w:spacing w:line="230" w:lineRule="exact"/>
              <w:rPr>
                <w:sz w:val="20"/>
              </w:rPr>
            </w:pPr>
            <w:r>
              <w:rPr>
                <w:sz w:val="20"/>
              </w:rPr>
              <w:t>111.67</w:t>
            </w:r>
          </w:p>
          <w:p>
            <w:pPr>
              <w:pStyle w:val="TableParagraph"/>
              <w:spacing w:line="240" w:lineRule="auto" w:before="4"/>
              <w:ind w:left="0"/>
              <w:rPr>
                <w:sz w:val="17"/>
              </w:rPr>
            </w:pPr>
          </w:p>
          <w:p>
            <w:pPr>
              <w:pStyle w:val="TableParagraph"/>
              <w:spacing w:line="240" w:lineRule="auto"/>
              <w:rPr>
                <w:sz w:val="20"/>
              </w:rPr>
            </w:pPr>
            <w:r>
              <w:rPr>
                <w:sz w:val="20"/>
              </w:rPr>
              <w:t>62.46</w:t>
            </w:r>
          </w:p>
        </w:tc>
        <w:tc>
          <w:tcPr>
            <w:tcW w:w="691" w:type="dxa"/>
          </w:tcPr>
          <w:p>
            <w:pPr>
              <w:pStyle w:val="TableParagraph"/>
              <w:spacing w:line="240" w:lineRule="auto"/>
              <w:ind w:left="0"/>
              <w:rPr>
                <w:sz w:val="20"/>
              </w:rPr>
            </w:pPr>
          </w:p>
          <w:p>
            <w:pPr>
              <w:pStyle w:val="TableParagraph"/>
              <w:spacing w:line="240" w:lineRule="auto" w:before="3"/>
              <w:ind w:left="0"/>
              <w:rPr>
                <w:sz w:val="17"/>
              </w:rPr>
            </w:pPr>
          </w:p>
          <w:p>
            <w:pPr>
              <w:pStyle w:val="TableParagraph"/>
              <w:spacing w:line="240" w:lineRule="auto"/>
              <w:rPr>
                <w:sz w:val="20"/>
              </w:rPr>
            </w:pPr>
            <w:r>
              <w:rPr>
                <w:sz w:val="20"/>
              </w:rPr>
              <w:t>5.52</w:t>
            </w:r>
          </w:p>
        </w:tc>
        <w:tc>
          <w:tcPr>
            <w:tcW w:w="694" w:type="dxa"/>
          </w:tcPr>
          <w:p>
            <w:pPr>
              <w:pStyle w:val="TableParagraph"/>
              <w:spacing w:line="240" w:lineRule="auto"/>
              <w:ind w:left="0"/>
              <w:rPr>
                <w:sz w:val="20"/>
              </w:rPr>
            </w:pPr>
          </w:p>
          <w:p>
            <w:pPr>
              <w:pStyle w:val="TableParagraph"/>
              <w:spacing w:line="240" w:lineRule="auto" w:before="3"/>
              <w:ind w:left="0"/>
              <w:rPr>
                <w:sz w:val="17"/>
              </w:rPr>
            </w:pPr>
          </w:p>
          <w:p>
            <w:pPr>
              <w:pStyle w:val="TableParagraph"/>
              <w:spacing w:line="240" w:lineRule="auto"/>
              <w:rPr>
                <w:sz w:val="20"/>
              </w:rPr>
            </w:pPr>
            <w:r>
              <w:rPr>
                <w:sz w:val="20"/>
              </w:rPr>
              <w:t>.001</w:t>
            </w:r>
          </w:p>
        </w:tc>
        <w:tc>
          <w:tcPr>
            <w:tcW w:w="1418" w:type="dxa"/>
          </w:tcPr>
          <w:p>
            <w:pPr>
              <w:pStyle w:val="TableParagraph"/>
              <w:spacing w:line="230" w:lineRule="exact"/>
              <w:rPr>
                <w:sz w:val="20"/>
              </w:rPr>
            </w:pPr>
            <w:r>
              <w:rPr>
                <w:sz w:val="20"/>
              </w:rPr>
              <w:t>257.37</w:t>
            </w:r>
          </w:p>
          <w:p>
            <w:pPr>
              <w:pStyle w:val="TableParagraph"/>
              <w:spacing w:line="240" w:lineRule="auto" w:before="4"/>
              <w:ind w:left="0"/>
              <w:rPr>
                <w:sz w:val="17"/>
              </w:rPr>
            </w:pPr>
          </w:p>
          <w:p>
            <w:pPr>
              <w:pStyle w:val="TableParagraph"/>
              <w:spacing w:line="240" w:lineRule="auto"/>
              <w:rPr>
                <w:sz w:val="20"/>
              </w:rPr>
            </w:pPr>
            <w:r>
              <w:rPr>
                <w:sz w:val="20"/>
              </w:rPr>
              <w:t>233.22</w:t>
            </w:r>
          </w:p>
        </w:tc>
        <w:tc>
          <w:tcPr>
            <w:tcW w:w="994" w:type="dxa"/>
          </w:tcPr>
          <w:p>
            <w:pPr>
              <w:pStyle w:val="TableParagraph"/>
              <w:spacing w:line="230" w:lineRule="exact"/>
              <w:rPr>
                <w:sz w:val="20"/>
              </w:rPr>
            </w:pPr>
            <w:r>
              <w:rPr>
                <w:sz w:val="20"/>
              </w:rPr>
              <w:t>221.25</w:t>
            </w:r>
          </w:p>
          <w:p>
            <w:pPr>
              <w:pStyle w:val="TableParagraph"/>
              <w:spacing w:line="240" w:lineRule="auto" w:before="4"/>
              <w:ind w:left="0"/>
              <w:rPr>
                <w:sz w:val="17"/>
              </w:rPr>
            </w:pPr>
          </w:p>
          <w:p>
            <w:pPr>
              <w:pStyle w:val="TableParagraph"/>
              <w:spacing w:line="240" w:lineRule="auto"/>
              <w:rPr>
                <w:sz w:val="20"/>
              </w:rPr>
            </w:pPr>
            <w:r>
              <w:rPr>
                <w:sz w:val="20"/>
              </w:rPr>
              <w:t>151.28</w:t>
            </w:r>
          </w:p>
        </w:tc>
        <w:tc>
          <w:tcPr>
            <w:tcW w:w="850" w:type="dxa"/>
          </w:tcPr>
          <w:p>
            <w:pPr>
              <w:pStyle w:val="TableParagraph"/>
              <w:spacing w:line="230" w:lineRule="exact"/>
              <w:ind w:left="100"/>
              <w:rPr>
                <w:sz w:val="20"/>
              </w:rPr>
            </w:pPr>
            <w:r>
              <w:rPr>
                <w:sz w:val="20"/>
              </w:rPr>
              <w:t>1.39</w:t>
            </w:r>
          </w:p>
        </w:tc>
        <w:tc>
          <w:tcPr>
            <w:tcW w:w="708" w:type="dxa"/>
          </w:tcPr>
          <w:p>
            <w:pPr>
              <w:pStyle w:val="TableParagraph"/>
              <w:spacing w:line="230" w:lineRule="exact"/>
              <w:ind w:left="100"/>
              <w:rPr>
                <w:sz w:val="20"/>
              </w:rPr>
            </w:pPr>
            <w:r>
              <w:rPr>
                <w:sz w:val="20"/>
              </w:rPr>
              <w:t>.170</w:t>
            </w:r>
          </w:p>
        </w:tc>
      </w:tr>
    </w:tbl>
    <w:p>
      <w:pPr>
        <w:spacing w:line="227" w:lineRule="exact" w:before="0"/>
        <w:ind w:left="122" w:right="0" w:firstLine="0"/>
        <w:jc w:val="both"/>
        <w:rPr>
          <w:i/>
          <w:sz w:val="20"/>
        </w:rPr>
      </w:pPr>
      <w:r>
        <w:rPr>
          <w:i/>
          <w:sz w:val="20"/>
        </w:rPr>
        <w:t>* Primera medición (inicial), **Tercera  medición  (seis meses)</w:t>
      </w:r>
    </w:p>
    <w:p>
      <w:pPr>
        <w:pStyle w:val="BodyText"/>
        <w:rPr>
          <w:i/>
        </w:rPr>
      </w:pPr>
    </w:p>
    <w:p>
      <w:pPr>
        <w:pStyle w:val="BodyText"/>
        <w:rPr>
          <w:i/>
        </w:rPr>
      </w:pPr>
    </w:p>
    <w:p>
      <w:pPr>
        <w:pStyle w:val="BodyText"/>
        <w:spacing w:before="169"/>
        <w:ind w:left="122" w:right="505"/>
        <w:jc w:val="both"/>
      </w:pPr>
      <w:r>
        <w:rPr/>
        <w:t>En el análisis multivariado de asociación entre los grupos, se observa que las variables de presión arterial sistólica, índice de masa corporal, glicemia capilar, hemoglobina glucocilada, colesterol, LDL y triglicéridos, entre las tres mediciones interactúan, indicando que el comportamiento de los grupos no son los mismos a través de las</w:t>
      </w:r>
      <w:r>
        <w:rPr>
          <w:spacing w:val="-15"/>
        </w:rPr>
        <w:t> </w:t>
      </w:r>
      <w:r>
        <w:rPr/>
        <w:t>medidas.</w:t>
      </w:r>
    </w:p>
    <w:p>
      <w:pPr>
        <w:pStyle w:val="BodyText"/>
        <w:spacing w:before="11"/>
        <w:rPr>
          <w:sz w:val="17"/>
        </w:rPr>
      </w:pPr>
    </w:p>
    <w:p>
      <w:pPr>
        <w:pStyle w:val="BodyText"/>
        <w:spacing w:line="228" w:lineRule="auto"/>
        <w:ind w:left="122" w:right="496"/>
        <w:jc w:val="both"/>
      </w:pPr>
      <w:r>
        <w:rPr/>
        <w:t>Para comparar los resultados de la eficácia del protoclo MDE sobre la variáble conocimento entre la primeira medición (inicial) y la segunda (tres meses después del início)</w:t>
      </w:r>
      <w:r>
        <w:rPr>
          <w:position w:val="10"/>
          <w:sz w:val="13"/>
        </w:rPr>
        <w:t>10, 11 </w:t>
      </w:r>
      <w:r>
        <w:rPr/>
        <w:t>y entre la primeira y  la tercera (seis meses despues del início), fue utilizada el estadístico </w:t>
      </w:r>
      <w:r>
        <w:rPr>
          <w:i/>
        </w:rPr>
        <w:t>t de Student </w:t>
      </w:r>
      <w:r>
        <w:rPr/>
        <w:t>para muestras relacionadas,  los  resultados  del  cuestionario  fueron  sumados  por  puntos  y     </w:t>
      </w:r>
      <w:r>
        <w:rPr>
          <w:spacing w:val="7"/>
        </w:rPr>
        <w:t> </w:t>
      </w:r>
      <w:r>
        <w:rPr/>
        <w:t>posteriormente,</w:t>
      </w:r>
    </w:p>
    <w:p>
      <w:pPr>
        <w:pStyle w:val="BodyText"/>
        <w:spacing w:before="2"/>
        <w:ind w:left="122"/>
        <w:jc w:val="both"/>
      </w:pPr>
      <w:r>
        <w:rPr/>
        <w:t>convertidos  en  un  índice,  tomando  valores  de  0  a  100,  que  indica  que  cuanto  mayor  es  la</w:t>
      </w:r>
    </w:p>
    <w:p>
      <w:pPr>
        <w:spacing w:after="0"/>
        <w:jc w:val="both"/>
        <w:sectPr>
          <w:pgSz w:w="12240" w:h="15840"/>
          <w:pgMar w:header="0" w:footer="1024" w:top="1500" w:bottom="1220" w:left="1580" w:right="1200"/>
        </w:sectPr>
      </w:pPr>
    </w:p>
    <w:p>
      <w:pPr>
        <w:pStyle w:val="BodyText"/>
        <w:spacing w:before="10"/>
        <w:rPr>
          <w:sz w:val="10"/>
        </w:rPr>
      </w:pPr>
    </w:p>
    <w:p>
      <w:pPr>
        <w:pStyle w:val="BodyText"/>
        <w:spacing w:before="74"/>
        <w:ind w:left="102" w:right="98"/>
        <w:jc w:val="both"/>
      </w:pPr>
      <w:r>
        <w:rPr/>
        <w:t>puntuación, mayor es el conocimiento, en ambos grupos antes y durante (tres meses) de iniciado  el estudio, se observan diferencias significativas en los índices de conocimientos (t=11.42, p&lt;.  001), lo mismo que a los 6 meses (t=15.11, p&lt;.  001), el grupo control también muestra un  pequeño aumento en el índice de conocimientos, sin embargo las medias fueron superiores en el grupo de</w:t>
      </w:r>
      <w:r>
        <w:rPr>
          <w:spacing w:val="-6"/>
        </w:rPr>
        <w:t> </w:t>
      </w:r>
      <w:r>
        <w:rPr/>
        <w:t>intervención.</w:t>
      </w:r>
    </w:p>
    <w:p>
      <w:pPr>
        <w:pStyle w:val="BodyText"/>
        <w:spacing w:before="1"/>
        <w:rPr>
          <w:sz w:val="17"/>
        </w:rPr>
      </w:pPr>
    </w:p>
    <w:p>
      <w:pPr>
        <w:pStyle w:val="Heading3"/>
        <w:numPr>
          <w:ilvl w:val="0"/>
          <w:numId w:val="2"/>
        </w:numPr>
        <w:tabs>
          <w:tab w:pos="323" w:val="left" w:leader="none"/>
        </w:tabs>
        <w:spacing w:line="240" w:lineRule="auto" w:before="0" w:after="0"/>
        <w:ind w:left="322" w:right="0" w:hanging="220"/>
        <w:jc w:val="both"/>
      </w:pPr>
      <w:r>
        <w:rPr/>
        <w:t>DISCUSIÓN Y</w:t>
      </w:r>
      <w:r>
        <w:rPr>
          <w:spacing w:val="-7"/>
        </w:rPr>
        <w:t> </w:t>
      </w:r>
      <w:r>
        <w:rPr/>
        <w:t>CONCLUSIONES</w:t>
      </w:r>
    </w:p>
    <w:p>
      <w:pPr>
        <w:pStyle w:val="BodyText"/>
        <w:spacing w:before="9"/>
        <w:rPr>
          <w:b/>
          <w:sz w:val="21"/>
        </w:rPr>
      </w:pPr>
    </w:p>
    <w:p>
      <w:pPr>
        <w:pStyle w:val="BodyText"/>
        <w:spacing w:line="220" w:lineRule="auto"/>
        <w:ind w:left="102" w:right="102"/>
        <w:jc w:val="both"/>
      </w:pPr>
      <w:r>
        <w:rPr/>
        <w:t>Por la eficacia demostrada en México y otros países; se recomienda implementar el protocolo de MDE en las unidades de salud, con el desarrollo de programas de educación permanente y la evaluación de resultados, como se señala en los algoritmos del MDE</w:t>
      </w:r>
      <w:r>
        <w:rPr>
          <w:position w:val="10"/>
          <w:sz w:val="13"/>
        </w:rPr>
        <w:t>12</w:t>
      </w:r>
      <w:r>
        <w:rPr/>
        <w:t>; Roger Mazze y col. et al.</w:t>
      </w:r>
    </w:p>
    <w:p>
      <w:pPr>
        <w:pStyle w:val="BodyText"/>
        <w:spacing w:line="230" w:lineRule="exact" w:before="7"/>
        <w:ind w:left="102" w:right="100"/>
        <w:jc w:val="both"/>
      </w:pPr>
      <w:r>
        <w:rPr/>
        <w:t>(2005), dando prioridad al interior de grupos de ayuda mutua</w:t>
      </w:r>
      <w:r>
        <w:rPr>
          <w:position w:val="10"/>
          <w:sz w:val="13"/>
        </w:rPr>
        <w:t>13</w:t>
      </w:r>
      <w:r>
        <w:rPr/>
        <w:t>, para promover el desarrollo de prácticas y habilidades para el autocuidado con una alimentación saludable, ejercicio físico, farmacoterapia y auto monitoreo, involucrando a la familia como un soporte social en el proceso de atención-educación,    como  lo  señalan  diversos  reportes</w:t>
      </w:r>
      <w:r>
        <w:rPr>
          <w:position w:val="10"/>
          <w:sz w:val="13"/>
        </w:rPr>
        <w:t>4,  14</w:t>
      </w:r>
      <w:r>
        <w:rPr/>
        <w:t>,  factor  fundamental  para  lograr el</w:t>
      </w:r>
    </w:p>
    <w:p>
      <w:pPr>
        <w:pStyle w:val="BodyText"/>
        <w:ind w:left="102" w:right="101"/>
        <w:jc w:val="both"/>
      </w:pPr>
      <w:r>
        <w:rPr/>
        <w:t>adecuado control metabólico y prevención de complicaciones crónicas, como lo demuestra el United Kingdom Prospective Diabetes Study (UKPDS 1977-1997) único ensayo clínico que evidencio que los pacientes normoglucemicos previenen complicaciones crónicas.</w:t>
      </w:r>
    </w:p>
    <w:p>
      <w:pPr>
        <w:pStyle w:val="BodyText"/>
        <w:spacing w:before="1"/>
        <w:rPr>
          <w:sz w:val="17"/>
        </w:rPr>
      </w:pPr>
    </w:p>
    <w:p>
      <w:pPr>
        <w:pStyle w:val="BodyText"/>
        <w:ind w:left="102" w:right="98"/>
        <w:jc w:val="both"/>
      </w:pPr>
      <w:r>
        <w:rPr/>
        <w:t>El empoderar a la persona con diabetes como responsable de su propia salud y calidad de vida,  es otro punto a lograr con este programa lo que implica la capacitación y actualización de los profesionales de salud. Los resultados del estudio apuntan para efectos positivos de las intervenciones propuestas, no obstante se sugieren estudios para investigar la relación costo- beneficio.</w:t>
      </w:r>
    </w:p>
    <w:p>
      <w:pPr>
        <w:pStyle w:val="BodyText"/>
      </w:pPr>
    </w:p>
    <w:p>
      <w:pPr>
        <w:pStyle w:val="BodyText"/>
      </w:pPr>
    </w:p>
    <w:p>
      <w:pPr>
        <w:pStyle w:val="BodyText"/>
      </w:pPr>
    </w:p>
    <w:p>
      <w:pPr>
        <w:pStyle w:val="BodyText"/>
      </w:pPr>
    </w:p>
    <w:p>
      <w:pPr>
        <w:pStyle w:val="Heading3"/>
        <w:spacing w:before="136"/>
        <w:ind w:left="102" w:firstLine="0"/>
      </w:pPr>
      <w:r>
        <w:rPr/>
        <w:t>REFERENCIAS</w:t>
      </w:r>
    </w:p>
    <w:p>
      <w:pPr>
        <w:pStyle w:val="BodyText"/>
        <w:spacing w:before="6"/>
        <w:rPr>
          <w:b/>
        </w:rPr>
      </w:pPr>
    </w:p>
    <w:p>
      <w:pPr>
        <w:pStyle w:val="ListParagraph"/>
        <w:numPr>
          <w:ilvl w:val="1"/>
          <w:numId w:val="2"/>
        </w:numPr>
        <w:tabs>
          <w:tab w:pos="746" w:val="left" w:leader="none"/>
        </w:tabs>
        <w:spacing w:line="240" w:lineRule="auto" w:before="0" w:after="0"/>
        <w:ind w:left="745" w:right="109" w:hanging="360"/>
        <w:jc w:val="both"/>
        <w:rPr>
          <w:sz w:val="20"/>
        </w:rPr>
      </w:pPr>
      <w:r>
        <w:rPr>
          <w:sz w:val="20"/>
        </w:rPr>
        <w:t>Asociación Latinoamericana de Diabetes. (2013). Guías ALAD sobre el Diagnóstico, Control y Tratamiento de la Diabetes Mellitus Tipo 2 con Medicina Basada en Evidencia Edición 2013. Revista de la Asociación Latinoamericana de</w:t>
      </w:r>
      <w:r>
        <w:rPr>
          <w:spacing w:val="-13"/>
          <w:sz w:val="20"/>
        </w:rPr>
        <w:t> </w:t>
      </w:r>
      <w:r>
        <w:rPr>
          <w:sz w:val="20"/>
        </w:rPr>
        <w:t>Diabetes.</w:t>
      </w:r>
    </w:p>
    <w:p>
      <w:pPr>
        <w:pStyle w:val="ListParagraph"/>
        <w:numPr>
          <w:ilvl w:val="1"/>
          <w:numId w:val="2"/>
        </w:numPr>
        <w:tabs>
          <w:tab w:pos="746" w:val="left" w:leader="none"/>
        </w:tabs>
        <w:spacing w:line="240" w:lineRule="auto" w:before="0" w:after="0"/>
        <w:ind w:left="745" w:right="110" w:hanging="360"/>
        <w:jc w:val="both"/>
        <w:rPr>
          <w:sz w:val="20"/>
        </w:rPr>
      </w:pPr>
      <w:r>
        <w:rPr>
          <w:sz w:val="20"/>
        </w:rPr>
        <w:t>Federación Internacional de Diabetes. (2013). Atlas de diabetes de la FID 6ª edición. Recuperado de</w:t>
      </w:r>
      <w:r>
        <w:rPr>
          <w:spacing w:val="-21"/>
          <w:sz w:val="20"/>
        </w:rPr>
        <w:t> </w:t>
      </w:r>
      <w:hyperlink r:id="rId11">
        <w:r>
          <w:rPr>
            <w:sz w:val="20"/>
          </w:rPr>
          <w:t>http://www.idf.org/sites/default/files/SP_6E_Atlas_Full.pdf</w:t>
        </w:r>
      </w:hyperlink>
    </w:p>
    <w:p>
      <w:pPr>
        <w:pStyle w:val="ListParagraph"/>
        <w:numPr>
          <w:ilvl w:val="1"/>
          <w:numId w:val="2"/>
        </w:numPr>
        <w:tabs>
          <w:tab w:pos="746" w:val="left" w:leader="none"/>
        </w:tabs>
        <w:spacing w:line="240" w:lineRule="auto" w:before="0" w:after="0"/>
        <w:ind w:left="745" w:right="99" w:hanging="360"/>
        <w:jc w:val="both"/>
        <w:rPr>
          <w:sz w:val="20"/>
        </w:rPr>
      </w:pPr>
      <w:r>
        <w:rPr>
          <w:sz w:val="20"/>
        </w:rPr>
        <w:t>Instituto Nacional de Salud Pública &amp; Secretaria de Salud. (2012). Encuesta Nacional de Salud y Nutrición Resultados Nacionales del 2012. Recuperado de </w:t>
      </w:r>
      <w:hyperlink r:id="rId12">
        <w:r>
          <w:rPr>
            <w:sz w:val="20"/>
          </w:rPr>
          <w:t>http://ensanut.insp.mx/doctos/ENSANUT2012_Sint_Ejec-24oct.pdf</w:t>
        </w:r>
      </w:hyperlink>
    </w:p>
    <w:p>
      <w:pPr>
        <w:pStyle w:val="ListParagraph"/>
        <w:numPr>
          <w:ilvl w:val="1"/>
          <w:numId w:val="2"/>
        </w:numPr>
        <w:tabs>
          <w:tab w:pos="746" w:val="left" w:leader="none"/>
        </w:tabs>
        <w:spacing w:line="240" w:lineRule="auto" w:before="0" w:after="0"/>
        <w:ind w:left="745" w:right="99" w:hanging="360"/>
        <w:jc w:val="both"/>
        <w:rPr>
          <w:sz w:val="20"/>
        </w:rPr>
      </w:pPr>
      <w:r>
        <w:rPr>
          <w:sz w:val="20"/>
        </w:rPr>
        <w:t>Instituto Nacional de Salud Pública. (2012). Encuesta Nacional de Salud y Nutrición2 Resultados por entidad federativa, Hidalgo. Recuperado de </w:t>
      </w:r>
      <w:hyperlink r:id="rId13">
        <w:r>
          <w:rPr>
            <w:sz w:val="20"/>
          </w:rPr>
          <w:t>http://ensanut.insp.mx/informes/Hidalgo-OCT.pdf</w:t>
        </w:r>
      </w:hyperlink>
    </w:p>
    <w:p>
      <w:pPr>
        <w:pStyle w:val="ListParagraph"/>
        <w:numPr>
          <w:ilvl w:val="1"/>
          <w:numId w:val="2"/>
        </w:numPr>
        <w:tabs>
          <w:tab w:pos="746" w:val="left" w:leader="none"/>
        </w:tabs>
        <w:spacing w:line="240" w:lineRule="auto" w:before="0" w:after="0"/>
        <w:ind w:left="745" w:right="100" w:hanging="360"/>
        <w:jc w:val="both"/>
        <w:rPr>
          <w:sz w:val="20"/>
        </w:rPr>
      </w:pPr>
      <w:r>
        <w:rPr>
          <w:sz w:val="20"/>
        </w:rPr>
        <w:t>Federación Internacional de Diabetes. (2014). Atlas de diabetes de la FID 6ª edición, Actualización de 2014. Recuperado de </w:t>
      </w:r>
      <w:hyperlink r:id="rId14">
        <w:r>
          <w:rPr>
            <w:sz w:val="20"/>
          </w:rPr>
          <w:t>http://www.idf.org/sites/default/files/Atlas-poster-</w:t>
        </w:r>
      </w:hyperlink>
      <w:r>
        <w:rPr>
          <w:sz w:val="20"/>
        </w:rPr>
        <w:t> 2014_ES.pdf</w:t>
      </w:r>
    </w:p>
    <w:p>
      <w:pPr>
        <w:pStyle w:val="ListParagraph"/>
        <w:numPr>
          <w:ilvl w:val="1"/>
          <w:numId w:val="2"/>
        </w:numPr>
        <w:tabs>
          <w:tab w:pos="746" w:val="left" w:leader="none"/>
        </w:tabs>
        <w:spacing w:line="240" w:lineRule="auto" w:before="0" w:after="0"/>
        <w:ind w:left="745" w:right="104" w:hanging="360"/>
        <w:jc w:val="both"/>
        <w:rPr>
          <w:sz w:val="20"/>
        </w:rPr>
      </w:pPr>
      <w:r>
        <w:rPr>
          <w:sz w:val="20"/>
        </w:rPr>
        <w:t>Federación Mexicana de Diabetes. (2010). Diabetes tipo 2, generalidades y factores de riesgo. Recuperado el 27 de mayo de 2015 de </w:t>
      </w:r>
      <w:hyperlink r:id="rId15">
        <w:r>
          <w:rPr>
            <w:sz w:val="20"/>
          </w:rPr>
          <w:t>http://www.fmdiabetes.org/fmd/pag/factores.php?id=MTAx</w:t>
        </w:r>
      </w:hyperlink>
    </w:p>
    <w:p>
      <w:pPr>
        <w:pStyle w:val="ListParagraph"/>
        <w:numPr>
          <w:ilvl w:val="1"/>
          <w:numId w:val="2"/>
        </w:numPr>
        <w:tabs>
          <w:tab w:pos="746" w:val="left" w:leader="none"/>
        </w:tabs>
        <w:spacing w:line="240" w:lineRule="auto" w:before="0" w:after="0"/>
        <w:ind w:left="745" w:right="100" w:hanging="360"/>
        <w:jc w:val="both"/>
        <w:rPr>
          <w:sz w:val="20"/>
        </w:rPr>
      </w:pPr>
      <w:r>
        <w:rPr>
          <w:sz w:val="20"/>
        </w:rPr>
        <w:t>Funnell, M.M., Anderson, R.M., Arnold, M.S., Barr, P.A., Donnelly, M.B., Johnson, P.D., Taylor-Moon, D. &amp; White, N.H. (1991). Empowerment: an idea whose time has come in diabetes education. Diabetes Educator, 17,</w:t>
      </w:r>
      <w:r>
        <w:rPr>
          <w:spacing w:val="-14"/>
          <w:sz w:val="20"/>
        </w:rPr>
        <w:t> </w:t>
      </w:r>
      <w:r>
        <w:rPr>
          <w:sz w:val="20"/>
        </w:rPr>
        <w:t>37–41.</w:t>
      </w:r>
    </w:p>
    <w:p>
      <w:pPr>
        <w:pStyle w:val="ListParagraph"/>
        <w:numPr>
          <w:ilvl w:val="1"/>
          <w:numId w:val="2"/>
        </w:numPr>
        <w:tabs>
          <w:tab w:pos="746" w:val="left" w:leader="none"/>
        </w:tabs>
        <w:spacing w:line="240" w:lineRule="auto" w:before="0" w:after="0"/>
        <w:ind w:left="745" w:right="106" w:hanging="360"/>
        <w:jc w:val="both"/>
        <w:rPr>
          <w:sz w:val="20"/>
        </w:rPr>
      </w:pPr>
      <w:r>
        <w:rPr>
          <w:sz w:val="20"/>
        </w:rPr>
        <w:t>Instituto Carlos Slim de la Salud. (2011). Manual para profesionales de la salud Diabetes Mellitus Tipo 2. México: Instituto Carlos Slim de la</w:t>
      </w:r>
      <w:r>
        <w:rPr>
          <w:spacing w:val="-14"/>
          <w:sz w:val="20"/>
        </w:rPr>
        <w:t> </w:t>
      </w:r>
      <w:r>
        <w:rPr>
          <w:sz w:val="20"/>
        </w:rPr>
        <w:t>Salud.</w:t>
      </w:r>
    </w:p>
    <w:p>
      <w:pPr>
        <w:spacing w:after="0" w:line="240" w:lineRule="auto"/>
        <w:jc w:val="both"/>
        <w:rPr>
          <w:sz w:val="20"/>
        </w:rPr>
        <w:sectPr>
          <w:pgSz w:w="12240" w:h="15840"/>
          <w:pgMar w:header="0" w:footer="1024" w:top="1500" w:bottom="1220" w:left="1600" w:right="1600"/>
        </w:sectPr>
      </w:pPr>
    </w:p>
    <w:p>
      <w:pPr>
        <w:pStyle w:val="BodyText"/>
        <w:spacing w:before="10"/>
        <w:rPr>
          <w:sz w:val="10"/>
        </w:rPr>
      </w:pPr>
    </w:p>
    <w:p>
      <w:pPr>
        <w:pStyle w:val="ListParagraph"/>
        <w:numPr>
          <w:ilvl w:val="1"/>
          <w:numId w:val="2"/>
        </w:numPr>
        <w:tabs>
          <w:tab w:pos="626" w:val="left" w:leader="none"/>
          <w:tab w:pos="8595" w:val="left" w:leader="none"/>
        </w:tabs>
        <w:spacing w:line="240" w:lineRule="auto" w:before="74" w:after="0"/>
        <w:ind w:left="625" w:right="100" w:hanging="360"/>
        <w:jc w:val="both"/>
        <w:rPr>
          <w:sz w:val="20"/>
        </w:rPr>
      </w:pPr>
      <w:r>
        <w:rPr>
          <w:sz w:val="20"/>
        </w:rPr>
        <w:t>Instituto Nacional de Estadística y Geografía. (2014). Mujeres y hombres en México 2014. Recuperado</w:t>
        <w:tab/>
        <w:t>de</w:t>
      </w:r>
    </w:p>
    <w:p>
      <w:pPr>
        <w:pStyle w:val="BodyText"/>
        <w:spacing w:line="228" w:lineRule="exact"/>
        <w:ind w:left="625"/>
      </w:pPr>
      <w:hyperlink r:id="rId16">
        <w:r>
          <w:rPr/>
          <w:t>http://www.inmujeres.gob.mx/inmujeres/images/frontpage/redes_sociales/myh_2014.pdf</w:t>
        </w:r>
      </w:hyperlink>
    </w:p>
    <w:p>
      <w:pPr>
        <w:pStyle w:val="ListParagraph"/>
        <w:numPr>
          <w:ilvl w:val="1"/>
          <w:numId w:val="2"/>
        </w:numPr>
        <w:tabs>
          <w:tab w:pos="626" w:val="left" w:leader="none"/>
        </w:tabs>
        <w:spacing w:line="240" w:lineRule="auto" w:before="0" w:after="0"/>
        <w:ind w:left="625" w:right="102" w:hanging="360"/>
        <w:jc w:val="both"/>
        <w:rPr>
          <w:sz w:val="20"/>
        </w:rPr>
      </w:pPr>
      <w:r>
        <w:rPr>
          <w:sz w:val="20"/>
        </w:rPr>
        <w:t>International Diabetes Federation. (2005). Global Guideline for Type 2 Diabetes. Belgium: Clinical Guidelines Task</w:t>
      </w:r>
      <w:r>
        <w:rPr>
          <w:spacing w:val="-9"/>
          <w:sz w:val="20"/>
        </w:rPr>
        <w:t> </w:t>
      </w:r>
      <w:r>
        <w:rPr>
          <w:sz w:val="20"/>
        </w:rPr>
        <w:t>Force.</w:t>
      </w:r>
    </w:p>
    <w:p>
      <w:pPr>
        <w:pStyle w:val="ListParagraph"/>
        <w:numPr>
          <w:ilvl w:val="1"/>
          <w:numId w:val="2"/>
        </w:numPr>
        <w:tabs>
          <w:tab w:pos="626" w:val="left" w:leader="none"/>
        </w:tabs>
        <w:spacing w:line="240" w:lineRule="auto" w:before="0" w:after="0"/>
        <w:ind w:left="625" w:right="110" w:hanging="360"/>
        <w:jc w:val="both"/>
        <w:rPr>
          <w:sz w:val="20"/>
        </w:rPr>
      </w:pPr>
      <w:r>
        <w:rPr>
          <w:sz w:val="20"/>
        </w:rPr>
        <w:t>International Diabetes Federation. (2014). Factores de Riesgo. Recuperado el 27 de mayo de 2015 de</w:t>
      </w:r>
      <w:r>
        <w:rPr>
          <w:spacing w:val="-16"/>
          <w:sz w:val="20"/>
        </w:rPr>
        <w:t> </w:t>
      </w:r>
      <w:hyperlink r:id="rId17">
        <w:r>
          <w:rPr>
            <w:sz w:val="20"/>
          </w:rPr>
          <w:t>http://www.idf.org/node/26455?language=es</w:t>
        </w:r>
      </w:hyperlink>
    </w:p>
    <w:p>
      <w:pPr>
        <w:pStyle w:val="ListParagraph"/>
        <w:numPr>
          <w:ilvl w:val="1"/>
          <w:numId w:val="2"/>
        </w:numPr>
        <w:tabs>
          <w:tab w:pos="626" w:val="left" w:leader="none"/>
        </w:tabs>
        <w:spacing w:line="240" w:lineRule="auto" w:before="0" w:after="0"/>
        <w:ind w:left="625" w:right="106" w:hanging="360"/>
        <w:jc w:val="both"/>
        <w:rPr>
          <w:sz w:val="20"/>
        </w:rPr>
      </w:pPr>
      <w:r>
        <w:rPr>
          <w:sz w:val="20"/>
        </w:rPr>
        <w:t>United Kingdom Prospective Diabetes Study Group. Effect of intensive blood glucose control with metformin on complications in overweight patients with type 2 diabetes (UKPDS 34); 352:854-865. LANCET</w:t>
      </w:r>
      <w:r>
        <w:rPr>
          <w:spacing w:val="-10"/>
          <w:sz w:val="20"/>
        </w:rPr>
        <w:t> </w:t>
      </w:r>
      <w:r>
        <w:rPr>
          <w:sz w:val="20"/>
        </w:rPr>
        <w:t>1998</w:t>
      </w:r>
    </w:p>
    <w:p>
      <w:pPr>
        <w:pStyle w:val="ListParagraph"/>
        <w:numPr>
          <w:ilvl w:val="1"/>
          <w:numId w:val="2"/>
        </w:numPr>
        <w:tabs>
          <w:tab w:pos="626" w:val="left" w:leader="none"/>
          <w:tab w:pos="4570" w:val="left" w:leader="none"/>
        </w:tabs>
        <w:spacing w:line="240" w:lineRule="auto" w:before="0" w:after="0"/>
        <w:ind w:left="625" w:right="98" w:hanging="360"/>
        <w:jc w:val="both"/>
        <w:rPr>
          <w:sz w:val="20"/>
        </w:rPr>
      </w:pPr>
      <w:r>
        <w:rPr>
          <w:sz w:val="20"/>
        </w:rPr>
        <w:t>Organización Mundial de la Salud. (2015b). Qué es la Diabetes, complicaciones de la diabetes.       </w:t>
      </w:r>
      <w:r>
        <w:rPr>
          <w:spacing w:val="25"/>
          <w:sz w:val="20"/>
        </w:rPr>
        <w:t> </w:t>
      </w:r>
      <w:r>
        <w:rPr>
          <w:sz w:val="20"/>
        </w:rPr>
        <w:t>Recuperado       </w:t>
      </w:r>
      <w:r>
        <w:rPr>
          <w:spacing w:val="25"/>
          <w:sz w:val="20"/>
        </w:rPr>
        <w:t> </w:t>
      </w:r>
      <w:r>
        <w:rPr>
          <w:sz w:val="20"/>
        </w:rPr>
        <w:t>el</w:t>
        <w:tab/>
        <w:t>27        de        mayo         de       </w:t>
      </w:r>
      <w:r>
        <w:rPr>
          <w:spacing w:val="51"/>
          <w:sz w:val="20"/>
        </w:rPr>
        <w:t> </w:t>
      </w:r>
      <w:r>
        <w:rPr>
          <w:sz w:val="20"/>
        </w:rPr>
        <w:t>2015,       </w:t>
      </w:r>
      <w:r>
        <w:rPr>
          <w:spacing w:val="27"/>
          <w:sz w:val="20"/>
        </w:rPr>
        <w:t> </w:t>
      </w:r>
      <w:r>
        <w:rPr>
          <w:sz w:val="20"/>
        </w:rPr>
        <w:t>de</w:t>
      </w:r>
      <w:r>
        <w:rPr>
          <w:w w:val="99"/>
          <w:sz w:val="20"/>
        </w:rPr>
        <w:t> </w:t>
      </w:r>
      <w:hyperlink r:id="rId18">
        <w:r>
          <w:rPr>
            <w:sz w:val="20"/>
          </w:rPr>
          <w:t>http://www.who.int/diabetes/action_online/basics/es/index3.html</w:t>
        </w:r>
      </w:hyperlink>
    </w:p>
    <w:p>
      <w:pPr>
        <w:pStyle w:val="ListParagraph"/>
        <w:numPr>
          <w:ilvl w:val="1"/>
          <w:numId w:val="2"/>
        </w:numPr>
        <w:tabs>
          <w:tab w:pos="626" w:val="left" w:leader="none"/>
        </w:tabs>
        <w:spacing w:line="240" w:lineRule="auto" w:before="0" w:after="0"/>
        <w:ind w:left="625" w:right="101" w:hanging="360"/>
        <w:jc w:val="both"/>
        <w:rPr>
          <w:sz w:val="20"/>
        </w:rPr>
      </w:pPr>
      <w:r>
        <w:rPr>
          <w:sz w:val="20"/>
        </w:rPr>
        <w:t>Otero Miyar Liudmila 2005. Brasil. Estudio cuasiexperimental, para evaluar el impacto del protocolo Staged Diabetes Management en el control metabólico de los pacientes con diabetes mellitus en la población diabética tipo 2 en Ribeirao Preto, Universidad de Sao Paulo, en el año 2004 a 2005, Rev Latino Americana de Enfermagem Vol.11 no.6 Ribeirao Preto nov. Dic.</w:t>
      </w:r>
      <w:r>
        <w:rPr>
          <w:spacing w:val="-8"/>
          <w:sz w:val="20"/>
        </w:rPr>
        <w:t> </w:t>
      </w:r>
      <w:r>
        <w:rPr>
          <w:sz w:val="20"/>
        </w:rPr>
        <w:t>2005).</w:t>
      </w:r>
    </w:p>
    <w:sectPr>
      <w:pgSz w:w="12240" w:h="15840"/>
      <w:pgMar w:header="0" w:footer="1024" w:top="1500" w:bottom="1220" w:left="172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302.529999pt;margin-top:732.827148pt;width:7.05pt;height:11pt;mso-position-horizontal-relative:page;mso-position-vertical-relative:page;z-index:-33832" type="#_x0000_t202" filled="false" stroked="false">
          <v:textbox inset="0,0,0,0">
            <w:txbxContent>
              <w:p>
                <w:pPr>
                  <w:spacing w:line="204" w:lineRule="exact" w:before="0"/>
                  <w:ind w:left="20" w:right="0" w:firstLine="0"/>
                  <w:jc w:val="left"/>
                  <w:rPr>
                    <w:sz w:val="18"/>
                  </w:rPr>
                </w:pPr>
                <w:r>
                  <w:rPr>
                    <w:w w:val="99"/>
                    <w:sz w:val="18"/>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00.130005pt;margin-top:732.827148pt;width:12.1pt;height:11pt;mso-position-horizontal-relative:page;mso-position-vertical-relative:page;z-index:-33808" type="#_x0000_t202" filled="false" stroked="false">
          <v:textbox inset="0,0,0,0">
            <w:txbxContent>
              <w:p>
                <w:pPr>
                  <w:spacing w:line="204" w:lineRule="exact" w:before="0"/>
                  <w:ind w:left="20" w:right="0" w:firstLine="0"/>
                  <w:jc w:val="left"/>
                  <w:rPr>
                    <w:sz w:val="18"/>
                  </w:rPr>
                </w:pPr>
                <w:r>
                  <w:rPr>
                    <w:sz w:val="18"/>
                  </w:rPr>
                  <w:t>43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93.170013pt;margin-top:715.015991pt;width:25.55pt;height:14pt;mso-position-horizontal-relative:page;mso-position-vertical-relative:page;z-index:-33784" type="#_x0000_t202" filled="false" stroked="false">
          <v:textbox inset="0,0,0,0">
            <w:txbxContent>
              <w:p>
                <w:pPr>
                  <w:spacing w:line="264" w:lineRule="exact" w:before="0"/>
                  <w:ind w:left="20" w:right="0" w:firstLine="0"/>
                  <w:jc w:val="left"/>
                  <w:rPr>
                    <w:rFonts w:ascii="Calibri"/>
                    <w:sz w:val="24"/>
                  </w:rPr>
                </w:pPr>
                <w:r>
                  <w:rPr>
                    <w:rFonts w:ascii="Calibri"/>
                    <w:w w:val="95"/>
                    <w:sz w:val="24"/>
                  </w:rPr>
                  <w:t>3409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92.170013pt;margin-top:729.776001pt;width:27.55pt;height:14pt;mso-position-horizontal-relative:page;mso-position-vertical-relative:page;z-index:-33760" type="#_x0000_t202" filled="false" stroked="false">
          <v:textbox inset="0,0,0,0">
            <w:txbxContent>
              <w:p>
                <w:pPr>
                  <w:spacing w:line="264" w:lineRule="exact" w:before="0"/>
                  <w:ind w:left="40" w:right="0" w:firstLine="0"/>
                  <w:jc w:val="left"/>
                  <w:rPr>
                    <w:rFonts w:ascii="Calibri"/>
                    <w:sz w:val="24"/>
                  </w:rPr>
                </w:pPr>
                <w:r>
                  <w:rPr/>
                  <w:fldChar w:fldCharType="begin"/>
                </w:r>
                <w:r>
                  <w:rPr>
                    <w:rFonts w:ascii="Calibri"/>
                    <w:sz w:val="24"/>
                  </w:rPr>
                  <w:instrText> PAGE </w:instrText>
                </w:r>
                <w:r>
                  <w:rPr/>
                  <w:fldChar w:fldCharType="separate"/>
                </w:r>
                <w:r>
                  <w:rPr/>
                  <w:t>3801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327" w:hanging="226"/>
        <w:jc w:val="left"/>
      </w:pPr>
      <w:rPr>
        <w:rFonts w:hint="default" w:ascii="Arial" w:hAnsi="Arial" w:eastAsia="Arial" w:cs="Arial"/>
        <w:b/>
        <w:bCs/>
        <w:spacing w:val="-1"/>
        <w:w w:val="99"/>
        <w:sz w:val="20"/>
        <w:szCs w:val="20"/>
      </w:rPr>
    </w:lvl>
    <w:lvl w:ilvl="1">
      <w:start w:val="1"/>
      <w:numFmt w:val="decimal"/>
      <w:lvlText w:val="%2."/>
      <w:lvlJc w:val="left"/>
      <w:pPr>
        <w:ind w:left="745" w:hanging="360"/>
        <w:jc w:val="right"/>
      </w:pPr>
      <w:rPr>
        <w:rFonts w:hint="default" w:ascii="Arial" w:hAnsi="Arial" w:eastAsia="Arial" w:cs="Arial"/>
        <w:spacing w:val="-1"/>
        <w:w w:val="99"/>
        <w:sz w:val="20"/>
        <w:szCs w:val="20"/>
      </w:rPr>
    </w:lvl>
    <w:lvl w:ilvl="2">
      <w:start w:val="1"/>
      <w:numFmt w:val="bullet"/>
      <w:lvlText w:val="•"/>
      <w:lvlJc w:val="left"/>
      <w:pPr>
        <w:ind w:left="1662" w:hanging="360"/>
      </w:pPr>
      <w:rPr>
        <w:rFonts w:hint="default"/>
      </w:rPr>
    </w:lvl>
    <w:lvl w:ilvl="3">
      <w:start w:val="1"/>
      <w:numFmt w:val="bullet"/>
      <w:lvlText w:val="•"/>
      <w:lvlJc w:val="left"/>
      <w:pPr>
        <w:ind w:left="2584" w:hanging="360"/>
      </w:pPr>
      <w:rPr>
        <w:rFonts w:hint="default"/>
      </w:rPr>
    </w:lvl>
    <w:lvl w:ilvl="4">
      <w:start w:val="1"/>
      <w:numFmt w:val="bullet"/>
      <w:lvlText w:val="•"/>
      <w:lvlJc w:val="left"/>
      <w:pPr>
        <w:ind w:left="350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51" w:hanging="360"/>
      </w:pPr>
      <w:rPr>
        <w:rFonts w:hint="default"/>
      </w:rPr>
    </w:lvl>
    <w:lvl w:ilvl="7">
      <w:start w:val="1"/>
      <w:numFmt w:val="bullet"/>
      <w:lvlText w:val="•"/>
      <w:lvlJc w:val="left"/>
      <w:pPr>
        <w:ind w:left="6273" w:hanging="360"/>
      </w:pPr>
      <w:rPr>
        <w:rFonts w:hint="default"/>
      </w:rPr>
    </w:lvl>
    <w:lvl w:ilvl="8">
      <w:start w:val="1"/>
      <w:numFmt w:val="bullet"/>
      <w:lvlText w:val="•"/>
      <w:lvlJc w:val="left"/>
      <w:pPr>
        <w:ind w:left="7195" w:hanging="360"/>
      </w:pPr>
      <w:rPr>
        <w:rFonts w:hint="default"/>
      </w:rPr>
    </w:lvl>
  </w:abstractNum>
  <w:abstractNum w:abstractNumId="0">
    <w:multiLevelType w:val="hybridMultilevel"/>
    <w:lvl w:ilvl="0">
      <w:start w:val="1"/>
      <w:numFmt w:val="decimal"/>
      <w:lvlText w:val="%1."/>
      <w:lvlJc w:val="left"/>
      <w:pPr>
        <w:ind w:left="702" w:hanging="360"/>
        <w:jc w:val="left"/>
      </w:pPr>
      <w:rPr>
        <w:rFonts w:hint="default" w:ascii="Calibri" w:hAnsi="Calibri" w:eastAsia="Calibri" w:cs="Calibri"/>
        <w:w w:val="100"/>
        <w:sz w:val="22"/>
        <w:szCs w:val="22"/>
      </w:rPr>
    </w:lvl>
    <w:lvl w:ilvl="1">
      <w:start w:val="1"/>
      <w:numFmt w:val="bullet"/>
      <w:lvlText w:val="•"/>
      <w:lvlJc w:val="left"/>
      <w:pPr>
        <w:ind w:left="151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13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70" w:hanging="360"/>
      </w:pPr>
      <w:rPr>
        <w:rFonts w:hint="default"/>
      </w:rPr>
    </w:lvl>
    <w:lvl w:ilvl="8">
      <w:start w:val="1"/>
      <w:numFmt w:val="bullet"/>
      <w:lvlText w:val="•"/>
      <w:lvlJc w:val="left"/>
      <w:pPr>
        <w:ind w:left="7180"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line="264" w:lineRule="exact"/>
      <w:ind w:left="20"/>
      <w:outlineLvl w:val="1"/>
    </w:pPr>
    <w:rPr>
      <w:rFonts w:ascii="Arial" w:hAnsi="Arial" w:eastAsia="Arial" w:cs="Arial"/>
      <w:sz w:val="24"/>
      <w:szCs w:val="24"/>
    </w:rPr>
  </w:style>
  <w:style w:styleId="Heading2" w:type="paragraph">
    <w:name w:val="Heading 2"/>
    <w:basedOn w:val="Normal"/>
    <w:uiPriority w:val="1"/>
    <w:qFormat/>
    <w:pPr>
      <w:spacing w:before="41"/>
      <w:ind w:left="701" w:hanging="360"/>
      <w:outlineLvl w:val="2"/>
    </w:pPr>
    <w:rPr>
      <w:rFonts w:ascii="Calibri" w:hAnsi="Calibri" w:eastAsia="Calibri" w:cs="Calibri"/>
      <w:sz w:val="22"/>
      <w:szCs w:val="22"/>
    </w:rPr>
  </w:style>
  <w:style w:styleId="Heading3" w:type="paragraph">
    <w:name w:val="Heading 3"/>
    <w:basedOn w:val="Normal"/>
    <w:uiPriority w:val="1"/>
    <w:qFormat/>
    <w:pPr>
      <w:ind w:left="322" w:hanging="220"/>
      <w:jc w:val="both"/>
      <w:outlineLvl w:val="3"/>
    </w:pPr>
    <w:rPr>
      <w:rFonts w:ascii="Arial" w:hAnsi="Arial" w:eastAsia="Arial" w:cs="Arial"/>
      <w:b/>
      <w:bCs/>
      <w:sz w:val="20"/>
      <w:szCs w:val="20"/>
    </w:rPr>
  </w:style>
  <w:style w:styleId="ListParagraph" w:type="paragraph">
    <w:name w:val="List Paragraph"/>
    <w:basedOn w:val="Normal"/>
    <w:uiPriority w:val="1"/>
    <w:qFormat/>
    <w:pPr>
      <w:ind w:left="745" w:hanging="360"/>
      <w:jc w:val="both"/>
    </w:pPr>
    <w:rPr>
      <w:rFonts w:ascii="Arial" w:hAnsi="Arial" w:eastAsia="Arial" w:cs="Arial"/>
    </w:rPr>
  </w:style>
  <w:style w:styleId="TableParagraph" w:type="paragraph">
    <w:name w:val="Table Paragraph"/>
    <w:basedOn w:val="Normal"/>
    <w:uiPriority w:val="1"/>
    <w:qFormat/>
    <w:pPr>
      <w:spacing w:line="227"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hyperlink" Target="http://www.idf.org/sites/default/files/SP_6E_Atlas_Full.pdf" TargetMode="External"/><Relationship Id="rId12" Type="http://schemas.openxmlformats.org/officeDocument/2006/relationships/hyperlink" Target="http://ensanut.insp.mx/doctos/ENSANUT2012_Sint_Ejec-24oct.pdf" TargetMode="External"/><Relationship Id="rId13" Type="http://schemas.openxmlformats.org/officeDocument/2006/relationships/hyperlink" Target="http://ensanut.insp.mx/informes/Hidalgo-OCT.pdf" TargetMode="External"/><Relationship Id="rId14" Type="http://schemas.openxmlformats.org/officeDocument/2006/relationships/hyperlink" Target="http://www.idf.org/sites/default/files/Atlas-poster-" TargetMode="External"/><Relationship Id="rId15" Type="http://schemas.openxmlformats.org/officeDocument/2006/relationships/hyperlink" Target="http://www.fmdiabetes.org/fmd/pag/factores.php?id=MTAx" TargetMode="External"/><Relationship Id="rId16" Type="http://schemas.openxmlformats.org/officeDocument/2006/relationships/hyperlink" Target="http://www.inmujeres.gob.mx/inmujeres/images/frontpage/redes_sociales/myh_2014.pdf" TargetMode="External"/><Relationship Id="rId17" Type="http://schemas.openxmlformats.org/officeDocument/2006/relationships/hyperlink" Target="http://www.idf.org/node/26455?language=es" TargetMode="External"/><Relationship Id="rId18" Type="http://schemas.openxmlformats.org/officeDocument/2006/relationships/hyperlink" Target="http://www.who.int/diabetes/action_online/basics/es/index3.html" TargetMode="Externa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2017-05-24T01:45:22Z</dcterms:created>
  <dcterms:modified xsi:type="dcterms:W3CDTF">2017-05-24T01:45:22Z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2017-03-01T00:00:00Z</vt:filetime>
  </property>
  <property fmtid="{D5CDD505-2E9C-101B-9397-08002B2CF9AE}" pid="3" name="Creator">
    <vt:lpwstr>Adobe Acrobat Pro DC 15.9.20079</vt:lpwstr>
  </property>
  <property fmtid="{D5CDD505-2E9C-101B-9397-08002B2CF9AE}" pid="4" name="LastSaved">
    <vt:filetime>2017-05-23T00:00:00Z</vt:filetime>
  </property>
</Properties>
</file>