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1"/>
        <w:rPr>
          <w:rFonts w:ascii="Times New Roman"/>
          <w:sz w:val="27"/>
        </w:rPr>
      </w:pPr>
    </w:p>
    <w:p>
      <w:pPr>
        <w:spacing w:before="49"/>
        <w:ind w:left="221" w:right="343" w:firstLine="0"/>
        <w:jc w:val="center"/>
        <w:rPr>
          <w:rFonts w:ascii="Times New Roman" w:hAnsi="Times New Roman"/>
          <w:sz w:val="40"/>
        </w:rPr>
      </w:pPr>
      <w:r>
        <w:rPr>
          <w:rFonts w:ascii="Times New Roman" w:hAnsi="Times New Roman"/>
          <w:sz w:val="40"/>
        </w:rPr>
        <w:t>UNIVERSIDAD AUTÓNOMA DEL ESTADO DE MÉXICO</w:t>
      </w:r>
    </w:p>
    <w:p>
      <w:pPr>
        <w:spacing w:before="38"/>
        <w:ind w:left="221" w:right="340" w:firstLine="0"/>
        <w:jc w:val="center"/>
        <w:rPr>
          <w:rFonts w:ascii="Times New Roman" w:hAnsi="Times New Roman"/>
          <w:sz w:val="28"/>
        </w:rPr>
      </w:pPr>
      <w:r>
        <w:rPr>
          <w:rFonts w:ascii="Times New Roman" w:hAnsi="Times New Roman"/>
          <w:sz w:val="28"/>
        </w:rPr>
        <w:t>FACULTAD DE CONTADURÍA Y ADMINISTRACIÓN</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r>
        <w:rPr/>
        <w:drawing>
          <wp:anchor distT="0" distB="0" distL="0" distR="0" allowOverlap="1" layoutInCell="1" locked="0" behindDoc="0" simplePos="0" relativeHeight="0">
            <wp:simplePos x="0" y="0"/>
            <wp:positionH relativeFrom="page">
              <wp:posOffset>3137915</wp:posOffset>
            </wp:positionH>
            <wp:positionV relativeFrom="paragraph">
              <wp:posOffset>239707</wp:posOffset>
            </wp:positionV>
            <wp:extent cx="1634660" cy="143256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34660" cy="1432560"/>
                    </a:xfrm>
                    <a:prstGeom prst="rect">
                      <a:avLst/>
                    </a:prstGeom>
                  </pic:spPr>
                </pic:pic>
              </a:graphicData>
            </a:graphic>
          </wp:anchor>
        </w:drawing>
      </w:r>
    </w:p>
    <w:p>
      <w:pPr>
        <w:pStyle w:val="BodyText"/>
        <w:spacing w:before="6"/>
        <w:rPr>
          <w:rFonts w:ascii="Times New Roman"/>
          <w:sz w:val="22"/>
        </w:rPr>
      </w:pPr>
    </w:p>
    <w:p>
      <w:pPr>
        <w:spacing w:line="360" w:lineRule="auto" w:before="0"/>
        <w:ind w:left="221" w:right="347" w:hanging="5"/>
        <w:jc w:val="center"/>
        <w:rPr>
          <w:rFonts w:ascii="Tahoma" w:hAnsi="Tahoma"/>
          <w:sz w:val="40"/>
        </w:rPr>
      </w:pPr>
      <w:r>
        <w:rPr>
          <w:rFonts w:ascii="Tahoma" w:hAnsi="Tahoma"/>
          <w:sz w:val="40"/>
        </w:rPr>
        <w:t>“Análisis Financiero para la Adquisición de una Unidad Médica Móvil Especializada en el</w:t>
      </w:r>
      <w:r>
        <w:rPr>
          <w:rFonts w:ascii="Tahoma" w:hAnsi="Tahoma"/>
          <w:spacing w:val="-16"/>
          <w:sz w:val="40"/>
        </w:rPr>
        <w:t> </w:t>
      </w:r>
      <w:r>
        <w:rPr>
          <w:rFonts w:ascii="Tahoma" w:hAnsi="Tahoma"/>
          <w:sz w:val="40"/>
        </w:rPr>
        <w:t>Estado de México</w:t>
      </w:r>
      <w:r>
        <w:rPr>
          <w:rFonts w:ascii="Tahoma" w:hAnsi="Tahoma"/>
          <w:spacing w:val="-6"/>
          <w:sz w:val="40"/>
        </w:rPr>
        <w:t> </w:t>
      </w:r>
      <w:r>
        <w:rPr>
          <w:rFonts w:ascii="Tahoma" w:hAnsi="Tahoma"/>
          <w:sz w:val="40"/>
        </w:rPr>
        <w:t>2014”</w:t>
      </w:r>
    </w:p>
    <w:p>
      <w:pPr>
        <w:pStyle w:val="BodyText"/>
        <w:rPr>
          <w:rFonts w:ascii="Tahoma"/>
          <w:sz w:val="40"/>
        </w:rPr>
      </w:pPr>
    </w:p>
    <w:p>
      <w:pPr>
        <w:spacing w:before="331"/>
        <w:ind w:left="221" w:right="343" w:firstLine="0"/>
        <w:jc w:val="center"/>
        <w:rPr>
          <w:rFonts w:ascii="Times New Roman"/>
          <w:sz w:val="40"/>
        </w:rPr>
      </w:pPr>
      <w:r>
        <w:rPr>
          <w:rFonts w:ascii="Times New Roman"/>
          <w:sz w:val="40"/>
        </w:rPr>
        <w:t>TRABAJO TERMINAL DE GRADO</w:t>
      </w:r>
    </w:p>
    <w:p>
      <w:pPr>
        <w:spacing w:line="320" w:lineRule="exact" w:before="38"/>
        <w:ind w:left="221" w:right="340" w:firstLine="0"/>
        <w:jc w:val="center"/>
        <w:rPr>
          <w:rFonts w:ascii="Times New Roman"/>
          <w:sz w:val="28"/>
        </w:rPr>
      </w:pPr>
      <w:r>
        <w:rPr>
          <w:rFonts w:ascii="Times New Roman"/>
          <w:sz w:val="28"/>
        </w:rPr>
        <w:t>QUE PARA OBTENER EL GRADO DE</w:t>
      </w:r>
    </w:p>
    <w:p>
      <w:pPr>
        <w:spacing w:line="412" w:lineRule="exact" w:before="0"/>
        <w:ind w:left="221" w:right="340" w:firstLine="0"/>
        <w:jc w:val="center"/>
        <w:rPr>
          <w:rFonts w:ascii="Times New Roman"/>
          <w:sz w:val="36"/>
        </w:rPr>
      </w:pPr>
      <w:r>
        <w:rPr>
          <w:rFonts w:ascii="Times New Roman"/>
          <w:sz w:val="36"/>
        </w:rPr>
        <w:t>MAESTRO EN FINANZAS</w:t>
      </w:r>
    </w:p>
    <w:p>
      <w:pPr>
        <w:pStyle w:val="BodyText"/>
        <w:rPr>
          <w:rFonts w:ascii="Times New Roman"/>
          <w:sz w:val="36"/>
        </w:rPr>
      </w:pPr>
    </w:p>
    <w:p>
      <w:pPr>
        <w:pStyle w:val="BodyText"/>
        <w:spacing w:before="5"/>
        <w:rPr>
          <w:rFonts w:ascii="Times New Roman"/>
          <w:sz w:val="39"/>
        </w:rPr>
      </w:pPr>
    </w:p>
    <w:p>
      <w:pPr>
        <w:spacing w:before="0"/>
        <w:ind w:left="221" w:right="341" w:firstLine="0"/>
        <w:jc w:val="center"/>
        <w:rPr>
          <w:rFonts w:ascii="Times New Roman"/>
          <w:sz w:val="28"/>
        </w:rPr>
      </w:pPr>
      <w:r>
        <w:rPr>
          <w:rFonts w:ascii="Times New Roman"/>
          <w:sz w:val="28"/>
        </w:rPr>
        <w:t>PRESENTA</w:t>
      </w:r>
    </w:p>
    <w:p>
      <w:pPr>
        <w:pStyle w:val="BodyText"/>
        <w:spacing w:before="9"/>
        <w:rPr>
          <w:rFonts w:ascii="Times New Roman"/>
          <w:sz w:val="31"/>
        </w:rPr>
      </w:pPr>
    </w:p>
    <w:p>
      <w:pPr>
        <w:spacing w:before="0"/>
        <w:ind w:left="221" w:right="342" w:firstLine="0"/>
        <w:jc w:val="center"/>
        <w:rPr>
          <w:rFonts w:ascii="Times New Roman" w:hAnsi="Times New Roman"/>
          <w:b/>
          <w:sz w:val="32"/>
        </w:rPr>
      </w:pPr>
      <w:r>
        <w:rPr>
          <w:rFonts w:ascii="Times New Roman" w:hAnsi="Times New Roman"/>
          <w:b/>
          <w:sz w:val="32"/>
        </w:rPr>
        <w:t>LÓPEZ SALGADO EFRAIN</w:t>
      </w:r>
    </w:p>
    <w:p>
      <w:pPr>
        <w:pStyle w:val="BodyText"/>
        <w:spacing w:before="1"/>
        <w:rPr>
          <w:rFonts w:ascii="Times New Roman"/>
          <w:b/>
          <w:sz w:val="45"/>
        </w:rPr>
      </w:pPr>
    </w:p>
    <w:p>
      <w:pPr>
        <w:spacing w:line="417" w:lineRule="auto" w:before="0"/>
        <w:ind w:left="3533" w:right="2951" w:hanging="644"/>
        <w:jc w:val="left"/>
        <w:rPr>
          <w:rFonts w:ascii="Times New Roman" w:hAnsi="Times New Roman"/>
          <w:sz w:val="18"/>
        </w:rPr>
      </w:pPr>
      <w:r>
        <w:rPr>
          <w:rFonts w:ascii="Times New Roman" w:hAnsi="Times New Roman"/>
          <w:sz w:val="18"/>
        </w:rPr>
        <w:t>M. en A. Filiberto Enrique Valdés Medina TUTOR ACADÉMICO</w:t>
      </w:r>
    </w:p>
    <w:p>
      <w:pPr>
        <w:spacing w:before="5"/>
        <w:ind w:left="0" w:right="99" w:firstLine="0"/>
        <w:jc w:val="right"/>
        <w:rPr>
          <w:rFonts w:ascii="Times New Roman"/>
          <w:sz w:val="18"/>
        </w:rPr>
      </w:pPr>
      <w:r>
        <w:rPr>
          <w:rFonts w:ascii="Times New Roman"/>
          <w:sz w:val="18"/>
        </w:rPr>
        <w:t>ENERO, 2015</w:t>
      </w:r>
    </w:p>
    <w:p>
      <w:pPr>
        <w:spacing w:after="0"/>
        <w:jc w:val="right"/>
        <w:rPr>
          <w:rFonts w:ascii="Times New Roman"/>
          <w:sz w:val="18"/>
        </w:rPr>
        <w:sectPr>
          <w:type w:val="continuous"/>
          <w:pgSz w:w="12240" w:h="15840"/>
          <w:pgMar w:top="1500" w:bottom="280" w:left="1720" w:right="1600"/>
        </w:sectPr>
      </w:pPr>
    </w:p>
    <w:p>
      <w:pPr>
        <w:pStyle w:val="BodyText"/>
        <w:spacing w:before="10"/>
        <w:rPr>
          <w:rFonts w:ascii="Times New Roman"/>
          <w:sz w:val="18"/>
        </w:rPr>
      </w:pPr>
    </w:p>
    <w:p>
      <w:pPr>
        <w:spacing w:before="55"/>
        <w:ind w:left="3577" w:right="3642" w:firstLine="0"/>
        <w:jc w:val="center"/>
        <w:rPr>
          <w:b/>
          <w:sz w:val="36"/>
        </w:rPr>
      </w:pPr>
      <w:r>
        <w:rPr>
          <w:b/>
          <w:sz w:val="36"/>
        </w:rPr>
        <w:t>Estructura Capitular</w:t>
      </w:r>
    </w:p>
    <w:p>
      <w:pPr>
        <w:pStyle w:val="BodyText"/>
        <w:spacing w:before="3"/>
        <w:rPr>
          <w:b/>
          <w:sz w:val="34"/>
        </w:rPr>
      </w:pPr>
    </w:p>
    <w:p>
      <w:pPr>
        <w:pStyle w:val="Heading1"/>
        <w:tabs>
          <w:tab w:pos="10003" w:val="left" w:leader="none"/>
        </w:tabs>
        <w:spacing w:before="0"/>
        <w:ind w:left="721"/>
        <w:jc w:val="left"/>
      </w:pPr>
      <w:r>
        <w:rPr>
          <w:w w:val="99"/>
          <w:u w:val="single"/>
        </w:rPr>
        <w:t> </w:t>
      </w:r>
      <w:r>
        <w:rPr>
          <w:u w:val="single"/>
        </w:rPr>
        <w:tab/>
      </w:r>
      <w:r>
        <w:rPr/>
        <w:t> </w:t>
      </w:r>
      <w:r>
        <w:rPr>
          <w:spacing w:val="-32"/>
        </w:rPr>
        <w:t> </w:t>
      </w:r>
      <w:r>
        <w:rPr/>
        <w:t>Pag.</w:t>
      </w:r>
    </w:p>
    <w:p>
      <w:pPr>
        <w:spacing w:before="58"/>
        <w:ind w:left="3278" w:right="3642" w:firstLine="0"/>
        <w:jc w:val="center"/>
        <w:rPr>
          <w:b/>
          <w:sz w:val="40"/>
        </w:rPr>
      </w:pPr>
      <w:r>
        <w:rPr/>
        <w:pict>
          <v:line style="position:absolute;mso-position-horizontal-relative:page;mso-position-vertical-relative:paragraph;z-index:1048;mso-wrap-distance-left:0;mso-wrap-distance-right:0" from="85.079994pt,28.439743pt" to="545.879984pt,28.439743pt" stroked="true" strokeweight=".84pt" strokecolor="#000000">
            <w10:wrap type="topAndBottom"/>
          </v:line>
        </w:pict>
      </w:r>
      <w:r>
        <w:rPr>
          <w:b/>
          <w:sz w:val="40"/>
        </w:rPr>
        <w:t>ÍNDICE</w:t>
      </w:r>
    </w:p>
    <w:p>
      <w:pPr>
        <w:pStyle w:val="BodyText"/>
        <w:rPr>
          <w:b/>
          <w:sz w:val="20"/>
        </w:rPr>
      </w:pPr>
    </w:p>
    <w:p>
      <w:pPr>
        <w:pStyle w:val="Heading1"/>
        <w:spacing w:before="185"/>
        <w:ind w:left="791"/>
        <w:jc w:val="left"/>
      </w:pPr>
      <w:r>
        <w:rPr/>
        <w:t>Introducción</w:t>
      </w:r>
    </w:p>
    <w:p>
      <w:pPr>
        <w:pStyle w:val="BodyText"/>
        <w:spacing w:before="6"/>
        <w:rPr>
          <w:b/>
          <w:sz w:val="25"/>
        </w:rPr>
      </w:pPr>
      <w:r>
        <w:rPr/>
        <w:pict>
          <v:line style="position:absolute;mso-position-horizontal-relative:page;mso-position-vertical-relative:paragraph;z-index:1072;mso-wrap-distance-left:0;mso-wrap-distance-right:0" from="85.079994pt,17.077015pt" to="545.639984pt,17.077015pt" stroked="true" strokeweight=".84pt" strokecolor="#000000">
            <w10:wrap type="topAndBottom"/>
          </v:line>
        </w:pict>
      </w:r>
    </w:p>
    <w:p>
      <w:pPr>
        <w:spacing w:before="55"/>
        <w:ind w:left="791" w:right="0" w:firstLine="0"/>
        <w:jc w:val="left"/>
        <w:rPr>
          <w:b/>
          <w:sz w:val="24"/>
        </w:rPr>
      </w:pPr>
      <w:r>
        <w:rPr>
          <w:b/>
          <w:sz w:val="24"/>
        </w:rPr>
        <w:t>CAPÍTULO I MARCO TEÓRICO</w:t>
      </w:r>
    </w:p>
    <w:sdt>
      <w:sdtPr>
        <w:docPartObj>
          <w:docPartGallery w:val="Table of Contents"/>
          <w:docPartUnique/>
        </w:docPartObj>
      </w:sdtPr>
      <w:sdtEndPr/>
      <w:sdtContent>
        <w:p>
          <w:pPr>
            <w:pStyle w:val="TOC5"/>
            <w:numPr>
              <w:ilvl w:val="1"/>
              <w:numId w:val="1"/>
            </w:numPr>
            <w:tabs>
              <w:tab w:pos="792" w:val="left" w:leader="none"/>
              <w:tab w:pos="10297" w:val="left" w:leader="none"/>
            </w:tabs>
            <w:spacing w:line="240" w:lineRule="auto" w:before="92" w:after="0"/>
            <w:ind w:left="791" w:right="0" w:hanging="473"/>
            <w:jc w:val="left"/>
            <w:rPr>
              <w:rFonts w:ascii="Calibri"/>
              <w:b w:val="0"/>
            </w:rPr>
          </w:pPr>
          <w:r>
            <w:rPr/>
            <w:pict>
              <v:line style="position:absolute;mso-position-horizontal-relative:page;mso-position-vertical-relative:paragraph;z-index:1120" from="85.079994pt,.505788pt" to="545.639984pt,.505788pt" stroked="true" strokeweight=".84pt" strokecolor="#000000">
                <w10:wrap type="none"/>
              </v:line>
            </w:pict>
          </w:r>
          <w:r>
            <w:rPr/>
            <w:drawing>
              <wp:anchor distT="0" distB="0" distL="0" distR="0" allowOverlap="1" layoutInCell="1" locked="0" behindDoc="1" simplePos="0" relativeHeight="268255631">
                <wp:simplePos x="0" y="0"/>
                <wp:positionH relativeFrom="page">
                  <wp:posOffset>1080516</wp:posOffset>
                </wp:positionH>
                <wp:positionV relativeFrom="paragraph">
                  <wp:posOffset>243405</wp:posOffset>
                </wp:positionV>
                <wp:extent cx="5849111" cy="4571"/>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15">
            <w:r>
              <w:rPr/>
              <w:t>Concepto</w:t>
            </w:r>
            <w:r>
              <w:rPr>
                <w:spacing w:val="-3"/>
              </w:rPr>
              <w:t> </w:t>
            </w:r>
            <w:r>
              <w:rPr/>
              <w:t>de</w:t>
            </w:r>
            <w:r>
              <w:rPr>
                <w:spacing w:val="-2"/>
              </w:rPr>
              <w:t> </w:t>
            </w:r>
            <w:r>
              <w:rPr/>
              <w:t>Finanzas</w:t>
            </w:r>
            <w:r>
              <w:rPr>
                <w:rFonts w:ascii="Calibri"/>
                <w:b w:val="0"/>
                <w:position w:val="1"/>
              </w:rPr>
              <w:tab/>
              <w:t>1</w:t>
            </w:r>
          </w:hyperlink>
        </w:p>
        <w:p>
          <w:pPr>
            <w:pStyle w:val="TOC5"/>
            <w:numPr>
              <w:ilvl w:val="1"/>
              <w:numId w:val="1"/>
            </w:numPr>
            <w:tabs>
              <w:tab w:pos="792" w:val="left" w:leader="none"/>
              <w:tab w:pos="10297" w:val="left" w:leader="none"/>
            </w:tabs>
            <w:spacing w:line="240" w:lineRule="auto" w:before="76" w:after="0"/>
            <w:ind w:left="791" w:right="0" w:hanging="473"/>
            <w:jc w:val="left"/>
            <w:rPr>
              <w:rFonts w:ascii="Calibri"/>
              <w:b w:val="0"/>
            </w:rPr>
          </w:pPr>
          <w:r>
            <w:rPr/>
            <w:drawing>
              <wp:anchor distT="0" distB="0" distL="0" distR="0" allowOverlap="1" layoutInCell="1" locked="0" behindDoc="1" simplePos="0" relativeHeight="268255655">
                <wp:simplePos x="0" y="0"/>
                <wp:positionH relativeFrom="page">
                  <wp:posOffset>1080516</wp:posOffset>
                </wp:positionH>
                <wp:positionV relativeFrom="paragraph">
                  <wp:posOffset>233245</wp:posOffset>
                </wp:positionV>
                <wp:extent cx="5849111" cy="4571"/>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6" cstate="print"/>
                        <a:stretch>
                          <a:fillRect/>
                        </a:stretch>
                      </pic:blipFill>
                      <pic:spPr>
                        <a:xfrm>
                          <a:off x="0" y="0"/>
                          <a:ext cx="5849111" cy="4571"/>
                        </a:xfrm>
                        <a:prstGeom prst="rect">
                          <a:avLst/>
                        </a:prstGeom>
                      </pic:spPr>
                    </pic:pic>
                  </a:graphicData>
                </a:graphic>
              </wp:anchor>
            </w:drawing>
          </w:r>
          <w:r>
            <w:rPr/>
            <w:t>Concepto de</w:t>
          </w:r>
          <w:r>
            <w:rPr>
              <w:spacing w:val="-5"/>
            </w:rPr>
            <w:t> </w:t>
          </w:r>
          <w:r>
            <w:rPr/>
            <w:t>Finanzas</w:t>
          </w:r>
          <w:r>
            <w:rPr>
              <w:spacing w:val="-2"/>
            </w:rPr>
            <w:t> </w:t>
          </w:r>
          <w:r>
            <w:rPr/>
            <w:t>Publicas</w:t>
          </w:r>
          <w:r>
            <w:rPr>
              <w:rFonts w:ascii="Calibri"/>
              <w:b w:val="0"/>
              <w:position w:val="1"/>
            </w:rPr>
            <w:tab/>
            <w:t>2</w:t>
          </w:r>
        </w:p>
        <w:p>
          <w:pPr>
            <w:pStyle w:val="TOC5"/>
            <w:numPr>
              <w:ilvl w:val="1"/>
              <w:numId w:val="1"/>
            </w:numPr>
            <w:tabs>
              <w:tab w:pos="792" w:val="left" w:leader="none"/>
              <w:tab w:pos="10297" w:val="left" w:leader="none"/>
            </w:tabs>
            <w:spacing w:line="240" w:lineRule="auto" w:before="76" w:after="0"/>
            <w:ind w:left="791" w:right="0" w:hanging="473"/>
            <w:jc w:val="left"/>
            <w:rPr>
              <w:rFonts w:ascii="Calibri" w:hAnsi="Calibri"/>
              <w:b w:val="0"/>
            </w:rPr>
          </w:pPr>
          <w:r>
            <w:rPr/>
            <w:drawing>
              <wp:anchor distT="0" distB="0" distL="0" distR="0" allowOverlap="1" layoutInCell="1" locked="0" behindDoc="1" simplePos="0" relativeHeight="268255679">
                <wp:simplePos x="0" y="0"/>
                <wp:positionH relativeFrom="page">
                  <wp:posOffset>1080516</wp:posOffset>
                </wp:positionH>
                <wp:positionV relativeFrom="paragraph">
                  <wp:posOffset>233245</wp:posOffset>
                </wp:positionV>
                <wp:extent cx="5849111" cy="4571"/>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14">
            <w:r>
              <w:rPr/>
              <w:t>Gestión</w:t>
            </w:r>
            <w:r>
              <w:rPr>
                <w:spacing w:val="-4"/>
              </w:rPr>
              <w:t> </w:t>
            </w:r>
            <w:r>
              <w:rPr/>
              <w:t>Financiera</w:t>
            </w:r>
            <w:r>
              <w:rPr>
                <w:rFonts w:ascii="Calibri" w:hAnsi="Calibri"/>
                <w:b w:val="0"/>
                <w:position w:val="1"/>
              </w:rPr>
              <w:tab/>
              <w:t>2</w:t>
            </w:r>
          </w:hyperlink>
        </w:p>
        <w:p>
          <w:pPr>
            <w:pStyle w:val="TOC5"/>
            <w:numPr>
              <w:ilvl w:val="1"/>
              <w:numId w:val="1"/>
            </w:numPr>
            <w:tabs>
              <w:tab w:pos="792" w:val="left" w:leader="none"/>
              <w:tab w:pos="10297" w:val="left" w:leader="none"/>
            </w:tabs>
            <w:spacing w:line="240" w:lineRule="auto" w:before="76" w:after="0"/>
            <w:ind w:left="791" w:right="0" w:hanging="473"/>
            <w:jc w:val="left"/>
            <w:rPr>
              <w:rFonts w:ascii="Calibri"/>
              <w:b w:val="0"/>
            </w:rPr>
          </w:pPr>
          <w:r>
            <w:rPr/>
            <w:drawing>
              <wp:anchor distT="0" distB="0" distL="0" distR="0" allowOverlap="1" layoutInCell="1" locked="0" behindDoc="1" simplePos="0" relativeHeight="268255703">
                <wp:simplePos x="0" y="0"/>
                <wp:positionH relativeFrom="page">
                  <wp:posOffset>1080516</wp:posOffset>
                </wp:positionH>
                <wp:positionV relativeFrom="paragraph">
                  <wp:posOffset>233245</wp:posOffset>
                </wp:positionV>
                <wp:extent cx="5849111" cy="4571"/>
                <wp:effectExtent l="0" t="0" r="0" b="0"/>
                <wp:wrapNone/>
                <wp:docPr id="9" name="image2.png" descr=""/>
                <wp:cNvGraphicFramePr>
                  <a:graphicFrameLocks noChangeAspect="1"/>
                </wp:cNvGraphicFramePr>
                <a:graphic>
                  <a:graphicData uri="http://schemas.openxmlformats.org/drawingml/2006/picture">
                    <pic:pic>
                      <pic:nvPicPr>
                        <pic:cNvPr id="10"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13">
            <w:r>
              <w:rPr/>
              <w:t>Concepto</w:t>
            </w:r>
            <w:r>
              <w:rPr>
                <w:spacing w:val="-4"/>
              </w:rPr>
              <w:t> </w:t>
            </w:r>
            <w:r>
              <w:rPr/>
              <w:t>Proyecto</w:t>
            </w:r>
            <w:r>
              <w:rPr>
                <w:rFonts w:ascii="Calibri"/>
                <w:b w:val="0"/>
                <w:position w:val="1"/>
              </w:rPr>
              <w:tab/>
              <w:t>2</w:t>
            </w:r>
          </w:hyperlink>
        </w:p>
        <w:p>
          <w:pPr>
            <w:pStyle w:val="TOC5"/>
            <w:numPr>
              <w:ilvl w:val="1"/>
              <w:numId w:val="1"/>
            </w:numPr>
            <w:tabs>
              <w:tab w:pos="792" w:val="left" w:leader="none"/>
              <w:tab w:pos="10297" w:val="left" w:leader="none"/>
            </w:tabs>
            <w:spacing w:line="240" w:lineRule="auto" w:before="76" w:after="0"/>
            <w:ind w:left="791" w:right="0" w:hanging="473"/>
            <w:jc w:val="left"/>
            <w:rPr>
              <w:rFonts w:ascii="Calibri" w:hAnsi="Calibri"/>
              <w:b w:val="0"/>
            </w:rPr>
          </w:pPr>
          <w:r>
            <w:rPr/>
            <w:drawing>
              <wp:anchor distT="0" distB="0" distL="0" distR="0" allowOverlap="1" layoutInCell="1" locked="0" behindDoc="1" simplePos="0" relativeHeight="268255727">
                <wp:simplePos x="0" y="0"/>
                <wp:positionH relativeFrom="page">
                  <wp:posOffset>1080516</wp:posOffset>
                </wp:positionH>
                <wp:positionV relativeFrom="paragraph">
                  <wp:posOffset>233245</wp:posOffset>
                </wp:positionV>
                <wp:extent cx="5849111" cy="4571"/>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6" cstate="print"/>
                        <a:stretch>
                          <a:fillRect/>
                        </a:stretch>
                      </pic:blipFill>
                      <pic:spPr>
                        <a:xfrm>
                          <a:off x="0" y="0"/>
                          <a:ext cx="5849111" cy="4571"/>
                        </a:xfrm>
                        <a:prstGeom prst="rect">
                          <a:avLst/>
                        </a:prstGeom>
                      </pic:spPr>
                    </pic:pic>
                  </a:graphicData>
                </a:graphic>
              </wp:anchor>
            </w:drawing>
          </w:r>
          <w:r>
            <w:rPr/>
            <w:t>Concepto de proyecto de</w:t>
          </w:r>
          <w:r>
            <w:rPr>
              <w:spacing w:val="-11"/>
            </w:rPr>
            <w:t> </w:t>
          </w:r>
          <w:r>
            <w:rPr/>
            <w:t>inversión</w:t>
          </w:r>
          <w:r>
            <w:rPr>
              <w:spacing w:val="-4"/>
            </w:rPr>
            <w:t> </w:t>
          </w:r>
          <w:r>
            <w:rPr/>
            <w:t>publica</w:t>
          </w:r>
          <w:r>
            <w:rPr>
              <w:rFonts w:ascii="Calibri" w:hAnsi="Calibri"/>
              <w:b w:val="0"/>
              <w:position w:val="1"/>
            </w:rPr>
            <w:tab/>
            <w:t>2</w:t>
          </w:r>
        </w:p>
        <w:p>
          <w:pPr>
            <w:pStyle w:val="TOC5"/>
            <w:numPr>
              <w:ilvl w:val="1"/>
              <w:numId w:val="1"/>
            </w:numPr>
            <w:tabs>
              <w:tab w:pos="792" w:val="left" w:leader="none"/>
              <w:tab w:pos="10297" w:val="left" w:leader="none"/>
            </w:tabs>
            <w:spacing w:line="240" w:lineRule="auto" w:before="76" w:after="0"/>
            <w:ind w:left="791" w:right="0" w:hanging="473"/>
            <w:jc w:val="left"/>
            <w:rPr>
              <w:rFonts w:ascii="Calibri"/>
              <w:b w:val="0"/>
            </w:rPr>
          </w:pPr>
          <w:r>
            <w:rPr/>
            <w:drawing>
              <wp:anchor distT="0" distB="0" distL="0" distR="0" allowOverlap="1" layoutInCell="1" locked="0" behindDoc="1" simplePos="0" relativeHeight="268255751">
                <wp:simplePos x="0" y="0"/>
                <wp:positionH relativeFrom="page">
                  <wp:posOffset>1080516</wp:posOffset>
                </wp:positionH>
                <wp:positionV relativeFrom="paragraph">
                  <wp:posOffset>233245</wp:posOffset>
                </wp:positionV>
                <wp:extent cx="5849111" cy="4571"/>
                <wp:effectExtent l="0" t="0" r="0" b="0"/>
                <wp:wrapNone/>
                <wp:docPr id="13" name="image2.png" descr=""/>
                <wp:cNvGraphicFramePr>
                  <a:graphicFrameLocks noChangeAspect="1"/>
                </wp:cNvGraphicFramePr>
                <a:graphic>
                  <a:graphicData uri="http://schemas.openxmlformats.org/drawingml/2006/picture">
                    <pic:pic>
                      <pic:nvPicPr>
                        <pic:cNvPr id="14"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12">
            <w:r>
              <w:rPr/>
              <w:t>Tipos</w:t>
            </w:r>
            <w:r>
              <w:rPr>
                <w:spacing w:val="-2"/>
              </w:rPr>
              <w:t> </w:t>
            </w:r>
            <w:r>
              <w:rPr/>
              <w:t>de</w:t>
            </w:r>
            <w:r>
              <w:rPr>
                <w:spacing w:val="-2"/>
              </w:rPr>
              <w:t> </w:t>
            </w:r>
            <w:r>
              <w:rPr/>
              <w:t>Proyectos</w:t>
            </w:r>
            <w:r>
              <w:rPr>
                <w:rFonts w:ascii="Calibri"/>
                <w:b w:val="0"/>
                <w:position w:val="1"/>
              </w:rPr>
              <w:tab/>
              <w:t>3</w:t>
            </w:r>
          </w:hyperlink>
        </w:p>
        <w:p>
          <w:pPr>
            <w:pStyle w:val="TOC5"/>
            <w:numPr>
              <w:ilvl w:val="1"/>
              <w:numId w:val="1"/>
            </w:numPr>
            <w:tabs>
              <w:tab w:pos="792" w:val="left" w:leader="none"/>
              <w:tab w:pos="10297" w:val="left" w:leader="none"/>
            </w:tabs>
            <w:spacing w:line="240" w:lineRule="auto" w:before="79" w:after="0"/>
            <w:ind w:left="791" w:right="0" w:hanging="473"/>
            <w:jc w:val="left"/>
            <w:rPr>
              <w:rFonts w:ascii="Calibri"/>
              <w:b w:val="0"/>
            </w:rPr>
          </w:pPr>
          <w:r>
            <w:rPr/>
            <w:drawing>
              <wp:anchor distT="0" distB="0" distL="0" distR="0" allowOverlap="1" layoutInCell="1" locked="0" behindDoc="1" simplePos="0" relativeHeight="268255775">
                <wp:simplePos x="0" y="0"/>
                <wp:positionH relativeFrom="page">
                  <wp:posOffset>1080516</wp:posOffset>
                </wp:positionH>
                <wp:positionV relativeFrom="paragraph">
                  <wp:posOffset>235150</wp:posOffset>
                </wp:positionV>
                <wp:extent cx="5849111" cy="4571"/>
                <wp:effectExtent l="0" t="0" r="0" b="0"/>
                <wp:wrapNone/>
                <wp:docPr id="15" name="image2.png" descr=""/>
                <wp:cNvGraphicFramePr>
                  <a:graphicFrameLocks noChangeAspect="1"/>
                </wp:cNvGraphicFramePr>
                <a:graphic>
                  <a:graphicData uri="http://schemas.openxmlformats.org/drawingml/2006/picture">
                    <pic:pic>
                      <pic:nvPicPr>
                        <pic:cNvPr id="16"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11">
            <w:r>
              <w:rPr/>
              <w:t>Ciclo</w:t>
            </w:r>
            <w:r>
              <w:rPr>
                <w:spacing w:val="-3"/>
              </w:rPr>
              <w:t> </w:t>
            </w:r>
            <w:r>
              <w:rPr/>
              <w:t>del</w:t>
            </w:r>
            <w:r>
              <w:rPr>
                <w:spacing w:val="-5"/>
              </w:rPr>
              <w:t> </w:t>
            </w:r>
            <w:r>
              <w:rPr/>
              <w:t>Proyecto</w:t>
            </w:r>
            <w:r>
              <w:rPr>
                <w:rFonts w:ascii="Calibri"/>
                <w:b w:val="0"/>
                <w:position w:val="1"/>
              </w:rPr>
              <w:tab/>
              <w:t>4</w:t>
            </w:r>
          </w:hyperlink>
        </w:p>
        <w:p>
          <w:pPr>
            <w:pStyle w:val="TOC7"/>
            <w:tabs>
              <w:tab w:pos="9923" w:val="left" w:leader="none"/>
            </w:tabs>
          </w:pPr>
          <w:hyperlink w:history="true" w:anchor="_TOC_250010">
            <w:r>
              <w:rPr>
                <w:spacing w:val="3"/>
                <w:w w:val="99"/>
                <w:u w:val="single"/>
              </w:rPr>
              <w:t> </w:t>
            </w:r>
            <w:r>
              <w:rPr>
                <w:u w:val="single"/>
              </w:rPr>
              <w:t>CAPÍTULO II  MARCO</w:t>
            </w:r>
            <w:r>
              <w:rPr>
                <w:spacing w:val="-16"/>
                <w:u w:val="single"/>
              </w:rPr>
              <w:t> </w:t>
            </w:r>
            <w:r>
              <w:rPr>
                <w:u w:val="single"/>
              </w:rPr>
              <w:t>CONTEXTUAL</w:t>
              <w:tab/>
            </w:r>
          </w:hyperlink>
        </w:p>
        <w:p>
          <w:pPr>
            <w:pStyle w:val="TOC5"/>
            <w:numPr>
              <w:ilvl w:val="1"/>
              <w:numId w:val="2"/>
            </w:numPr>
            <w:tabs>
              <w:tab w:pos="858" w:val="left" w:leader="none"/>
              <w:tab w:pos="859" w:val="left" w:leader="none"/>
              <w:tab w:pos="10290" w:val="left" w:leader="none"/>
            </w:tabs>
            <w:spacing w:line="240" w:lineRule="auto" w:before="103" w:after="0"/>
            <w:ind w:left="858" w:right="0" w:hanging="540"/>
            <w:jc w:val="left"/>
            <w:rPr>
              <w:b w:val="0"/>
            </w:rPr>
          </w:pPr>
          <w:r>
            <w:rPr/>
            <w:drawing>
              <wp:anchor distT="0" distB="0" distL="0" distR="0" allowOverlap="1" layoutInCell="1" locked="0" behindDoc="0" simplePos="0" relativeHeight="1312">
                <wp:simplePos x="0" y="0"/>
                <wp:positionH relativeFrom="page">
                  <wp:posOffset>1080516</wp:posOffset>
                </wp:positionH>
                <wp:positionV relativeFrom="paragraph">
                  <wp:posOffset>241882</wp:posOffset>
                </wp:positionV>
                <wp:extent cx="5849111" cy="4571"/>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9">
            <w:r>
              <w:rPr/>
              <w:t>Sistemas</w:t>
            </w:r>
            <w:r>
              <w:rPr>
                <w:spacing w:val="-3"/>
              </w:rPr>
              <w:t> </w:t>
            </w:r>
            <w:r>
              <w:rPr/>
              <w:t>de</w:t>
            </w:r>
            <w:r>
              <w:rPr>
                <w:spacing w:val="-3"/>
              </w:rPr>
              <w:t> </w:t>
            </w:r>
            <w:r>
              <w:rPr/>
              <w:t>Salud</w:t>
            </w:r>
            <w:r>
              <w:rPr>
                <w:b w:val="0"/>
              </w:rPr>
              <w:tab/>
              <w:t>6</w:t>
            </w:r>
          </w:hyperlink>
        </w:p>
        <w:p>
          <w:pPr>
            <w:pStyle w:val="TOC5"/>
            <w:numPr>
              <w:ilvl w:val="1"/>
              <w:numId w:val="2"/>
            </w:numPr>
            <w:tabs>
              <w:tab w:pos="792" w:val="left" w:leader="none"/>
              <w:tab w:pos="10290" w:val="left" w:leader="none"/>
            </w:tabs>
            <w:spacing w:line="240" w:lineRule="auto" w:before="93" w:after="0"/>
            <w:ind w:left="791" w:right="0" w:hanging="473"/>
            <w:jc w:val="left"/>
            <w:rPr>
              <w:b w:val="0"/>
            </w:rPr>
          </w:pPr>
          <w:r>
            <w:rPr/>
            <w:drawing>
              <wp:anchor distT="0" distB="0" distL="0" distR="0" allowOverlap="1" layoutInCell="1" locked="0" behindDoc="0" simplePos="0" relativeHeight="1336">
                <wp:simplePos x="0" y="0"/>
                <wp:positionH relativeFrom="page">
                  <wp:posOffset>1080516</wp:posOffset>
                </wp:positionH>
                <wp:positionV relativeFrom="paragraph">
                  <wp:posOffset>235532</wp:posOffset>
                </wp:positionV>
                <wp:extent cx="5849111" cy="4571"/>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8">
            <w:r>
              <w:rPr/>
              <w:t>Niveles de</w:t>
            </w:r>
            <w:r>
              <w:rPr>
                <w:spacing w:val="-6"/>
              </w:rPr>
              <w:t> </w:t>
            </w:r>
            <w:r>
              <w:rPr/>
              <w:t>atención</w:t>
            </w:r>
            <w:r>
              <w:rPr>
                <w:spacing w:val="-5"/>
              </w:rPr>
              <w:t> </w:t>
            </w:r>
            <w:r>
              <w:rPr/>
              <w:t>médica</w:t>
            </w:r>
            <w:r>
              <w:rPr>
                <w:b w:val="0"/>
              </w:rPr>
              <w:tab/>
              <w:t>7</w:t>
            </w:r>
          </w:hyperlink>
        </w:p>
        <w:p>
          <w:pPr>
            <w:pStyle w:val="TOC1"/>
            <w:numPr>
              <w:ilvl w:val="2"/>
              <w:numId w:val="2"/>
            </w:numPr>
            <w:tabs>
              <w:tab w:pos="858" w:val="left" w:leader="none"/>
              <w:tab w:pos="859" w:val="left" w:leader="none"/>
              <w:tab w:pos="10290" w:val="left" w:leader="none"/>
            </w:tabs>
            <w:spacing w:line="240" w:lineRule="auto" w:before="93" w:after="0"/>
            <w:ind w:left="858" w:right="0" w:hanging="739"/>
            <w:jc w:val="left"/>
            <w:rPr>
              <w:b w:val="0"/>
            </w:rPr>
          </w:pPr>
          <w:r>
            <w:rPr/>
            <w:drawing>
              <wp:anchor distT="0" distB="0" distL="0" distR="0" allowOverlap="1" layoutInCell="1" locked="0" behindDoc="0" simplePos="0" relativeHeight="1360">
                <wp:simplePos x="0" y="0"/>
                <wp:positionH relativeFrom="page">
                  <wp:posOffset>1080516</wp:posOffset>
                </wp:positionH>
                <wp:positionV relativeFrom="paragraph">
                  <wp:posOffset>235532</wp:posOffset>
                </wp:positionV>
                <wp:extent cx="5849111" cy="4571"/>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7">
            <w:r>
              <w:rPr/>
              <w:t>Primer nivel</w:t>
            </w:r>
            <w:r>
              <w:rPr>
                <w:spacing w:val="-8"/>
              </w:rPr>
              <w:t> </w:t>
            </w:r>
            <w:r>
              <w:rPr/>
              <w:t>de</w:t>
            </w:r>
            <w:r>
              <w:rPr>
                <w:spacing w:val="-3"/>
              </w:rPr>
              <w:t> </w:t>
            </w:r>
            <w:r>
              <w:rPr/>
              <w:t>atención</w:t>
            </w:r>
            <w:r>
              <w:rPr>
                <w:b w:val="0"/>
              </w:rPr>
              <w:tab/>
              <w:t>7</w:t>
            </w:r>
          </w:hyperlink>
        </w:p>
        <w:p>
          <w:pPr>
            <w:pStyle w:val="TOC1"/>
            <w:numPr>
              <w:ilvl w:val="2"/>
              <w:numId w:val="2"/>
            </w:numPr>
            <w:tabs>
              <w:tab w:pos="722" w:val="left" w:leader="none"/>
              <w:tab w:pos="9921" w:val="left" w:leader="none"/>
              <w:tab w:pos="10290" w:val="left" w:leader="none"/>
            </w:tabs>
            <w:spacing w:line="240" w:lineRule="auto" w:before="96" w:after="0"/>
            <w:ind w:left="721" w:right="0" w:hanging="602"/>
            <w:jc w:val="left"/>
            <w:rPr>
              <w:b w:val="0"/>
            </w:rPr>
          </w:pPr>
          <w:hyperlink w:history="true" w:anchor="_TOC_250006">
            <w:r>
              <w:rPr>
                <w:w w:val="99"/>
                <w:u w:val="single"/>
              </w:rPr>
              <w:t> </w:t>
            </w:r>
            <w:r>
              <w:rPr>
                <w:spacing w:val="3"/>
                <w:u w:val="single"/>
              </w:rPr>
              <w:t> </w:t>
            </w:r>
            <w:r>
              <w:rPr>
                <w:u w:val="single"/>
              </w:rPr>
              <w:t>Segundo nivel</w:t>
            </w:r>
            <w:r>
              <w:rPr>
                <w:spacing w:val="-7"/>
                <w:u w:val="single"/>
              </w:rPr>
              <w:t> </w:t>
            </w:r>
            <w:r>
              <w:rPr>
                <w:u w:val="single"/>
              </w:rPr>
              <w:t>de</w:t>
            </w:r>
            <w:r>
              <w:rPr>
                <w:spacing w:val="-3"/>
                <w:u w:val="single"/>
              </w:rPr>
              <w:t> </w:t>
            </w:r>
            <w:r>
              <w:rPr>
                <w:u w:val="single"/>
              </w:rPr>
              <w:t>atención</w:t>
              <w:tab/>
            </w:r>
            <w:r>
              <w:rPr>
                <w:b w:val="0"/>
              </w:rPr>
              <w:tab/>
              <w:t>7</w:t>
            </w:r>
          </w:hyperlink>
        </w:p>
        <w:p>
          <w:pPr>
            <w:pStyle w:val="TOC4"/>
            <w:tabs>
              <w:tab w:pos="9920" w:val="left" w:leader="none"/>
              <w:tab w:pos="10304" w:val="left" w:leader="none"/>
            </w:tabs>
            <w:rPr>
              <w:rFonts w:ascii="Times New Roman" w:hAnsi="Times New Roman"/>
              <w:b w:val="0"/>
              <w:i w:val="0"/>
              <w:sz w:val="24"/>
            </w:rPr>
          </w:pPr>
          <w:r>
            <w:rPr>
              <w:b w:val="0"/>
              <w:i w:val="0"/>
              <w:position w:val="4"/>
              <w:sz w:val="24"/>
            </w:rPr>
            <w:t>.2.3   </w:t>
          </w:r>
          <w:r>
            <w:rPr>
              <w:i w:val="0"/>
              <w:sz w:val="24"/>
              <w:u w:val="single"/>
            </w:rPr>
            <w:t>Tercer nivel</w:t>
          </w:r>
          <w:r>
            <w:rPr>
              <w:i w:val="0"/>
              <w:spacing w:val="-38"/>
              <w:sz w:val="24"/>
              <w:u w:val="single"/>
            </w:rPr>
            <w:t> </w:t>
          </w:r>
          <w:r>
            <w:rPr>
              <w:i w:val="0"/>
              <w:sz w:val="24"/>
              <w:u w:val="single"/>
            </w:rPr>
            <w:t>de</w:t>
          </w:r>
          <w:r>
            <w:rPr>
              <w:i w:val="0"/>
              <w:spacing w:val="-2"/>
              <w:sz w:val="24"/>
              <w:u w:val="single"/>
            </w:rPr>
            <w:t> </w:t>
          </w:r>
          <w:r>
            <w:rPr>
              <w:i w:val="0"/>
              <w:sz w:val="24"/>
              <w:u w:val="single"/>
            </w:rPr>
            <w:t>atención</w:t>
            <w:tab/>
          </w:r>
          <w:r>
            <w:rPr>
              <w:rFonts w:ascii="Times New Roman" w:hAnsi="Times New Roman"/>
              <w:b w:val="0"/>
              <w:i w:val="0"/>
              <w:sz w:val="24"/>
            </w:rPr>
            <w:tab/>
            <w:t>8</w:t>
          </w:r>
        </w:p>
        <w:p>
          <w:pPr>
            <w:pStyle w:val="TOC5"/>
            <w:numPr>
              <w:ilvl w:val="1"/>
              <w:numId w:val="3"/>
            </w:numPr>
            <w:tabs>
              <w:tab w:pos="858" w:val="left" w:leader="none"/>
              <w:tab w:pos="859" w:val="left" w:leader="none"/>
              <w:tab w:pos="10297" w:val="left" w:leader="none"/>
            </w:tabs>
            <w:spacing w:line="240" w:lineRule="auto" w:before="88" w:after="0"/>
            <w:ind w:left="858" w:right="0" w:hanging="540"/>
            <w:jc w:val="left"/>
            <w:rPr>
              <w:rFonts w:ascii="Calibri" w:hAnsi="Calibri"/>
              <w:b w:val="0"/>
            </w:rPr>
          </w:pPr>
          <w:r>
            <w:rPr/>
            <w:drawing>
              <wp:anchor distT="0" distB="0" distL="0" distR="0" allowOverlap="1" layoutInCell="1" locked="0" behindDoc="1" simplePos="0" relativeHeight="268255871">
                <wp:simplePos x="0" y="0"/>
                <wp:positionH relativeFrom="page">
                  <wp:posOffset>1080516</wp:posOffset>
                </wp:positionH>
                <wp:positionV relativeFrom="paragraph">
                  <wp:posOffset>240865</wp:posOffset>
                </wp:positionV>
                <wp:extent cx="5849111" cy="4571"/>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5">
            <w:r>
              <w:rPr/>
              <w:t>Características principales del Sistema de Salud</w:t>
            </w:r>
            <w:r>
              <w:rPr>
                <w:spacing w:val="-21"/>
              </w:rPr>
              <w:t> </w:t>
            </w:r>
            <w:r>
              <w:rPr/>
              <w:t>en</w:t>
            </w:r>
            <w:r>
              <w:rPr>
                <w:spacing w:val="-3"/>
              </w:rPr>
              <w:t> </w:t>
            </w:r>
            <w:r>
              <w:rPr/>
              <w:t>México</w:t>
            </w:r>
            <w:r>
              <w:rPr>
                <w:rFonts w:ascii="Calibri" w:hAnsi="Calibri"/>
                <w:b w:val="0"/>
                <w:position w:val="1"/>
              </w:rPr>
              <w:tab/>
              <w:t>8</w:t>
            </w:r>
          </w:hyperlink>
        </w:p>
        <w:p>
          <w:pPr>
            <w:pStyle w:val="TOC5"/>
            <w:numPr>
              <w:ilvl w:val="1"/>
              <w:numId w:val="3"/>
            </w:numPr>
            <w:tabs>
              <w:tab w:pos="792" w:val="left" w:leader="none"/>
              <w:tab w:pos="10225" w:val="left" w:leader="none"/>
            </w:tabs>
            <w:spacing w:line="240" w:lineRule="auto" w:before="90" w:after="0"/>
            <w:ind w:left="791" w:right="0" w:hanging="473"/>
            <w:jc w:val="left"/>
            <w:rPr>
              <w:b w:val="0"/>
            </w:rPr>
          </w:pPr>
          <w:r>
            <w:rPr/>
            <w:drawing>
              <wp:anchor distT="0" distB="0" distL="0" distR="0" allowOverlap="1" layoutInCell="1" locked="0" behindDoc="0" simplePos="0" relativeHeight="1408">
                <wp:simplePos x="0" y="0"/>
                <wp:positionH relativeFrom="page">
                  <wp:posOffset>1080516</wp:posOffset>
                </wp:positionH>
                <wp:positionV relativeFrom="paragraph">
                  <wp:posOffset>233627</wp:posOffset>
                </wp:positionV>
                <wp:extent cx="5849111" cy="4571"/>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4">
            <w:r>
              <w:rPr/>
              <w:t>Concepto</w:t>
            </w:r>
            <w:r>
              <w:rPr>
                <w:spacing w:val="-3"/>
              </w:rPr>
              <w:t> </w:t>
            </w:r>
            <w:r>
              <w:rPr/>
              <w:t>de</w:t>
            </w:r>
            <w:r>
              <w:rPr>
                <w:spacing w:val="-2"/>
              </w:rPr>
              <w:t> </w:t>
            </w:r>
            <w:r>
              <w:rPr/>
              <w:t>Desastre</w:t>
            </w:r>
            <w:r>
              <w:rPr>
                <w:b w:val="0"/>
              </w:rPr>
              <w:tab/>
              <w:t>10</w:t>
            </w:r>
          </w:hyperlink>
        </w:p>
        <w:p>
          <w:pPr>
            <w:pStyle w:val="TOC1"/>
            <w:numPr>
              <w:ilvl w:val="2"/>
              <w:numId w:val="3"/>
            </w:numPr>
            <w:tabs>
              <w:tab w:pos="792" w:val="left" w:leader="none"/>
              <w:tab w:pos="10237" w:val="left" w:leader="none"/>
            </w:tabs>
            <w:spacing w:line="240" w:lineRule="auto" w:before="82" w:after="0"/>
            <w:ind w:left="791" w:right="0" w:hanging="672"/>
            <w:jc w:val="left"/>
            <w:rPr>
              <w:rFonts w:ascii="Calibri" w:hAnsi="Calibri"/>
              <w:b w:val="0"/>
            </w:rPr>
          </w:pPr>
          <w:r>
            <w:rPr/>
            <w:drawing>
              <wp:anchor distT="0" distB="0" distL="0" distR="0" allowOverlap="1" layoutInCell="1" locked="0" behindDoc="1" simplePos="0" relativeHeight="268255919">
                <wp:simplePos x="0" y="0"/>
                <wp:positionH relativeFrom="page">
                  <wp:posOffset>1080516</wp:posOffset>
                </wp:positionH>
                <wp:positionV relativeFrom="paragraph">
                  <wp:posOffset>237055</wp:posOffset>
                </wp:positionV>
                <wp:extent cx="5849111" cy="4571"/>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3">
            <w:r>
              <w:rPr/>
              <w:t>Clasificación de</w:t>
            </w:r>
            <w:r>
              <w:rPr>
                <w:spacing w:val="-6"/>
              </w:rPr>
              <w:t> </w:t>
            </w:r>
            <w:r>
              <w:rPr/>
              <w:t>los</w:t>
            </w:r>
            <w:r>
              <w:rPr>
                <w:spacing w:val="-6"/>
              </w:rPr>
              <w:t> </w:t>
            </w:r>
            <w:r>
              <w:rPr/>
              <w:t>Desastres</w:t>
            </w:r>
            <w:r>
              <w:rPr>
                <w:rFonts w:ascii="Calibri" w:hAnsi="Calibri"/>
                <w:b w:val="0"/>
                <w:position w:val="1"/>
              </w:rPr>
              <w:tab/>
              <w:t>10</w:t>
            </w:r>
          </w:hyperlink>
        </w:p>
        <w:p>
          <w:pPr>
            <w:pStyle w:val="TOC1"/>
            <w:numPr>
              <w:ilvl w:val="2"/>
              <w:numId w:val="3"/>
            </w:numPr>
            <w:tabs>
              <w:tab w:pos="792" w:val="left" w:leader="none"/>
              <w:tab w:pos="10237" w:val="left" w:leader="none"/>
            </w:tabs>
            <w:spacing w:line="240" w:lineRule="auto" w:before="76" w:after="0"/>
            <w:ind w:left="791" w:right="0" w:hanging="672"/>
            <w:jc w:val="left"/>
            <w:rPr>
              <w:rFonts w:ascii="Calibri" w:hAnsi="Calibri"/>
              <w:b w:val="0"/>
            </w:rPr>
          </w:pPr>
          <w:r>
            <w:rPr/>
            <w:drawing>
              <wp:anchor distT="0" distB="0" distL="0" distR="0" allowOverlap="1" layoutInCell="1" locked="0" behindDoc="1" simplePos="0" relativeHeight="268255943">
                <wp:simplePos x="0" y="0"/>
                <wp:positionH relativeFrom="page">
                  <wp:posOffset>1080516</wp:posOffset>
                </wp:positionH>
                <wp:positionV relativeFrom="paragraph">
                  <wp:posOffset>233245</wp:posOffset>
                </wp:positionV>
                <wp:extent cx="5849111" cy="4571"/>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2">
            <w:r>
              <w:rPr/>
              <w:t>Protocolo de atención sanitaria</w:t>
            </w:r>
            <w:r>
              <w:rPr>
                <w:spacing w:val="-15"/>
              </w:rPr>
              <w:t> </w:t>
            </w:r>
            <w:r>
              <w:rPr/>
              <w:t>en</w:t>
            </w:r>
            <w:r>
              <w:rPr>
                <w:spacing w:val="-5"/>
              </w:rPr>
              <w:t> </w:t>
            </w:r>
            <w:r>
              <w:rPr/>
              <w:t>Desastres</w:t>
            </w:r>
            <w:r>
              <w:rPr>
                <w:rFonts w:ascii="Calibri" w:hAnsi="Calibri"/>
                <w:b w:val="0"/>
                <w:position w:val="1"/>
              </w:rPr>
              <w:tab/>
              <w:t>11</w:t>
            </w:r>
          </w:hyperlink>
        </w:p>
        <w:p>
          <w:pPr>
            <w:pStyle w:val="TOC3"/>
            <w:numPr>
              <w:ilvl w:val="2"/>
              <w:numId w:val="3"/>
            </w:numPr>
            <w:tabs>
              <w:tab w:pos="792" w:val="left" w:leader="none"/>
              <w:tab w:pos="10237" w:val="left" w:leader="none"/>
            </w:tabs>
            <w:spacing w:line="240" w:lineRule="auto" w:before="76" w:after="0"/>
            <w:ind w:left="791" w:right="0" w:hanging="672"/>
            <w:jc w:val="left"/>
            <w:rPr>
              <w:rFonts w:ascii="Calibri"/>
              <w:b w:val="0"/>
              <w:i w:val="0"/>
              <w:sz w:val="24"/>
            </w:rPr>
          </w:pPr>
          <w:r>
            <w:rPr/>
            <w:drawing>
              <wp:anchor distT="0" distB="0" distL="0" distR="0" allowOverlap="1" layoutInCell="1" locked="0" behindDoc="1" simplePos="0" relativeHeight="268255967">
                <wp:simplePos x="0" y="0"/>
                <wp:positionH relativeFrom="page">
                  <wp:posOffset>1080516</wp:posOffset>
                </wp:positionH>
                <wp:positionV relativeFrom="paragraph">
                  <wp:posOffset>233245</wp:posOffset>
                </wp:positionV>
                <wp:extent cx="5849111" cy="4571"/>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6" cstate="print"/>
                        <a:stretch>
                          <a:fillRect/>
                        </a:stretch>
                      </pic:blipFill>
                      <pic:spPr>
                        <a:xfrm>
                          <a:off x="0" y="0"/>
                          <a:ext cx="5849111" cy="4571"/>
                        </a:xfrm>
                        <a:prstGeom prst="rect">
                          <a:avLst/>
                        </a:prstGeom>
                      </pic:spPr>
                    </pic:pic>
                  </a:graphicData>
                </a:graphic>
              </wp:anchor>
            </w:drawing>
          </w:r>
          <w:hyperlink w:history="true" w:anchor="_TOC_250001">
            <w:r>
              <w:rPr>
                <w:i w:val="0"/>
                <w:sz w:val="24"/>
              </w:rPr>
              <w:t>Triage</w:t>
            </w:r>
            <w:r>
              <w:rPr>
                <w:rFonts w:ascii="Calibri"/>
                <w:b w:val="0"/>
                <w:i w:val="0"/>
                <w:position w:val="1"/>
                <w:sz w:val="24"/>
              </w:rPr>
              <w:tab/>
              <w:t>14</w:t>
            </w:r>
          </w:hyperlink>
        </w:p>
        <w:p>
          <w:pPr>
            <w:pStyle w:val="TOC8"/>
            <w:spacing w:before="90"/>
          </w:pPr>
          <w:r>
            <w:rPr/>
            <w:t>Clasificación de los tipos de programas y proyectos de inversión de acuerdo</w:t>
          </w:r>
          <w:r>
            <w:rPr>
              <w:spacing w:val="55"/>
            </w:rPr>
            <w:t> </w:t>
          </w:r>
          <w:r>
            <w:rPr/>
            <w:t>a</w:t>
          </w:r>
        </w:p>
        <w:p>
          <w:pPr>
            <w:pStyle w:val="TOC6"/>
          </w:pPr>
          <w:r>
            <w:rPr/>
            <w:t>2.5</w:t>
          </w:r>
        </w:p>
        <w:p>
          <w:pPr>
            <w:pStyle w:val="TOC8"/>
            <w:tabs>
              <w:tab w:pos="10237" w:val="left" w:leader="none"/>
            </w:tabs>
            <w:spacing w:line="238" w:lineRule="exact"/>
            <w:rPr>
              <w:rFonts w:ascii="Calibri" w:hAnsi="Calibri"/>
              <w:b w:val="0"/>
            </w:rPr>
          </w:pPr>
          <w:r>
            <w:rPr/>
            <w:drawing>
              <wp:anchor distT="0" distB="0" distL="0" distR="0" allowOverlap="1" layoutInCell="1" locked="0" behindDoc="1" simplePos="0" relativeHeight="268255991">
                <wp:simplePos x="0" y="0"/>
                <wp:positionH relativeFrom="page">
                  <wp:posOffset>1080516</wp:posOffset>
                </wp:positionH>
                <wp:positionV relativeFrom="paragraph">
                  <wp:posOffset>150259</wp:posOffset>
                </wp:positionV>
                <wp:extent cx="5849111" cy="4571"/>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6" cstate="print"/>
                        <a:stretch>
                          <a:fillRect/>
                        </a:stretch>
                      </pic:blipFill>
                      <pic:spPr>
                        <a:xfrm>
                          <a:off x="0" y="0"/>
                          <a:ext cx="5849111" cy="4571"/>
                        </a:xfrm>
                        <a:prstGeom prst="rect">
                          <a:avLst/>
                        </a:prstGeom>
                      </pic:spPr>
                    </pic:pic>
                  </a:graphicData>
                </a:graphic>
              </wp:anchor>
            </w:drawing>
          </w:r>
          <w:r>
            <w:rPr/>
            <w:t>la Secretaria de Hacienda y</w:t>
          </w:r>
          <w:r>
            <w:rPr>
              <w:spacing w:val="-15"/>
            </w:rPr>
            <w:t> </w:t>
          </w:r>
          <w:r>
            <w:rPr/>
            <w:t>Crédito</w:t>
          </w:r>
          <w:r>
            <w:rPr>
              <w:spacing w:val="-3"/>
            </w:rPr>
            <w:t> </w:t>
          </w:r>
          <w:r>
            <w:rPr/>
            <w:t>Público</w:t>
          </w:r>
          <w:r>
            <w:rPr>
              <w:rFonts w:ascii="Calibri" w:hAnsi="Calibri"/>
              <w:b w:val="0"/>
              <w:position w:val="1"/>
            </w:rPr>
            <w:tab/>
            <w:t>15</w:t>
          </w:r>
        </w:p>
        <w:p>
          <w:pPr>
            <w:pStyle w:val="TOC1"/>
            <w:tabs>
              <w:tab w:pos="10480" w:val="right" w:leader="none"/>
            </w:tabs>
            <w:ind w:left="119" w:firstLine="0"/>
            <w:rPr>
              <w:rFonts w:ascii="Calibri" w:hAnsi="Calibri"/>
              <w:b w:val="0"/>
            </w:rPr>
          </w:pPr>
          <w:r>
            <w:rPr/>
            <w:drawing>
              <wp:anchor distT="0" distB="0" distL="0" distR="0" allowOverlap="1" layoutInCell="1" locked="0" behindDoc="1" simplePos="0" relativeHeight="268256015">
                <wp:simplePos x="0" y="0"/>
                <wp:positionH relativeFrom="page">
                  <wp:posOffset>1080516</wp:posOffset>
                </wp:positionH>
                <wp:positionV relativeFrom="paragraph">
                  <wp:posOffset>233245</wp:posOffset>
                </wp:positionV>
                <wp:extent cx="5849111" cy="4571"/>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6" cstate="print"/>
                        <a:stretch>
                          <a:fillRect/>
                        </a:stretch>
                      </pic:blipFill>
                      <pic:spPr>
                        <a:xfrm>
                          <a:off x="0" y="0"/>
                          <a:ext cx="5849111" cy="4571"/>
                        </a:xfrm>
                        <a:prstGeom prst="rect">
                          <a:avLst/>
                        </a:prstGeom>
                      </pic:spPr>
                    </pic:pic>
                  </a:graphicData>
                </a:graphic>
              </wp:anchor>
            </w:drawing>
          </w:r>
          <w:r>
            <w:rPr>
              <w:b w:val="0"/>
            </w:rPr>
            <w:t>2.5.1  </w:t>
          </w:r>
          <w:r>
            <w:rPr/>
            <w:t>Descripción de los tipos de evaluación a programas y proyectos</w:t>
          </w:r>
          <w:r>
            <w:rPr>
              <w:spacing w:val="-23"/>
            </w:rPr>
            <w:t> </w:t>
          </w:r>
          <w:r>
            <w:rPr/>
            <w:t>de</w:t>
          </w:r>
          <w:r>
            <w:rPr>
              <w:spacing w:val="-1"/>
            </w:rPr>
            <w:t> </w:t>
          </w:r>
          <w:r>
            <w:rPr/>
            <w:t>inversión</w:t>
          </w:r>
          <w:r>
            <w:rPr>
              <w:rFonts w:ascii="Calibri" w:hAnsi="Calibri"/>
              <w:b w:val="0"/>
              <w:position w:val="1"/>
            </w:rPr>
            <w:tab/>
            <w:t>15</w:t>
          </w:r>
        </w:p>
        <w:p>
          <w:pPr>
            <w:pStyle w:val="TOC8"/>
            <w:tabs>
              <w:tab w:pos="1819" w:val="left" w:leader="none"/>
              <w:tab w:pos="3498" w:val="left" w:leader="none"/>
            </w:tabs>
            <w:spacing w:before="90"/>
          </w:pPr>
          <w:r>
            <w:rPr/>
            <w:t>Puntos</w:t>
            <w:tab/>
            <w:t>a</w:t>
          </w:r>
          <w:r>
            <w:rPr>
              <w:spacing w:val="36"/>
            </w:rPr>
            <w:t> </w:t>
          </w:r>
          <w:r>
            <w:rPr/>
            <w:t>considerar</w:t>
            <w:tab/>
            <w:t>en</w:t>
          </w:r>
          <w:r>
            <w:rPr>
              <w:spacing w:val="35"/>
            </w:rPr>
            <w:t> </w:t>
          </w:r>
          <w:r>
            <w:rPr/>
            <w:t>la</w:t>
          </w:r>
          <w:r>
            <w:rPr>
              <w:spacing w:val="36"/>
            </w:rPr>
            <w:t> </w:t>
          </w:r>
          <w:r>
            <w:rPr/>
            <w:t>naturaleza</w:t>
          </w:r>
          <w:r>
            <w:rPr>
              <w:spacing w:val="38"/>
            </w:rPr>
            <w:t> </w:t>
          </w:r>
          <w:r>
            <w:rPr/>
            <w:t>de</w:t>
          </w:r>
          <w:r>
            <w:rPr>
              <w:spacing w:val="38"/>
            </w:rPr>
            <w:t> </w:t>
          </w:r>
          <w:r>
            <w:rPr/>
            <w:t>los</w:t>
          </w:r>
          <w:r>
            <w:rPr>
              <w:spacing w:val="36"/>
            </w:rPr>
            <w:t> </w:t>
          </w:r>
          <w:r>
            <w:rPr/>
            <w:t>bienes</w:t>
          </w:r>
          <w:r>
            <w:rPr>
              <w:spacing w:val="38"/>
            </w:rPr>
            <w:t> </w:t>
          </w:r>
          <w:r>
            <w:rPr/>
            <w:t>que</w:t>
          </w:r>
          <w:r>
            <w:rPr>
              <w:spacing w:val="38"/>
            </w:rPr>
            <w:t> </w:t>
          </w:r>
          <w:r>
            <w:rPr/>
            <w:t>se</w:t>
          </w:r>
          <w:r>
            <w:rPr>
              <w:spacing w:val="36"/>
            </w:rPr>
            <w:t> </w:t>
          </w:r>
          <w:r>
            <w:rPr/>
            <w:t>adquieren</w:t>
          </w:r>
          <w:r>
            <w:rPr>
              <w:spacing w:val="37"/>
            </w:rPr>
            <w:t> </w:t>
          </w:r>
          <w:r>
            <w:rPr/>
            <w:t>para</w:t>
          </w:r>
        </w:p>
        <w:p>
          <w:pPr>
            <w:pStyle w:val="TOC2"/>
          </w:pPr>
          <w:r>
            <w:rPr/>
            <w:t>2.5.2</w:t>
          </w:r>
        </w:p>
        <w:p>
          <w:pPr>
            <w:pStyle w:val="TOC8"/>
            <w:tabs>
              <w:tab w:pos="10237" w:val="left" w:leader="none"/>
            </w:tabs>
            <w:spacing w:line="238" w:lineRule="exact"/>
            <w:rPr>
              <w:rFonts w:ascii="Calibri"/>
              <w:b w:val="0"/>
            </w:rPr>
          </w:pPr>
          <w:r>
            <w:rPr/>
            <w:drawing>
              <wp:anchor distT="0" distB="0" distL="0" distR="0" allowOverlap="1" layoutInCell="1" locked="0" behindDoc="1" simplePos="0" relativeHeight="268256039">
                <wp:simplePos x="0" y="0"/>
                <wp:positionH relativeFrom="page">
                  <wp:posOffset>1080516</wp:posOffset>
                </wp:positionH>
                <wp:positionV relativeFrom="paragraph">
                  <wp:posOffset>150259</wp:posOffset>
                </wp:positionV>
                <wp:extent cx="5849111" cy="4571"/>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6" cstate="print"/>
                        <a:stretch>
                          <a:fillRect/>
                        </a:stretch>
                      </pic:blipFill>
                      <pic:spPr>
                        <a:xfrm>
                          <a:off x="0" y="0"/>
                          <a:ext cx="5849111" cy="4571"/>
                        </a:xfrm>
                        <a:prstGeom prst="rect">
                          <a:avLst/>
                        </a:prstGeom>
                      </pic:spPr>
                    </pic:pic>
                  </a:graphicData>
                </a:graphic>
              </wp:anchor>
            </w:drawing>
          </w:r>
          <w:r>
            <w:rPr/>
            <w:t>definir los programas</w:t>
          </w:r>
          <w:r>
            <w:rPr>
              <w:spacing w:val="-11"/>
            </w:rPr>
            <w:t> </w:t>
          </w:r>
          <w:r>
            <w:rPr/>
            <w:t>de</w:t>
          </w:r>
          <w:r>
            <w:rPr>
              <w:spacing w:val="-3"/>
            </w:rPr>
            <w:t> </w:t>
          </w:r>
          <w:r>
            <w:rPr/>
            <w:t>adquisiciones</w:t>
          </w:r>
          <w:r>
            <w:rPr>
              <w:rFonts w:ascii="Calibri"/>
              <w:b w:val="0"/>
              <w:position w:val="1"/>
            </w:rPr>
            <w:tab/>
            <w:t>17</w:t>
          </w:r>
        </w:p>
        <w:p>
          <w:pPr>
            <w:pStyle w:val="TOC3"/>
            <w:tabs>
              <w:tab w:pos="10480" w:val="right" w:leader="none"/>
            </w:tabs>
            <w:spacing w:before="79"/>
            <w:ind w:firstLine="0"/>
            <w:rPr>
              <w:rFonts w:ascii="Calibri"/>
              <w:b w:val="0"/>
              <w:i w:val="0"/>
              <w:sz w:val="24"/>
            </w:rPr>
          </w:pPr>
          <w:hyperlink w:history="true" w:anchor="_TOC_250000">
            <w:r>
              <w:rPr>
                <w:b w:val="0"/>
                <w:i w:val="0"/>
                <w:sz w:val="24"/>
              </w:rPr>
              <w:t>2.5.3  </w:t>
            </w:r>
            <w:r>
              <w:rPr>
                <w:i w:val="0"/>
                <w:sz w:val="24"/>
              </w:rPr>
              <w:t>Registro de Cartera</w:t>
            </w:r>
            <w:r>
              <w:rPr>
                <w:i w:val="0"/>
                <w:spacing w:val="5"/>
                <w:sz w:val="24"/>
              </w:rPr>
              <w:t> </w:t>
            </w:r>
            <w:r>
              <w:rPr>
                <w:i w:val="0"/>
                <w:sz w:val="24"/>
              </w:rPr>
              <w:t>de Proyectos</w:t>
            </w:r>
            <w:r>
              <w:rPr>
                <w:rFonts w:ascii="Calibri"/>
                <w:b w:val="0"/>
                <w:i w:val="0"/>
                <w:position w:val="1"/>
                <w:sz w:val="24"/>
              </w:rPr>
              <w:tab/>
              <w:t>18</w:t>
            </w:r>
          </w:hyperlink>
        </w:p>
      </w:sdtContent>
    </w:sdt>
    <w:p>
      <w:pPr>
        <w:pStyle w:val="BodyText"/>
        <w:spacing w:line="20" w:lineRule="exact"/>
        <w:ind w:left="721"/>
        <w:rPr>
          <w:rFonts w:ascii="Calibri"/>
          <w:sz w:val="2"/>
        </w:rPr>
      </w:pPr>
      <w:r>
        <w:rPr>
          <w:rFonts w:ascii="Calibri"/>
          <w:sz w:val="2"/>
        </w:rPr>
        <w:drawing>
          <wp:inline distT="0" distB="0" distL="0" distR="0">
            <wp:extent cx="5849127" cy="4571"/>
            <wp:effectExtent l="0" t="0" r="0" b="0"/>
            <wp:docPr id="39" name="image2.png" descr=""/>
            <wp:cNvGraphicFramePr>
              <a:graphicFrameLocks noChangeAspect="1"/>
            </wp:cNvGraphicFramePr>
            <a:graphic>
              <a:graphicData uri="http://schemas.openxmlformats.org/drawingml/2006/picture">
                <pic:pic>
                  <pic:nvPicPr>
                    <pic:cNvPr id="40" name="image2.png"/>
                    <pic:cNvPicPr/>
                  </pic:nvPicPr>
                  <pic:blipFill>
                    <a:blip r:embed="rId6" cstate="print"/>
                    <a:stretch>
                      <a:fillRect/>
                    </a:stretch>
                  </pic:blipFill>
                  <pic:spPr>
                    <a:xfrm>
                      <a:off x="0" y="0"/>
                      <a:ext cx="5849127" cy="4571"/>
                    </a:xfrm>
                    <a:prstGeom prst="rect">
                      <a:avLst/>
                    </a:prstGeom>
                  </pic:spPr>
                </pic:pic>
              </a:graphicData>
            </a:graphic>
          </wp:inline>
        </w:drawing>
      </w:r>
      <w:r>
        <w:rPr>
          <w:rFonts w:ascii="Calibri"/>
          <w:sz w:val="2"/>
        </w:rPr>
      </w:r>
    </w:p>
    <w:p>
      <w:pPr>
        <w:pStyle w:val="BodyText"/>
        <w:rPr>
          <w:rFonts w:ascii="Calibri"/>
          <w:sz w:val="20"/>
        </w:rPr>
      </w:pPr>
    </w:p>
    <w:p>
      <w:pPr>
        <w:pStyle w:val="BodyText"/>
        <w:rPr>
          <w:rFonts w:ascii="Calibri"/>
          <w:sz w:val="20"/>
        </w:rPr>
      </w:pPr>
    </w:p>
    <w:p>
      <w:pPr>
        <w:pStyle w:val="BodyText"/>
        <w:spacing w:before="9"/>
        <w:rPr>
          <w:rFonts w:ascii="Calibri"/>
          <w:sz w:val="14"/>
        </w:rPr>
      </w:pPr>
      <w:r>
        <w:rPr/>
        <w:pict>
          <v:line style="position:absolute;mso-position-horizontal-relative:page;mso-position-vertical-relative:paragraph;z-index:1096;mso-wrap-distance-left:0;mso-wrap-distance-right:0" from="84.360001pt,11.403277pt" to="545.639991pt,11.403277pt" stroked="true" strokeweight=".84pt" strokecolor="#000000">
            <w10:wrap type="topAndBottom"/>
          </v:line>
        </w:pict>
      </w:r>
    </w:p>
    <w:p>
      <w:pPr>
        <w:spacing w:after="0"/>
        <w:rPr>
          <w:rFonts w:ascii="Calibri"/>
          <w:sz w:val="14"/>
        </w:rPr>
        <w:sectPr>
          <w:pgSz w:w="12240" w:h="15840"/>
          <w:pgMar w:top="1500" w:bottom="280" w:left="980" w:right="540"/>
        </w:sectPr>
      </w:pPr>
    </w:p>
    <w:p>
      <w:pPr>
        <w:spacing w:before="40"/>
        <w:ind w:left="851" w:right="0" w:firstLine="0"/>
        <w:jc w:val="left"/>
        <w:rPr>
          <w:b/>
          <w:sz w:val="24"/>
        </w:rPr>
      </w:pPr>
      <w:r>
        <w:rPr>
          <w:b/>
          <w:sz w:val="24"/>
        </w:rPr>
        <w:t>CAPÍTULO III  METODOLOGÍA PARA LA EVALUACIÓN SOCIOECONÓMICA  DE</w:t>
      </w:r>
    </w:p>
    <w:p>
      <w:pPr>
        <w:tabs>
          <w:tab w:pos="9980" w:val="left" w:leader="none"/>
        </w:tabs>
        <w:spacing w:before="84"/>
        <w:ind w:left="781" w:right="0" w:firstLine="0"/>
        <w:jc w:val="left"/>
        <w:rPr>
          <w:b/>
          <w:sz w:val="24"/>
        </w:rPr>
      </w:pPr>
      <w:r>
        <w:rPr>
          <w:b/>
          <w:spacing w:val="3"/>
          <w:w w:val="99"/>
          <w:sz w:val="24"/>
          <w:u w:val="single"/>
        </w:rPr>
        <w:t> </w:t>
      </w:r>
      <w:r>
        <w:rPr>
          <w:b/>
          <w:sz w:val="24"/>
          <w:u w:val="single"/>
        </w:rPr>
        <w:t>PROYECTOS DE</w:t>
      </w:r>
      <w:r>
        <w:rPr>
          <w:b/>
          <w:spacing w:val="-11"/>
          <w:sz w:val="24"/>
          <w:u w:val="single"/>
        </w:rPr>
        <w:t> </w:t>
      </w:r>
      <w:r>
        <w:rPr>
          <w:b/>
          <w:sz w:val="24"/>
          <w:u w:val="single"/>
        </w:rPr>
        <w:t>SALUD</w:t>
        <w:tab/>
      </w:r>
    </w:p>
    <w:p>
      <w:pPr>
        <w:pStyle w:val="ListParagraph"/>
        <w:numPr>
          <w:ilvl w:val="1"/>
          <w:numId w:val="4"/>
        </w:numPr>
        <w:tabs>
          <w:tab w:pos="852" w:val="left" w:leader="none"/>
          <w:tab w:pos="10553" w:val="right" w:leader="none"/>
        </w:tabs>
        <w:spacing w:line="240" w:lineRule="auto" w:before="103" w:after="0"/>
        <w:ind w:left="851" w:right="0" w:hanging="473"/>
        <w:jc w:val="left"/>
        <w:rPr>
          <w:sz w:val="24"/>
        </w:rPr>
      </w:pPr>
      <w:r>
        <w:rPr/>
        <w:drawing>
          <wp:anchor distT="0" distB="0" distL="0" distR="0" allowOverlap="1" layoutInCell="1" locked="0" behindDoc="0" simplePos="0" relativeHeight="1576">
            <wp:simplePos x="0" y="0"/>
            <wp:positionH relativeFrom="page">
              <wp:posOffset>1080516</wp:posOffset>
            </wp:positionH>
            <wp:positionV relativeFrom="paragraph">
              <wp:posOffset>241882</wp:posOffset>
            </wp:positionV>
            <wp:extent cx="5849111" cy="4571"/>
            <wp:effectExtent l="0" t="0" r="0" b="0"/>
            <wp:wrapNone/>
            <wp:docPr id="41" name="image2.png" descr=""/>
            <wp:cNvGraphicFramePr>
              <a:graphicFrameLocks noChangeAspect="1"/>
            </wp:cNvGraphicFramePr>
            <a:graphic>
              <a:graphicData uri="http://schemas.openxmlformats.org/drawingml/2006/picture">
                <pic:pic>
                  <pic:nvPicPr>
                    <pic:cNvPr id="42" name="image2.png"/>
                    <pic:cNvPicPr/>
                  </pic:nvPicPr>
                  <pic:blipFill>
                    <a:blip r:embed="rId6" cstate="print"/>
                    <a:stretch>
                      <a:fillRect/>
                    </a:stretch>
                  </pic:blipFill>
                  <pic:spPr>
                    <a:xfrm>
                      <a:off x="0" y="0"/>
                      <a:ext cx="5849111" cy="4571"/>
                    </a:xfrm>
                    <a:prstGeom prst="rect">
                      <a:avLst/>
                    </a:prstGeom>
                  </pic:spPr>
                </pic:pic>
              </a:graphicData>
            </a:graphic>
          </wp:anchor>
        </w:drawing>
      </w:r>
      <w:r>
        <w:rPr>
          <w:b/>
          <w:sz w:val="24"/>
        </w:rPr>
        <w:t>Objetivo</w:t>
      </w:r>
      <w:r>
        <w:rPr>
          <w:sz w:val="24"/>
        </w:rPr>
        <w:tab/>
        <w:t>20</w:t>
      </w:r>
    </w:p>
    <w:p>
      <w:pPr>
        <w:pStyle w:val="Heading1"/>
        <w:numPr>
          <w:ilvl w:val="1"/>
          <w:numId w:val="4"/>
        </w:numPr>
        <w:tabs>
          <w:tab w:pos="852" w:val="left" w:leader="none"/>
          <w:tab w:pos="10553" w:val="right" w:leader="none"/>
        </w:tabs>
        <w:spacing w:line="240" w:lineRule="auto" w:before="93" w:after="0"/>
        <w:ind w:left="851" w:right="0" w:hanging="473"/>
        <w:jc w:val="left"/>
        <w:rPr>
          <w:b w:val="0"/>
        </w:rPr>
      </w:pPr>
      <w:r>
        <w:rPr/>
        <w:drawing>
          <wp:anchor distT="0" distB="0" distL="0" distR="0" allowOverlap="1" layoutInCell="1" locked="0" behindDoc="0" simplePos="0" relativeHeight="1600">
            <wp:simplePos x="0" y="0"/>
            <wp:positionH relativeFrom="page">
              <wp:posOffset>1080516</wp:posOffset>
            </wp:positionH>
            <wp:positionV relativeFrom="paragraph">
              <wp:posOffset>235533</wp:posOffset>
            </wp:positionV>
            <wp:extent cx="5849111" cy="4571"/>
            <wp:effectExtent l="0" t="0" r="0" b="0"/>
            <wp:wrapNone/>
            <wp:docPr id="43" name="image2.png" descr=""/>
            <wp:cNvGraphicFramePr>
              <a:graphicFrameLocks noChangeAspect="1"/>
            </wp:cNvGraphicFramePr>
            <a:graphic>
              <a:graphicData uri="http://schemas.openxmlformats.org/drawingml/2006/picture">
                <pic:pic>
                  <pic:nvPicPr>
                    <pic:cNvPr id="44" name="image2.png"/>
                    <pic:cNvPicPr/>
                  </pic:nvPicPr>
                  <pic:blipFill>
                    <a:blip r:embed="rId6" cstate="print"/>
                    <a:stretch>
                      <a:fillRect/>
                    </a:stretch>
                  </pic:blipFill>
                  <pic:spPr>
                    <a:xfrm>
                      <a:off x="0" y="0"/>
                      <a:ext cx="5849111" cy="4571"/>
                    </a:xfrm>
                    <a:prstGeom prst="rect">
                      <a:avLst/>
                    </a:prstGeom>
                  </pic:spPr>
                </pic:pic>
              </a:graphicData>
            </a:graphic>
          </wp:anchor>
        </w:drawing>
      </w:r>
      <w:r>
        <w:rPr/>
        <w:t>Planteamiento</w:t>
      </w:r>
      <w:r>
        <w:rPr>
          <w:spacing w:val="-1"/>
        </w:rPr>
        <w:t> </w:t>
      </w:r>
      <w:r>
        <w:rPr/>
        <w:t>del</w:t>
      </w:r>
      <w:r>
        <w:rPr>
          <w:spacing w:val="-1"/>
        </w:rPr>
        <w:t> </w:t>
      </w:r>
      <w:r>
        <w:rPr/>
        <w:t>problema</w:t>
      </w:r>
      <w:r>
        <w:rPr>
          <w:b w:val="0"/>
        </w:rPr>
        <w:tab/>
        <w:t>21</w:t>
      </w:r>
    </w:p>
    <w:p>
      <w:pPr>
        <w:pStyle w:val="ListParagraph"/>
        <w:numPr>
          <w:ilvl w:val="1"/>
          <w:numId w:val="4"/>
        </w:numPr>
        <w:tabs>
          <w:tab w:pos="852" w:val="left" w:leader="none"/>
          <w:tab w:pos="10553" w:val="right" w:leader="none"/>
        </w:tabs>
        <w:spacing w:line="240" w:lineRule="auto" w:before="93" w:after="0"/>
        <w:ind w:left="851" w:right="0" w:hanging="473"/>
        <w:jc w:val="left"/>
        <w:rPr>
          <w:sz w:val="24"/>
        </w:rPr>
      </w:pPr>
      <w:r>
        <w:rPr/>
        <w:drawing>
          <wp:anchor distT="0" distB="0" distL="0" distR="0" allowOverlap="1" layoutInCell="1" locked="0" behindDoc="0" simplePos="0" relativeHeight="1624">
            <wp:simplePos x="0" y="0"/>
            <wp:positionH relativeFrom="page">
              <wp:posOffset>1080516</wp:posOffset>
            </wp:positionH>
            <wp:positionV relativeFrom="paragraph">
              <wp:posOffset>235532</wp:posOffset>
            </wp:positionV>
            <wp:extent cx="5849111" cy="4571"/>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6" cstate="print"/>
                    <a:stretch>
                      <a:fillRect/>
                    </a:stretch>
                  </pic:blipFill>
                  <pic:spPr>
                    <a:xfrm>
                      <a:off x="0" y="0"/>
                      <a:ext cx="5849111" cy="4571"/>
                    </a:xfrm>
                    <a:prstGeom prst="rect">
                      <a:avLst/>
                    </a:prstGeom>
                  </pic:spPr>
                </pic:pic>
              </a:graphicData>
            </a:graphic>
          </wp:anchor>
        </w:drawing>
      </w:r>
      <w:r>
        <w:rPr>
          <w:b/>
          <w:sz w:val="24"/>
        </w:rPr>
        <w:t>Hipótesis</w:t>
      </w:r>
      <w:r>
        <w:rPr>
          <w:sz w:val="24"/>
        </w:rPr>
        <w:tab/>
        <w:t>23</w:t>
      </w:r>
    </w:p>
    <w:p>
      <w:pPr>
        <w:pStyle w:val="ListParagraph"/>
        <w:numPr>
          <w:ilvl w:val="1"/>
          <w:numId w:val="4"/>
        </w:numPr>
        <w:tabs>
          <w:tab w:pos="852" w:val="left" w:leader="none"/>
          <w:tab w:pos="10553" w:val="right" w:leader="none"/>
        </w:tabs>
        <w:spacing w:line="240" w:lineRule="auto" w:before="96" w:after="0"/>
        <w:ind w:left="851" w:right="0" w:hanging="473"/>
        <w:jc w:val="left"/>
        <w:rPr>
          <w:sz w:val="24"/>
        </w:rPr>
      </w:pPr>
      <w:r>
        <w:rPr>
          <w:b/>
          <w:sz w:val="24"/>
        </w:rPr>
        <w:t>Metodología</w:t>
      </w:r>
      <w:r>
        <w:rPr>
          <w:sz w:val="24"/>
        </w:rPr>
        <w:tab/>
        <w:t>23</w:t>
      </w:r>
    </w:p>
    <w:p>
      <w:pPr>
        <w:pStyle w:val="BodyText"/>
        <w:spacing w:line="20" w:lineRule="exact"/>
        <w:ind w:left="781"/>
        <w:rPr>
          <w:sz w:val="2"/>
        </w:rPr>
      </w:pPr>
      <w:r>
        <w:rPr>
          <w:sz w:val="2"/>
        </w:rPr>
        <w:drawing>
          <wp:inline distT="0" distB="0" distL="0" distR="0">
            <wp:extent cx="5849534" cy="4572"/>
            <wp:effectExtent l="0" t="0" r="0" b="0"/>
            <wp:docPr id="47" name="image2.png" descr=""/>
            <wp:cNvGraphicFramePr>
              <a:graphicFrameLocks noChangeAspect="1"/>
            </wp:cNvGraphicFramePr>
            <a:graphic>
              <a:graphicData uri="http://schemas.openxmlformats.org/drawingml/2006/picture">
                <pic:pic>
                  <pic:nvPicPr>
                    <pic:cNvPr id="48" name="image2.png"/>
                    <pic:cNvPicPr/>
                  </pic:nvPicPr>
                  <pic:blipFill>
                    <a:blip r:embed="rId6" cstate="print"/>
                    <a:stretch>
                      <a:fillRect/>
                    </a:stretch>
                  </pic:blipFill>
                  <pic:spPr>
                    <a:xfrm>
                      <a:off x="0" y="0"/>
                      <a:ext cx="5849534" cy="4572"/>
                    </a:xfrm>
                    <a:prstGeom prst="rect">
                      <a:avLst/>
                    </a:prstGeom>
                  </pic:spPr>
                </pic:pic>
              </a:graphicData>
            </a:graphic>
          </wp:inline>
        </w:drawing>
      </w:r>
      <w:r>
        <w:rPr>
          <w:sz w:val="2"/>
        </w:rPr>
      </w:r>
    </w:p>
    <w:p>
      <w:pPr>
        <w:pStyle w:val="BodyText"/>
        <w:spacing w:before="1"/>
        <w:rPr>
          <w:sz w:val="2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9"/>
        <w:gridCol w:w="9397"/>
        <w:gridCol w:w="435"/>
      </w:tblGrid>
      <w:tr>
        <w:trPr>
          <w:trHeight w:val="344" w:hRule="exact"/>
        </w:trPr>
        <w:tc>
          <w:tcPr>
            <w:tcW w:w="639" w:type="dxa"/>
          </w:tcPr>
          <w:p>
            <w:pPr>
              <w:pStyle w:val="TableParagraph"/>
              <w:spacing w:line="245" w:lineRule="exact"/>
              <w:ind w:left="35"/>
              <w:rPr>
                <w:sz w:val="24"/>
              </w:rPr>
            </w:pPr>
            <w:r>
              <w:rPr>
                <w:sz w:val="24"/>
              </w:rPr>
              <w:t>3.5</w:t>
            </w:r>
          </w:p>
        </w:tc>
        <w:tc>
          <w:tcPr>
            <w:tcW w:w="9397" w:type="dxa"/>
          </w:tcPr>
          <w:p>
            <w:pPr>
              <w:pStyle w:val="TableParagraph"/>
              <w:spacing w:line="149" w:lineRule="exact"/>
              <w:ind w:left="103"/>
              <w:rPr>
                <w:b/>
                <w:sz w:val="24"/>
              </w:rPr>
            </w:pPr>
            <w:r>
              <w:rPr>
                <w:b/>
                <w:sz w:val="24"/>
              </w:rPr>
              <w:t>Identificación, cuantificación y valoración de beneficios</w:t>
            </w:r>
          </w:p>
          <w:p>
            <w:pPr>
              <w:pStyle w:val="TableParagraph"/>
              <w:rPr>
                <w:sz w:val="12"/>
              </w:rPr>
            </w:pPr>
          </w:p>
          <w:p>
            <w:pPr>
              <w:pStyle w:val="TableParagraph"/>
              <w:spacing w:line="20" w:lineRule="exact"/>
              <w:ind w:left="34"/>
              <w:rPr>
                <w:sz w:val="2"/>
              </w:rPr>
            </w:pPr>
            <w:r>
              <w:rPr>
                <w:sz w:val="2"/>
              </w:rPr>
              <w:drawing>
                <wp:inline distT="0" distB="0" distL="0" distR="0">
                  <wp:extent cx="5849257" cy="4572"/>
                  <wp:effectExtent l="0" t="0" r="0" b="0"/>
                  <wp:docPr id="49" name="image2.png" descr=""/>
                  <wp:cNvGraphicFramePr>
                    <a:graphicFrameLocks noChangeAspect="1"/>
                  </wp:cNvGraphicFramePr>
                  <a:graphic>
                    <a:graphicData uri="http://schemas.openxmlformats.org/drawingml/2006/picture">
                      <pic:pic>
                        <pic:nvPicPr>
                          <pic:cNvPr id="50" name="image2.png"/>
                          <pic:cNvPicPr/>
                        </pic:nvPicPr>
                        <pic:blipFill>
                          <a:blip r:embed="rId6" cstate="print"/>
                          <a:stretch>
                            <a:fillRect/>
                          </a:stretch>
                        </pic:blipFill>
                        <pic:spPr>
                          <a:xfrm>
                            <a:off x="0" y="0"/>
                            <a:ext cx="5849257" cy="4572"/>
                          </a:xfrm>
                          <a:prstGeom prst="rect">
                            <a:avLst/>
                          </a:prstGeom>
                        </pic:spPr>
                      </pic:pic>
                    </a:graphicData>
                  </a:graphic>
                </wp:inline>
              </w:drawing>
            </w:r>
            <w:r>
              <w:rPr>
                <w:sz w:val="2"/>
              </w:rPr>
            </w:r>
          </w:p>
        </w:tc>
        <w:tc>
          <w:tcPr>
            <w:tcW w:w="435" w:type="dxa"/>
          </w:tcPr>
          <w:p>
            <w:pPr>
              <w:pStyle w:val="TableParagraph"/>
              <w:spacing w:before="6"/>
              <w:ind w:right="33"/>
              <w:jc w:val="right"/>
              <w:rPr>
                <w:rFonts w:ascii="Times New Roman"/>
                <w:sz w:val="24"/>
              </w:rPr>
            </w:pPr>
            <w:r>
              <w:rPr>
                <w:rFonts w:ascii="Times New Roman"/>
                <w:w w:val="95"/>
                <w:sz w:val="24"/>
              </w:rPr>
              <w:t>25</w:t>
            </w:r>
          </w:p>
        </w:tc>
      </w:tr>
      <w:tr>
        <w:trPr>
          <w:trHeight w:val="374" w:hRule="exact"/>
        </w:trPr>
        <w:tc>
          <w:tcPr>
            <w:tcW w:w="639" w:type="dxa"/>
          </w:tcPr>
          <w:p>
            <w:pPr>
              <w:pStyle w:val="TableParagraph"/>
              <w:spacing w:before="36"/>
              <w:ind w:right="33"/>
              <w:jc w:val="right"/>
              <w:rPr>
                <w:sz w:val="24"/>
              </w:rPr>
            </w:pPr>
            <w:r>
              <w:rPr>
                <w:sz w:val="24"/>
              </w:rPr>
              <w:t>3.5.1</w:t>
            </w:r>
          </w:p>
        </w:tc>
        <w:tc>
          <w:tcPr>
            <w:tcW w:w="9397" w:type="dxa"/>
          </w:tcPr>
          <w:p>
            <w:pPr>
              <w:pStyle w:val="TableParagraph"/>
              <w:spacing w:before="36"/>
              <w:ind w:left="103"/>
              <w:rPr>
                <w:b/>
                <w:sz w:val="24"/>
              </w:rPr>
            </w:pPr>
            <w:r>
              <w:rPr>
                <w:b/>
                <w:sz w:val="24"/>
              </w:rPr>
              <w:t>Identificación, valoración y cuantificación de costos</w:t>
            </w:r>
          </w:p>
          <w:p>
            <w:pPr>
              <w:pStyle w:val="TableParagraph"/>
              <w:spacing w:line="20" w:lineRule="exact"/>
              <w:ind w:left="34"/>
              <w:rPr>
                <w:sz w:val="2"/>
              </w:rPr>
            </w:pPr>
            <w:r>
              <w:rPr>
                <w:sz w:val="2"/>
              </w:rPr>
              <w:drawing>
                <wp:inline distT="0" distB="0" distL="0" distR="0">
                  <wp:extent cx="5849290" cy="4572"/>
                  <wp:effectExtent l="0" t="0" r="0" b="0"/>
                  <wp:docPr id="51" name="image2.png" descr=""/>
                  <wp:cNvGraphicFramePr>
                    <a:graphicFrameLocks noChangeAspect="1"/>
                  </wp:cNvGraphicFramePr>
                  <a:graphic>
                    <a:graphicData uri="http://schemas.openxmlformats.org/drawingml/2006/picture">
                      <pic:pic>
                        <pic:nvPicPr>
                          <pic:cNvPr id="52" name="image2.png"/>
                          <pic:cNvPicPr/>
                        </pic:nvPicPr>
                        <pic:blipFill>
                          <a:blip r:embed="rId6" cstate="print"/>
                          <a:stretch>
                            <a:fillRect/>
                          </a:stretch>
                        </pic:blipFill>
                        <pic:spPr>
                          <a:xfrm>
                            <a:off x="0" y="0"/>
                            <a:ext cx="5849290" cy="4572"/>
                          </a:xfrm>
                          <a:prstGeom prst="rect">
                            <a:avLst/>
                          </a:prstGeom>
                        </pic:spPr>
                      </pic:pic>
                    </a:graphicData>
                  </a:graphic>
                </wp:inline>
              </w:drawing>
            </w:r>
            <w:r>
              <w:rPr>
                <w:sz w:val="2"/>
              </w:rPr>
            </w:r>
          </w:p>
        </w:tc>
        <w:tc>
          <w:tcPr>
            <w:tcW w:w="435" w:type="dxa"/>
          </w:tcPr>
          <w:p>
            <w:pPr>
              <w:pStyle w:val="TableParagraph"/>
              <w:spacing w:before="20"/>
              <w:ind w:right="36"/>
              <w:jc w:val="right"/>
              <w:rPr>
                <w:rFonts w:ascii="Calibri"/>
                <w:sz w:val="24"/>
              </w:rPr>
            </w:pPr>
            <w:r>
              <w:rPr>
                <w:rFonts w:ascii="Calibri"/>
                <w:sz w:val="24"/>
              </w:rPr>
              <w:t>26</w:t>
            </w:r>
          </w:p>
        </w:tc>
      </w:tr>
      <w:tr>
        <w:trPr>
          <w:trHeight w:val="371" w:hRule="exact"/>
        </w:trPr>
        <w:tc>
          <w:tcPr>
            <w:tcW w:w="639" w:type="dxa"/>
          </w:tcPr>
          <w:p>
            <w:pPr>
              <w:pStyle w:val="TableParagraph"/>
              <w:spacing w:before="34"/>
              <w:ind w:right="68"/>
              <w:jc w:val="right"/>
              <w:rPr>
                <w:sz w:val="24"/>
              </w:rPr>
            </w:pPr>
            <w:r>
              <w:rPr>
                <w:sz w:val="24"/>
              </w:rPr>
              <w:t>3.6</w:t>
            </w:r>
          </w:p>
        </w:tc>
        <w:tc>
          <w:tcPr>
            <w:tcW w:w="9397" w:type="dxa"/>
          </w:tcPr>
          <w:p>
            <w:pPr>
              <w:pStyle w:val="TableParagraph"/>
              <w:spacing w:before="34"/>
              <w:ind w:left="103"/>
              <w:rPr>
                <w:b/>
                <w:sz w:val="24"/>
              </w:rPr>
            </w:pPr>
            <w:r>
              <w:rPr>
                <w:b/>
                <w:sz w:val="24"/>
              </w:rPr>
              <w:t>Evaluación</w:t>
            </w:r>
          </w:p>
          <w:p>
            <w:pPr>
              <w:pStyle w:val="TableParagraph"/>
              <w:spacing w:line="20" w:lineRule="exact"/>
              <w:ind w:left="34"/>
              <w:rPr>
                <w:sz w:val="2"/>
              </w:rPr>
            </w:pPr>
            <w:r>
              <w:rPr>
                <w:sz w:val="2"/>
              </w:rPr>
              <w:drawing>
                <wp:inline distT="0" distB="0" distL="0" distR="0">
                  <wp:extent cx="5849550" cy="4572"/>
                  <wp:effectExtent l="0" t="0" r="0" b="0"/>
                  <wp:docPr id="53" name="image2.png" descr=""/>
                  <wp:cNvGraphicFramePr>
                    <a:graphicFrameLocks noChangeAspect="1"/>
                  </wp:cNvGraphicFramePr>
                  <a:graphic>
                    <a:graphicData uri="http://schemas.openxmlformats.org/drawingml/2006/picture">
                      <pic:pic>
                        <pic:nvPicPr>
                          <pic:cNvPr id="54" name="image2.png"/>
                          <pic:cNvPicPr/>
                        </pic:nvPicPr>
                        <pic:blipFill>
                          <a:blip r:embed="rId6" cstate="print"/>
                          <a:stretch>
                            <a:fillRect/>
                          </a:stretch>
                        </pic:blipFill>
                        <pic:spPr>
                          <a:xfrm>
                            <a:off x="0" y="0"/>
                            <a:ext cx="5849550" cy="4572"/>
                          </a:xfrm>
                          <a:prstGeom prst="rect">
                            <a:avLst/>
                          </a:prstGeom>
                        </pic:spPr>
                      </pic:pic>
                    </a:graphicData>
                  </a:graphic>
                </wp:inline>
              </w:drawing>
            </w:r>
            <w:r>
              <w:rPr>
                <w:sz w:val="2"/>
              </w:rPr>
            </w:r>
          </w:p>
        </w:tc>
        <w:tc>
          <w:tcPr>
            <w:tcW w:w="435" w:type="dxa"/>
          </w:tcPr>
          <w:p>
            <w:pPr>
              <w:pStyle w:val="TableParagraph"/>
              <w:spacing w:before="18"/>
              <w:ind w:right="36"/>
              <w:jc w:val="right"/>
              <w:rPr>
                <w:rFonts w:ascii="Calibri"/>
                <w:sz w:val="24"/>
              </w:rPr>
            </w:pPr>
            <w:r>
              <w:rPr>
                <w:rFonts w:ascii="Calibri"/>
                <w:w w:val="95"/>
                <w:sz w:val="24"/>
              </w:rPr>
              <w:t>27</w:t>
            </w:r>
          </w:p>
        </w:tc>
      </w:tr>
      <w:tr>
        <w:trPr>
          <w:trHeight w:val="733" w:hRule="exact"/>
        </w:trPr>
        <w:tc>
          <w:tcPr>
            <w:tcW w:w="639" w:type="dxa"/>
          </w:tcPr>
          <w:p>
            <w:pPr/>
          </w:p>
        </w:tc>
        <w:tc>
          <w:tcPr>
            <w:tcW w:w="9397" w:type="dxa"/>
          </w:tcPr>
          <w:p>
            <w:pPr>
              <w:pStyle w:val="TableParagraph"/>
              <w:tabs>
                <w:tab w:pos="1529" w:val="left" w:leader="none"/>
                <w:tab w:pos="1963" w:val="left" w:leader="none"/>
                <w:tab w:pos="3761" w:val="left" w:leader="none"/>
                <w:tab w:pos="4296" w:val="left" w:leader="none"/>
                <w:tab w:pos="5430" w:val="left" w:leader="none"/>
                <w:tab w:pos="5970" w:val="left" w:leader="none"/>
                <w:tab w:pos="7425" w:val="left" w:leader="none"/>
              </w:tabs>
              <w:spacing w:before="33"/>
              <w:ind w:left="103"/>
              <w:rPr>
                <w:b/>
                <w:sz w:val="24"/>
              </w:rPr>
            </w:pPr>
            <w:r>
              <w:rPr>
                <w:b/>
                <w:sz w:val="24"/>
              </w:rPr>
              <w:t>CAPÍTULO</w:t>
              <w:tab/>
              <w:t>IV</w:t>
              <w:tab/>
              <w:t>ADQUISICIÓN</w:t>
              <w:tab/>
              <w:t>DE</w:t>
              <w:tab/>
              <w:t>UNIDAD</w:t>
              <w:tab/>
              <w:t>DE</w:t>
              <w:tab/>
              <w:t>ATENCIÓN</w:t>
              <w:tab/>
              <w:t>A </w:t>
            </w:r>
            <w:r>
              <w:rPr>
                <w:b/>
                <w:spacing w:val="58"/>
                <w:sz w:val="24"/>
              </w:rPr>
              <w:t> </w:t>
            </w:r>
            <w:r>
              <w:rPr>
                <w:b/>
                <w:sz w:val="24"/>
              </w:rPr>
              <w:t>PACIENTES</w:t>
            </w:r>
          </w:p>
          <w:p>
            <w:pPr>
              <w:pStyle w:val="TableParagraph"/>
              <w:tabs>
                <w:tab w:pos="9243" w:val="left" w:leader="none"/>
              </w:tabs>
              <w:spacing w:before="84"/>
              <w:ind w:left="34"/>
              <w:rPr>
                <w:b/>
                <w:sz w:val="24"/>
              </w:rPr>
            </w:pPr>
            <w:r>
              <w:rPr>
                <w:b/>
                <w:spacing w:val="3"/>
                <w:w w:val="99"/>
                <w:sz w:val="24"/>
                <w:u w:val="single"/>
              </w:rPr>
              <w:t> </w:t>
            </w:r>
            <w:r>
              <w:rPr>
                <w:b/>
                <w:sz w:val="24"/>
                <w:u w:val="single"/>
              </w:rPr>
              <w:t>CRÍTICOS EN SITUACIÓN DE DESASTRE PARA EL ESTADO DE</w:t>
            </w:r>
            <w:r>
              <w:rPr>
                <w:b/>
                <w:spacing w:val="-27"/>
                <w:sz w:val="24"/>
                <w:u w:val="single"/>
              </w:rPr>
              <w:t> </w:t>
            </w:r>
            <w:r>
              <w:rPr>
                <w:b/>
                <w:sz w:val="24"/>
                <w:u w:val="single"/>
              </w:rPr>
              <w:t>MÉXICO</w:t>
              <w:tab/>
            </w:r>
          </w:p>
        </w:tc>
        <w:tc>
          <w:tcPr>
            <w:tcW w:w="435" w:type="dxa"/>
          </w:tcPr>
          <w:p>
            <w:pPr/>
          </w:p>
        </w:tc>
      </w:tr>
      <w:tr>
        <w:trPr>
          <w:trHeight w:val="376" w:hRule="exact"/>
        </w:trPr>
        <w:tc>
          <w:tcPr>
            <w:tcW w:w="639" w:type="dxa"/>
          </w:tcPr>
          <w:p>
            <w:pPr>
              <w:pStyle w:val="TableParagraph"/>
              <w:spacing w:before="39"/>
              <w:ind w:right="32"/>
              <w:jc w:val="right"/>
              <w:rPr>
                <w:sz w:val="24"/>
              </w:rPr>
            </w:pPr>
            <w:r>
              <w:rPr>
                <w:sz w:val="24"/>
              </w:rPr>
              <w:t>4.1</w:t>
            </w:r>
          </w:p>
        </w:tc>
        <w:tc>
          <w:tcPr>
            <w:tcW w:w="9397" w:type="dxa"/>
          </w:tcPr>
          <w:p>
            <w:pPr>
              <w:pStyle w:val="TableParagraph"/>
              <w:spacing w:before="39"/>
              <w:ind w:left="103"/>
              <w:rPr>
                <w:b/>
                <w:sz w:val="24"/>
              </w:rPr>
            </w:pPr>
            <w:r>
              <w:rPr>
                <w:b/>
                <w:sz w:val="24"/>
              </w:rPr>
              <w:t>Ubicación geográfica</w:t>
            </w:r>
          </w:p>
          <w:p>
            <w:pPr>
              <w:pStyle w:val="TableParagraph"/>
              <w:spacing w:line="20" w:lineRule="exact"/>
              <w:ind w:left="34"/>
              <w:rPr>
                <w:sz w:val="2"/>
              </w:rPr>
            </w:pPr>
            <w:r>
              <w:rPr>
                <w:sz w:val="2"/>
              </w:rPr>
              <w:drawing>
                <wp:inline distT="0" distB="0" distL="0" distR="0">
                  <wp:extent cx="5849111" cy="4572"/>
                  <wp:effectExtent l="0" t="0" r="0" b="0"/>
                  <wp:docPr id="55" name="image2.png" descr=""/>
                  <wp:cNvGraphicFramePr>
                    <a:graphicFrameLocks noChangeAspect="1"/>
                  </wp:cNvGraphicFramePr>
                  <a:graphic>
                    <a:graphicData uri="http://schemas.openxmlformats.org/drawingml/2006/picture">
                      <pic:pic>
                        <pic:nvPicPr>
                          <pic:cNvPr id="56" name="image2.png"/>
                          <pic:cNvPicPr/>
                        </pic:nvPicPr>
                        <pic:blipFill>
                          <a:blip r:embed="rId6" cstate="print"/>
                          <a:stretch>
                            <a:fillRect/>
                          </a:stretch>
                        </pic:blipFill>
                        <pic:spPr>
                          <a:xfrm>
                            <a:off x="0" y="0"/>
                            <a:ext cx="5849111" cy="4572"/>
                          </a:xfrm>
                          <a:prstGeom prst="rect">
                            <a:avLst/>
                          </a:prstGeom>
                        </pic:spPr>
                      </pic:pic>
                    </a:graphicData>
                  </a:graphic>
                </wp:inline>
              </w:drawing>
            </w:r>
            <w:r>
              <w:rPr>
                <w:sz w:val="2"/>
              </w:rPr>
            </w:r>
          </w:p>
        </w:tc>
        <w:tc>
          <w:tcPr>
            <w:tcW w:w="435" w:type="dxa"/>
          </w:tcPr>
          <w:p>
            <w:pPr>
              <w:pStyle w:val="TableParagraph"/>
              <w:spacing w:before="23"/>
              <w:ind w:right="36"/>
              <w:jc w:val="right"/>
              <w:rPr>
                <w:rFonts w:ascii="Calibri"/>
                <w:sz w:val="24"/>
              </w:rPr>
            </w:pPr>
            <w:r>
              <w:rPr>
                <w:rFonts w:ascii="Calibri"/>
                <w:w w:val="95"/>
                <w:sz w:val="24"/>
              </w:rPr>
              <w:t>29</w:t>
            </w:r>
          </w:p>
        </w:tc>
      </w:tr>
      <w:tr>
        <w:trPr>
          <w:trHeight w:val="370" w:hRule="exact"/>
        </w:trPr>
        <w:tc>
          <w:tcPr>
            <w:tcW w:w="639" w:type="dxa"/>
          </w:tcPr>
          <w:p>
            <w:pPr>
              <w:pStyle w:val="TableParagraph"/>
              <w:spacing w:before="33"/>
              <w:ind w:right="32"/>
              <w:jc w:val="right"/>
              <w:rPr>
                <w:sz w:val="24"/>
              </w:rPr>
            </w:pPr>
            <w:r>
              <w:rPr>
                <w:sz w:val="24"/>
              </w:rPr>
              <w:t>4.2</w:t>
            </w:r>
          </w:p>
        </w:tc>
        <w:tc>
          <w:tcPr>
            <w:tcW w:w="9397" w:type="dxa"/>
          </w:tcPr>
          <w:p>
            <w:pPr>
              <w:pStyle w:val="TableParagraph"/>
              <w:spacing w:before="33"/>
              <w:ind w:left="103"/>
              <w:rPr>
                <w:b/>
                <w:sz w:val="24"/>
              </w:rPr>
            </w:pPr>
            <w:r>
              <w:rPr>
                <w:b/>
                <w:sz w:val="24"/>
              </w:rPr>
              <w:t>Diagnóstico de la situación actual</w:t>
            </w:r>
          </w:p>
          <w:p>
            <w:pPr>
              <w:pStyle w:val="TableParagraph"/>
              <w:spacing w:line="20" w:lineRule="exact"/>
              <w:ind w:left="34"/>
              <w:rPr>
                <w:sz w:val="2"/>
              </w:rPr>
            </w:pPr>
            <w:r>
              <w:rPr>
                <w:sz w:val="2"/>
              </w:rPr>
              <w:drawing>
                <wp:inline distT="0" distB="0" distL="0" distR="0">
                  <wp:extent cx="5849306" cy="4572"/>
                  <wp:effectExtent l="0" t="0" r="0" b="0"/>
                  <wp:docPr id="57" name="image2.png" descr=""/>
                  <wp:cNvGraphicFramePr>
                    <a:graphicFrameLocks noChangeAspect="1"/>
                  </wp:cNvGraphicFramePr>
                  <a:graphic>
                    <a:graphicData uri="http://schemas.openxmlformats.org/drawingml/2006/picture">
                      <pic:pic>
                        <pic:nvPicPr>
                          <pic:cNvPr id="58" name="image2.png"/>
                          <pic:cNvPicPr/>
                        </pic:nvPicPr>
                        <pic:blipFill>
                          <a:blip r:embed="rId6" cstate="print"/>
                          <a:stretch>
                            <a:fillRect/>
                          </a:stretch>
                        </pic:blipFill>
                        <pic:spPr>
                          <a:xfrm>
                            <a:off x="0" y="0"/>
                            <a:ext cx="5849306"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30</w:t>
            </w:r>
          </w:p>
        </w:tc>
      </w:tr>
      <w:tr>
        <w:trPr>
          <w:trHeight w:val="371" w:hRule="exact"/>
        </w:trPr>
        <w:tc>
          <w:tcPr>
            <w:tcW w:w="639" w:type="dxa"/>
          </w:tcPr>
          <w:p>
            <w:pPr>
              <w:pStyle w:val="TableParagraph"/>
              <w:spacing w:before="33"/>
              <w:ind w:right="32"/>
              <w:jc w:val="right"/>
              <w:rPr>
                <w:sz w:val="24"/>
              </w:rPr>
            </w:pPr>
            <w:r>
              <w:rPr>
                <w:sz w:val="24"/>
              </w:rPr>
              <w:t>4.3</w:t>
            </w:r>
          </w:p>
        </w:tc>
        <w:tc>
          <w:tcPr>
            <w:tcW w:w="9397" w:type="dxa"/>
          </w:tcPr>
          <w:p>
            <w:pPr>
              <w:pStyle w:val="TableParagraph"/>
              <w:spacing w:before="33"/>
              <w:ind w:left="103"/>
              <w:rPr>
                <w:b/>
                <w:sz w:val="24"/>
              </w:rPr>
            </w:pPr>
            <w:r>
              <w:rPr>
                <w:b/>
                <w:sz w:val="24"/>
              </w:rPr>
              <w:t>Análisis de la oferta o infraestructura existente</w:t>
            </w:r>
          </w:p>
          <w:p>
            <w:pPr>
              <w:pStyle w:val="TableParagraph"/>
              <w:spacing w:line="20" w:lineRule="exact"/>
              <w:ind w:left="34"/>
              <w:rPr>
                <w:sz w:val="2"/>
              </w:rPr>
            </w:pPr>
            <w:r>
              <w:rPr>
                <w:sz w:val="2"/>
              </w:rPr>
              <w:drawing>
                <wp:inline distT="0" distB="0" distL="0" distR="0">
                  <wp:extent cx="5849241" cy="4572"/>
                  <wp:effectExtent l="0" t="0" r="0" b="0"/>
                  <wp:docPr id="59" name="image2.png" descr=""/>
                  <wp:cNvGraphicFramePr>
                    <a:graphicFrameLocks noChangeAspect="1"/>
                  </wp:cNvGraphicFramePr>
                  <a:graphic>
                    <a:graphicData uri="http://schemas.openxmlformats.org/drawingml/2006/picture">
                      <pic:pic>
                        <pic:nvPicPr>
                          <pic:cNvPr id="60" name="image2.png"/>
                          <pic:cNvPicPr/>
                        </pic:nvPicPr>
                        <pic:blipFill>
                          <a:blip r:embed="rId6" cstate="print"/>
                          <a:stretch>
                            <a:fillRect/>
                          </a:stretch>
                        </pic:blipFill>
                        <pic:spPr>
                          <a:xfrm>
                            <a:off x="0" y="0"/>
                            <a:ext cx="5849241"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32</w:t>
            </w:r>
          </w:p>
        </w:tc>
      </w:tr>
      <w:tr>
        <w:trPr>
          <w:trHeight w:val="371" w:hRule="exact"/>
        </w:trPr>
        <w:tc>
          <w:tcPr>
            <w:tcW w:w="639" w:type="dxa"/>
          </w:tcPr>
          <w:p>
            <w:pPr>
              <w:pStyle w:val="TableParagraph"/>
              <w:spacing w:before="34"/>
              <w:ind w:right="32"/>
              <w:jc w:val="right"/>
              <w:rPr>
                <w:sz w:val="24"/>
              </w:rPr>
            </w:pPr>
            <w:r>
              <w:rPr>
                <w:sz w:val="24"/>
              </w:rPr>
              <w:t>4.4</w:t>
            </w:r>
          </w:p>
        </w:tc>
        <w:tc>
          <w:tcPr>
            <w:tcW w:w="9397" w:type="dxa"/>
          </w:tcPr>
          <w:p>
            <w:pPr>
              <w:pStyle w:val="TableParagraph"/>
              <w:spacing w:before="34"/>
              <w:ind w:left="103"/>
              <w:rPr>
                <w:b/>
                <w:sz w:val="24"/>
              </w:rPr>
            </w:pPr>
            <w:r>
              <w:rPr>
                <w:b/>
                <w:sz w:val="24"/>
              </w:rPr>
              <w:t>Análisis de la demanda actual</w:t>
            </w:r>
          </w:p>
          <w:p>
            <w:pPr>
              <w:pStyle w:val="TableParagraph"/>
              <w:spacing w:line="20" w:lineRule="exact"/>
              <w:ind w:left="34"/>
              <w:rPr>
                <w:sz w:val="2"/>
              </w:rPr>
            </w:pPr>
            <w:r>
              <w:rPr>
                <w:sz w:val="2"/>
              </w:rPr>
              <w:drawing>
                <wp:inline distT="0" distB="0" distL="0" distR="0">
                  <wp:extent cx="5849127" cy="4572"/>
                  <wp:effectExtent l="0" t="0" r="0" b="0"/>
                  <wp:docPr id="61" name="image2.png" descr=""/>
                  <wp:cNvGraphicFramePr>
                    <a:graphicFrameLocks noChangeAspect="1"/>
                  </wp:cNvGraphicFramePr>
                  <a:graphic>
                    <a:graphicData uri="http://schemas.openxmlformats.org/drawingml/2006/picture">
                      <pic:pic>
                        <pic:nvPicPr>
                          <pic:cNvPr id="62" name="image2.png"/>
                          <pic:cNvPicPr/>
                        </pic:nvPicPr>
                        <pic:blipFill>
                          <a:blip r:embed="rId6" cstate="print"/>
                          <a:stretch>
                            <a:fillRect/>
                          </a:stretch>
                        </pic:blipFill>
                        <pic:spPr>
                          <a:xfrm>
                            <a:off x="0" y="0"/>
                            <a:ext cx="5849127" cy="4572"/>
                          </a:xfrm>
                          <a:prstGeom prst="rect">
                            <a:avLst/>
                          </a:prstGeom>
                        </pic:spPr>
                      </pic:pic>
                    </a:graphicData>
                  </a:graphic>
                </wp:inline>
              </w:drawing>
            </w:r>
            <w:r>
              <w:rPr>
                <w:sz w:val="2"/>
              </w:rPr>
            </w:r>
          </w:p>
        </w:tc>
        <w:tc>
          <w:tcPr>
            <w:tcW w:w="435" w:type="dxa"/>
          </w:tcPr>
          <w:p>
            <w:pPr>
              <w:pStyle w:val="TableParagraph"/>
              <w:spacing w:before="18"/>
              <w:ind w:right="36"/>
              <w:jc w:val="right"/>
              <w:rPr>
                <w:rFonts w:ascii="Calibri"/>
                <w:sz w:val="24"/>
              </w:rPr>
            </w:pPr>
            <w:r>
              <w:rPr>
                <w:rFonts w:ascii="Calibri"/>
                <w:sz w:val="24"/>
              </w:rPr>
              <w:t>33</w:t>
            </w:r>
          </w:p>
        </w:tc>
      </w:tr>
      <w:tr>
        <w:trPr>
          <w:trHeight w:val="370" w:hRule="exact"/>
        </w:trPr>
        <w:tc>
          <w:tcPr>
            <w:tcW w:w="639" w:type="dxa"/>
          </w:tcPr>
          <w:p>
            <w:pPr>
              <w:pStyle w:val="TableParagraph"/>
              <w:spacing w:before="33"/>
              <w:ind w:right="32"/>
              <w:jc w:val="right"/>
              <w:rPr>
                <w:sz w:val="24"/>
              </w:rPr>
            </w:pPr>
            <w:r>
              <w:rPr>
                <w:sz w:val="24"/>
              </w:rPr>
              <w:t>4.5</w:t>
            </w:r>
          </w:p>
        </w:tc>
        <w:tc>
          <w:tcPr>
            <w:tcW w:w="9397" w:type="dxa"/>
          </w:tcPr>
          <w:p>
            <w:pPr>
              <w:pStyle w:val="TableParagraph"/>
              <w:spacing w:before="33"/>
              <w:ind w:left="103"/>
              <w:rPr>
                <w:b/>
                <w:sz w:val="24"/>
              </w:rPr>
            </w:pPr>
            <w:r>
              <w:rPr>
                <w:b/>
                <w:sz w:val="24"/>
              </w:rPr>
              <w:t>Descripción de la situación actual optimizada</w:t>
            </w:r>
          </w:p>
          <w:p>
            <w:pPr>
              <w:pStyle w:val="TableParagraph"/>
              <w:spacing w:line="20" w:lineRule="exact"/>
              <w:ind w:left="34"/>
              <w:rPr>
                <w:sz w:val="2"/>
              </w:rPr>
            </w:pPr>
            <w:r>
              <w:rPr>
                <w:sz w:val="2"/>
              </w:rPr>
              <w:drawing>
                <wp:inline distT="0" distB="0" distL="0" distR="0">
                  <wp:extent cx="5849290" cy="4572"/>
                  <wp:effectExtent l="0" t="0" r="0" b="0"/>
                  <wp:docPr id="63" name="image2.png" descr=""/>
                  <wp:cNvGraphicFramePr>
                    <a:graphicFrameLocks noChangeAspect="1"/>
                  </wp:cNvGraphicFramePr>
                  <a:graphic>
                    <a:graphicData uri="http://schemas.openxmlformats.org/drawingml/2006/picture">
                      <pic:pic>
                        <pic:nvPicPr>
                          <pic:cNvPr id="64" name="image2.png"/>
                          <pic:cNvPicPr/>
                        </pic:nvPicPr>
                        <pic:blipFill>
                          <a:blip r:embed="rId6" cstate="print"/>
                          <a:stretch>
                            <a:fillRect/>
                          </a:stretch>
                        </pic:blipFill>
                        <pic:spPr>
                          <a:xfrm>
                            <a:off x="0" y="0"/>
                            <a:ext cx="5849290"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33</w:t>
            </w:r>
          </w:p>
        </w:tc>
      </w:tr>
      <w:tr>
        <w:trPr>
          <w:trHeight w:val="370" w:hRule="exact"/>
        </w:trPr>
        <w:tc>
          <w:tcPr>
            <w:tcW w:w="639" w:type="dxa"/>
          </w:tcPr>
          <w:p>
            <w:pPr>
              <w:pStyle w:val="TableParagraph"/>
              <w:spacing w:before="33"/>
              <w:ind w:right="32"/>
              <w:jc w:val="right"/>
              <w:rPr>
                <w:sz w:val="24"/>
              </w:rPr>
            </w:pPr>
            <w:r>
              <w:rPr>
                <w:sz w:val="24"/>
              </w:rPr>
              <w:t>4.6</w:t>
            </w:r>
          </w:p>
        </w:tc>
        <w:tc>
          <w:tcPr>
            <w:tcW w:w="9397" w:type="dxa"/>
          </w:tcPr>
          <w:p>
            <w:pPr>
              <w:pStyle w:val="TableParagraph"/>
              <w:spacing w:before="33"/>
              <w:ind w:left="103"/>
              <w:rPr>
                <w:b/>
                <w:sz w:val="24"/>
              </w:rPr>
            </w:pPr>
            <w:r>
              <w:rPr>
                <w:b/>
                <w:sz w:val="24"/>
              </w:rPr>
              <w:t>Análisis de la oferta o infraestructura existente</w:t>
            </w:r>
          </w:p>
          <w:p>
            <w:pPr>
              <w:pStyle w:val="TableParagraph"/>
              <w:spacing w:line="20" w:lineRule="exact"/>
              <w:ind w:left="34"/>
              <w:rPr>
                <w:sz w:val="2"/>
              </w:rPr>
            </w:pPr>
            <w:r>
              <w:rPr>
                <w:sz w:val="2"/>
              </w:rPr>
              <w:drawing>
                <wp:inline distT="0" distB="0" distL="0" distR="0">
                  <wp:extent cx="5849257" cy="4572"/>
                  <wp:effectExtent l="0" t="0" r="0" b="0"/>
                  <wp:docPr id="65" name="image2.png" descr=""/>
                  <wp:cNvGraphicFramePr>
                    <a:graphicFrameLocks noChangeAspect="1"/>
                  </wp:cNvGraphicFramePr>
                  <a:graphic>
                    <a:graphicData uri="http://schemas.openxmlformats.org/drawingml/2006/picture">
                      <pic:pic>
                        <pic:nvPicPr>
                          <pic:cNvPr id="66" name="image2.png"/>
                          <pic:cNvPicPr/>
                        </pic:nvPicPr>
                        <pic:blipFill>
                          <a:blip r:embed="rId6" cstate="print"/>
                          <a:stretch>
                            <a:fillRect/>
                          </a:stretch>
                        </pic:blipFill>
                        <pic:spPr>
                          <a:xfrm>
                            <a:off x="0" y="0"/>
                            <a:ext cx="5849257"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33</w:t>
            </w:r>
          </w:p>
        </w:tc>
      </w:tr>
      <w:tr>
        <w:trPr>
          <w:trHeight w:val="370" w:hRule="exact"/>
        </w:trPr>
        <w:tc>
          <w:tcPr>
            <w:tcW w:w="639" w:type="dxa"/>
          </w:tcPr>
          <w:p>
            <w:pPr>
              <w:pStyle w:val="TableParagraph"/>
              <w:spacing w:before="33"/>
              <w:ind w:right="33"/>
              <w:jc w:val="right"/>
              <w:rPr>
                <w:sz w:val="24"/>
              </w:rPr>
            </w:pPr>
            <w:r>
              <w:rPr>
                <w:sz w:val="24"/>
              </w:rPr>
              <w:t>4.6.1</w:t>
            </w:r>
          </w:p>
        </w:tc>
        <w:tc>
          <w:tcPr>
            <w:tcW w:w="9397" w:type="dxa"/>
          </w:tcPr>
          <w:p>
            <w:pPr>
              <w:pStyle w:val="TableParagraph"/>
              <w:spacing w:before="33"/>
              <w:ind w:left="103"/>
              <w:rPr>
                <w:b/>
                <w:sz w:val="24"/>
              </w:rPr>
            </w:pPr>
            <w:r>
              <w:rPr>
                <w:b/>
                <w:sz w:val="24"/>
              </w:rPr>
              <w:t>Análisis de la demanda actual sin proyecto</w:t>
            </w:r>
          </w:p>
          <w:p>
            <w:pPr>
              <w:pStyle w:val="TableParagraph"/>
              <w:spacing w:line="20" w:lineRule="exact"/>
              <w:ind w:left="34"/>
              <w:rPr>
                <w:sz w:val="2"/>
              </w:rPr>
            </w:pPr>
            <w:r>
              <w:rPr>
                <w:sz w:val="2"/>
              </w:rPr>
              <w:drawing>
                <wp:inline distT="0" distB="0" distL="0" distR="0">
                  <wp:extent cx="5849160" cy="4572"/>
                  <wp:effectExtent l="0" t="0" r="0" b="0"/>
                  <wp:docPr id="67" name="image2.png" descr=""/>
                  <wp:cNvGraphicFramePr>
                    <a:graphicFrameLocks noChangeAspect="1"/>
                  </wp:cNvGraphicFramePr>
                  <a:graphic>
                    <a:graphicData uri="http://schemas.openxmlformats.org/drawingml/2006/picture">
                      <pic:pic>
                        <pic:nvPicPr>
                          <pic:cNvPr id="68" name="image2.png"/>
                          <pic:cNvPicPr/>
                        </pic:nvPicPr>
                        <pic:blipFill>
                          <a:blip r:embed="rId6" cstate="print"/>
                          <a:stretch>
                            <a:fillRect/>
                          </a:stretch>
                        </pic:blipFill>
                        <pic:spPr>
                          <a:xfrm>
                            <a:off x="0" y="0"/>
                            <a:ext cx="5849160"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34</w:t>
            </w:r>
          </w:p>
        </w:tc>
      </w:tr>
      <w:tr>
        <w:trPr>
          <w:trHeight w:val="370" w:hRule="exact"/>
        </w:trPr>
        <w:tc>
          <w:tcPr>
            <w:tcW w:w="639" w:type="dxa"/>
          </w:tcPr>
          <w:p>
            <w:pPr>
              <w:pStyle w:val="TableParagraph"/>
              <w:spacing w:before="33"/>
              <w:ind w:right="32"/>
              <w:jc w:val="right"/>
              <w:rPr>
                <w:sz w:val="24"/>
              </w:rPr>
            </w:pPr>
            <w:r>
              <w:rPr>
                <w:sz w:val="24"/>
              </w:rPr>
              <w:t>4.7</w:t>
            </w:r>
          </w:p>
        </w:tc>
        <w:tc>
          <w:tcPr>
            <w:tcW w:w="9397" w:type="dxa"/>
          </w:tcPr>
          <w:p>
            <w:pPr>
              <w:pStyle w:val="TableParagraph"/>
              <w:spacing w:before="33"/>
              <w:ind w:left="103"/>
              <w:rPr>
                <w:b/>
                <w:sz w:val="24"/>
              </w:rPr>
            </w:pPr>
            <w:r>
              <w:rPr>
                <w:b/>
                <w:sz w:val="24"/>
              </w:rPr>
              <w:t>Alternativas de solución</w:t>
            </w:r>
          </w:p>
          <w:p>
            <w:pPr>
              <w:pStyle w:val="TableParagraph"/>
              <w:spacing w:line="20" w:lineRule="exact"/>
              <w:ind w:left="34"/>
              <w:rPr>
                <w:sz w:val="2"/>
              </w:rPr>
            </w:pPr>
            <w:r>
              <w:rPr>
                <w:sz w:val="2"/>
              </w:rPr>
              <w:drawing>
                <wp:inline distT="0" distB="0" distL="0" distR="0">
                  <wp:extent cx="5849339" cy="4572"/>
                  <wp:effectExtent l="0" t="0" r="0" b="0"/>
                  <wp:docPr id="69" name="image2.png" descr=""/>
                  <wp:cNvGraphicFramePr>
                    <a:graphicFrameLocks noChangeAspect="1"/>
                  </wp:cNvGraphicFramePr>
                  <a:graphic>
                    <a:graphicData uri="http://schemas.openxmlformats.org/drawingml/2006/picture">
                      <pic:pic>
                        <pic:nvPicPr>
                          <pic:cNvPr id="70" name="image2.png"/>
                          <pic:cNvPicPr/>
                        </pic:nvPicPr>
                        <pic:blipFill>
                          <a:blip r:embed="rId6" cstate="print"/>
                          <a:stretch>
                            <a:fillRect/>
                          </a:stretch>
                        </pic:blipFill>
                        <pic:spPr>
                          <a:xfrm>
                            <a:off x="0" y="0"/>
                            <a:ext cx="5849339"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34</w:t>
            </w:r>
          </w:p>
        </w:tc>
      </w:tr>
      <w:tr>
        <w:trPr>
          <w:trHeight w:val="371" w:hRule="exact"/>
        </w:trPr>
        <w:tc>
          <w:tcPr>
            <w:tcW w:w="639" w:type="dxa"/>
          </w:tcPr>
          <w:p>
            <w:pPr>
              <w:pStyle w:val="TableParagraph"/>
              <w:spacing w:before="33"/>
              <w:ind w:right="32"/>
              <w:jc w:val="right"/>
              <w:rPr>
                <w:sz w:val="24"/>
              </w:rPr>
            </w:pPr>
            <w:r>
              <w:rPr>
                <w:sz w:val="24"/>
              </w:rPr>
              <w:t>4.8</w:t>
            </w:r>
          </w:p>
        </w:tc>
        <w:tc>
          <w:tcPr>
            <w:tcW w:w="9397" w:type="dxa"/>
          </w:tcPr>
          <w:p>
            <w:pPr>
              <w:pStyle w:val="TableParagraph"/>
              <w:spacing w:before="33"/>
              <w:ind w:left="103"/>
              <w:rPr>
                <w:b/>
                <w:sz w:val="24"/>
              </w:rPr>
            </w:pPr>
            <w:r>
              <w:rPr>
                <w:b/>
                <w:sz w:val="24"/>
              </w:rPr>
              <w:t>Descripción del proyecto (componentes y actividades del proyecto)</w:t>
            </w:r>
          </w:p>
          <w:p>
            <w:pPr>
              <w:pStyle w:val="TableParagraph"/>
              <w:spacing w:line="20" w:lineRule="exact"/>
              <w:ind w:left="34"/>
              <w:rPr>
                <w:sz w:val="2"/>
              </w:rPr>
            </w:pPr>
            <w:r>
              <w:rPr>
                <w:sz w:val="2"/>
              </w:rPr>
              <w:drawing>
                <wp:inline distT="0" distB="0" distL="0" distR="0">
                  <wp:extent cx="5849209" cy="4572"/>
                  <wp:effectExtent l="0" t="0" r="0" b="0"/>
                  <wp:docPr id="71" name="image2.png" descr=""/>
                  <wp:cNvGraphicFramePr>
                    <a:graphicFrameLocks noChangeAspect="1"/>
                  </wp:cNvGraphicFramePr>
                  <a:graphic>
                    <a:graphicData uri="http://schemas.openxmlformats.org/drawingml/2006/picture">
                      <pic:pic>
                        <pic:nvPicPr>
                          <pic:cNvPr id="72" name="image2.png"/>
                          <pic:cNvPicPr/>
                        </pic:nvPicPr>
                        <pic:blipFill>
                          <a:blip r:embed="rId6" cstate="print"/>
                          <a:stretch>
                            <a:fillRect/>
                          </a:stretch>
                        </pic:blipFill>
                        <pic:spPr>
                          <a:xfrm>
                            <a:off x="0" y="0"/>
                            <a:ext cx="5849209"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35</w:t>
            </w:r>
          </w:p>
        </w:tc>
      </w:tr>
      <w:tr>
        <w:trPr>
          <w:trHeight w:val="371" w:hRule="exact"/>
        </w:trPr>
        <w:tc>
          <w:tcPr>
            <w:tcW w:w="639" w:type="dxa"/>
          </w:tcPr>
          <w:p>
            <w:pPr>
              <w:pStyle w:val="TableParagraph"/>
              <w:spacing w:before="34"/>
              <w:ind w:right="32"/>
              <w:jc w:val="right"/>
              <w:rPr>
                <w:sz w:val="24"/>
              </w:rPr>
            </w:pPr>
            <w:r>
              <w:rPr>
                <w:sz w:val="24"/>
              </w:rPr>
              <w:t>4.9</w:t>
            </w:r>
          </w:p>
        </w:tc>
        <w:tc>
          <w:tcPr>
            <w:tcW w:w="9397" w:type="dxa"/>
          </w:tcPr>
          <w:p>
            <w:pPr>
              <w:pStyle w:val="TableParagraph"/>
              <w:spacing w:before="34"/>
              <w:ind w:left="103"/>
              <w:rPr>
                <w:b/>
                <w:sz w:val="24"/>
              </w:rPr>
            </w:pPr>
            <w:r>
              <w:rPr>
                <w:b/>
                <w:sz w:val="24"/>
              </w:rPr>
              <w:t>Objetivo y propósito del proyecto</w:t>
            </w:r>
          </w:p>
          <w:p>
            <w:pPr>
              <w:pStyle w:val="TableParagraph"/>
              <w:spacing w:line="20" w:lineRule="exact"/>
              <w:ind w:left="34"/>
              <w:rPr>
                <w:sz w:val="2"/>
              </w:rPr>
            </w:pPr>
            <w:r>
              <w:rPr>
                <w:sz w:val="2"/>
              </w:rPr>
              <w:drawing>
                <wp:inline distT="0" distB="0" distL="0" distR="0">
                  <wp:extent cx="5849144" cy="4572"/>
                  <wp:effectExtent l="0" t="0" r="0" b="0"/>
                  <wp:docPr id="73" name="image2.png" descr=""/>
                  <wp:cNvGraphicFramePr>
                    <a:graphicFrameLocks noChangeAspect="1"/>
                  </wp:cNvGraphicFramePr>
                  <a:graphic>
                    <a:graphicData uri="http://schemas.openxmlformats.org/drawingml/2006/picture">
                      <pic:pic>
                        <pic:nvPicPr>
                          <pic:cNvPr id="74" name="image2.png"/>
                          <pic:cNvPicPr/>
                        </pic:nvPicPr>
                        <pic:blipFill>
                          <a:blip r:embed="rId6" cstate="print"/>
                          <a:stretch>
                            <a:fillRect/>
                          </a:stretch>
                        </pic:blipFill>
                        <pic:spPr>
                          <a:xfrm>
                            <a:off x="0" y="0"/>
                            <a:ext cx="5849144" cy="4572"/>
                          </a:xfrm>
                          <a:prstGeom prst="rect">
                            <a:avLst/>
                          </a:prstGeom>
                        </pic:spPr>
                      </pic:pic>
                    </a:graphicData>
                  </a:graphic>
                </wp:inline>
              </w:drawing>
            </w:r>
            <w:r>
              <w:rPr>
                <w:sz w:val="2"/>
              </w:rPr>
            </w:r>
          </w:p>
        </w:tc>
        <w:tc>
          <w:tcPr>
            <w:tcW w:w="435" w:type="dxa"/>
          </w:tcPr>
          <w:p>
            <w:pPr>
              <w:pStyle w:val="TableParagraph"/>
              <w:spacing w:before="18"/>
              <w:ind w:right="36"/>
              <w:jc w:val="right"/>
              <w:rPr>
                <w:rFonts w:ascii="Calibri"/>
                <w:sz w:val="24"/>
              </w:rPr>
            </w:pPr>
            <w:r>
              <w:rPr>
                <w:rFonts w:ascii="Calibri"/>
                <w:sz w:val="24"/>
              </w:rPr>
              <w:t>36</w:t>
            </w:r>
          </w:p>
        </w:tc>
      </w:tr>
      <w:tr>
        <w:trPr>
          <w:trHeight w:val="370" w:hRule="exact"/>
        </w:trPr>
        <w:tc>
          <w:tcPr>
            <w:tcW w:w="639" w:type="dxa"/>
          </w:tcPr>
          <w:p>
            <w:pPr>
              <w:pStyle w:val="TableParagraph"/>
              <w:spacing w:before="33"/>
              <w:ind w:right="32"/>
              <w:jc w:val="right"/>
              <w:rPr>
                <w:sz w:val="24"/>
              </w:rPr>
            </w:pPr>
            <w:r>
              <w:rPr>
                <w:sz w:val="24"/>
              </w:rPr>
              <w:t>4.10</w:t>
            </w:r>
          </w:p>
        </w:tc>
        <w:tc>
          <w:tcPr>
            <w:tcW w:w="9397" w:type="dxa"/>
          </w:tcPr>
          <w:p>
            <w:pPr>
              <w:pStyle w:val="TableParagraph"/>
              <w:spacing w:before="33"/>
              <w:ind w:left="103"/>
              <w:rPr>
                <w:b/>
                <w:sz w:val="24"/>
              </w:rPr>
            </w:pPr>
            <w:r>
              <w:rPr>
                <w:b/>
                <w:sz w:val="24"/>
              </w:rPr>
              <w:t>Alineación estratégica</w:t>
            </w:r>
          </w:p>
          <w:p>
            <w:pPr>
              <w:pStyle w:val="TableParagraph"/>
              <w:spacing w:line="20" w:lineRule="exact"/>
              <w:ind w:left="34"/>
              <w:rPr>
                <w:sz w:val="2"/>
              </w:rPr>
            </w:pPr>
            <w:r>
              <w:rPr>
                <w:sz w:val="2"/>
              </w:rPr>
              <w:drawing>
                <wp:inline distT="0" distB="0" distL="0" distR="0">
                  <wp:extent cx="5849322" cy="4572"/>
                  <wp:effectExtent l="0" t="0" r="0" b="0"/>
                  <wp:docPr id="75" name="image2.png" descr=""/>
                  <wp:cNvGraphicFramePr>
                    <a:graphicFrameLocks noChangeAspect="1"/>
                  </wp:cNvGraphicFramePr>
                  <a:graphic>
                    <a:graphicData uri="http://schemas.openxmlformats.org/drawingml/2006/picture">
                      <pic:pic>
                        <pic:nvPicPr>
                          <pic:cNvPr id="76" name="image2.png"/>
                          <pic:cNvPicPr/>
                        </pic:nvPicPr>
                        <pic:blipFill>
                          <a:blip r:embed="rId6" cstate="print"/>
                          <a:stretch>
                            <a:fillRect/>
                          </a:stretch>
                        </pic:blipFill>
                        <pic:spPr>
                          <a:xfrm>
                            <a:off x="0" y="0"/>
                            <a:ext cx="5849322"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36</w:t>
            </w:r>
          </w:p>
        </w:tc>
      </w:tr>
      <w:tr>
        <w:trPr>
          <w:trHeight w:val="370" w:hRule="exact"/>
        </w:trPr>
        <w:tc>
          <w:tcPr>
            <w:tcW w:w="639" w:type="dxa"/>
          </w:tcPr>
          <w:p>
            <w:pPr>
              <w:pStyle w:val="TableParagraph"/>
              <w:spacing w:before="33"/>
              <w:ind w:right="33"/>
              <w:jc w:val="right"/>
              <w:rPr>
                <w:sz w:val="24"/>
              </w:rPr>
            </w:pPr>
            <w:r>
              <w:rPr>
                <w:sz w:val="24"/>
              </w:rPr>
              <w:t>4.11</w:t>
            </w:r>
          </w:p>
        </w:tc>
        <w:tc>
          <w:tcPr>
            <w:tcW w:w="9397" w:type="dxa"/>
          </w:tcPr>
          <w:p>
            <w:pPr>
              <w:pStyle w:val="TableParagraph"/>
              <w:spacing w:before="33"/>
              <w:ind w:left="103"/>
              <w:rPr>
                <w:b/>
                <w:sz w:val="24"/>
              </w:rPr>
            </w:pPr>
            <w:r>
              <w:rPr>
                <w:b/>
                <w:sz w:val="24"/>
              </w:rPr>
              <w:t>Localización geográfica</w:t>
            </w:r>
          </w:p>
          <w:p>
            <w:pPr>
              <w:pStyle w:val="TableParagraph"/>
              <w:spacing w:line="20" w:lineRule="exact"/>
              <w:ind w:left="34"/>
              <w:rPr>
                <w:sz w:val="2"/>
              </w:rPr>
            </w:pPr>
            <w:r>
              <w:rPr>
                <w:sz w:val="2"/>
              </w:rPr>
              <w:drawing>
                <wp:inline distT="0" distB="0" distL="0" distR="0">
                  <wp:extent cx="5849209" cy="4572"/>
                  <wp:effectExtent l="0" t="0" r="0" b="0"/>
                  <wp:docPr id="77" name="image2.png" descr=""/>
                  <wp:cNvGraphicFramePr>
                    <a:graphicFrameLocks noChangeAspect="1"/>
                  </wp:cNvGraphicFramePr>
                  <a:graphic>
                    <a:graphicData uri="http://schemas.openxmlformats.org/drawingml/2006/picture">
                      <pic:pic>
                        <pic:nvPicPr>
                          <pic:cNvPr id="78" name="image2.png"/>
                          <pic:cNvPicPr/>
                        </pic:nvPicPr>
                        <pic:blipFill>
                          <a:blip r:embed="rId6" cstate="print"/>
                          <a:stretch>
                            <a:fillRect/>
                          </a:stretch>
                        </pic:blipFill>
                        <pic:spPr>
                          <a:xfrm>
                            <a:off x="0" y="0"/>
                            <a:ext cx="5849209"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37</w:t>
            </w:r>
          </w:p>
        </w:tc>
      </w:tr>
      <w:tr>
        <w:trPr>
          <w:trHeight w:val="370" w:hRule="exact"/>
        </w:trPr>
        <w:tc>
          <w:tcPr>
            <w:tcW w:w="639" w:type="dxa"/>
          </w:tcPr>
          <w:p>
            <w:pPr>
              <w:pStyle w:val="TableParagraph"/>
              <w:spacing w:before="33"/>
              <w:ind w:right="33"/>
              <w:jc w:val="right"/>
              <w:rPr>
                <w:sz w:val="24"/>
              </w:rPr>
            </w:pPr>
            <w:r>
              <w:rPr>
                <w:sz w:val="24"/>
              </w:rPr>
              <w:t>4.12</w:t>
            </w:r>
          </w:p>
        </w:tc>
        <w:tc>
          <w:tcPr>
            <w:tcW w:w="9397" w:type="dxa"/>
          </w:tcPr>
          <w:p>
            <w:pPr>
              <w:pStyle w:val="TableParagraph"/>
              <w:spacing w:before="33"/>
              <w:ind w:left="103"/>
              <w:rPr>
                <w:b/>
                <w:sz w:val="24"/>
              </w:rPr>
            </w:pPr>
            <w:r>
              <w:rPr>
                <w:b/>
                <w:sz w:val="24"/>
              </w:rPr>
              <w:t>Calendario de inversión</w:t>
            </w:r>
          </w:p>
          <w:p>
            <w:pPr>
              <w:pStyle w:val="TableParagraph"/>
              <w:spacing w:line="20" w:lineRule="exact"/>
              <w:ind w:left="34"/>
              <w:rPr>
                <w:sz w:val="2"/>
              </w:rPr>
            </w:pPr>
            <w:r>
              <w:rPr>
                <w:sz w:val="2"/>
              </w:rPr>
              <w:drawing>
                <wp:inline distT="0" distB="0" distL="0" distR="0">
                  <wp:extent cx="5849192" cy="4572"/>
                  <wp:effectExtent l="0" t="0" r="0" b="0"/>
                  <wp:docPr id="79" name="image2.png" descr=""/>
                  <wp:cNvGraphicFramePr>
                    <a:graphicFrameLocks noChangeAspect="1"/>
                  </wp:cNvGraphicFramePr>
                  <a:graphic>
                    <a:graphicData uri="http://schemas.openxmlformats.org/drawingml/2006/picture">
                      <pic:pic>
                        <pic:nvPicPr>
                          <pic:cNvPr id="80" name="image2.png"/>
                          <pic:cNvPicPr/>
                        </pic:nvPicPr>
                        <pic:blipFill>
                          <a:blip r:embed="rId6" cstate="print"/>
                          <a:stretch>
                            <a:fillRect/>
                          </a:stretch>
                        </pic:blipFill>
                        <pic:spPr>
                          <a:xfrm>
                            <a:off x="0" y="0"/>
                            <a:ext cx="5849192"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38</w:t>
            </w:r>
          </w:p>
        </w:tc>
      </w:tr>
      <w:tr>
        <w:trPr>
          <w:trHeight w:val="370" w:hRule="exact"/>
        </w:trPr>
        <w:tc>
          <w:tcPr>
            <w:tcW w:w="639" w:type="dxa"/>
          </w:tcPr>
          <w:p>
            <w:pPr>
              <w:pStyle w:val="TableParagraph"/>
              <w:spacing w:before="33"/>
              <w:ind w:right="32"/>
              <w:jc w:val="right"/>
              <w:rPr>
                <w:sz w:val="24"/>
              </w:rPr>
            </w:pPr>
            <w:r>
              <w:rPr>
                <w:sz w:val="24"/>
              </w:rPr>
              <w:t>4.13</w:t>
            </w:r>
          </w:p>
        </w:tc>
        <w:tc>
          <w:tcPr>
            <w:tcW w:w="9397" w:type="dxa"/>
          </w:tcPr>
          <w:p>
            <w:pPr>
              <w:pStyle w:val="TableParagraph"/>
              <w:spacing w:before="33"/>
              <w:ind w:left="103"/>
              <w:rPr>
                <w:b/>
                <w:sz w:val="24"/>
              </w:rPr>
            </w:pPr>
            <w:r>
              <w:rPr>
                <w:b/>
                <w:sz w:val="24"/>
              </w:rPr>
              <w:t>Monto total de inversión</w:t>
            </w:r>
          </w:p>
          <w:p>
            <w:pPr>
              <w:pStyle w:val="TableParagraph"/>
              <w:spacing w:line="20" w:lineRule="exact"/>
              <w:ind w:left="34"/>
              <w:rPr>
                <w:sz w:val="2"/>
              </w:rPr>
            </w:pPr>
            <w:r>
              <w:rPr>
                <w:sz w:val="2"/>
              </w:rPr>
              <w:drawing>
                <wp:inline distT="0" distB="0" distL="0" distR="0">
                  <wp:extent cx="5849144" cy="4572"/>
                  <wp:effectExtent l="0" t="0" r="0" b="0"/>
                  <wp:docPr id="81" name="image2.png" descr=""/>
                  <wp:cNvGraphicFramePr>
                    <a:graphicFrameLocks noChangeAspect="1"/>
                  </wp:cNvGraphicFramePr>
                  <a:graphic>
                    <a:graphicData uri="http://schemas.openxmlformats.org/drawingml/2006/picture">
                      <pic:pic>
                        <pic:nvPicPr>
                          <pic:cNvPr id="82" name="image2.png"/>
                          <pic:cNvPicPr/>
                        </pic:nvPicPr>
                        <pic:blipFill>
                          <a:blip r:embed="rId6" cstate="print"/>
                          <a:stretch>
                            <a:fillRect/>
                          </a:stretch>
                        </pic:blipFill>
                        <pic:spPr>
                          <a:xfrm>
                            <a:off x="0" y="0"/>
                            <a:ext cx="5849144"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38</w:t>
            </w:r>
          </w:p>
        </w:tc>
      </w:tr>
      <w:tr>
        <w:trPr>
          <w:trHeight w:val="371" w:hRule="exact"/>
        </w:trPr>
        <w:tc>
          <w:tcPr>
            <w:tcW w:w="639" w:type="dxa"/>
          </w:tcPr>
          <w:p>
            <w:pPr>
              <w:pStyle w:val="TableParagraph"/>
              <w:spacing w:before="33"/>
              <w:ind w:right="32"/>
              <w:jc w:val="right"/>
              <w:rPr>
                <w:sz w:val="24"/>
              </w:rPr>
            </w:pPr>
            <w:r>
              <w:rPr>
                <w:sz w:val="24"/>
              </w:rPr>
              <w:t>4.14</w:t>
            </w:r>
          </w:p>
        </w:tc>
        <w:tc>
          <w:tcPr>
            <w:tcW w:w="9397" w:type="dxa"/>
          </w:tcPr>
          <w:p>
            <w:pPr>
              <w:pStyle w:val="TableParagraph"/>
              <w:spacing w:before="33"/>
              <w:ind w:left="103"/>
              <w:rPr>
                <w:b/>
                <w:sz w:val="24"/>
              </w:rPr>
            </w:pPr>
            <w:r>
              <w:rPr>
                <w:b/>
                <w:sz w:val="24"/>
              </w:rPr>
              <w:t>Financiamiento</w:t>
            </w:r>
          </w:p>
          <w:p>
            <w:pPr>
              <w:pStyle w:val="TableParagraph"/>
              <w:spacing w:line="20" w:lineRule="exact"/>
              <w:ind w:left="34"/>
              <w:rPr>
                <w:sz w:val="2"/>
              </w:rPr>
            </w:pPr>
            <w:r>
              <w:rPr>
                <w:sz w:val="2"/>
              </w:rPr>
              <w:drawing>
                <wp:inline distT="0" distB="0" distL="0" distR="0">
                  <wp:extent cx="5849160" cy="4572"/>
                  <wp:effectExtent l="0" t="0" r="0" b="0"/>
                  <wp:docPr id="83" name="image2.png" descr=""/>
                  <wp:cNvGraphicFramePr>
                    <a:graphicFrameLocks noChangeAspect="1"/>
                  </wp:cNvGraphicFramePr>
                  <a:graphic>
                    <a:graphicData uri="http://schemas.openxmlformats.org/drawingml/2006/picture">
                      <pic:pic>
                        <pic:nvPicPr>
                          <pic:cNvPr id="84" name="image2.png"/>
                          <pic:cNvPicPr/>
                        </pic:nvPicPr>
                        <pic:blipFill>
                          <a:blip r:embed="rId6" cstate="print"/>
                          <a:stretch>
                            <a:fillRect/>
                          </a:stretch>
                        </pic:blipFill>
                        <pic:spPr>
                          <a:xfrm>
                            <a:off x="0" y="0"/>
                            <a:ext cx="5849160"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sz w:val="24"/>
              </w:rPr>
              <w:t>48</w:t>
            </w:r>
          </w:p>
        </w:tc>
      </w:tr>
      <w:tr>
        <w:trPr>
          <w:trHeight w:val="371" w:hRule="exact"/>
        </w:trPr>
        <w:tc>
          <w:tcPr>
            <w:tcW w:w="639" w:type="dxa"/>
          </w:tcPr>
          <w:p>
            <w:pPr>
              <w:pStyle w:val="TableParagraph"/>
              <w:spacing w:before="34"/>
              <w:ind w:right="32"/>
              <w:jc w:val="right"/>
              <w:rPr>
                <w:sz w:val="24"/>
              </w:rPr>
            </w:pPr>
            <w:r>
              <w:rPr>
                <w:sz w:val="24"/>
              </w:rPr>
              <w:t>4.15</w:t>
            </w:r>
          </w:p>
        </w:tc>
        <w:tc>
          <w:tcPr>
            <w:tcW w:w="9397" w:type="dxa"/>
          </w:tcPr>
          <w:p>
            <w:pPr>
              <w:pStyle w:val="TableParagraph"/>
              <w:spacing w:before="34"/>
              <w:ind w:left="103"/>
              <w:rPr>
                <w:b/>
                <w:sz w:val="24"/>
              </w:rPr>
            </w:pPr>
            <w:r>
              <w:rPr>
                <w:b/>
                <w:sz w:val="24"/>
              </w:rPr>
              <w:t>Capacidad instalada</w:t>
            </w:r>
          </w:p>
          <w:p>
            <w:pPr>
              <w:pStyle w:val="TableParagraph"/>
              <w:spacing w:line="20" w:lineRule="exact"/>
              <w:ind w:left="34"/>
              <w:rPr>
                <w:sz w:val="2"/>
              </w:rPr>
            </w:pPr>
            <w:r>
              <w:rPr>
                <w:sz w:val="2"/>
              </w:rPr>
              <w:drawing>
                <wp:inline distT="0" distB="0" distL="0" distR="0">
                  <wp:extent cx="5849176" cy="4572"/>
                  <wp:effectExtent l="0" t="0" r="0" b="0"/>
                  <wp:docPr id="85" name="image2.png" descr=""/>
                  <wp:cNvGraphicFramePr>
                    <a:graphicFrameLocks noChangeAspect="1"/>
                  </wp:cNvGraphicFramePr>
                  <a:graphic>
                    <a:graphicData uri="http://schemas.openxmlformats.org/drawingml/2006/picture">
                      <pic:pic>
                        <pic:nvPicPr>
                          <pic:cNvPr id="86" name="image2.png"/>
                          <pic:cNvPicPr/>
                        </pic:nvPicPr>
                        <pic:blipFill>
                          <a:blip r:embed="rId6" cstate="print"/>
                          <a:stretch>
                            <a:fillRect/>
                          </a:stretch>
                        </pic:blipFill>
                        <pic:spPr>
                          <a:xfrm>
                            <a:off x="0" y="0"/>
                            <a:ext cx="5849176" cy="4572"/>
                          </a:xfrm>
                          <a:prstGeom prst="rect">
                            <a:avLst/>
                          </a:prstGeom>
                        </pic:spPr>
                      </pic:pic>
                    </a:graphicData>
                  </a:graphic>
                </wp:inline>
              </w:drawing>
            </w:r>
            <w:r>
              <w:rPr>
                <w:sz w:val="2"/>
              </w:rPr>
            </w:r>
          </w:p>
        </w:tc>
        <w:tc>
          <w:tcPr>
            <w:tcW w:w="435" w:type="dxa"/>
          </w:tcPr>
          <w:p>
            <w:pPr>
              <w:pStyle w:val="TableParagraph"/>
              <w:spacing w:before="18"/>
              <w:ind w:right="36"/>
              <w:jc w:val="right"/>
              <w:rPr>
                <w:rFonts w:ascii="Calibri"/>
                <w:sz w:val="24"/>
              </w:rPr>
            </w:pPr>
            <w:r>
              <w:rPr>
                <w:rFonts w:ascii="Calibri"/>
                <w:w w:val="95"/>
                <w:sz w:val="24"/>
              </w:rPr>
              <w:t>38</w:t>
            </w:r>
          </w:p>
        </w:tc>
      </w:tr>
      <w:tr>
        <w:trPr>
          <w:trHeight w:val="370" w:hRule="exact"/>
        </w:trPr>
        <w:tc>
          <w:tcPr>
            <w:tcW w:w="639" w:type="dxa"/>
          </w:tcPr>
          <w:p>
            <w:pPr>
              <w:pStyle w:val="TableParagraph"/>
              <w:spacing w:before="33"/>
              <w:ind w:right="32"/>
              <w:jc w:val="right"/>
              <w:rPr>
                <w:sz w:val="24"/>
              </w:rPr>
            </w:pPr>
            <w:r>
              <w:rPr>
                <w:sz w:val="24"/>
              </w:rPr>
              <w:t>4.16</w:t>
            </w:r>
          </w:p>
        </w:tc>
        <w:tc>
          <w:tcPr>
            <w:tcW w:w="9397" w:type="dxa"/>
          </w:tcPr>
          <w:p>
            <w:pPr>
              <w:pStyle w:val="TableParagraph"/>
              <w:spacing w:before="33"/>
              <w:ind w:left="103"/>
              <w:rPr>
                <w:b/>
                <w:sz w:val="24"/>
              </w:rPr>
            </w:pPr>
            <w:r>
              <w:rPr>
                <w:b/>
                <w:sz w:val="24"/>
              </w:rPr>
              <w:t>Metas anuales</w:t>
            </w:r>
          </w:p>
          <w:p>
            <w:pPr>
              <w:pStyle w:val="TableParagraph"/>
              <w:spacing w:line="20" w:lineRule="exact"/>
              <w:ind w:left="34"/>
              <w:rPr>
                <w:sz w:val="2"/>
              </w:rPr>
            </w:pPr>
            <w:r>
              <w:rPr>
                <w:sz w:val="2"/>
              </w:rPr>
              <w:drawing>
                <wp:inline distT="0" distB="0" distL="0" distR="0">
                  <wp:extent cx="5849111" cy="4572"/>
                  <wp:effectExtent l="0" t="0" r="0" b="0"/>
                  <wp:docPr id="87" name="image2.png" descr=""/>
                  <wp:cNvGraphicFramePr>
                    <a:graphicFrameLocks noChangeAspect="1"/>
                  </wp:cNvGraphicFramePr>
                  <a:graphic>
                    <a:graphicData uri="http://schemas.openxmlformats.org/drawingml/2006/picture">
                      <pic:pic>
                        <pic:nvPicPr>
                          <pic:cNvPr id="88" name="image2.png"/>
                          <pic:cNvPicPr/>
                        </pic:nvPicPr>
                        <pic:blipFill>
                          <a:blip r:embed="rId6" cstate="print"/>
                          <a:stretch>
                            <a:fillRect/>
                          </a:stretch>
                        </pic:blipFill>
                        <pic:spPr>
                          <a:xfrm>
                            <a:off x="0" y="0"/>
                            <a:ext cx="5849111"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w w:val="95"/>
                <w:sz w:val="24"/>
              </w:rPr>
              <w:t>38</w:t>
            </w:r>
          </w:p>
        </w:tc>
      </w:tr>
      <w:tr>
        <w:trPr>
          <w:trHeight w:val="393" w:hRule="exact"/>
        </w:trPr>
        <w:tc>
          <w:tcPr>
            <w:tcW w:w="639" w:type="dxa"/>
          </w:tcPr>
          <w:p>
            <w:pPr>
              <w:pStyle w:val="TableParagraph"/>
              <w:spacing w:before="33"/>
              <w:ind w:right="51"/>
              <w:jc w:val="right"/>
              <w:rPr>
                <w:sz w:val="24"/>
              </w:rPr>
            </w:pPr>
            <w:r>
              <w:rPr>
                <w:sz w:val="24"/>
              </w:rPr>
              <w:t>4.17</w:t>
            </w:r>
          </w:p>
        </w:tc>
        <w:tc>
          <w:tcPr>
            <w:tcW w:w="9397" w:type="dxa"/>
          </w:tcPr>
          <w:p>
            <w:pPr>
              <w:pStyle w:val="TableParagraph"/>
              <w:spacing w:before="33"/>
              <w:ind w:left="103"/>
              <w:rPr>
                <w:b/>
                <w:sz w:val="24"/>
              </w:rPr>
            </w:pPr>
            <w:r>
              <w:rPr>
                <w:b/>
                <w:sz w:val="24"/>
              </w:rPr>
              <w:t>Vida útil del proyecto</w:t>
            </w:r>
          </w:p>
          <w:p>
            <w:pPr>
              <w:pStyle w:val="TableParagraph"/>
              <w:spacing w:line="20" w:lineRule="exact"/>
              <w:ind w:left="34"/>
              <w:rPr>
                <w:sz w:val="2"/>
              </w:rPr>
            </w:pPr>
            <w:r>
              <w:rPr>
                <w:sz w:val="2"/>
              </w:rPr>
              <w:drawing>
                <wp:inline distT="0" distB="0" distL="0" distR="0">
                  <wp:extent cx="5849176" cy="4572"/>
                  <wp:effectExtent l="0" t="0" r="0" b="0"/>
                  <wp:docPr id="89" name="image2.png" descr=""/>
                  <wp:cNvGraphicFramePr>
                    <a:graphicFrameLocks noChangeAspect="1"/>
                  </wp:cNvGraphicFramePr>
                  <a:graphic>
                    <a:graphicData uri="http://schemas.openxmlformats.org/drawingml/2006/picture">
                      <pic:pic>
                        <pic:nvPicPr>
                          <pic:cNvPr id="90" name="image2.png"/>
                          <pic:cNvPicPr/>
                        </pic:nvPicPr>
                        <pic:blipFill>
                          <a:blip r:embed="rId6" cstate="print"/>
                          <a:stretch>
                            <a:fillRect/>
                          </a:stretch>
                        </pic:blipFill>
                        <pic:spPr>
                          <a:xfrm>
                            <a:off x="0" y="0"/>
                            <a:ext cx="5849176" cy="4572"/>
                          </a:xfrm>
                          <a:prstGeom prst="rect">
                            <a:avLst/>
                          </a:prstGeom>
                        </pic:spPr>
                      </pic:pic>
                    </a:graphicData>
                  </a:graphic>
                </wp:inline>
              </w:drawing>
            </w:r>
            <w:r>
              <w:rPr>
                <w:sz w:val="2"/>
              </w:rPr>
            </w:r>
          </w:p>
        </w:tc>
        <w:tc>
          <w:tcPr>
            <w:tcW w:w="435" w:type="dxa"/>
          </w:tcPr>
          <w:p>
            <w:pPr>
              <w:pStyle w:val="TableParagraph"/>
              <w:spacing w:before="17"/>
              <w:ind w:right="36"/>
              <w:jc w:val="right"/>
              <w:rPr>
                <w:rFonts w:ascii="Calibri"/>
                <w:sz w:val="24"/>
              </w:rPr>
            </w:pPr>
            <w:r>
              <w:rPr>
                <w:rFonts w:ascii="Calibri"/>
                <w:w w:val="95"/>
                <w:sz w:val="24"/>
              </w:rPr>
              <w:t>38</w:t>
            </w:r>
          </w:p>
        </w:tc>
      </w:tr>
    </w:tbl>
    <w:p>
      <w:pPr>
        <w:spacing w:line="228" w:lineRule="exact" w:before="9"/>
        <w:ind w:left="851" w:right="0" w:firstLine="0"/>
        <w:jc w:val="left"/>
        <w:rPr>
          <w:b/>
          <w:sz w:val="24"/>
        </w:rPr>
      </w:pPr>
      <w:r>
        <w:rPr>
          <w:b/>
          <w:sz w:val="24"/>
        </w:rPr>
        <w:t>Descripción  de  los  aspectos  más  relevantes  (factibilidad  técnica,  legal   </w:t>
      </w:r>
      <w:r>
        <w:rPr>
          <w:b/>
          <w:spacing w:val="65"/>
          <w:sz w:val="24"/>
        </w:rPr>
        <w:t> </w:t>
      </w:r>
      <w:r>
        <w:rPr>
          <w:b/>
          <w:sz w:val="24"/>
        </w:rPr>
        <w:t>y</w:t>
      </w:r>
    </w:p>
    <w:p>
      <w:pPr>
        <w:pStyle w:val="BodyText"/>
        <w:spacing w:line="173" w:lineRule="exact"/>
        <w:ind w:left="243"/>
      </w:pPr>
      <w:r>
        <w:rPr/>
        <w:t>4.18</w:t>
      </w:r>
    </w:p>
    <w:p>
      <w:pPr>
        <w:pStyle w:val="Heading1"/>
        <w:tabs>
          <w:tab w:pos="10297" w:val="left" w:leader="none"/>
        </w:tabs>
        <w:spacing w:line="238" w:lineRule="exact" w:before="0"/>
        <w:ind w:left="851"/>
        <w:jc w:val="left"/>
        <w:rPr>
          <w:rFonts w:ascii="Calibri"/>
          <w:b w:val="0"/>
        </w:rPr>
      </w:pPr>
      <w:r>
        <w:rPr/>
        <w:drawing>
          <wp:anchor distT="0" distB="0" distL="0" distR="0" allowOverlap="1" layoutInCell="1" locked="0" behindDoc="1" simplePos="0" relativeHeight="268256135">
            <wp:simplePos x="0" y="0"/>
            <wp:positionH relativeFrom="page">
              <wp:posOffset>1080516</wp:posOffset>
            </wp:positionH>
            <wp:positionV relativeFrom="paragraph">
              <wp:posOffset>150259</wp:posOffset>
            </wp:positionV>
            <wp:extent cx="5849111" cy="4571"/>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6" cstate="print"/>
                    <a:stretch>
                      <a:fillRect/>
                    </a:stretch>
                  </pic:blipFill>
                  <pic:spPr>
                    <a:xfrm>
                      <a:off x="0" y="0"/>
                      <a:ext cx="5849111" cy="4571"/>
                    </a:xfrm>
                    <a:prstGeom prst="rect">
                      <a:avLst/>
                    </a:prstGeom>
                  </pic:spPr>
                </pic:pic>
              </a:graphicData>
            </a:graphic>
          </wp:anchor>
        </w:drawing>
      </w:r>
      <w:r>
        <w:rPr/>
        <w:t>ambiental  e infraestructura existente y proyectos</w:t>
      </w:r>
      <w:r>
        <w:rPr>
          <w:spacing w:val="-28"/>
        </w:rPr>
        <w:t> </w:t>
      </w:r>
      <w:r>
        <w:rPr/>
        <w:t>en</w:t>
      </w:r>
      <w:r>
        <w:rPr>
          <w:spacing w:val="-4"/>
        </w:rPr>
        <w:t> </w:t>
      </w:r>
      <w:r>
        <w:rPr/>
        <w:t>desarrollo)</w:t>
      </w:r>
      <w:r>
        <w:rPr>
          <w:rFonts w:ascii="Calibri"/>
          <w:b w:val="0"/>
          <w:position w:val="1"/>
        </w:rPr>
        <w:tab/>
        <w:t>39</w:t>
      </w:r>
    </w:p>
    <w:p>
      <w:pPr>
        <w:pStyle w:val="Heading1"/>
        <w:numPr>
          <w:ilvl w:val="1"/>
          <w:numId w:val="5"/>
        </w:numPr>
        <w:tabs>
          <w:tab w:pos="852" w:val="left" w:leader="none"/>
          <w:tab w:pos="10540" w:val="right" w:leader="none"/>
        </w:tabs>
        <w:spacing w:line="240" w:lineRule="auto" w:before="76" w:after="0"/>
        <w:ind w:left="851" w:right="0" w:hanging="607"/>
        <w:jc w:val="left"/>
        <w:rPr>
          <w:b w:val="0"/>
        </w:rPr>
      </w:pPr>
      <w:r>
        <w:rPr/>
        <w:drawing>
          <wp:anchor distT="0" distB="0" distL="0" distR="0" allowOverlap="1" layoutInCell="1" locked="0" behindDoc="1" simplePos="0" relativeHeight="268256159">
            <wp:simplePos x="0" y="0"/>
            <wp:positionH relativeFrom="page">
              <wp:posOffset>1080516</wp:posOffset>
            </wp:positionH>
            <wp:positionV relativeFrom="paragraph">
              <wp:posOffset>233245</wp:posOffset>
            </wp:positionV>
            <wp:extent cx="5849111" cy="4571"/>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6" cstate="print"/>
                    <a:stretch>
                      <a:fillRect/>
                    </a:stretch>
                  </pic:blipFill>
                  <pic:spPr>
                    <a:xfrm>
                      <a:off x="0" y="0"/>
                      <a:ext cx="5849111" cy="4571"/>
                    </a:xfrm>
                    <a:prstGeom prst="rect">
                      <a:avLst/>
                    </a:prstGeom>
                  </pic:spPr>
                </pic:pic>
              </a:graphicData>
            </a:graphic>
          </wp:anchor>
        </w:drawing>
      </w:r>
      <w:r>
        <w:rPr/>
        <w:t>Interacción entre la oferta y la demanda a lo largo del horizonte</w:t>
      </w:r>
      <w:r>
        <w:rPr>
          <w:spacing w:val="-29"/>
        </w:rPr>
        <w:t> </w:t>
      </w:r>
      <w:r>
        <w:rPr/>
        <w:t>de</w:t>
      </w:r>
      <w:r>
        <w:rPr>
          <w:spacing w:val="-1"/>
        </w:rPr>
        <w:t> </w:t>
      </w:r>
      <w:r>
        <w:rPr/>
        <w:t>evaluación</w:t>
      </w:r>
      <w:r>
        <w:rPr>
          <w:rFonts w:ascii="Calibri" w:hAnsi="Calibri"/>
          <w:b w:val="0"/>
          <w:position w:val="1"/>
        </w:rPr>
        <w:tab/>
        <w:t>40</w:t>
      </w:r>
    </w:p>
    <w:p>
      <w:pPr>
        <w:pStyle w:val="Heading1"/>
        <w:numPr>
          <w:ilvl w:val="1"/>
          <w:numId w:val="5"/>
        </w:numPr>
        <w:tabs>
          <w:tab w:pos="852" w:val="left" w:leader="none"/>
          <w:tab w:pos="10541" w:val="right" w:leader="none"/>
        </w:tabs>
        <w:spacing w:line="240" w:lineRule="auto" w:before="76" w:after="0"/>
        <w:ind w:left="851" w:right="0" w:hanging="607"/>
        <w:jc w:val="left"/>
        <w:rPr>
          <w:b w:val="0"/>
        </w:rPr>
      </w:pPr>
      <w:r>
        <w:rPr/>
        <w:drawing>
          <wp:anchor distT="0" distB="0" distL="0" distR="0" allowOverlap="1" layoutInCell="1" locked="0" behindDoc="1" simplePos="0" relativeHeight="268256183">
            <wp:simplePos x="0" y="0"/>
            <wp:positionH relativeFrom="page">
              <wp:posOffset>1080516</wp:posOffset>
            </wp:positionH>
            <wp:positionV relativeFrom="paragraph">
              <wp:posOffset>233245</wp:posOffset>
            </wp:positionV>
            <wp:extent cx="5849111" cy="4571"/>
            <wp:effectExtent l="0" t="0" r="0" b="0"/>
            <wp:wrapNone/>
            <wp:docPr id="95" name="image2.png" descr=""/>
            <wp:cNvGraphicFramePr>
              <a:graphicFrameLocks noChangeAspect="1"/>
            </wp:cNvGraphicFramePr>
            <a:graphic>
              <a:graphicData uri="http://schemas.openxmlformats.org/drawingml/2006/picture">
                <pic:pic>
                  <pic:nvPicPr>
                    <pic:cNvPr id="96" name="image2.png"/>
                    <pic:cNvPicPr/>
                  </pic:nvPicPr>
                  <pic:blipFill>
                    <a:blip r:embed="rId6" cstate="print"/>
                    <a:stretch>
                      <a:fillRect/>
                    </a:stretch>
                  </pic:blipFill>
                  <pic:spPr>
                    <a:xfrm>
                      <a:off x="0" y="0"/>
                      <a:ext cx="5849111" cy="4571"/>
                    </a:xfrm>
                    <a:prstGeom prst="rect">
                      <a:avLst/>
                    </a:prstGeom>
                  </pic:spPr>
                </pic:pic>
              </a:graphicData>
            </a:graphic>
          </wp:anchor>
        </w:drawing>
      </w:r>
      <w:r>
        <w:rPr/>
        <w:t>Identificación, cuantificación y valoración</w:t>
      </w:r>
      <w:r>
        <w:rPr>
          <w:spacing w:val="-6"/>
        </w:rPr>
        <w:t> </w:t>
      </w:r>
      <w:r>
        <w:rPr/>
        <w:t>de costos</w:t>
      </w:r>
      <w:r>
        <w:rPr>
          <w:rFonts w:ascii="Calibri" w:hAnsi="Calibri"/>
          <w:b w:val="0"/>
          <w:position w:val="1"/>
        </w:rPr>
        <w:tab/>
        <w:t>41</w:t>
      </w:r>
    </w:p>
    <w:p>
      <w:pPr>
        <w:pStyle w:val="Heading1"/>
        <w:numPr>
          <w:ilvl w:val="1"/>
          <w:numId w:val="5"/>
        </w:numPr>
        <w:tabs>
          <w:tab w:pos="852" w:val="left" w:leader="none"/>
          <w:tab w:pos="10541" w:val="right" w:leader="none"/>
        </w:tabs>
        <w:spacing w:line="240" w:lineRule="auto" w:before="79" w:after="0"/>
        <w:ind w:left="851" w:right="0" w:hanging="607"/>
        <w:jc w:val="left"/>
        <w:rPr>
          <w:b w:val="0"/>
        </w:rPr>
      </w:pPr>
      <w:r>
        <w:rPr/>
        <w:drawing>
          <wp:anchor distT="0" distB="0" distL="0" distR="0" allowOverlap="1" layoutInCell="1" locked="0" behindDoc="1" simplePos="0" relativeHeight="268256207">
            <wp:simplePos x="0" y="0"/>
            <wp:positionH relativeFrom="page">
              <wp:posOffset>1080516</wp:posOffset>
            </wp:positionH>
            <wp:positionV relativeFrom="paragraph">
              <wp:posOffset>235150</wp:posOffset>
            </wp:positionV>
            <wp:extent cx="5849111" cy="4571"/>
            <wp:effectExtent l="0" t="0" r="0" b="0"/>
            <wp:wrapNone/>
            <wp:docPr id="97" name="image2.png" descr=""/>
            <wp:cNvGraphicFramePr>
              <a:graphicFrameLocks noChangeAspect="1"/>
            </wp:cNvGraphicFramePr>
            <a:graphic>
              <a:graphicData uri="http://schemas.openxmlformats.org/drawingml/2006/picture">
                <pic:pic>
                  <pic:nvPicPr>
                    <pic:cNvPr id="98" name="image2.png"/>
                    <pic:cNvPicPr/>
                  </pic:nvPicPr>
                  <pic:blipFill>
                    <a:blip r:embed="rId6" cstate="print"/>
                    <a:stretch>
                      <a:fillRect/>
                    </a:stretch>
                  </pic:blipFill>
                  <pic:spPr>
                    <a:xfrm>
                      <a:off x="0" y="0"/>
                      <a:ext cx="5849111" cy="4571"/>
                    </a:xfrm>
                    <a:prstGeom prst="rect">
                      <a:avLst/>
                    </a:prstGeom>
                  </pic:spPr>
                </pic:pic>
              </a:graphicData>
            </a:graphic>
          </wp:anchor>
        </w:drawing>
      </w:r>
      <w:r>
        <w:rPr/>
        <w:t>Identificación, cuantificación y valoración</w:t>
      </w:r>
      <w:r>
        <w:rPr>
          <w:spacing w:val="-7"/>
        </w:rPr>
        <w:t> </w:t>
      </w:r>
      <w:r>
        <w:rPr/>
        <w:t>de beneficios</w:t>
      </w:r>
      <w:r>
        <w:rPr>
          <w:rFonts w:ascii="Calibri" w:hAnsi="Calibri"/>
          <w:b w:val="0"/>
          <w:position w:val="1"/>
        </w:rPr>
        <w:tab/>
        <w:t>42</w:t>
      </w:r>
    </w:p>
    <w:p>
      <w:pPr>
        <w:pStyle w:val="Heading1"/>
        <w:numPr>
          <w:ilvl w:val="1"/>
          <w:numId w:val="5"/>
        </w:numPr>
        <w:tabs>
          <w:tab w:pos="852" w:val="left" w:leader="none"/>
          <w:tab w:pos="10541" w:val="right" w:leader="none"/>
        </w:tabs>
        <w:spacing w:line="240" w:lineRule="auto" w:before="39" w:after="0"/>
        <w:ind w:left="851" w:right="0" w:hanging="543"/>
        <w:jc w:val="left"/>
        <w:rPr>
          <w:rFonts w:ascii="Times New Roman" w:hAnsi="Times New Roman"/>
          <w:b w:val="0"/>
          <w:sz w:val="22"/>
        </w:rPr>
      </w:pPr>
      <w:r>
        <w:rPr/>
        <w:t>Cálculo de indicadores</w:t>
      </w:r>
      <w:r>
        <w:rPr>
          <w:spacing w:val="-2"/>
        </w:rPr>
        <w:t> </w:t>
      </w:r>
      <w:r>
        <w:rPr/>
        <w:t>de</w:t>
      </w:r>
      <w:r>
        <w:rPr>
          <w:spacing w:val="-3"/>
        </w:rPr>
        <w:t> </w:t>
      </w:r>
      <w:r>
        <w:rPr/>
        <w:t>rentabilidad</w:t>
      </w:r>
      <w:r>
        <w:rPr>
          <w:rFonts w:ascii="Calibri" w:hAnsi="Calibri"/>
          <w:b w:val="0"/>
          <w:position w:val="1"/>
        </w:rPr>
        <w:tab/>
        <w:t>43</w:t>
      </w:r>
    </w:p>
    <w:p>
      <w:pPr>
        <w:pStyle w:val="BodyText"/>
        <w:spacing w:line="20" w:lineRule="exact"/>
        <w:ind w:left="767"/>
        <w:rPr>
          <w:rFonts w:ascii="Calibri"/>
          <w:sz w:val="2"/>
        </w:rPr>
      </w:pPr>
      <w:r>
        <w:rPr>
          <w:rFonts w:ascii="Calibri"/>
          <w:sz w:val="2"/>
        </w:rPr>
        <w:drawing>
          <wp:inline distT="0" distB="0" distL="0" distR="0">
            <wp:extent cx="5858272" cy="4571"/>
            <wp:effectExtent l="0" t="0" r="0" b="0"/>
            <wp:docPr id="99" name="image3.png" descr=""/>
            <wp:cNvGraphicFramePr>
              <a:graphicFrameLocks noChangeAspect="1"/>
            </wp:cNvGraphicFramePr>
            <a:graphic>
              <a:graphicData uri="http://schemas.openxmlformats.org/drawingml/2006/picture">
                <pic:pic>
                  <pic:nvPicPr>
                    <pic:cNvPr id="100" name="image3.png"/>
                    <pic:cNvPicPr/>
                  </pic:nvPicPr>
                  <pic:blipFill>
                    <a:blip r:embed="rId7" cstate="print"/>
                    <a:stretch>
                      <a:fillRect/>
                    </a:stretch>
                  </pic:blipFill>
                  <pic:spPr>
                    <a:xfrm>
                      <a:off x="0" y="0"/>
                      <a:ext cx="5858272" cy="4571"/>
                    </a:xfrm>
                    <a:prstGeom prst="rect">
                      <a:avLst/>
                    </a:prstGeom>
                  </pic:spPr>
                </pic:pic>
              </a:graphicData>
            </a:graphic>
          </wp:inline>
        </w:drawing>
      </w:r>
      <w:r>
        <w:rPr>
          <w:rFonts w:ascii="Calibri"/>
          <w:sz w:val="2"/>
        </w:rPr>
      </w:r>
    </w:p>
    <w:p>
      <w:pPr>
        <w:spacing w:after="0" w:line="20" w:lineRule="exact"/>
        <w:rPr>
          <w:rFonts w:ascii="Calibri"/>
          <w:sz w:val="2"/>
        </w:rPr>
        <w:sectPr>
          <w:pgSz w:w="12240" w:h="15840"/>
          <w:pgMar w:top="1460" w:bottom="280" w:left="920" w:right="640"/>
        </w:sectPr>
      </w:pPr>
    </w:p>
    <w:p>
      <w:pPr>
        <w:pStyle w:val="Heading1"/>
        <w:numPr>
          <w:ilvl w:val="1"/>
          <w:numId w:val="5"/>
        </w:numPr>
        <w:tabs>
          <w:tab w:pos="652" w:val="left" w:leader="none"/>
          <w:tab w:pos="10341" w:val="right" w:leader="none"/>
        </w:tabs>
        <w:spacing w:line="240" w:lineRule="auto" w:before="60" w:after="0"/>
        <w:ind w:left="651" w:right="0" w:hanging="543"/>
        <w:jc w:val="left"/>
        <w:rPr>
          <w:rFonts w:ascii="Times New Roman" w:hAnsi="Times New Roman"/>
          <w:b w:val="0"/>
          <w:sz w:val="22"/>
        </w:rPr>
      </w:pPr>
      <w:r>
        <w:rPr/>
        <w:drawing>
          <wp:anchor distT="0" distB="0" distL="0" distR="0" allowOverlap="1" layoutInCell="1" locked="0" behindDoc="1" simplePos="0" relativeHeight="268256231">
            <wp:simplePos x="0" y="0"/>
            <wp:positionH relativeFrom="page">
              <wp:posOffset>1080516</wp:posOffset>
            </wp:positionH>
            <wp:positionV relativeFrom="paragraph">
              <wp:posOffset>227451</wp:posOffset>
            </wp:positionV>
            <wp:extent cx="5849111" cy="4571"/>
            <wp:effectExtent l="0" t="0" r="0" b="0"/>
            <wp:wrapNone/>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6" cstate="print"/>
                    <a:stretch>
                      <a:fillRect/>
                    </a:stretch>
                  </pic:blipFill>
                  <pic:spPr>
                    <a:xfrm>
                      <a:off x="0" y="0"/>
                      <a:ext cx="5849111" cy="4571"/>
                    </a:xfrm>
                    <a:prstGeom prst="rect">
                      <a:avLst/>
                    </a:prstGeom>
                  </pic:spPr>
                </pic:pic>
              </a:graphicData>
            </a:graphic>
          </wp:anchor>
        </w:drawing>
      </w:r>
      <w:r>
        <w:rPr/>
        <w:t>Análisis de</w:t>
      </w:r>
      <w:r>
        <w:rPr>
          <w:spacing w:val="-3"/>
        </w:rPr>
        <w:t> </w:t>
      </w:r>
      <w:r>
        <w:rPr/>
        <w:t>sensibilidad</w:t>
      </w:r>
      <w:r>
        <w:rPr>
          <w:rFonts w:ascii="Calibri" w:hAnsi="Calibri"/>
          <w:b w:val="0"/>
          <w:position w:val="1"/>
        </w:rPr>
        <w:tab/>
        <w:t>44</w:t>
      </w:r>
    </w:p>
    <w:p>
      <w:pPr>
        <w:pStyle w:val="ListParagraph"/>
        <w:numPr>
          <w:ilvl w:val="1"/>
          <w:numId w:val="5"/>
        </w:numPr>
        <w:tabs>
          <w:tab w:pos="652" w:val="left" w:leader="none"/>
          <w:tab w:pos="10340" w:val="right" w:leader="none"/>
        </w:tabs>
        <w:spacing w:line="240" w:lineRule="auto" w:before="69" w:after="0"/>
        <w:ind w:left="651" w:right="0" w:hanging="543"/>
        <w:jc w:val="left"/>
        <w:rPr>
          <w:rFonts w:ascii="Times New Roman" w:hAnsi="Times New Roman"/>
          <w:sz w:val="22"/>
        </w:rPr>
      </w:pPr>
      <w:r>
        <w:rPr/>
        <w:drawing>
          <wp:anchor distT="0" distB="0" distL="0" distR="0" allowOverlap="1" layoutInCell="1" locked="0" behindDoc="1" simplePos="0" relativeHeight="268256255">
            <wp:simplePos x="0" y="0"/>
            <wp:positionH relativeFrom="page">
              <wp:posOffset>1080516</wp:posOffset>
            </wp:positionH>
            <wp:positionV relativeFrom="paragraph">
              <wp:posOffset>233166</wp:posOffset>
            </wp:positionV>
            <wp:extent cx="5849111" cy="4571"/>
            <wp:effectExtent l="0" t="0" r="0" b="0"/>
            <wp:wrapNone/>
            <wp:docPr id="103" name="image2.png" descr=""/>
            <wp:cNvGraphicFramePr>
              <a:graphicFrameLocks noChangeAspect="1"/>
            </wp:cNvGraphicFramePr>
            <a:graphic>
              <a:graphicData uri="http://schemas.openxmlformats.org/drawingml/2006/picture">
                <pic:pic>
                  <pic:nvPicPr>
                    <pic:cNvPr id="104" name="image2.png"/>
                    <pic:cNvPicPr/>
                  </pic:nvPicPr>
                  <pic:blipFill>
                    <a:blip r:embed="rId6" cstate="print"/>
                    <a:stretch>
                      <a:fillRect/>
                    </a:stretch>
                  </pic:blipFill>
                  <pic:spPr>
                    <a:xfrm>
                      <a:off x="0" y="0"/>
                      <a:ext cx="5849111" cy="4571"/>
                    </a:xfrm>
                    <a:prstGeom prst="rect">
                      <a:avLst/>
                    </a:prstGeom>
                  </pic:spPr>
                </pic:pic>
              </a:graphicData>
            </a:graphic>
          </wp:anchor>
        </w:drawing>
      </w:r>
      <w:r>
        <w:rPr>
          <w:b/>
          <w:sz w:val="24"/>
        </w:rPr>
        <w:t>Análisis de riesgos</w:t>
      </w:r>
      <w:r>
        <w:rPr>
          <w:rFonts w:ascii="Calibri" w:hAnsi="Calibri"/>
          <w:position w:val="1"/>
          <w:sz w:val="24"/>
        </w:rPr>
        <w:tab/>
        <w:t>44</w:t>
      </w:r>
    </w:p>
    <w:p>
      <w:pPr>
        <w:spacing w:line="321" w:lineRule="auto" w:before="90"/>
        <w:ind w:left="651" w:right="3227" w:firstLine="0"/>
        <w:jc w:val="left"/>
        <w:rPr>
          <w:b/>
          <w:sz w:val="24"/>
        </w:rPr>
      </w:pPr>
      <w:r>
        <w:rPr/>
        <w:drawing>
          <wp:anchor distT="0" distB="0" distL="0" distR="0" allowOverlap="1" layoutInCell="1" locked="0" behindDoc="1" simplePos="0" relativeHeight="268256279">
            <wp:simplePos x="0" y="0"/>
            <wp:positionH relativeFrom="page">
              <wp:posOffset>1080516</wp:posOffset>
            </wp:positionH>
            <wp:positionV relativeFrom="paragraph">
              <wp:posOffset>233627</wp:posOffset>
            </wp:positionV>
            <wp:extent cx="5849111" cy="4571"/>
            <wp:effectExtent l="0" t="0" r="0" b="0"/>
            <wp:wrapNone/>
            <wp:docPr id="105" name="image2.png" descr=""/>
            <wp:cNvGraphicFramePr>
              <a:graphicFrameLocks noChangeAspect="1"/>
            </wp:cNvGraphicFramePr>
            <a:graphic>
              <a:graphicData uri="http://schemas.openxmlformats.org/drawingml/2006/picture">
                <pic:pic>
                  <pic:nvPicPr>
                    <pic:cNvPr id="106" name="image2.png"/>
                    <pic:cNvPicPr/>
                  </pic:nvPicPr>
                  <pic:blipFill>
                    <a:blip r:embed="rId6" cstate="print"/>
                    <a:stretch>
                      <a:fillRect/>
                    </a:stretch>
                  </pic:blipFill>
                  <pic:spPr>
                    <a:xfrm>
                      <a:off x="0" y="0"/>
                      <a:ext cx="5849111" cy="4571"/>
                    </a:xfrm>
                    <a:prstGeom prst="rect">
                      <a:avLst/>
                    </a:prstGeom>
                  </pic:spPr>
                </pic:pic>
              </a:graphicData>
            </a:graphic>
          </wp:anchor>
        </w:drawing>
      </w:r>
      <w:r>
        <w:rPr/>
        <w:drawing>
          <wp:anchor distT="0" distB="0" distL="0" distR="0" allowOverlap="1" layoutInCell="1" locked="0" behindDoc="1" simplePos="0" relativeHeight="268256303">
            <wp:simplePos x="0" y="0"/>
            <wp:positionH relativeFrom="page">
              <wp:posOffset>1080516</wp:posOffset>
            </wp:positionH>
            <wp:positionV relativeFrom="paragraph">
              <wp:posOffset>468323</wp:posOffset>
            </wp:positionV>
            <wp:extent cx="5849111" cy="4571"/>
            <wp:effectExtent l="0" t="0" r="0" b="0"/>
            <wp:wrapNone/>
            <wp:docPr id="107" name="image2.png" descr=""/>
            <wp:cNvGraphicFramePr>
              <a:graphicFrameLocks noChangeAspect="1"/>
            </wp:cNvGraphicFramePr>
            <a:graphic>
              <a:graphicData uri="http://schemas.openxmlformats.org/drawingml/2006/picture">
                <pic:pic>
                  <pic:nvPicPr>
                    <pic:cNvPr id="108" name="image2.png"/>
                    <pic:cNvPicPr/>
                  </pic:nvPicPr>
                  <pic:blipFill>
                    <a:blip r:embed="rId6" cstate="print"/>
                    <a:stretch>
                      <a:fillRect/>
                    </a:stretch>
                  </pic:blipFill>
                  <pic:spPr>
                    <a:xfrm>
                      <a:off x="0" y="0"/>
                      <a:ext cx="5849111" cy="4571"/>
                    </a:xfrm>
                    <a:prstGeom prst="rect">
                      <a:avLst/>
                    </a:prstGeom>
                  </pic:spPr>
                </pic:pic>
              </a:graphicData>
            </a:graphic>
          </wp:anchor>
        </w:drawing>
      </w:r>
      <w:r>
        <w:rPr>
          <w:b/>
          <w:sz w:val="24"/>
        </w:rPr>
        <w:t>Conclusiones, Recomendaciones Y Limitaciones ANEXOS</w:t>
      </w:r>
    </w:p>
    <w:p>
      <w:pPr>
        <w:spacing w:before="2" w:after="4"/>
        <w:ind w:left="651" w:right="3227" w:firstLine="0"/>
        <w:jc w:val="left"/>
        <w:rPr>
          <w:b/>
          <w:sz w:val="24"/>
        </w:rPr>
      </w:pPr>
      <w:r>
        <w:rPr>
          <w:b/>
          <w:sz w:val="24"/>
        </w:rPr>
        <w:t>BIBLIOGRAFÍA</w:t>
      </w:r>
    </w:p>
    <w:p>
      <w:pPr>
        <w:pStyle w:val="BodyText"/>
        <w:spacing w:line="20" w:lineRule="exact"/>
        <w:ind w:left="567"/>
        <w:rPr>
          <w:sz w:val="2"/>
        </w:rPr>
      </w:pPr>
      <w:r>
        <w:rPr>
          <w:sz w:val="2"/>
        </w:rPr>
        <w:drawing>
          <wp:inline distT="0" distB="0" distL="0" distR="0">
            <wp:extent cx="5736320" cy="4476"/>
            <wp:effectExtent l="0" t="0" r="0" b="0"/>
            <wp:docPr id="109" name="image3.png" descr=""/>
            <wp:cNvGraphicFramePr>
              <a:graphicFrameLocks noChangeAspect="1"/>
            </wp:cNvGraphicFramePr>
            <a:graphic>
              <a:graphicData uri="http://schemas.openxmlformats.org/drawingml/2006/picture">
                <pic:pic>
                  <pic:nvPicPr>
                    <pic:cNvPr id="110" name="image3.png"/>
                    <pic:cNvPicPr/>
                  </pic:nvPicPr>
                  <pic:blipFill>
                    <a:blip r:embed="rId7" cstate="print"/>
                    <a:stretch>
                      <a:fillRect/>
                    </a:stretch>
                  </pic:blipFill>
                  <pic:spPr>
                    <a:xfrm>
                      <a:off x="0" y="0"/>
                      <a:ext cx="5736320" cy="4476"/>
                    </a:xfrm>
                    <a:prstGeom prst="rect">
                      <a:avLst/>
                    </a:prstGeom>
                  </pic:spPr>
                </pic:pic>
              </a:graphicData>
            </a:graphic>
          </wp:inline>
        </w:drawing>
      </w:r>
      <w:r>
        <w:rPr>
          <w:sz w:val="2"/>
        </w:rPr>
      </w:r>
    </w:p>
    <w:p>
      <w:pPr>
        <w:spacing w:after="0" w:line="20" w:lineRule="exact"/>
        <w:rPr>
          <w:sz w:val="2"/>
        </w:rPr>
        <w:sectPr>
          <w:pgSz w:w="12240" w:h="15840"/>
          <w:pgMar w:top="1420" w:bottom="280" w:left="1120" w:right="660"/>
        </w:sectPr>
      </w:pPr>
    </w:p>
    <w:p>
      <w:pPr>
        <w:pStyle w:val="Heading1"/>
        <w:spacing w:before="50"/>
        <w:ind w:left="2772" w:right="165"/>
        <w:jc w:val="left"/>
      </w:pPr>
      <w:r>
        <w:rPr/>
        <w:t>CAPITULO I MARCO TEÓRICO</w:t>
      </w:r>
    </w:p>
    <w:p>
      <w:pPr>
        <w:pStyle w:val="BodyText"/>
        <w:rPr>
          <w:b/>
        </w:rPr>
      </w:pPr>
    </w:p>
    <w:p>
      <w:pPr>
        <w:pStyle w:val="Heading1"/>
        <w:numPr>
          <w:ilvl w:val="1"/>
          <w:numId w:val="6"/>
        </w:numPr>
        <w:tabs>
          <w:tab w:pos="504" w:val="left" w:leader="none"/>
        </w:tabs>
        <w:spacing w:line="240" w:lineRule="auto" w:before="139" w:after="0"/>
        <w:ind w:left="503" w:right="0" w:hanging="402"/>
        <w:jc w:val="both"/>
      </w:pPr>
      <w:bookmarkStart w:name="_TOC_250015" w:id="1"/>
      <w:r>
        <w:rPr/>
        <w:t>Concepto de</w:t>
      </w:r>
      <w:r>
        <w:rPr>
          <w:spacing w:val="-11"/>
        </w:rPr>
        <w:t> </w:t>
      </w:r>
      <w:bookmarkEnd w:id="1"/>
      <w:r>
        <w:rPr/>
        <w:t>Finanzas</w:t>
      </w:r>
    </w:p>
    <w:p>
      <w:pPr>
        <w:pStyle w:val="BodyText"/>
        <w:rPr>
          <w:b/>
        </w:rPr>
      </w:pPr>
    </w:p>
    <w:p>
      <w:pPr>
        <w:pStyle w:val="BodyText"/>
        <w:spacing w:line="360" w:lineRule="auto" w:before="141"/>
        <w:ind w:left="101" w:right="98"/>
        <w:jc w:val="both"/>
      </w:pPr>
      <w:r>
        <w:rPr/>
        <w:t>El concepto de finanzas nos dice que es la rama de la Economía que estudia las actividades económicas de carácter bancario y bursátil desarrolladas por individuos, empresas, organizaciones o entidades públicas.</w:t>
      </w:r>
    </w:p>
    <w:p>
      <w:pPr>
        <w:pStyle w:val="BodyText"/>
        <w:spacing w:before="10"/>
      </w:pPr>
    </w:p>
    <w:p>
      <w:pPr>
        <w:pStyle w:val="BodyText"/>
        <w:spacing w:line="360" w:lineRule="auto"/>
        <w:ind w:left="101" w:right="103"/>
        <w:jc w:val="both"/>
      </w:pPr>
      <w:r>
        <w:rPr>
          <w:u w:val="single"/>
        </w:rPr>
        <w:t>Riesgo </w:t>
      </w:r>
      <w:r>
        <w:rPr/>
        <w:t>y </w:t>
      </w:r>
      <w:r>
        <w:rPr>
          <w:u w:val="single"/>
        </w:rPr>
        <w:t>beneficio</w:t>
      </w:r>
      <w:r>
        <w:rPr/>
        <w:t>: Los inversores actúan en los diferentes mercados intentando obtener el mayor rendimiento para su dinero a la vez que pretenden minimizar el riesgo de su inversión. El mercado de capitales ofrece en cada momento una frontera eficiente, que relaciona una determinada rentabilidad con un determinado nivel de riesgo o volatilidad.</w:t>
      </w:r>
    </w:p>
    <w:p>
      <w:pPr>
        <w:pStyle w:val="BodyText"/>
        <w:spacing w:before="10"/>
      </w:pPr>
    </w:p>
    <w:p>
      <w:pPr>
        <w:pStyle w:val="BodyText"/>
        <w:spacing w:line="360" w:lineRule="auto"/>
        <w:ind w:left="101" w:right="104"/>
        <w:jc w:val="both"/>
      </w:pPr>
      <w:r>
        <w:rPr/>
        <w:t>El inversor obtiene una mayor rentabilidad esperada a cambio de soportar una mayor incertidumbre. El precio de la incertidumbre es la diferencia entre la rentabilidad de la inversión y el tipo de interés de aquellos valores que se consideran seguros. A esta diferencia la conocemos como prima de riesgo.</w:t>
      </w:r>
    </w:p>
    <w:p>
      <w:pPr>
        <w:pStyle w:val="BodyText"/>
        <w:spacing w:before="7"/>
      </w:pPr>
    </w:p>
    <w:p>
      <w:pPr>
        <w:pStyle w:val="ListParagraph"/>
        <w:numPr>
          <w:ilvl w:val="0"/>
          <w:numId w:val="7"/>
        </w:numPr>
        <w:tabs>
          <w:tab w:pos="821" w:val="left" w:leader="none"/>
          <w:tab w:pos="822" w:val="left" w:leader="none"/>
        </w:tabs>
        <w:spacing w:line="360" w:lineRule="auto" w:before="0" w:after="0"/>
        <w:ind w:left="485" w:right="99" w:hanging="360"/>
        <w:jc w:val="both"/>
        <w:rPr>
          <w:rFonts w:ascii="Symbol" w:hAnsi="Symbol"/>
          <w:sz w:val="20"/>
        </w:rPr>
      </w:pPr>
      <w:r>
        <w:rPr>
          <w:sz w:val="24"/>
        </w:rPr>
        <w:t>El valor del dinero en el tiempo: Ante la misma cantidad de dinero, un inversor prefiere disponer de ella en el presente que en el futuro. Por ello, el transvase intertemporal de dinero cuenta con un factor de descuento (si intercambiamos renta futura por capital presente, por ejemplo, en un préstamo hipotecario), o con una rentabilidad (si ìntercambiamos renta presente por  renta futura, por ejemplo, en un plan de</w:t>
      </w:r>
      <w:r>
        <w:rPr>
          <w:spacing w:val="-39"/>
          <w:sz w:val="24"/>
        </w:rPr>
        <w:t> </w:t>
      </w:r>
      <w:r>
        <w:rPr>
          <w:sz w:val="24"/>
        </w:rPr>
        <w:t>pensiones).</w:t>
      </w:r>
    </w:p>
    <w:p>
      <w:pPr>
        <w:pStyle w:val="BodyText"/>
        <w:spacing w:before="10"/>
      </w:pPr>
    </w:p>
    <w:p>
      <w:pPr>
        <w:pStyle w:val="ListParagraph"/>
        <w:numPr>
          <w:ilvl w:val="0"/>
          <w:numId w:val="7"/>
        </w:numPr>
        <w:tabs>
          <w:tab w:pos="821" w:val="left" w:leader="none"/>
          <w:tab w:pos="822" w:val="left" w:leader="none"/>
        </w:tabs>
        <w:spacing w:line="360" w:lineRule="auto" w:before="0" w:after="0"/>
        <w:ind w:left="485" w:right="99" w:hanging="360"/>
        <w:jc w:val="both"/>
        <w:rPr>
          <w:rFonts w:ascii="Symbol" w:hAnsi="Symbol"/>
          <w:sz w:val="20"/>
        </w:rPr>
      </w:pPr>
      <w:r>
        <w:rPr>
          <w:sz w:val="24"/>
          <w:u w:val="single"/>
        </w:rPr>
        <w:t>Tasa de interés</w:t>
      </w:r>
      <w:r>
        <w:rPr>
          <w:sz w:val="24"/>
        </w:rPr>
        <w:t>: Se define como el precio que se paga </w:t>
      </w:r>
      <w:r>
        <w:rPr>
          <w:spacing w:val="2"/>
          <w:sz w:val="24"/>
        </w:rPr>
        <w:t>por </w:t>
      </w:r>
      <w:r>
        <w:rPr>
          <w:sz w:val="24"/>
        </w:rPr>
        <w:t>los fondos solicitados en préstamo, en un periodo de tiempo. Por lo general es expresado en porcentaje y representa una tasa de intercambio entre el precio del dinero al día de hoy en términos del dinero futuro  (BODIE,</w:t>
      </w:r>
      <w:r>
        <w:rPr>
          <w:spacing w:val="-35"/>
          <w:sz w:val="24"/>
        </w:rPr>
        <w:t> </w:t>
      </w:r>
      <w:r>
        <w:rPr>
          <w:sz w:val="24"/>
        </w:rPr>
        <w:t>2003).</w:t>
      </w:r>
    </w:p>
    <w:p>
      <w:pPr>
        <w:spacing w:after="0" w:line="360" w:lineRule="auto"/>
        <w:jc w:val="both"/>
        <w:rPr>
          <w:rFonts w:ascii="Symbol" w:hAnsi="Symbol"/>
          <w:sz w:val="20"/>
        </w:rPr>
        <w:sectPr>
          <w:footerReference w:type="default" r:id="rId8"/>
          <w:pgSz w:w="12240" w:h="15840"/>
          <w:pgMar w:footer="1005" w:header="0" w:top="1460" w:bottom="1200" w:left="1600" w:right="1600"/>
          <w:pgNumType w:start="1"/>
        </w:sectPr>
      </w:pPr>
    </w:p>
    <w:p>
      <w:pPr>
        <w:pStyle w:val="Heading1"/>
        <w:numPr>
          <w:ilvl w:val="1"/>
          <w:numId w:val="6"/>
        </w:numPr>
        <w:tabs>
          <w:tab w:pos="504" w:val="left" w:leader="none"/>
        </w:tabs>
        <w:spacing w:line="240" w:lineRule="auto" w:before="46" w:after="0"/>
        <w:ind w:left="503" w:right="0" w:hanging="402"/>
        <w:jc w:val="both"/>
      </w:pPr>
      <w:r>
        <w:rPr/>
        <w:t>Concepto de Finanzas</w:t>
      </w:r>
      <w:r>
        <w:rPr>
          <w:spacing w:val="-9"/>
        </w:rPr>
        <w:t> </w:t>
      </w:r>
      <w:r>
        <w:rPr/>
        <w:t>públicas</w:t>
      </w:r>
    </w:p>
    <w:p>
      <w:pPr>
        <w:pStyle w:val="BodyText"/>
        <w:spacing w:line="360" w:lineRule="auto" w:before="139"/>
        <w:ind w:left="101" w:right="127"/>
        <w:jc w:val="both"/>
      </w:pPr>
      <w:r>
        <w:rPr/>
        <w:t>Las finanzas públicas es área de las finanzas relacionada con las actividades relacionadas con la obtención, administración y gestión de los recursos económicos de las entidades gubernamentales (BODIE, 2003).</w:t>
      </w:r>
    </w:p>
    <w:p>
      <w:pPr>
        <w:pStyle w:val="BodyText"/>
      </w:pPr>
    </w:p>
    <w:p>
      <w:pPr>
        <w:pStyle w:val="Heading1"/>
        <w:numPr>
          <w:ilvl w:val="1"/>
          <w:numId w:val="6"/>
        </w:numPr>
        <w:tabs>
          <w:tab w:pos="504" w:val="left" w:leader="none"/>
        </w:tabs>
        <w:spacing w:line="240" w:lineRule="auto" w:before="142" w:after="0"/>
        <w:ind w:left="503" w:right="0" w:hanging="402"/>
        <w:jc w:val="both"/>
      </w:pPr>
      <w:bookmarkStart w:name="_TOC_250014" w:id="2"/>
      <w:r>
        <w:rPr/>
        <w:t>Gestión</w:t>
      </w:r>
      <w:r>
        <w:rPr>
          <w:spacing w:val="-14"/>
        </w:rPr>
        <w:t> </w:t>
      </w:r>
      <w:bookmarkEnd w:id="2"/>
      <w:r>
        <w:rPr/>
        <w:t>Financiera</w:t>
      </w:r>
    </w:p>
    <w:p>
      <w:pPr>
        <w:pStyle w:val="BodyText"/>
        <w:spacing w:line="360" w:lineRule="auto" w:before="137"/>
        <w:ind w:left="101" w:right="118"/>
        <w:jc w:val="both"/>
      </w:pPr>
      <w:r>
        <w:rPr/>
        <w:t>Se denomina </w:t>
      </w:r>
      <w:r>
        <w:rPr>
          <w:u w:val="single"/>
        </w:rPr>
        <w:t>gestión </w:t>
      </w:r>
      <w:r>
        <w:rPr/>
        <w:t>financiera (o  gestión  de </w:t>
      </w:r>
      <w:r>
        <w:rPr>
          <w:u w:val="single"/>
        </w:rPr>
        <w:t>movimiento </w:t>
      </w:r>
      <w:r>
        <w:rPr/>
        <w:t>de  fondos)  a  todos  los </w:t>
      </w:r>
      <w:r>
        <w:rPr>
          <w:u w:val="single"/>
        </w:rPr>
        <w:t>procesos </w:t>
      </w:r>
      <w:r>
        <w:rPr/>
        <w:t>que consisten en conseguir, mantener y utilizar </w:t>
      </w:r>
      <w:r>
        <w:rPr>
          <w:u w:val="single"/>
        </w:rPr>
        <w:t>dinero</w:t>
      </w:r>
      <w:r>
        <w:rPr/>
        <w:t>, sea físico (billetes     y     monedas)     o     a      través      de      otros      instrumentos,   como </w:t>
      </w:r>
      <w:r>
        <w:rPr>
          <w:u w:val="single"/>
        </w:rPr>
        <w:t>cheques </w:t>
      </w:r>
      <w:r>
        <w:rPr/>
        <w:t>y </w:t>
      </w:r>
      <w:r>
        <w:rPr>
          <w:u w:val="single"/>
        </w:rPr>
        <w:t>tarjetas </w:t>
      </w:r>
      <w:r>
        <w:rPr/>
        <w:t>de </w:t>
      </w:r>
      <w:r>
        <w:rPr>
          <w:u w:val="single"/>
        </w:rPr>
        <w:t>crédito</w:t>
      </w:r>
      <w:r>
        <w:rPr/>
        <w:t>. La gestión financiera es la que convierte a la visión y </w:t>
      </w:r>
      <w:r>
        <w:rPr>
          <w:u w:val="single"/>
        </w:rPr>
        <w:t>misión </w:t>
      </w:r>
      <w:r>
        <w:rPr/>
        <w:t>en </w:t>
      </w:r>
      <w:r>
        <w:rPr>
          <w:u w:val="single"/>
        </w:rPr>
        <w:t>operaciones</w:t>
      </w:r>
      <w:r>
        <w:rPr>
          <w:spacing w:val="-23"/>
          <w:u w:val="single"/>
        </w:rPr>
        <w:t> </w:t>
      </w:r>
      <w:r>
        <w:rPr/>
        <w:t>monetarias.</w:t>
      </w:r>
    </w:p>
    <w:p>
      <w:pPr>
        <w:pStyle w:val="BodyText"/>
        <w:rPr>
          <w:sz w:val="20"/>
        </w:rPr>
      </w:pPr>
    </w:p>
    <w:p>
      <w:pPr>
        <w:pStyle w:val="BodyText"/>
        <w:spacing w:line="360" w:lineRule="auto" w:before="188"/>
        <w:ind w:left="101" w:right="129"/>
        <w:jc w:val="both"/>
      </w:pPr>
      <w:r>
        <w:rPr/>
        <w:t>La gestión financiera consiste en administrar los recursos que se tienen en una empresa para asegurar que serán suficientes para cubrir los gastos para que esta pueda funcionar. En una empresa esta responsabilidad la tiene una sola persona: el gestor financiero. De esta manera podrá llevar un control adecuado y ordenado de los ingresos y gastos de la empresa (BODIE, 2003).</w:t>
      </w:r>
    </w:p>
    <w:p>
      <w:pPr>
        <w:pStyle w:val="BodyText"/>
      </w:pPr>
    </w:p>
    <w:p>
      <w:pPr>
        <w:pStyle w:val="Heading1"/>
        <w:numPr>
          <w:ilvl w:val="1"/>
          <w:numId w:val="6"/>
        </w:numPr>
        <w:tabs>
          <w:tab w:pos="504" w:val="left" w:leader="none"/>
        </w:tabs>
        <w:spacing w:line="240" w:lineRule="auto" w:before="142" w:after="0"/>
        <w:ind w:left="503" w:right="0" w:hanging="402"/>
        <w:jc w:val="both"/>
      </w:pPr>
      <w:bookmarkStart w:name="_TOC_250013" w:id="3"/>
      <w:r>
        <w:rPr/>
        <w:t>Concepto</w:t>
      </w:r>
      <w:r>
        <w:rPr>
          <w:spacing w:val="-12"/>
        </w:rPr>
        <w:t> </w:t>
      </w:r>
      <w:bookmarkEnd w:id="3"/>
      <w:r>
        <w:rPr/>
        <w:t>Proyecto</w:t>
      </w:r>
    </w:p>
    <w:p>
      <w:pPr>
        <w:pStyle w:val="BodyText"/>
        <w:spacing w:line="360" w:lineRule="auto" w:before="139"/>
        <w:ind w:left="101" w:right="118"/>
        <w:jc w:val="both"/>
      </w:pPr>
      <w:r>
        <w:rPr/>
        <w:t>Un proyecto (del </w:t>
      </w:r>
      <w:r>
        <w:rPr>
          <w:u w:val="single"/>
        </w:rPr>
        <w:t>latín </w:t>
      </w:r>
      <w:r>
        <w:rPr/>
        <w:t>proiectus) es una </w:t>
      </w:r>
      <w:r>
        <w:rPr>
          <w:u w:val="single"/>
        </w:rPr>
        <w:t>planificación </w:t>
      </w:r>
      <w:r>
        <w:rPr/>
        <w:t>que consiste en un conjunto de actividades que se encuentran interrelacionadas y coordinadas.</w:t>
      </w:r>
      <w:r>
        <w:rPr>
          <w:u w:val="single"/>
        </w:rPr>
        <w:t>1 </w:t>
      </w:r>
      <w:r>
        <w:rPr/>
        <w:t>La razón de un proyecto es alcanzar objetivos específicos dentro de los límites que imponen un presupuesto, calidades establecidas previamente y un lapso de tiempo previamente definido</w:t>
      </w:r>
    </w:p>
    <w:p>
      <w:pPr>
        <w:pStyle w:val="BodyText"/>
        <w:spacing w:line="360" w:lineRule="auto" w:before="2"/>
        <w:ind w:left="101" w:right="117"/>
        <w:jc w:val="both"/>
      </w:pPr>
      <w:r>
        <w:rPr/>
        <w:t>La </w:t>
      </w:r>
      <w:r>
        <w:rPr>
          <w:u w:val="single"/>
        </w:rPr>
        <w:t>gestión de proyectos </w:t>
      </w:r>
      <w:r>
        <w:rPr/>
        <w:t>es la aplicación de conocimientos, </w:t>
      </w:r>
      <w:r>
        <w:rPr>
          <w:u w:val="single"/>
        </w:rPr>
        <w:t>habilidades</w:t>
      </w:r>
      <w:r>
        <w:rPr/>
        <w:t>, herramientas y técnicas a las actividades de un proyecto para satisfacer los requisitos del proyecto (CEPEP, 2007).</w:t>
      </w:r>
    </w:p>
    <w:p>
      <w:pPr>
        <w:pStyle w:val="BodyText"/>
      </w:pPr>
    </w:p>
    <w:p>
      <w:pPr>
        <w:pStyle w:val="Heading1"/>
        <w:numPr>
          <w:ilvl w:val="1"/>
          <w:numId w:val="6"/>
        </w:numPr>
        <w:tabs>
          <w:tab w:pos="504" w:val="left" w:leader="none"/>
        </w:tabs>
        <w:spacing w:line="240" w:lineRule="auto" w:before="142" w:after="0"/>
        <w:ind w:left="503" w:right="0" w:hanging="402"/>
        <w:jc w:val="both"/>
      </w:pPr>
      <w:r>
        <w:rPr/>
        <w:t>Concepto de proyecto de Inversión</w:t>
      </w:r>
      <w:r>
        <w:rPr>
          <w:spacing w:val="-25"/>
        </w:rPr>
        <w:t> </w:t>
      </w:r>
      <w:r>
        <w:rPr/>
        <w:t>Pública</w:t>
      </w:r>
    </w:p>
    <w:p>
      <w:pPr>
        <w:pStyle w:val="BodyText"/>
        <w:spacing w:before="137"/>
        <w:ind w:left="101"/>
        <w:jc w:val="both"/>
      </w:pPr>
      <w:r>
        <w:rPr/>
        <w:t>Es un conjunto de información económica y social que permite juzgar cualitativa  y</w:t>
      </w:r>
    </w:p>
    <w:p>
      <w:pPr>
        <w:pStyle w:val="BodyText"/>
        <w:spacing w:line="410" w:lineRule="atLeast" w:before="5"/>
        <w:ind w:left="101" w:right="132"/>
        <w:jc w:val="both"/>
      </w:pPr>
      <w:r>
        <w:rPr/>
        <w:t>cuantitativamente las ventajas y desventajas de asignar recursos a una iniciativa de inversión, la misma que busca resolver un problema o una necesidad en</w:t>
      </w:r>
      <w:r>
        <w:rPr>
          <w:spacing w:val="57"/>
        </w:rPr>
        <w:t> </w:t>
      </w:r>
      <w:r>
        <w:rPr/>
        <w:t>forma</w:t>
      </w:r>
    </w:p>
    <w:p>
      <w:pPr>
        <w:spacing w:after="0" w:line="410" w:lineRule="atLeast"/>
        <w:jc w:val="both"/>
        <w:sectPr>
          <w:pgSz w:w="12240" w:h="15840"/>
          <w:pgMar w:header="0" w:footer="1005" w:top="1380" w:bottom="1200" w:left="1600" w:right="1580"/>
        </w:sectPr>
      </w:pPr>
    </w:p>
    <w:p>
      <w:pPr>
        <w:pStyle w:val="BodyText"/>
        <w:spacing w:before="46"/>
        <w:ind w:left="101"/>
        <w:jc w:val="both"/>
      </w:pPr>
      <w:r>
        <w:rPr/>
        <w:t>eficiente, segura y rentable (Ley AFI Pág. 64).</w:t>
      </w:r>
    </w:p>
    <w:p>
      <w:pPr>
        <w:pStyle w:val="BodyText"/>
        <w:spacing w:line="360" w:lineRule="auto" w:before="139"/>
        <w:ind w:left="101" w:right="104"/>
        <w:jc w:val="both"/>
      </w:pPr>
      <w:r>
        <w:rPr/>
        <w:t>Un proyecto de inversión pública se refiere a todas aquellas iniciativas promovidas por entidades del gobierno y que tienen como objetivo solucionar problemas de índole social o económica. En éste caso, el inversionista es el Estado o sus instituciones, que por la naturaleza de sus funciones deben desarrollar proyectos para bienestar de la población y no esperan recibir rendimientos en términos financieros, pero si pretenden mejorar los indicadores o índices medibles desde el punto de vista social y económico (Fernández Espinoza, 2007. Pp. 16,17).</w:t>
      </w:r>
    </w:p>
    <w:p>
      <w:pPr>
        <w:pStyle w:val="BodyText"/>
        <w:spacing w:line="360" w:lineRule="auto" w:before="2"/>
        <w:ind w:left="101" w:right="108"/>
        <w:jc w:val="both"/>
      </w:pPr>
      <w:r>
        <w:rPr/>
        <w:t>Es decir, un Proyecto de Inversión Pública se refiere a todas aquellas iniciativas promovidas por el gobierno que tienen como objetivo solucionar problemas de índole social utilizando información económica que permite juzgar de manera cualitativa y cuantitativa a la hora de asignar recursos para una inversión social de manera segura, eficiente y rentable.</w:t>
      </w:r>
    </w:p>
    <w:p>
      <w:pPr>
        <w:pStyle w:val="BodyText"/>
      </w:pPr>
    </w:p>
    <w:p>
      <w:pPr>
        <w:pStyle w:val="Heading1"/>
        <w:numPr>
          <w:ilvl w:val="1"/>
          <w:numId w:val="6"/>
        </w:numPr>
        <w:tabs>
          <w:tab w:pos="505" w:val="left" w:leader="none"/>
        </w:tabs>
        <w:spacing w:line="240" w:lineRule="auto" w:before="142" w:after="0"/>
        <w:ind w:left="504" w:right="0" w:hanging="403"/>
        <w:jc w:val="both"/>
      </w:pPr>
      <w:bookmarkStart w:name="_TOC_250012" w:id="4"/>
      <w:r>
        <w:rPr/>
        <w:t>Tipos de</w:t>
      </w:r>
      <w:r>
        <w:rPr>
          <w:spacing w:val="-13"/>
        </w:rPr>
        <w:t> </w:t>
      </w:r>
      <w:bookmarkEnd w:id="4"/>
      <w:r>
        <w:rPr/>
        <w:t>Proyectos</w:t>
      </w:r>
    </w:p>
    <w:p>
      <w:pPr>
        <w:pStyle w:val="BodyText"/>
        <w:spacing w:before="139"/>
        <w:ind w:left="101"/>
        <w:jc w:val="both"/>
      </w:pPr>
      <w:r>
        <w:rPr/>
        <w:t>En general, la manera en que se puede clasificar a los proyectos son:</w:t>
      </w:r>
    </w:p>
    <w:p>
      <w:pPr>
        <w:pStyle w:val="BodyText"/>
      </w:pPr>
    </w:p>
    <w:p>
      <w:pPr>
        <w:pStyle w:val="ListParagraph"/>
        <w:numPr>
          <w:ilvl w:val="0"/>
          <w:numId w:val="7"/>
        </w:numPr>
        <w:tabs>
          <w:tab w:pos="821" w:val="left" w:leader="none"/>
          <w:tab w:pos="822" w:val="left" w:leader="none"/>
        </w:tabs>
        <w:spacing w:line="360" w:lineRule="auto" w:before="141" w:after="0"/>
        <w:ind w:left="485" w:right="98" w:hanging="360"/>
        <w:jc w:val="both"/>
        <w:rPr>
          <w:rFonts w:ascii="Symbol" w:hAnsi="Symbol"/>
          <w:sz w:val="20"/>
        </w:rPr>
      </w:pPr>
      <w:r>
        <w:rPr>
          <w:sz w:val="24"/>
        </w:rPr>
        <w:t>Proyecto productivo: Son proyectos que buscan generar </w:t>
      </w:r>
      <w:r>
        <w:rPr>
          <w:sz w:val="24"/>
          <w:u w:val="single"/>
        </w:rPr>
        <w:t>rentabilidad </w:t>
      </w:r>
      <w:r>
        <w:rPr>
          <w:sz w:val="24"/>
          <w:u w:val="single"/>
        </w:rPr>
        <w:t>económica </w:t>
      </w:r>
      <w:r>
        <w:rPr>
          <w:sz w:val="24"/>
        </w:rPr>
        <w:t>y obtener ganancias en </w:t>
      </w:r>
      <w:r>
        <w:rPr>
          <w:sz w:val="24"/>
          <w:u w:val="single"/>
        </w:rPr>
        <w:t>dinero</w:t>
      </w:r>
      <w:r>
        <w:rPr>
          <w:sz w:val="24"/>
        </w:rPr>
        <w:t>. Los promotores de estos proyectos suelen ser empresas e individuos interesados en alcanzar beneficios económicos para distintos</w:t>
      </w:r>
      <w:r>
        <w:rPr>
          <w:spacing w:val="-21"/>
          <w:sz w:val="24"/>
        </w:rPr>
        <w:t> </w:t>
      </w:r>
      <w:r>
        <w:rPr>
          <w:sz w:val="24"/>
        </w:rPr>
        <w:t>fines.</w:t>
      </w:r>
    </w:p>
    <w:p>
      <w:pPr>
        <w:pStyle w:val="ListParagraph"/>
        <w:numPr>
          <w:ilvl w:val="0"/>
          <w:numId w:val="7"/>
        </w:numPr>
        <w:tabs>
          <w:tab w:pos="821" w:val="left" w:leader="none"/>
          <w:tab w:pos="822" w:val="left" w:leader="none"/>
        </w:tabs>
        <w:spacing w:line="360" w:lineRule="auto" w:before="29" w:after="0"/>
        <w:ind w:left="485" w:right="98" w:hanging="360"/>
        <w:jc w:val="both"/>
        <w:rPr>
          <w:rFonts w:ascii="Symbol" w:hAnsi="Symbol"/>
          <w:sz w:val="20"/>
        </w:rPr>
      </w:pPr>
      <w:r>
        <w:rPr>
          <w:sz w:val="24"/>
        </w:rPr>
        <w:t>Proyecto público o social: Son los proyectos que buscan alcanzar un impacto sobre la </w:t>
      </w:r>
      <w:r>
        <w:rPr>
          <w:sz w:val="24"/>
          <w:u w:val="single"/>
        </w:rPr>
        <w:t>calidad de vida </w:t>
      </w:r>
      <w:r>
        <w:rPr>
          <w:sz w:val="24"/>
        </w:rPr>
        <w:t>de la </w:t>
      </w:r>
      <w:r>
        <w:rPr>
          <w:sz w:val="24"/>
          <w:u w:val="single"/>
        </w:rPr>
        <w:t>población</w:t>
      </w:r>
      <w:r>
        <w:rPr>
          <w:sz w:val="24"/>
        </w:rPr>
        <w:t>, los cuales no necesariamente se expresan en </w:t>
      </w:r>
      <w:r>
        <w:rPr>
          <w:sz w:val="24"/>
          <w:u w:val="single"/>
        </w:rPr>
        <w:t>dinero</w:t>
      </w:r>
      <w:r>
        <w:rPr>
          <w:sz w:val="24"/>
        </w:rPr>
        <w:t>. Los promotores de estos proyectos son el </w:t>
      </w:r>
      <w:r>
        <w:rPr>
          <w:sz w:val="24"/>
          <w:u w:val="single"/>
        </w:rPr>
        <w:t>estado</w:t>
      </w:r>
      <w:r>
        <w:rPr>
          <w:sz w:val="24"/>
        </w:rPr>
        <w:t>, los organismos multilaterales, las </w:t>
      </w:r>
      <w:r>
        <w:rPr>
          <w:sz w:val="24"/>
          <w:u w:val="single"/>
        </w:rPr>
        <w:t>ONG </w:t>
      </w:r>
      <w:r>
        <w:rPr>
          <w:sz w:val="24"/>
        </w:rPr>
        <w:t>(organización no gubernamental) y también las </w:t>
      </w:r>
      <w:r>
        <w:rPr>
          <w:sz w:val="24"/>
          <w:u w:val="single"/>
        </w:rPr>
        <w:t>empresas</w:t>
      </w:r>
      <w:r>
        <w:rPr>
          <w:sz w:val="24"/>
        </w:rPr>
        <w:t>, en sus políticas de </w:t>
      </w:r>
      <w:r>
        <w:rPr>
          <w:sz w:val="24"/>
          <w:u w:val="single"/>
        </w:rPr>
        <w:t>responsabilidad</w:t>
      </w:r>
      <w:r>
        <w:rPr>
          <w:spacing w:val="-36"/>
          <w:sz w:val="24"/>
          <w:u w:val="single"/>
        </w:rPr>
        <w:t> </w:t>
      </w:r>
      <w:r>
        <w:rPr>
          <w:sz w:val="24"/>
          <w:u w:val="single"/>
        </w:rPr>
        <w:t>social</w:t>
      </w:r>
      <w:r>
        <w:rPr>
          <w:sz w:val="24"/>
        </w:rPr>
        <w:t>.</w:t>
      </w:r>
    </w:p>
    <w:p>
      <w:pPr>
        <w:pStyle w:val="BodyText"/>
        <w:spacing w:before="122"/>
        <w:ind w:left="101" w:right="165"/>
      </w:pPr>
      <w:r>
        <w:rPr/>
        <w:t>Otras formas de realizar la </w:t>
      </w:r>
      <w:r>
        <w:rPr>
          <w:u w:val="single"/>
        </w:rPr>
        <w:t>clasificación </w:t>
      </w:r>
      <w:r>
        <w:rPr/>
        <w:t>de los proyectos son las siguientes:</w:t>
      </w:r>
    </w:p>
    <w:p>
      <w:pPr>
        <w:pStyle w:val="BodyText"/>
        <w:rPr>
          <w:sz w:val="20"/>
        </w:rPr>
      </w:pPr>
    </w:p>
    <w:p>
      <w:pPr>
        <w:pStyle w:val="ListParagraph"/>
        <w:numPr>
          <w:ilvl w:val="0"/>
          <w:numId w:val="7"/>
        </w:numPr>
        <w:tabs>
          <w:tab w:pos="1541" w:val="left" w:leader="none"/>
          <w:tab w:pos="1542" w:val="left" w:leader="none"/>
        </w:tabs>
        <w:spacing w:line="360" w:lineRule="auto" w:before="190" w:after="0"/>
        <w:ind w:left="528" w:right="98" w:hanging="427"/>
        <w:jc w:val="both"/>
        <w:rPr>
          <w:rFonts w:ascii="Symbol" w:hAnsi="Symbol"/>
          <w:sz w:val="20"/>
        </w:rPr>
      </w:pPr>
      <w:r>
        <w:rPr>
          <w:sz w:val="24"/>
        </w:rPr>
        <w:t>Basándose en el contenido del proyecto: Proyectos de construcción, proyectos de Informática, proyectos empresariales, proyectos de desarrollo de productos y</w:t>
      </w:r>
      <w:r>
        <w:rPr>
          <w:spacing w:val="-16"/>
          <w:sz w:val="24"/>
        </w:rPr>
        <w:t> </w:t>
      </w:r>
      <w:r>
        <w:rPr>
          <w:sz w:val="24"/>
        </w:rPr>
        <w:t>servicios.</w:t>
      </w:r>
    </w:p>
    <w:p>
      <w:pPr>
        <w:spacing w:after="0" w:line="360" w:lineRule="auto"/>
        <w:jc w:val="both"/>
        <w:rPr>
          <w:rFonts w:ascii="Symbol" w:hAnsi="Symbol"/>
          <w:sz w:val="20"/>
        </w:rPr>
        <w:sectPr>
          <w:pgSz w:w="12240" w:h="15840"/>
          <w:pgMar w:header="0" w:footer="1005" w:top="1380" w:bottom="1200" w:left="1600" w:right="1600"/>
        </w:sectPr>
      </w:pPr>
    </w:p>
    <w:p>
      <w:pPr>
        <w:pStyle w:val="ListParagraph"/>
        <w:numPr>
          <w:ilvl w:val="0"/>
          <w:numId w:val="7"/>
        </w:numPr>
        <w:tabs>
          <w:tab w:pos="1541" w:val="left" w:leader="none"/>
          <w:tab w:pos="1542" w:val="left" w:leader="none"/>
        </w:tabs>
        <w:spacing w:line="360" w:lineRule="auto" w:before="46" w:after="0"/>
        <w:ind w:left="528" w:right="108" w:hanging="427"/>
        <w:jc w:val="both"/>
        <w:rPr>
          <w:rFonts w:ascii="Symbol" w:hAnsi="Symbol"/>
          <w:sz w:val="20"/>
        </w:rPr>
      </w:pPr>
      <w:r>
        <w:rPr>
          <w:sz w:val="24"/>
        </w:rPr>
        <w:t>Basándose en la organización participante: Proyectos Internos, proyectos de departamento, proyectos de unidades cruzadas, proyectos externos (de imagen</w:t>
      </w:r>
      <w:r>
        <w:rPr>
          <w:spacing w:val="-25"/>
          <w:sz w:val="24"/>
        </w:rPr>
        <w:t> </w:t>
      </w:r>
      <w:r>
        <w:rPr>
          <w:sz w:val="24"/>
        </w:rPr>
        <w:t>corporativa).</w:t>
      </w:r>
    </w:p>
    <w:p>
      <w:pPr>
        <w:pStyle w:val="ListParagraph"/>
        <w:numPr>
          <w:ilvl w:val="0"/>
          <w:numId w:val="7"/>
        </w:numPr>
        <w:tabs>
          <w:tab w:pos="1541" w:val="left" w:leader="none"/>
          <w:tab w:pos="1542" w:val="left" w:leader="none"/>
        </w:tabs>
        <w:spacing w:line="360" w:lineRule="auto" w:before="5" w:after="0"/>
        <w:ind w:left="528" w:right="107" w:hanging="427"/>
        <w:jc w:val="both"/>
        <w:rPr>
          <w:rFonts w:ascii="Symbol" w:hAnsi="Symbol"/>
          <w:sz w:val="20"/>
        </w:rPr>
      </w:pPr>
      <w:r>
        <w:rPr>
          <w:sz w:val="24"/>
        </w:rPr>
        <w:t>Basándose en la complejidad: Proyectos Simples, proyectos complejos, proyectos técnicos, proyectos científicos, proyectos de vida, proyectos escolares, proyectos manufactureros, proyectos integradores, proyectos físicos, proyectos médicos (BODIE,</w:t>
      </w:r>
      <w:r>
        <w:rPr>
          <w:spacing w:val="-30"/>
          <w:sz w:val="24"/>
        </w:rPr>
        <w:t> </w:t>
      </w:r>
      <w:r>
        <w:rPr>
          <w:sz w:val="24"/>
        </w:rPr>
        <w:t>2003).</w:t>
      </w:r>
    </w:p>
    <w:p>
      <w:pPr>
        <w:pStyle w:val="BodyText"/>
      </w:pPr>
    </w:p>
    <w:p>
      <w:pPr>
        <w:pStyle w:val="Heading1"/>
        <w:numPr>
          <w:ilvl w:val="1"/>
          <w:numId w:val="6"/>
        </w:numPr>
        <w:tabs>
          <w:tab w:pos="504" w:val="left" w:leader="none"/>
        </w:tabs>
        <w:spacing w:line="240" w:lineRule="auto" w:before="166" w:after="0"/>
        <w:ind w:left="503" w:right="0" w:hanging="402"/>
        <w:jc w:val="left"/>
      </w:pPr>
      <w:bookmarkStart w:name="_TOC_250011" w:id="5"/>
      <w:r>
        <w:rPr/>
        <w:t>Ciclo del</w:t>
      </w:r>
      <w:r>
        <w:rPr>
          <w:spacing w:val="-13"/>
        </w:rPr>
        <w:t> </w:t>
      </w:r>
      <w:bookmarkEnd w:id="5"/>
      <w:r>
        <w:rPr/>
        <w:t>proyecto</w:t>
      </w:r>
    </w:p>
    <w:p>
      <w:pPr>
        <w:pStyle w:val="BodyText"/>
        <w:rPr>
          <w:b/>
        </w:rPr>
      </w:pPr>
    </w:p>
    <w:p>
      <w:pPr>
        <w:pStyle w:val="ListParagraph"/>
        <w:numPr>
          <w:ilvl w:val="0"/>
          <w:numId w:val="7"/>
        </w:numPr>
        <w:tabs>
          <w:tab w:pos="529" w:val="left" w:leader="none"/>
        </w:tabs>
        <w:spacing w:line="360" w:lineRule="auto" w:before="142" w:after="0"/>
        <w:ind w:left="528" w:right="98" w:hanging="427"/>
        <w:jc w:val="both"/>
        <w:rPr>
          <w:rFonts w:ascii="Symbol" w:hAnsi="Symbol"/>
          <w:sz w:val="24"/>
        </w:rPr>
      </w:pPr>
      <w:r>
        <w:rPr>
          <w:sz w:val="24"/>
        </w:rPr>
        <w:t>Diagnóstico: Consiste en establecer la necesidad u oportunidad a partir de la cual es posible iniciar el diseño del proyecto. La idea de proyecto puede iniciarse debido a alguna de las siguientes razones: Existen necesidades insatisfechas actuales o se prevé que existirán en el futuro si no se </w:t>
      </w:r>
      <w:r>
        <w:rPr>
          <w:spacing w:val="2"/>
          <w:sz w:val="24"/>
        </w:rPr>
        <w:t>toma </w:t>
      </w:r>
      <w:r>
        <w:rPr>
          <w:sz w:val="24"/>
        </w:rPr>
        <w:t>medidas al respecto, existen potencialidades o recursos sub  aprovechados que pueden optimizarse y mejorar las condiciones actuales, es necesario complementar o reforzar otras actividades o proyectos que se producen en el mismo lugar y con los mismos</w:t>
      </w:r>
      <w:r>
        <w:rPr>
          <w:spacing w:val="-19"/>
          <w:sz w:val="24"/>
        </w:rPr>
        <w:t> </w:t>
      </w:r>
      <w:r>
        <w:rPr>
          <w:sz w:val="24"/>
        </w:rPr>
        <w:t>involucrados.</w:t>
      </w:r>
    </w:p>
    <w:p>
      <w:pPr>
        <w:pStyle w:val="BodyText"/>
        <w:spacing w:before="7"/>
      </w:pPr>
    </w:p>
    <w:p>
      <w:pPr>
        <w:pStyle w:val="ListParagraph"/>
        <w:numPr>
          <w:ilvl w:val="0"/>
          <w:numId w:val="7"/>
        </w:numPr>
        <w:tabs>
          <w:tab w:pos="821" w:val="left" w:leader="none"/>
          <w:tab w:pos="822" w:val="left" w:leader="none"/>
        </w:tabs>
        <w:spacing w:line="360" w:lineRule="auto" w:before="0" w:after="0"/>
        <w:ind w:left="485" w:right="99" w:hanging="360"/>
        <w:jc w:val="both"/>
        <w:rPr>
          <w:rFonts w:ascii="Symbol" w:hAnsi="Symbol"/>
          <w:sz w:val="20"/>
        </w:rPr>
      </w:pPr>
      <w:r>
        <w:rPr>
          <w:sz w:val="24"/>
        </w:rPr>
        <w:t>Diseño: Etapa   de   un   proyecto   en   la   que   se   valoran   las   opciones, </w:t>
      </w:r>
      <w:r>
        <w:rPr>
          <w:sz w:val="24"/>
          <w:u w:val="single"/>
        </w:rPr>
        <w:t>tácticas </w:t>
      </w:r>
      <w:r>
        <w:rPr>
          <w:sz w:val="24"/>
        </w:rPr>
        <w:t>y </w:t>
      </w:r>
      <w:r>
        <w:rPr>
          <w:sz w:val="24"/>
          <w:u w:val="single"/>
        </w:rPr>
        <w:t>estrategias </w:t>
      </w:r>
      <w:r>
        <w:rPr>
          <w:sz w:val="24"/>
        </w:rPr>
        <w:t>a seguir, teniendo como indicador principal el objetivo a lograr. En esta etapa se produce la aprobación del proyecto, que se suele hacer luego de la revisión del perfil de proyecto y/o de los estudios de pre-factibilidad, o incluso de factibilidad. Una vez dada la aprobación, se  realiza la planificación operativa, un proceso relevante que consiste en prever los diferentes recursos y los plazos de tiempo necesarios para alcanzar los fines del proyecto, asimismo establece la asignación o requerimiento de personal</w:t>
      </w:r>
      <w:r>
        <w:rPr>
          <w:spacing w:val="-14"/>
          <w:sz w:val="24"/>
        </w:rPr>
        <w:t> </w:t>
      </w:r>
      <w:r>
        <w:rPr>
          <w:sz w:val="24"/>
        </w:rPr>
        <w:t>respectivo.</w:t>
      </w:r>
    </w:p>
    <w:p>
      <w:pPr>
        <w:pStyle w:val="BodyText"/>
        <w:spacing w:before="7"/>
      </w:pPr>
    </w:p>
    <w:p>
      <w:pPr>
        <w:pStyle w:val="ListParagraph"/>
        <w:numPr>
          <w:ilvl w:val="0"/>
          <w:numId w:val="7"/>
        </w:numPr>
        <w:tabs>
          <w:tab w:pos="821" w:val="left" w:leader="none"/>
          <w:tab w:pos="822" w:val="left" w:leader="none"/>
        </w:tabs>
        <w:spacing w:line="360" w:lineRule="auto" w:before="0" w:after="0"/>
        <w:ind w:left="485" w:right="106" w:hanging="360"/>
        <w:jc w:val="both"/>
        <w:rPr>
          <w:rFonts w:ascii="Symbol" w:hAnsi="Symbol"/>
          <w:sz w:val="20"/>
        </w:rPr>
      </w:pPr>
      <w:r>
        <w:rPr>
          <w:sz w:val="24"/>
        </w:rPr>
        <w:t>Ejecución: Consiste en poner en práctica la planificación llevada a cabo previamente.</w:t>
      </w:r>
    </w:p>
    <w:p>
      <w:pPr>
        <w:spacing w:after="0" w:line="360" w:lineRule="auto"/>
        <w:jc w:val="both"/>
        <w:rPr>
          <w:rFonts w:ascii="Symbol" w:hAnsi="Symbol"/>
          <w:sz w:val="20"/>
        </w:rPr>
        <w:sectPr>
          <w:pgSz w:w="12240" w:h="15840"/>
          <w:pgMar w:header="0" w:footer="1005" w:top="1380" w:bottom="1200" w:left="1600" w:right="1600"/>
        </w:sectPr>
      </w:pPr>
    </w:p>
    <w:p>
      <w:pPr>
        <w:pStyle w:val="ListParagraph"/>
        <w:numPr>
          <w:ilvl w:val="0"/>
          <w:numId w:val="7"/>
        </w:numPr>
        <w:tabs>
          <w:tab w:pos="801" w:val="left" w:leader="none"/>
          <w:tab w:pos="802" w:val="left" w:leader="none"/>
        </w:tabs>
        <w:spacing w:line="360" w:lineRule="auto" w:before="48" w:after="0"/>
        <w:ind w:left="465" w:right="106" w:hanging="360"/>
        <w:jc w:val="both"/>
        <w:rPr>
          <w:rFonts w:ascii="Symbol" w:hAnsi="Symbol"/>
          <w:sz w:val="20"/>
        </w:rPr>
      </w:pPr>
      <w:r>
        <w:rPr>
          <w:sz w:val="24"/>
        </w:rPr>
        <w:t>Evaluación: Etapa final de un proyecto en la que éste es revisado, y se llevan a cabo las valoraciones pertinentes sobre lo planeado y lo ejecutado, así como sus resultados, en consideración al logro de los objetivos planteados (BODIE,</w:t>
      </w:r>
      <w:r>
        <w:rPr>
          <w:spacing w:val="-5"/>
          <w:sz w:val="24"/>
        </w:rPr>
        <w:t> </w:t>
      </w:r>
      <w:r>
        <w:rPr>
          <w:sz w:val="24"/>
        </w:rPr>
        <w:t>2003).</w:t>
      </w:r>
    </w:p>
    <w:p>
      <w:pPr>
        <w:spacing w:after="0" w:line="360" w:lineRule="auto"/>
        <w:jc w:val="both"/>
        <w:rPr>
          <w:rFonts w:ascii="Symbol" w:hAnsi="Symbol"/>
          <w:sz w:val="20"/>
        </w:rPr>
        <w:sectPr>
          <w:pgSz w:w="12240" w:h="15840"/>
          <w:pgMar w:header="0" w:footer="1005" w:top="1380" w:bottom="1200" w:left="1620" w:right="1600"/>
        </w:sectPr>
      </w:pPr>
    </w:p>
    <w:p>
      <w:pPr>
        <w:pStyle w:val="Heading1"/>
        <w:spacing w:line="412" w:lineRule="auto" w:before="46"/>
        <w:ind w:left="3255" w:right="2730" w:firstLine="741"/>
        <w:jc w:val="left"/>
      </w:pPr>
      <w:bookmarkStart w:name="_TOC_250010" w:id="6"/>
      <w:bookmarkEnd w:id="6"/>
      <w:r>
        <w:rPr/>
        <w:t>CAPÍTULO II MARCO CONTEXTUAL</w:t>
      </w:r>
    </w:p>
    <w:p>
      <w:pPr>
        <w:pStyle w:val="BodyText"/>
        <w:spacing w:before="2"/>
        <w:rPr>
          <w:b/>
          <w:sz w:val="25"/>
        </w:rPr>
      </w:pPr>
    </w:p>
    <w:p>
      <w:pPr>
        <w:pStyle w:val="Heading1"/>
        <w:numPr>
          <w:ilvl w:val="1"/>
          <w:numId w:val="8"/>
        </w:numPr>
        <w:tabs>
          <w:tab w:pos="504" w:val="left" w:leader="none"/>
        </w:tabs>
        <w:spacing w:line="240" w:lineRule="auto" w:before="69" w:after="0"/>
        <w:ind w:left="503" w:right="0" w:hanging="402"/>
        <w:jc w:val="both"/>
      </w:pPr>
      <w:bookmarkStart w:name="_TOC_250009" w:id="7"/>
      <w:r>
        <w:rPr/>
        <w:t>Sistemas de</w:t>
      </w:r>
      <w:r>
        <w:rPr>
          <w:spacing w:val="-17"/>
        </w:rPr>
        <w:t> </w:t>
      </w:r>
      <w:bookmarkEnd w:id="7"/>
      <w:r>
        <w:rPr/>
        <w:t>Salud</w:t>
      </w:r>
    </w:p>
    <w:p>
      <w:pPr>
        <w:pStyle w:val="BodyText"/>
        <w:rPr>
          <w:b/>
        </w:rPr>
      </w:pPr>
    </w:p>
    <w:p>
      <w:pPr>
        <w:pStyle w:val="BodyText"/>
        <w:rPr>
          <w:b/>
        </w:rPr>
      </w:pPr>
    </w:p>
    <w:p>
      <w:pPr>
        <w:pStyle w:val="BodyText"/>
        <w:spacing w:line="360" w:lineRule="auto"/>
        <w:ind w:left="101" w:right="106"/>
        <w:jc w:val="both"/>
      </w:pPr>
      <w:r>
        <w:rPr/>
        <w:t>Un Sistema de Salud se forma ante la necesidad de responder a los problemas y necesidades que la población presenta en la salud y enfermedad, y abarca cualquier actividad encaminada a la promoción, restablecimiento o mantenimiento de la salud.</w:t>
      </w:r>
    </w:p>
    <w:p>
      <w:pPr>
        <w:pStyle w:val="BodyText"/>
        <w:spacing w:before="5"/>
        <w:ind w:left="101"/>
        <w:jc w:val="both"/>
      </w:pPr>
      <w:r>
        <w:rPr/>
        <w:t>Se define a partir de la estructura económica y política de cada sociedad.</w:t>
      </w:r>
    </w:p>
    <w:p>
      <w:pPr>
        <w:pStyle w:val="BodyText"/>
        <w:spacing w:line="360" w:lineRule="auto" w:before="137"/>
        <w:ind w:left="101" w:right="105"/>
        <w:jc w:val="both"/>
      </w:pPr>
      <w:r>
        <w:rPr/>
        <w:t>Los sistemas de salud tienen la responsabilidad de mejorar la salud, responder a las expectativas y brindar protección financiera contra los costos de la mala salud de la población (OMS, 2000).</w:t>
      </w:r>
    </w:p>
    <w:p>
      <w:pPr>
        <w:pStyle w:val="BodyText"/>
        <w:spacing w:before="5"/>
        <w:ind w:left="101"/>
        <w:jc w:val="both"/>
      </w:pPr>
      <w:r>
        <w:rPr/>
        <w:t>En la actualidad, se reconocen tres modelos sanitarios puros:</w:t>
      </w:r>
    </w:p>
    <w:p>
      <w:pPr>
        <w:pStyle w:val="ListParagraph"/>
        <w:numPr>
          <w:ilvl w:val="0"/>
          <w:numId w:val="9"/>
        </w:numPr>
        <w:tabs>
          <w:tab w:pos="384" w:val="left" w:leader="none"/>
        </w:tabs>
        <w:spacing w:line="360" w:lineRule="auto" w:before="137" w:after="0"/>
        <w:ind w:left="101" w:right="105" w:firstLine="0"/>
        <w:jc w:val="both"/>
        <w:rPr>
          <w:sz w:val="24"/>
        </w:rPr>
      </w:pPr>
      <w:r>
        <w:rPr>
          <w:sz w:val="24"/>
        </w:rPr>
        <w:t>Liberal: La salud es considerada como un bien de consumo. Los problemas de salud</w:t>
      </w:r>
      <w:r>
        <w:rPr>
          <w:spacing w:val="-7"/>
          <w:sz w:val="24"/>
        </w:rPr>
        <w:t> </w:t>
      </w:r>
      <w:r>
        <w:rPr>
          <w:sz w:val="24"/>
        </w:rPr>
        <w:t>pueden</w:t>
      </w:r>
      <w:r>
        <w:rPr>
          <w:spacing w:val="-7"/>
          <w:sz w:val="24"/>
        </w:rPr>
        <w:t> </w:t>
      </w:r>
      <w:r>
        <w:rPr>
          <w:sz w:val="24"/>
        </w:rPr>
        <w:t>ser</w:t>
      </w:r>
      <w:r>
        <w:rPr>
          <w:spacing w:val="-6"/>
          <w:sz w:val="24"/>
        </w:rPr>
        <w:t> </w:t>
      </w:r>
      <w:r>
        <w:rPr>
          <w:sz w:val="24"/>
        </w:rPr>
        <w:t>definidos</w:t>
      </w:r>
      <w:r>
        <w:rPr>
          <w:spacing w:val="-5"/>
          <w:sz w:val="24"/>
        </w:rPr>
        <w:t> </w:t>
      </w:r>
      <w:r>
        <w:rPr>
          <w:sz w:val="24"/>
        </w:rPr>
        <w:t>claramente</w:t>
      </w:r>
      <w:r>
        <w:rPr>
          <w:spacing w:val="-7"/>
          <w:sz w:val="24"/>
        </w:rPr>
        <w:t> </w:t>
      </w:r>
      <w:r>
        <w:rPr>
          <w:sz w:val="24"/>
        </w:rPr>
        <w:t>o</w:t>
      </w:r>
      <w:r>
        <w:rPr>
          <w:spacing w:val="-4"/>
          <w:sz w:val="24"/>
        </w:rPr>
        <w:t> </w:t>
      </w:r>
      <w:r>
        <w:rPr>
          <w:sz w:val="24"/>
        </w:rPr>
        <w:t>priorizados</w:t>
      </w:r>
      <w:r>
        <w:rPr>
          <w:spacing w:val="-5"/>
          <w:sz w:val="24"/>
        </w:rPr>
        <w:t> </w:t>
      </w:r>
      <w:r>
        <w:rPr>
          <w:sz w:val="24"/>
        </w:rPr>
        <w:t>por</w:t>
      </w:r>
      <w:r>
        <w:rPr>
          <w:spacing w:val="-6"/>
          <w:sz w:val="24"/>
        </w:rPr>
        <w:t> </w:t>
      </w:r>
      <w:r>
        <w:rPr>
          <w:sz w:val="24"/>
        </w:rPr>
        <w:t>los</w:t>
      </w:r>
      <w:r>
        <w:rPr>
          <w:spacing w:val="-7"/>
          <w:sz w:val="24"/>
        </w:rPr>
        <w:t> </w:t>
      </w:r>
      <w:r>
        <w:rPr>
          <w:sz w:val="24"/>
        </w:rPr>
        <w:t>propios</w:t>
      </w:r>
      <w:r>
        <w:rPr>
          <w:spacing w:val="-7"/>
          <w:sz w:val="24"/>
        </w:rPr>
        <w:t> </w:t>
      </w:r>
      <w:r>
        <w:rPr>
          <w:sz w:val="24"/>
        </w:rPr>
        <w:t>pacientes.</w:t>
      </w:r>
    </w:p>
    <w:p>
      <w:pPr>
        <w:pStyle w:val="BodyText"/>
        <w:spacing w:line="360" w:lineRule="auto" w:before="2"/>
        <w:ind w:left="101" w:right="110"/>
        <w:jc w:val="both"/>
      </w:pPr>
      <w:r>
        <w:rPr/>
        <w:t>El usuario realiza directamente el pago al proveedor, sin intermediarios de ningún tipo o más frecuentemente a través de compañías privadas de seguros.</w:t>
      </w:r>
    </w:p>
    <w:p>
      <w:pPr>
        <w:pStyle w:val="ListParagraph"/>
        <w:numPr>
          <w:ilvl w:val="0"/>
          <w:numId w:val="9"/>
        </w:numPr>
        <w:tabs>
          <w:tab w:pos="413" w:val="left" w:leader="none"/>
        </w:tabs>
        <w:spacing w:line="360" w:lineRule="auto" w:before="2" w:after="0"/>
        <w:ind w:left="101" w:right="110" w:firstLine="0"/>
        <w:jc w:val="left"/>
        <w:rPr>
          <w:sz w:val="24"/>
        </w:rPr>
      </w:pPr>
      <w:r>
        <w:rPr>
          <w:sz w:val="24"/>
        </w:rPr>
        <w:t>Socialista: En éste sistema se ha establecido un financiamiento total por los presupuestos generales del Estado, por ofrecer cobertura universal y gratuita a la población, así como la completa gama de prestaciones sanitarias sin excepción. Todo lo que está en la cartera de servicios del sistema se presta en condiciones de equidad, gratuidad y universalidad a la</w:t>
      </w:r>
      <w:r>
        <w:rPr>
          <w:spacing w:val="-38"/>
          <w:sz w:val="24"/>
        </w:rPr>
        <w:t> </w:t>
      </w:r>
      <w:r>
        <w:rPr>
          <w:sz w:val="24"/>
        </w:rPr>
        <w:t>población.</w:t>
      </w:r>
    </w:p>
    <w:p>
      <w:pPr>
        <w:pStyle w:val="BodyText"/>
        <w:spacing w:line="360" w:lineRule="auto" w:before="5"/>
        <w:ind w:left="101" w:right="112"/>
        <w:jc w:val="both"/>
      </w:pPr>
      <w:r>
        <w:rPr/>
        <w:t>El modelo socialista puro es incompatible con ninguna estructura sanitaria de tipo privado o de seguros.</w:t>
      </w:r>
    </w:p>
    <w:p>
      <w:pPr>
        <w:pStyle w:val="ListParagraph"/>
        <w:numPr>
          <w:ilvl w:val="0"/>
          <w:numId w:val="9"/>
        </w:numPr>
        <w:tabs>
          <w:tab w:pos="437" w:val="left" w:leader="none"/>
        </w:tabs>
        <w:spacing w:line="240" w:lineRule="auto" w:before="5" w:after="0"/>
        <w:ind w:left="436" w:right="0" w:hanging="268"/>
        <w:jc w:val="both"/>
        <w:rPr>
          <w:sz w:val="24"/>
        </w:rPr>
      </w:pPr>
      <w:r>
        <w:rPr>
          <w:sz w:val="24"/>
        </w:rPr>
        <w:t>Mixto: Tiene participación del sector público y</w:t>
      </w:r>
      <w:r>
        <w:rPr>
          <w:spacing w:val="-43"/>
          <w:sz w:val="24"/>
        </w:rPr>
        <w:t> </w:t>
      </w:r>
      <w:r>
        <w:rPr>
          <w:sz w:val="24"/>
        </w:rPr>
        <w:t>privado.</w:t>
      </w:r>
    </w:p>
    <w:p>
      <w:pPr>
        <w:pStyle w:val="BodyText"/>
        <w:spacing w:line="360" w:lineRule="auto" w:before="137"/>
        <w:ind w:left="101" w:right="107"/>
        <w:jc w:val="both"/>
      </w:pPr>
      <w:r>
        <w:rPr/>
        <w:t>Tiene dos componentes principales: Estructurales (atención primaria, especializada, salud pública y planificación y gestión), Socioeconómicos (ligados a la estructura propia del país) (Universidad Autónoma de Madrid, 2011).</w:t>
      </w:r>
    </w:p>
    <w:p>
      <w:pPr>
        <w:spacing w:after="0" w:line="360" w:lineRule="auto"/>
        <w:jc w:val="both"/>
        <w:sectPr>
          <w:pgSz w:w="12240" w:h="15840"/>
          <w:pgMar w:header="0" w:footer="1005" w:top="1380" w:bottom="1200" w:left="1600" w:right="1600"/>
        </w:sectPr>
      </w:pPr>
    </w:p>
    <w:p>
      <w:pPr>
        <w:pStyle w:val="Heading1"/>
        <w:numPr>
          <w:ilvl w:val="1"/>
          <w:numId w:val="8"/>
        </w:numPr>
        <w:tabs>
          <w:tab w:pos="504" w:val="left" w:leader="none"/>
        </w:tabs>
        <w:spacing w:line="240" w:lineRule="auto" w:before="48" w:after="0"/>
        <w:ind w:left="503" w:right="0" w:hanging="402"/>
        <w:jc w:val="both"/>
      </w:pPr>
      <w:bookmarkStart w:name="_TOC_250008" w:id="8"/>
      <w:r>
        <w:rPr/>
        <w:t>Niveles de atención</w:t>
      </w:r>
      <w:r>
        <w:rPr>
          <w:spacing w:val="-18"/>
        </w:rPr>
        <w:t> </w:t>
      </w:r>
      <w:bookmarkEnd w:id="8"/>
      <w:r>
        <w:rPr/>
        <w:t>médica</w:t>
      </w:r>
    </w:p>
    <w:p>
      <w:pPr>
        <w:pStyle w:val="BodyText"/>
        <w:rPr>
          <w:b/>
        </w:rPr>
      </w:pPr>
    </w:p>
    <w:p>
      <w:pPr>
        <w:pStyle w:val="BodyText"/>
        <w:spacing w:line="360" w:lineRule="auto" w:before="206"/>
        <w:ind w:left="101" w:right="107"/>
        <w:jc w:val="both"/>
      </w:pPr>
      <w:r>
        <w:rPr/>
        <w:t>En México, los servicios de salud son ofrecidos en consultorios, clínicas,  hospitales e institutos tanto públicos como privados. En general, el sistema se divide en tres niveles de atención, los cuales han sido diseñados de acuerdo a la complejidad de los casos que se</w:t>
      </w:r>
      <w:r>
        <w:rPr>
          <w:spacing w:val="-29"/>
        </w:rPr>
        <w:t> </w:t>
      </w:r>
      <w:r>
        <w:rPr/>
        <w:t>presentan.</w:t>
      </w:r>
    </w:p>
    <w:p>
      <w:pPr>
        <w:pStyle w:val="Heading1"/>
        <w:numPr>
          <w:ilvl w:val="2"/>
          <w:numId w:val="8"/>
        </w:numPr>
        <w:tabs>
          <w:tab w:pos="704" w:val="left" w:leader="none"/>
        </w:tabs>
        <w:spacing w:line="240" w:lineRule="auto" w:before="5" w:after="0"/>
        <w:ind w:left="704" w:right="0" w:hanging="603"/>
        <w:jc w:val="both"/>
      </w:pPr>
      <w:bookmarkStart w:name="_TOC_250007" w:id="9"/>
      <w:r>
        <w:rPr/>
        <w:t>Primer nivel de</w:t>
      </w:r>
      <w:r>
        <w:rPr>
          <w:spacing w:val="-10"/>
        </w:rPr>
        <w:t> </w:t>
      </w:r>
      <w:bookmarkEnd w:id="9"/>
      <w:r>
        <w:rPr/>
        <w:t>atención</w:t>
      </w:r>
    </w:p>
    <w:p>
      <w:pPr>
        <w:pStyle w:val="BodyText"/>
        <w:rPr>
          <w:b/>
        </w:rPr>
      </w:pPr>
    </w:p>
    <w:p>
      <w:pPr>
        <w:pStyle w:val="BodyText"/>
        <w:spacing w:before="11"/>
        <w:rPr>
          <w:b/>
          <w:sz w:val="27"/>
        </w:rPr>
      </w:pPr>
    </w:p>
    <w:p>
      <w:pPr>
        <w:pStyle w:val="BodyText"/>
        <w:spacing w:line="350" w:lineRule="auto"/>
        <w:ind w:left="101" w:right="100"/>
        <w:jc w:val="both"/>
      </w:pPr>
      <w:r>
        <w:rPr/>
        <w:t>En este nivel de atención se ofrecen servicios básicos de salud, tales como, atención preventiva, educativa, urgencias, de diagnóstico, consultas médicas ambulatorias</w:t>
      </w:r>
      <w:r>
        <w:rPr>
          <w:position w:val="11"/>
          <w:sz w:val="16"/>
        </w:rPr>
        <w:t>1 </w:t>
      </w:r>
      <w:r>
        <w:rPr/>
        <w:t>y de control. En estos servicios se realizan procedimientos clasificados como de “baja” complejidad.</w:t>
      </w:r>
    </w:p>
    <w:p>
      <w:pPr>
        <w:pStyle w:val="BodyText"/>
        <w:spacing w:line="360" w:lineRule="auto" w:before="13"/>
        <w:ind w:left="101" w:right="103"/>
        <w:jc w:val="both"/>
      </w:pPr>
      <w:r>
        <w:rPr/>
        <w:t>Para otorgar este nivel de atención se cuenta con consultorios, clínicas y centros de salud, en los cuales, se atiende principalmente a los pacientes conforme perciben que se sienten enfermos, así como por medio de consultas de control programadas.</w:t>
      </w:r>
    </w:p>
    <w:p>
      <w:pPr>
        <w:pStyle w:val="BodyText"/>
        <w:spacing w:line="360" w:lineRule="auto" w:before="2"/>
        <w:ind w:left="101" w:right="113"/>
        <w:jc w:val="both"/>
      </w:pPr>
      <w:r>
        <w:rPr/>
        <w:t>Por lo general, la capacidad resolutiva de este nivel es del 80%, por lo que el otro 20% de los pacientes es referido a los siguientes dos niveles.</w:t>
      </w:r>
    </w:p>
    <w:p>
      <w:pPr>
        <w:pStyle w:val="BodyText"/>
        <w:spacing w:before="9"/>
        <w:rPr>
          <w:sz w:val="32"/>
        </w:rPr>
      </w:pPr>
    </w:p>
    <w:p>
      <w:pPr>
        <w:pStyle w:val="Heading1"/>
        <w:numPr>
          <w:ilvl w:val="2"/>
          <w:numId w:val="8"/>
        </w:numPr>
        <w:tabs>
          <w:tab w:pos="703" w:val="left" w:leader="none"/>
        </w:tabs>
        <w:spacing w:line="240" w:lineRule="auto" w:before="0" w:after="0"/>
        <w:ind w:left="702" w:right="0" w:hanging="601"/>
        <w:jc w:val="both"/>
      </w:pPr>
      <w:bookmarkStart w:name="_TOC_250006" w:id="10"/>
      <w:r>
        <w:rPr/>
        <w:t>Segundo nivel de</w:t>
      </w:r>
      <w:r>
        <w:rPr>
          <w:spacing w:val="-15"/>
        </w:rPr>
        <w:t> </w:t>
      </w:r>
      <w:bookmarkEnd w:id="10"/>
      <w:r>
        <w:rPr/>
        <w:t>atención</w:t>
      </w:r>
    </w:p>
    <w:p>
      <w:pPr>
        <w:pStyle w:val="BodyText"/>
        <w:rPr>
          <w:b/>
        </w:rPr>
      </w:pPr>
    </w:p>
    <w:p>
      <w:pPr>
        <w:pStyle w:val="BodyText"/>
        <w:spacing w:before="2"/>
        <w:rPr>
          <w:b/>
          <w:sz w:val="28"/>
        </w:rPr>
      </w:pPr>
    </w:p>
    <w:p>
      <w:pPr>
        <w:pStyle w:val="BodyText"/>
        <w:spacing w:line="360" w:lineRule="auto"/>
        <w:ind w:left="101" w:right="102"/>
        <w:jc w:val="both"/>
      </w:pPr>
      <w:r>
        <w:rPr/>
        <w:t>Este nivel atiende los casos que rebasan la capacidad resolutiva del primer nivel de atención y que son considerados como de “mediana complejidad”. Se ofrecen servicios de diagnóstico y tratamiento, urgencias y consultas médicas  ambulatorias y hospitalarias por especialidades básicas en medicina interna, pediatría, ginecología-obstetricia y cirugía general. Asimismo, dependiendo del perfil epidemiológico de la población, se pueden ofrecer subespecialidades como neurología, cardiología, urología, otorrinolaringología, ortopedia, dermatología, oftalmología, entre</w:t>
      </w:r>
      <w:r>
        <w:rPr>
          <w:spacing w:val="-17"/>
        </w:rPr>
        <w:t> </w:t>
      </w:r>
      <w:r>
        <w:rPr/>
        <w:t>otras.</w:t>
      </w:r>
    </w:p>
    <w:p>
      <w:pPr>
        <w:spacing w:after="0" w:line="360" w:lineRule="auto"/>
        <w:jc w:val="both"/>
        <w:sectPr>
          <w:pgSz w:w="12240" w:h="15840"/>
          <w:pgMar w:header="0" w:footer="1005" w:top="1380" w:bottom="1200" w:left="1600" w:right="1600"/>
        </w:sectPr>
      </w:pPr>
    </w:p>
    <w:p>
      <w:pPr>
        <w:pStyle w:val="BodyText"/>
        <w:spacing w:line="360" w:lineRule="auto" w:before="46"/>
        <w:ind w:left="101" w:right="103"/>
        <w:jc w:val="both"/>
      </w:pPr>
      <w:r>
        <w:rPr/>
        <w:t>Para ofrecer los servicios descritos, se cuenta con hospitales generales, en los cuales, la mayor parte de sus servicios son programados, con excepción del servicio de urgencias.</w:t>
      </w:r>
    </w:p>
    <w:p>
      <w:pPr>
        <w:pStyle w:val="BodyText"/>
      </w:pPr>
    </w:p>
    <w:p>
      <w:pPr>
        <w:pStyle w:val="Heading1"/>
        <w:numPr>
          <w:ilvl w:val="2"/>
          <w:numId w:val="8"/>
        </w:numPr>
        <w:tabs>
          <w:tab w:pos="704" w:val="left" w:leader="none"/>
        </w:tabs>
        <w:spacing w:line="240" w:lineRule="auto" w:before="142" w:after="0"/>
        <w:ind w:left="704" w:right="0" w:hanging="603"/>
        <w:jc w:val="both"/>
      </w:pPr>
      <w:r>
        <w:rPr/>
        <w:t>Tercer nivel de</w:t>
      </w:r>
      <w:r>
        <w:rPr>
          <w:spacing w:val="-10"/>
        </w:rPr>
        <w:t> </w:t>
      </w:r>
      <w:r>
        <w:rPr/>
        <w:t>atención</w:t>
      </w:r>
    </w:p>
    <w:p>
      <w:pPr>
        <w:pStyle w:val="BodyText"/>
        <w:rPr>
          <w:b/>
        </w:rPr>
      </w:pPr>
    </w:p>
    <w:p>
      <w:pPr>
        <w:pStyle w:val="BodyText"/>
        <w:spacing w:line="360" w:lineRule="auto" w:before="209"/>
        <w:ind w:left="101" w:right="109"/>
        <w:jc w:val="both"/>
      </w:pPr>
      <w:r>
        <w:rPr/>
        <w:t>A este nivel llegan los pacientes cuyos padecimientos se consideran de “alta complejidad” y que no pudieron ser resueltos en el primer o segundo nivel de atención. Se ofrecen servicios de diagnóstico y tratamiento, así como servicios de consulta ambulatoria, de control y de internamiento en subespecialidades como: oncología, cardiología, ortopedia, neumología, urología, dermatología, nefrología, geriatría, medicina interna, entre otras.</w:t>
      </w:r>
    </w:p>
    <w:p>
      <w:pPr>
        <w:pStyle w:val="BodyText"/>
        <w:spacing w:line="360" w:lineRule="auto" w:before="2"/>
        <w:ind w:left="101" w:right="113"/>
        <w:jc w:val="both"/>
      </w:pPr>
      <w:r>
        <w:rPr/>
        <w:t>Este nivel es ofrecido en hospitales regionales, nacionales generales o en institutos especializados. La atención se otorga por medio de la programación de citas por servicio (Julio, Vacarezza, Álvarez y Sosa,</w:t>
      </w:r>
      <w:r>
        <w:rPr>
          <w:spacing w:val="-37"/>
        </w:rPr>
        <w:t> </w:t>
      </w:r>
      <w:r>
        <w:rPr/>
        <w:t>2011).</w:t>
      </w:r>
    </w:p>
    <w:p>
      <w:pPr>
        <w:pStyle w:val="BodyText"/>
      </w:pPr>
    </w:p>
    <w:p>
      <w:pPr>
        <w:pStyle w:val="Heading1"/>
        <w:numPr>
          <w:ilvl w:val="1"/>
          <w:numId w:val="10"/>
        </w:numPr>
        <w:tabs>
          <w:tab w:pos="504" w:val="left" w:leader="none"/>
        </w:tabs>
        <w:spacing w:line="240" w:lineRule="auto" w:before="170" w:after="0"/>
        <w:ind w:left="503" w:right="0" w:hanging="402"/>
        <w:jc w:val="both"/>
      </w:pPr>
      <w:bookmarkStart w:name="_TOC_250005" w:id="11"/>
      <w:r>
        <w:rPr/>
        <w:t>Características principales del Sistema de Salud en</w:t>
      </w:r>
      <w:r>
        <w:rPr>
          <w:spacing w:val="-38"/>
        </w:rPr>
        <w:t> </w:t>
      </w:r>
      <w:bookmarkEnd w:id="11"/>
      <w:r>
        <w:rPr/>
        <w:t>México</w:t>
      </w:r>
    </w:p>
    <w:p>
      <w:pPr>
        <w:pStyle w:val="BodyText"/>
        <w:rPr>
          <w:b/>
        </w:rPr>
      </w:pPr>
    </w:p>
    <w:p>
      <w:pPr>
        <w:pStyle w:val="BodyText"/>
        <w:spacing w:before="8"/>
        <w:rPr>
          <w:b/>
          <w:sz w:val="26"/>
        </w:rPr>
      </w:pPr>
    </w:p>
    <w:p>
      <w:pPr>
        <w:pStyle w:val="BodyText"/>
        <w:spacing w:line="360" w:lineRule="auto"/>
        <w:ind w:left="101" w:right="111"/>
        <w:jc w:val="both"/>
      </w:pPr>
      <w:r>
        <w:rPr/>
        <w:t>El Sistema Mexicano de Salud comprende dos sectores: Sector público: Dentro de éste se encuentran las Instituciones de Seguridad Social, así como las instituciones y programas que atienden a la población sin seguridad social.</w:t>
      </w:r>
    </w:p>
    <w:p>
      <w:pPr>
        <w:pStyle w:val="BodyText"/>
      </w:pPr>
    </w:p>
    <w:p>
      <w:pPr>
        <w:pStyle w:val="BodyText"/>
        <w:spacing w:line="360" w:lineRule="auto" w:before="142"/>
        <w:ind w:left="101" w:right="111"/>
        <w:jc w:val="both"/>
      </w:pPr>
      <w:r>
        <w:rPr/>
        <w:t>Las Instituciones de Seguridad Social que forman parte del Sistema Nacional de Salud son:</w:t>
      </w:r>
    </w:p>
    <w:p>
      <w:pPr>
        <w:pStyle w:val="BodyText"/>
      </w:pPr>
    </w:p>
    <w:p>
      <w:pPr>
        <w:pStyle w:val="BodyText"/>
        <w:spacing w:line="360" w:lineRule="auto" w:before="142"/>
        <w:ind w:left="101" w:right="98"/>
        <w:jc w:val="both"/>
      </w:pPr>
      <w:r>
        <w:rPr/>
        <w:t>-Instituto Mexicano del Seguro Social (IMSS): Cubre a más del 80% de la población trabajadora que se encuentra dentro del sector formal, contando para esto con unidades y personal médico propio. Cuenta con un régimen obligatorio que comprende cinco ramos básicos de protección social (seguro de enfermedad  y maternidad, seguro de riesgos de trabajo, seguro de invalidez y vida, seguro </w:t>
      </w:r>
      <w:r>
        <w:rPr>
          <w:spacing w:val="6"/>
        </w:rPr>
        <w:t>de </w:t>
      </w:r>
      <w:r>
        <w:rPr/>
        <w:t>retiro y vejez, prestaciones sociales y seguro de guardería y otros), y el régimen voluntario  que  se  refiere  al  convenio  que  pueden  establecer  las  personas</w:t>
      </w:r>
      <w:r>
        <w:rPr>
          <w:spacing w:val="-8"/>
        </w:rPr>
        <w:t> </w:t>
      </w:r>
      <w:r>
        <w:rPr/>
        <w:t>no</w:t>
      </w:r>
    </w:p>
    <w:p>
      <w:pPr>
        <w:spacing w:after="0" w:line="360" w:lineRule="auto"/>
        <w:jc w:val="both"/>
        <w:sectPr>
          <w:pgSz w:w="12240" w:h="15840"/>
          <w:pgMar w:header="0" w:footer="1005" w:top="1380" w:bottom="1200" w:left="1600" w:right="1600"/>
        </w:sectPr>
      </w:pPr>
    </w:p>
    <w:p>
      <w:pPr>
        <w:pStyle w:val="BodyText"/>
        <w:spacing w:line="360" w:lineRule="auto" w:before="46"/>
        <w:ind w:left="101" w:right="106"/>
        <w:jc w:val="both"/>
      </w:pPr>
      <w:r>
        <w:rPr/>
        <w:t>asalariadas para obtener beneficios médicos del seguro de enfermedades y maternidad.</w:t>
      </w:r>
    </w:p>
    <w:p>
      <w:pPr>
        <w:pStyle w:val="BodyText"/>
        <w:spacing w:line="360" w:lineRule="auto" w:before="2"/>
        <w:ind w:left="101" w:right="103"/>
        <w:jc w:val="both"/>
      </w:pPr>
      <w:r>
        <w:rPr/>
        <w:t>-Instituto de Seguridad y Servicios Sociales de los Trabajadores del Estado (ISSSTE): Da cobertura aproximadamente a 18% de la población asegurada, en unidades y con recursos humanos propios. Los servicios que se cuentan dentro de éste Instituto son el acceso a servicios de medicina preventiva, maternidad, atención médica, quirúrgica, hospitalaria, farmacéutica, y de rehabilitación física y mental.</w:t>
      </w:r>
    </w:p>
    <w:p>
      <w:pPr>
        <w:pStyle w:val="BodyText"/>
        <w:spacing w:line="360" w:lineRule="auto" w:before="2"/>
        <w:ind w:left="101" w:right="98"/>
        <w:jc w:val="both"/>
      </w:pPr>
      <w:r>
        <w:rPr/>
        <w:t>-Petróleos Mexicanos (PEMEX), Secretaría de la Defensa (SEDENA), Secretaría de Marina (SEMAR): Proveen servicios de salud a 1% de la población aproximadamente en clínicas y hospitales de PEMEX y las Fuerzas Armadas, y con médicos y enfermeras propios. Los beneficios que incluyen éstas instituciones son atención médica, quirúrgica y hospitalaria de primero, segundo y tercer nivel; cobertura farmacéutica y de rehabilitación; seguro por riesgos de trabajo,  jubilación e</w:t>
      </w:r>
      <w:r>
        <w:rPr>
          <w:spacing w:val="-19"/>
        </w:rPr>
        <w:t> </w:t>
      </w:r>
      <w:r>
        <w:rPr/>
        <w:t>invalidez.</w:t>
      </w:r>
    </w:p>
    <w:p>
      <w:pPr>
        <w:pStyle w:val="BodyText"/>
        <w:spacing w:line="360" w:lineRule="auto" w:before="5"/>
        <w:ind w:left="101" w:right="114"/>
        <w:jc w:val="both"/>
      </w:pPr>
      <w:r>
        <w:rPr/>
        <w:t>Dentro del sector público, las instituciones encargadas de atender a la población no asalariada son las siguientes:</w:t>
      </w:r>
    </w:p>
    <w:p>
      <w:pPr>
        <w:pStyle w:val="BodyText"/>
        <w:spacing w:line="360" w:lineRule="auto" w:before="5"/>
        <w:ind w:left="101" w:right="106"/>
        <w:jc w:val="both"/>
      </w:pPr>
      <w:r>
        <w:rPr/>
        <w:t>-Servicios Estatales de Salud (SESA): La población no asegurada recibe en ésta institución servicios ambulatorios básicos en los centros de salud rurales así como intervenciones de especialidad en ciudades.</w:t>
      </w:r>
    </w:p>
    <w:p>
      <w:pPr>
        <w:pStyle w:val="BodyText"/>
        <w:spacing w:line="360" w:lineRule="auto" w:before="2"/>
        <w:ind w:left="101" w:right="110"/>
        <w:jc w:val="both"/>
      </w:pPr>
      <w:r>
        <w:rPr/>
        <w:t>- Seguro Popular de Salud (SPS): Garantiza el acceso a aproximadamente 206 intervenciones de salud, con sus respectivos medicamentos que los afiliados reciben en las unidades de los Servicios Estatales de Salud; así como 18 intervenciones de alto costo.</w:t>
      </w:r>
    </w:p>
    <w:p>
      <w:pPr>
        <w:pStyle w:val="BodyText"/>
        <w:spacing w:line="360" w:lineRule="auto" w:before="2"/>
        <w:ind w:left="101" w:right="104"/>
        <w:jc w:val="both"/>
      </w:pPr>
      <w:r>
        <w:rPr/>
        <w:t>-Programa IMSS- Oportunidades (IMSS-O): Ofrece sobre todo servicios en zonas rurales a través de clínicas de primer nivel y hospitales rurales de segundo nivel, siendo principalmente servicios de medicina general ambulatoria y servicios hospitalarios materno-infantiles los que se ofertan por ésta institución.</w:t>
      </w:r>
    </w:p>
    <w:p>
      <w:pPr>
        <w:pStyle w:val="BodyText"/>
        <w:spacing w:line="360" w:lineRule="auto" w:before="2"/>
        <w:ind w:left="101" w:right="105"/>
        <w:jc w:val="both"/>
      </w:pPr>
      <w:r>
        <w:rPr/>
        <w:t>2. Sector privado: Comprende compañías aseguradoras y prestadores de servicios que trabajan en consultorios, clínicas y hospitales privados (Gómez Dantés, et. al. 2010).</w:t>
      </w:r>
    </w:p>
    <w:p>
      <w:pPr>
        <w:spacing w:after="0" w:line="360" w:lineRule="auto"/>
        <w:jc w:val="both"/>
        <w:sectPr>
          <w:pgSz w:w="12240" w:h="15840"/>
          <w:pgMar w:header="0" w:footer="1005" w:top="1380" w:bottom="1200" w:left="1600" w:right="1600"/>
        </w:sectPr>
      </w:pPr>
    </w:p>
    <w:p>
      <w:pPr>
        <w:pStyle w:val="Heading1"/>
        <w:spacing w:before="46"/>
        <w:ind w:left="2878"/>
        <w:jc w:val="left"/>
      </w:pPr>
      <w:r>
        <w:rPr/>
        <w:drawing>
          <wp:anchor distT="0" distB="0" distL="0" distR="0" allowOverlap="1" layoutInCell="1" locked="0" behindDoc="0" simplePos="0" relativeHeight="1840">
            <wp:simplePos x="0" y="0"/>
            <wp:positionH relativeFrom="page">
              <wp:posOffset>2305811</wp:posOffset>
            </wp:positionH>
            <wp:positionV relativeFrom="paragraph">
              <wp:posOffset>292555</wp:posOffset>
            </wp:positionV>
            <wp:extent cx="3310089" cy="2188463"/>
            <wp:effectExtent l="0" t="0" r="0" b="0"/>
            <wp:wrapTopAndBottom/>
            <wp:docPr id="111" name="image4.jpeg" descr=""/>
            <wp:cNvGraphicFramePr>
              <a:graphicFrameLocks noChangeAspect="1"/>
            </wp:cNvGraphicFramePr>
            <a:graphic>
              <a:graphicData uri="http://schemas.openxmlformats.org/drawingml/2006/picture">
                <pic:pic>
                  <pic:nvPicPr>
                    <pic:cNvPr id="112" name="image4.jpeg"/>
                    <pic:cNvPicPr/>
                  </pic:nvPicPr>
                  <pic:blipFill>
                    <a:blip r:embed="rId10" cstate="print"/>
                    <a:stretch>
                      <a:fillRect/>
                    </a:stretch>
                  </pic:blipFill>
                  <pic:spPr>
                    <a:xfrm>
                      <a:off x="0" y="0"/>
                      <a:ext cx="3310089" cy="2188463"/>
                    </a:xfrm>
                    <a:prstGeom prst="rect">
                      <a:avLst/>
                    </a:prstGeom>
                  </pic:spPr>
                </pic:pic>
              </a:graphicData>
            </a:graphic>
          </wp:anchor>
        </w:drawing>
      </w:r>
      <w:r>
        <w:rPr/>
        <w:t>Sistema de Salud en México.</w:t>
      </w:r>
    </w:p>
    <w:p>
      <w:pPr>
        <w:pStyle w:val="BodyText"/>
        <w:spacing w:before="1"/>
        <w:rPr>
          <w:b/>
          <w:sz w:val="6"/>
        </w:rPr>
      </w:pPr>
    </w:p>
    <w:p>
      <w:pPr>
        <w:spacing w:after="0"/>
        <w:rPr>
          <w:sz w:val="6"/>
        </w:rPr>
        <w:sectPr>
          <w:footerReference w:type="default" r:id="rId9"/>
          <w:pgSz w:w="12240" w:h="15840"/>
          <w:pgMar w:footer="1005" w:header="0" w:top="1380" w:bottom="1200" w:left="1600" w:right="1560"/>
          <w:pgNumType w:start="10"/>
        </w:sectPr>
      </w:pPr>
    </w:p>
    <w:p>
      <w:pPr>
        <w:pStyle w:val="BodyText"/>
        <w:rPr>
          <w:b/>
        </w:rPr>
      </w:pPr>
    </w:p>
    <w:p>
      <w:pPr>
        <w:pStyle w:val="BodyText"/>
        <w:spacing w:before="8"/>
        <w:rPr>
          <w:b/>
          <w:sz w:val="27"/>
        </w:rPr>
      </w:pPr>
    </w:p>
    <w:p>
      <w:pPr>
        <w:pStyle w:val="Heading1"/>
        <w:numPr>
          <w:ilvl w:val="1"/>
          <w:numId w:val="10"/>
        </w:numPr>
        <w:tabs>
          <w:tab w:pos="504" w:val="left" w:leader="none"/>
        </w:tabs>
        <w:spacing w:line="240" w:lineRule="auto" w:before="0" w:after="0"/>
        <w:ind w:left="503" w:right="0" w:hanging="402"/>
        <w:jc w:val="left"/>
      </w:pPr>
      <w:bookmarkStart w:name="_TOC_250004" w:id="12"/>
      <w:r>
        <w:rPr/>
        <w:t>Concepto de</w:t>
      </w:r>
      <w:r>
        <w:rPr>
          <w:spacing w:val="-11"/>
        </w:rPr>
        <w:t> </w:t>
      </w:r>
      <w:bookmarkEnd w:id="12"/>
      <w:r>
        <w:rPr/>
        <w:t>Desastre</w:t>
      </w:r>
    </w:p>
    <w:p>
      <w:pPr>
        <w:spacing w:line="360" w:lineRule="auto" w:before="41"/>
        <w:ind w:left="202" w:right="80" w:hanging="101"/>
        <w:jc w:val="left"/>
        <w:rPr>
          <w:sz w:val="16"/>
        </w:rPr>
      </w:pPr>
      <w:r>
        <w:rPr/>
        <w:br w:type="column"/>
      </w:r>
      <w:r>
        <w:rPr>
          <w:sz w:val="16"/>
        </w:rPr>
        <w:t>Fuente: Gómez Dantes O. et. al. (2010). “Sistemas de Salud en México” en Salud Pública de México. Vol. 53 suplemento 2 (2011) pp. 220-232.</w:t>
      </w:r>
    </w:p>
    <w:p>
      <w:pPr>
        <w:spacing w:after="0" w:line="360" w:lineRule="auto"/>
        <w:jc w:val="left"/>
        <w:rPr>
          <w:sz w:val="16"/>
        </w:rPr>
        <w:sectPr>
          <w:type w:val="continuous"/>
          <w:pgSz w:w="12240" w:h="15840"/>
          <w:pgMar w:top="1500" w:bottom="280" w:left="1600" w:right="1560"/>
          <w:cols w:num="2" w:equalWidth="0">
            <w:col w:w="3034" w:space="727"/>
            <w:col w:w="5319"/>
          </w:cols>
        </w:sectPr>
      </w:pPr>
    </w:p>
    <w:p>
      <w:pPr>
        <w:pStyle w:val="BodyText"/>
        <w:rPr>
          <w:sz w:val="20"/>
        </w:rPr>
      </w:pPr>
    </w:p>
    <w:p>
      <w:pPr>
        <w:pStyle w:val="BodyText"/>
        <w:spacing w:before="11"/>
        <w:rPr>
          <w:sz w:val="21"/>
        </w:rPr>
      </w:pPr>
    </w:p>
    <w:p>
      <w:pPr>
        <w:pStyle w:val="BodyText"/>
        <w:spacing w:line="360" w:lineRule="auto" w:before="69"/>
        <w:ind w:left="101" w:right="145"/>
        <w:jc w:val="both"/>
      </w:pPr>
      <w:r>
        <w:rPr/>
        <w:t>Un desastre es un acontecimiento concentrado en tiempo y lugar que amenaza una sociedad o una división relativa de una sociedad y que conlleva consecuencias no deseadas como resultado de precauciones que habían sido aceptadas culturalmente (Turner,</w:t>
      </w:r>
      <w:r>
        <w:rPr>
          <w:spacing w:val="-27"/>
        </w:rPr>
        <w:t> </w:t>
      </w:r>
      <w:r>
        <w:rPr/>
        <w:t>1976).</w:t>
      </w:r>
    </w:p>
    <w:p>
      <w:pPr>
        <w:pStyle w:val="BodyText"/>
        <w:spacing w:line="360" w:lineRule="auto" w:before="5"/>
        <w:ind w:left="101" w:right="142"/>
        <w:jc w:val="both"/>
      </w:pPr>
      <w:r>
        <w:rPr/>
        <w:t>La vulnerabilidad social ante los desastres naturales se define como una serie de factores económicos, sociales y culturales que determinan el grado en el que un grupo social está capacitado para la atención de la emergencia, su rehabilitación y recuperación frente a un desastre (Kuroiwa, 2002). Lo que requiere además de indicadores socioeconómicos conocer la capacidad de prevención y respuesta institucional así como la percepción local del riesgo de la población.</w:t>
      </w:r>
    </w:p>
    <w:p>
      <w:pPr>
        <w:pStyle w:val="BodyText"/>
      </w:pPr>
    </w:p>
    <w:p>
      <w:pPr>
        <w:pStyle w:val="Heading1"/>
        <w:numPr>
          <w:ilvl w:val="2"/>
          <w:numId w:val="10"/>
        </w:numPr>
        <w:tabs>
          <w:tab w:pos="703" w:val="left" w:leader="none"/>
        </w:tabs>
        <w:spacing w:line="240" w:lineRule="auto" w:before="142" w:after="0"/>
        <w:ind w:left="702" w:right="0" w:hanging="601"/>
        <w:jc w:val="both"/>
      </w:pPr>
      <w:bookmarkStart w:name="_TOC_250003" w:id="13"/>
      <w:r>
        <w:rPr/>
        <w:t>Clasificación de los</w:t>
      </w:r>
      <w:r>
        <w:rPr>
          <w:spacing w:val="-20"/>
        </w:rPr>
        <w:t> </w:t>
      </w:r>
      <w:bookmarkEnd w:id="13"/>
      <w:r>
        <w:rPr/>
        <w:t>Desastres</w:t>
      </w:r>
    </w:p>
    <w:p>
      <w:pPr>
        <w:pStyle w:val="ListParagraph"/>
        <w:numPr>
          <w:ilvl w:val="0"/>
          <w:numId w:val="11"/>
        </w:numPr>
        <w:tabs>
          <w:tab w:pos="377" w:val="left" w:leader="none"/>
        </w:tabs>
        <w:spacing w:line="360" w:lineRule="auto" w:before="139" w:after="0"/>
        <w:ind w:left="101" w:right="149" w:firstLine="0"/>
        <w:jc w:val="both"/>
        <w:rPr>
          <w:sz w:val="24"/>
        </w:rPr>
      </w:pPr>
      <w:r>
        <w:rPr>
          <w:sz w:val="24"/>
        </w:rPr>
        <w:t>Fenómeno Geológico: A esta categoría pertenecen los sismos o terremotos, las erupciones volcánicas, los tsunamis o maremotos y la inestabilidad de suelos, también conocida como movimientos de</w:t>
      </w:r>
      <w:r>
        <w:rPr>
          <w:spacing w:val="-28"/>
          <w:sz w:val="24"/>
        </w:rPr>
        <w:t> </w:t>
      </w:r>
      <w:r>
        <w:rPr>
          <w:sz w:val="24"/>
        </w:rPr>
        <w:t>tierra.</w:t>
      </w:r>
    </w:p>
    <w:p>
      <w:pPr>
        <w:pStyle w:val="ListParagraph"/>
        <w:numPr>
          <w:ilvl w:val="0"/>
          <w:numId w:val="11"/>
        </w:numPr>
        <w:tabs>
          <w:tab w:pos="382" w:val="left" w:leader="none"/>
        </w:tabs>
        <w:spacing w:line="360" w:lineRule="auto" w:before="2" w:after="0"/>
        <w:ind w:left="101" w:right="150" w:firstLine="0"/>
        <w:jc w:val="both"/>
        <w:rPr>
          <w:sz w:val="24"/>
        </w:rPr>
      </w:pPr>
      <w:r>
        <w:rPr>
          <w:sz w:val="24"/>
        </w:rPr>
        <w:t>Fenómeno Hidrometeorológico: Se refiere a huracanes, inundaciones pluviales, fluviales, costeras y lacustres; tormentas de nieve, granizo, polvo y electricidad; heladas; sequías y las ondas cálidas y</w:t>
      </w:r>
      <w:r>
        <w:rPr>
          <w:spacing w:val="-34"/>
          <w:sz w:val="24"/>
        </w:rPr>
        <w:t> </w:t>
      </w:r>
      <w:r>
        <w:rPr>
          <w:sz w:val="24"/>
        </w:rPr>
        <w:t>gélidas.</w:t>
      </w:r>
    </w:p>
    <w:p>
      <w:pPr>
        <w:pStyle w:val="ListParagraph"/>
        <w:numPr>
          <w:ilvl w:val="0"/>
          <w:numId w:val="11"/>
        </w:numPr>
        <w:tabs>
          <w:tab w:pos="456" w:val="left" w:leader="none"/>
        </w:tabs>
        <w:spacing w:line="240" w:lineRule="auto" w:before="5" w:after="0"/>
        <w:ind w:left="455" w:right="0" w:hanging="354"/>
        <w:jc w:val="both"/>
        <w:rPr>
          <w:sz w:val="24"/>
        </w:rPr>
      </w:pPr>
      <w:r>
        <w:rPr>
          <w:sz w:val="24"/>
        </w:rPr>
        <w:t>Fenómeno  Químico-Tecnológico:  Comprende  fenómenos  destructivos </w:t>
      </w:r>
      <w:r>
        <w:rPr>
          <w:spacing w:val="51"/>
          <w:sz w:val="24"/>
        </w:rPr>
        <w:t> </w:t>
      </w:r>
      <w:r>
        <w:rPr>
          <w:sz w:val="24"/>
        </w:rPr>
        <w:t>tales</w:t>
      </w:r>
    </w:p>
    <w:p>
      <w:pPr>
        <w:spacing w:after="0" w:line="240" w:lineRule="auto"/>
        <w:jc w:val="both"/>
        <w:rPr>
          <w:sz w:val="24"/>
        </w:rPr>
        <w:sectPr>
          <w:type w:val="continuous"/>
          <w:pgSz w:w="12240" w:h="15840"/>
          <w:pgMar w:top="1500" w:bottom="280" w:left="1600" w:right="1560"/>
        </w:sectPr>
      </w:pPr>
    </w:p>
    <w:p>
      <w:pPr>
        <w:pStyle w:val="BodyText"/>
        <w:spacing w:before="46"/>
        <w:ind w:left="101"/>
        <w:jc w:val="both"/>
      </w:pPr>
      <w:r>
        <w:rPr/>
        <w:t>como: incendios de todo tipo, explosiones, fugas tóxicas y radiaciones.</w:t>
      </w:r>
    </w:p>
    <w:p>
      <w:pPr>
        <w:pStyle w:val="ListParagraph"/>
        <w:numPr>
          <w:ilvl w:val="0"/>
          <w:numId w:val="11"/>
        </w:numPr>
        <w:tabs>
          <w:tab w:pos="428" w:val="left" w:leader="none"/>
        </w:tabs>
        <w:spacing w:line="360" w:lineRule="auto" w:before="139" w:after="0"/>
        <w:ind w:left="101" w:right="124" w:firstLine="0"/>
        <w:jc w:val="both"/>
        <w:rPr>
          <w:sz w:val="24"/>
        </w:rPr>
      </w:pPr>
      <w:r>
        <w:rPr>
          <w:sz w:val="24"/>
        </w:rPr>
        <w:t>Fenómeno Sanitario-Ecológico: Epidemias o plagas, contaminación del aire, agua, suelo y</w:t>
      </w:r>
      <w:r>
        <w:rPr>
          <w:spacing w:val="-16"/>
          <w:sz w:val="24"/>
        </w:rPr>
        <w:t> </w:t>
      </w:r>
      <w:r>
        <w:rPr>
          <w:sz w:val="24"/>
        </w:rPr>
        <w:t>alimentos.</w:t>
      </w:r>
    </w:p>
    <w:p>
      <w:pPr>
        <w:pStyle w:val="ListParagraph"/>
        <w:numPr>
          <w:ilvl w:val="0"/>
          <w:numId w:val="11"/>
        </w:numPr>
        <w:tabs>
          <w:tab w:pos="403" w:val="left" w:leader="none"/>
        </w:tabs>
        <w:spacing w:line="360" w:lineRule="auto" w:before="5" w:after="0"/>
        <w:ind w:left="101" w:right="128" w:firstLine="0"/>
        <w:jc w:val="both"/>
        <w:rPr>
          <w:sz w:val="24"/>
        </w:rPr>
      </w:pPr>
      <w:r>
        <w:rPr>
          <w:sz w:val="24"/>
        </w:rPr>
        <w:t>Fenómeno Socio-Organizativo: Provocados por el ser humano (CENAPRED, 2001).</w:t>
      </w:r>
    </w:p>
    <w:p>
      <w:pPr>
        <w:pStyle w:val="BodyText"/>
      </w:pPr>
    </w:p>
    <w:p>
      <w:pPr>
        <w:pStyle w:val="Heading1"/>
        <w:numPr>
          <w:ilvl w:val="2"/>
          <w:numId w:val="10"/>
        </w:numPr>
        <w:tabs>
          <w:tab w:pos="703" w:val="left" w:leader="none"/>
        </w:tabs>
        <w:spacing w:line="240" w:lineRule="auto" w:before="142" w:after="0"/>
        <w:ind w:left="702" w:right="0" w:hanging="601"/>
        <w:jc w:val="both"/>
      </w:pPr>
      <w:bookmarkStart w:name="_TOC_250002" w:id="14"/>
      <w:r>
        <w:rPr/>
        <w:t>Protocolo de atención sanitaria en</w:t>
      </w:r>
      <w:r>
        <w:rPr>
          <w:spacing w:val="-29"/>
        </w:rPr>
        <w:t> </w:t>
      </w:r>
      <w:bookmarkEnd w:id="14"/>
      <w:r>
        <w:rPr/>
        <w:t>Desastres</w:t>
      </w:r>
    </w:p>
    <w:p>
      <w:pPr>
        <w:pStyle w:val="BodyText"/>
        <w:spacing w:line="360" w:lineRule="auto" w:before="139"/>
        <w:ind w:left="101" w:right="120"/>
        <w:jc w:val="both"/>
      </w:pPr>
      <w:r>
        <w:rPr/>
        <w:t>En México, la coordinación de la atención sanitaria se maneja en todos los niveles de gobierno (federal, estatal y municipal), como se puede observar en la figura 1 y 2.</w:t>
      </w:r>
    </w:p>
    <w:p>
      <w:pPr>
        <w:pStyle w:val="BodyText"/>
      </w:pPr>
    </w:p>
    <w:p>
      <w:pPr>
        <w:pStyle w:val="BodyText"/>
        <w:spacing w:before="142"/>
        <w:ind w:left="684" w:right="102"/>
      </w:pPr>
      <w:r>
        <w:rPr/>
        <w:drawing>
          <wp:anchor distT="0" distB="0" distL="0" distR="0" allowOverlap="1" layoutInCell="1" locked="0" behindDoc="0" simplePos="0" relativeHeight="1864">
            <wp:simplePos x="0" y="0"/>
            <wp:positionH relativeFrom="page">
              <wp:posOffset>1080516</wp:posOffset>
            </wp:positionH>
            <wp:positionV relativeFrom="paragraph">
              <wp:posOffset>353515</wp:posOffset>
            </wp:positionV>
            <wp:extent cx="5242293" cy="2511552"/>
            <wp:effectExtent l="0" t="0" r="0" b="0"/>
            <wp:wrapTopAndBottom/>
            <wp:docPr id="113" name="image5.jpeg" descr=""/>
            <wp:cNvGraphicFramePr>
              <a:graphicFrameLocks noChangeAspect="1"/>
            </wp:cNvGraphicFramePr>
            <a:graphic>
              <a:graphicData uri="http://schemas.openxmlformats.org/drawingml/2006/picture">
                <pic:pic>
                  <pic:nvPicPr>
                    <pic:cNvPr id="114" name="image5.jpeg"/>
                    <pic:cNvPicPr/>
                  </pic:nvPicPr>
                  <pic:blipFill>
                    <a:blip r:embed="rId11" cstate="print"/>
                    <a:stretch>
                      <a:fillRect/>
                    </a:stretch>
                  </pic:blipFill>
                  <pic:spPr>
                    <a:xfrm>
                      <a:off x="0" y="0"/>
                      <a:ext cx="5242293" cy="2511552"/>
                    </a:xfrm>
                    <a:prstGeom prst="rect">
                      <a:avLst/>
                    </a:prstGeom>
                  </pic:spPr>
                </pic:pic>
              </a:graphicData>
            </a:graphic>
          </wp:anchor>
        </w:drawing>
      </w:r>
      <w:r>
        <w:rPr/>
        <w:t>Figura 1: Coordinación de la atención Sanitaria a Nivel Federal y Estatal</w:t>
      </w:r>
    </w:p>
    <w:p>
      <w:pPr>
        <w:spacing w:line="360" w:lineRule="auto" w:before="109"/>
        <w:ind w:left="5398" w:right="102" w:hanging="792"/>
        <w:jc w:val="left"/>
        <w:rPr>
          <w:b/>
          <w:sz w:val="16"/>
        </w:rPr>
      </w:pPr>
      <w:r>
        <w:rPr>
          <w:b/>
          <w:sz w:val="16"/>
        </w:rPr>
        <w:t>FUENTE: Secretaria de Salud. “Programa de Acción para Urgencias Epidemiológicas y desastres”. 2001</w:t>
      </w:r>
    </w:p>
    <w:p>
      <w:pPr>
        <w:pStyle w:val="BodyText"/>
        <w:rPr>
          <w:b/>
          <w:sz w:val="16"/>
        </w:rPr>
      </w:pPr>
    </w:p>
    <w:p>
      <w:pPr>
        <w:pStyle w:val="BodyText"/>
        <w:rPr>
          <w:b/>
          <w:sz w:val="16"/>
        </w:rPr>
      </w:pPr>
    </w:p>
    <w:p>
      <w:pPr>
        <w:pStyle w:val="BodyText"/>
        <w:spacing w:before="6"/>
        <w:rPr>
          <w:b/>
          <w:sz w:val="16"/>
        </w:rPr>
      </w:pPr>
    </w:p>
    <w:p>
      <w:pPr>
        <w:pStyle w:val="BodyText"/>
        <w:spacing w:before="1"/>
        <w:ind w:left="684" w:right="102"/>
      </w:pPr>
      <w:r>
        <w:rPr/>
        <w:t>Figura 2: Coordinación de la atención Sanitaria a Nivel Federal y Estatal</w:t>
      </w:r>
    </w:p>
    <w:p>
      <w:pPr>
        <w:spacing w:after="0"/>
        <w:sectPr>
          <w:pgSz w:w="12240" w:h="15840"/>
          <w:pgMar w:header="0" w:footer="1005" w:top="1380" w:bottom="1200" w:left="1600" w:right="1580"/>
        </w:sectPr>
      </w:pPr>
    </w:p>
    <w:p>
      <w:pPr>
        <w:pStyle w:val="BodyText"/>
        <w:ind w:left="101"/>
        <w:rPr>
          <w:sz w:val="20"/>
        </w:rPr>
      </w:pPr>
      <w:r>
        <w:rPr>
          <w:sz w:val="20"/>
        </w:rPr>
        <w:drawing>
          <wp:inline distT="0" distB="0" distL="0" distR="0">
            <wp:extent cx="5236617" cy="2651760"/>
            <wp:effectExtent l="0" t="0" r="0" b="0"/>
            <wp:docPr id="115" name="image6.jpeg" descr=""/>
            <wp:cNvGraphicFramePr>
              <a:graphicFrameLocks noChangeAspect="1"/>
            </wp:cNvGraphicFramePr>
            <a:graphic>
              <a:graphicData uri="http://schemas.openxmlformats.org/drawingml/2006/picture">
                <pic:pic>
                  <pic:nvPicPr>
                    <pic:cNvPr id="116" name="image6.jpeg"/>
                    <pic:cNvPicPr/>
                  </pic:nvPicPr>
                  <pic:blipFill>
                    <a:blip r:embed="rId12" cstate="print"/>
                    <a:stretch>
                      <a:fillRect/>
                    </a:stretch>
                  </pic:blipFill>
                  <pic:spPr>
                    <a:xfrm>
                      <a:off x="0" y="0"/>
                      <a:ext cx="5236617" cy="2651760"/>
                    </a:xfrm>
                    <a:prstGeom prst="rect">
                      <a:avLst/>
                    </a:prstGeom>
                  </pic:spPr>
                </pic:pic>
              </a:graphicData>
            </a:graphic>
          </wp:inline>
        </w:drawing>
      </w:r>
      <w:r>
        <w:rPr>
          <w:sz w:val="20"/>
        </w:rPr>
      </w:r>
    </w:p>
    <w:p>
      <w:pPr>
        <w:pStyle w:val="BodyText"/>
        <w:spacing w:before="1"/>
        <w:rPr>
          <w:sz w:val="6"/>
        </w:rPr>
      </w:pPr>
    </w:p>
    <w:p>
      <w:pPr>
        <w:spacing w:line="360" w:lineRule="auto" w:before="80"/>
        <w:ind w:left="5398" w:right="102" w:hanging="792"/>
        <w:jc w:val="left"/>
        <w:rPr>
          <w:b/>
          <w:sz w:val="16"/>
        </w:rPr>
      </w:pPr>
      <w:r>
        <w:rPr>
          <w:b/>
          <w:sz w:val="16"/>
        </w:rPr>
        <w:t>FUENTE: Secretaria de Salud. “Programa de Acción para Urgencias Epidemiológicas y desastres”. 2001</w:t>
      </w:r>
    </w:p>
    <w:p>
      <w:pPr>
        <w:pStyle w:val="BodyText"/>
        <w:rPr>
          <w:b/>
          <w:sz w:val="16"/>
        </w:rPr>
      </w:pPr>
    </w:p>
    <w:p>
      <w:pPr>
        <w:pStyle w:val="BodyText"/>
        <w:spacing w:line="360" w:lineRule="auto" w:before="99"/>
        <w:ind w:left="101" w:right="134"/>
        <w:jc w:val="both"/>
      </w:pPr>
      <w:r>
        <w:rPr/>
        <w:t>La</w:t>
      </w:r>
      <w:r>
        <w:rPr>
          <w:spacing w:val="-3"/>
        </w:rPr>
        <w:t> </w:t>
      </w:r>
      <w:r>
        <w:rPr/>
        <w:t>respuesta</w:t>
      </w:r>
      <w:r>
        <w:rPr>
          <w:spacing w:val="-3"/>
        </w:rPr>
        <w:t> </w:t>
      </w:r>
      <w:r>
        <w:rPr/>
        <w:t>sanitaria</w:t>
      </w:r>
      <w:r>
        <w:rPr>
          <w:spacing w:val="-6"/>
        </w:rPr>
        <w:t> </w:t>
      </w:r>
      <w:r>
        <w:rPr/>
        <w:t>a</w:t>
      </w:r>
      <w:r>
        <w:rPr>
          <w:spacing w:val="-3"/>
        </w:rPr>
        <w:t> </w:t>
      </w:r>
      <w:r>
        <w:rPr/>
        <w:t>un</w:t>
      </w:r>
      <w:r>
        <w:rPr>
          <w:spacing w:val="-6"/>
        </w:rPr>
        <w:t> </w:t>
      </w:r>
      <w:r>
        <w:rPr/>
        <w:t>evento</w:t>
      </w:r>
      <w:r>
        <w:rPr>
          <w:spacing w:val="-3"/>
        </w:rPr>
        <w:t> </w:t>
      </w:r>
      <w:r>
        <w:rPr/>
        <w:t>de</w:t>
      </w:r>
      <w:r>
        <w:rPr>
          <w:spacing w:val="-3"/>
        </w:rPr>
        <w:t> </w:t>
      </w:r>
      <w:r>
        <w:rPr/>
        <w:t>interés</w:t>
      </w:r>
      <w:r>
        <w:rPr>
          <w:spacing w:val="-6"/>
        </w:rPr>
        <w:t> </w:t>
      </w:r>
      <w:r>
        <w:rPr/>
        <w:t>epidemiológico,</w:t>
      </w:r>
      <w:r>
        <w:rPr>
          <w:spacing w:val="-4"/>
        </w:rPr>
        <w:t> </w:t>
      </w:r>
      <w:r>
        <w:rPr/>
        <w:t>ya</w:t>
      </w:r>
      <w:r>
        <w:rPr>
          <w:spacing w:val="-3"/>
        </w:rPr>
        <w:t> </w:t>
      </w:r>
      <w:r>
        <w:rPr/>
        <w:t>sea</w:t>
      </w:r>
      <w:r>
        <w:rPr>
          <w:spacing w:val="-6"/>
        </w:rPr>
        <w:t> </w:t>
      </w:r>
      <w:r>
        <w:rPr/>
        <w:t>un</w:t>
      </w:r>
      <w:r>
        <w:rPr>
          <w:spacing w:val="-3"/>
        </w:rPr>
        <w:t> </w:t>
      </w:r>
      <w:r>
        <w:rPr/>
        <w:t>desastre</w:t>
      </w:r>
      <w:r>
        <w:rPr>
          <w:spacing w:val="-6"/>
        </w:rPr>
        <w:t> </w:t>
      </w:r>
      <w:r>
        <w:rPr/>
        <w:t>o una urgencia epidemiológica, debe</w:t>
      </w:r>
      <w:r>
        <w:rPr>
          <w:spacing w:val="-27"/>
        </w:rPr>
        <w:t> </w:t>
      </w:r>
      <w:r>
        <w:rPr/>
        <w:t>ser:</w:t>
      </w:r>
    </w:p>
    <w:p>
      <w:pPr>
        <w:pStyle w:val="ListParagraph"/>
        <w:numPr>
          <w:ilvl w:val="0"/>
          <w:numId w:val="12"/>
        </w:numPr>
        <w:tabs>
          <w:tab w:pos="430" w:val="left" w:leader="none"/>
        </w:tabs>
        <w:spacing w:line="360" w:lineRule="auto" w:before="5" w:after="0"/>
        <w:ind w:left="101" w:right="125" w:firstLine="0"/>
        <w:jc w:val="both"/>
        <w:rPr>
          <w:sz w:val="24"/>
        </w:rPr>
      </w:pPr>
      <w:r>
        <w:rPr>
          <w:sz w:val="24"/>
        </w:rPr>
        <w:t>Anticipada: Prever e identificar aquellas áreas (zonas inundables, sísmicas, etc.), factores (existencia de vectores, acumulo de susceptibles, etc.) o condiciones (presencia de zonas fabriles, comunidades asentadas en laderas, falta de sistemas de drenaje, etc.) de riesgo que pueden favorecer la ocurrencia de desastres o urgencias</w:t>
      </w:r>
      <w:r>
        <w:rPr>
          <w:spacing w:val="-27"/>
          <w:sz w:val="24"/>
        </w:rPr>
        <w:t> </w:t>
      </w:r>
      <w:r>
        <w:rPr>
          <w:sz w:val="24"/>
        </w:rPr>
        <w:t>epidemiológicas.</w:t>
      </w:r>
    </w:p>
    <w:p>
      <w:pPr>
        <w:pStyle w:val="ListParagraph"/>
        <w:numPr>
          <w:ilvl w:val="0"/>
          <w:numId w:val="12"/>
        </w:numPr>
        <w:tabs>
          <w:tab w:pos="375" w:val="left" w:leader="none"/>
        </w:tabs>
        <w:spacing w:line="360" w:lineRule="auto" w:before="2" w:after="0"/>
        <w:ind w:left="101" w:right="133" w:firstLine="0"/>
        <w:jc w:val="both"/>
        <w:rPr>
          <w:sz w:val="24"/>
        </w:rPr>
      </w:pPr>
      <w:r>
        <w:rPr>
          <w:sz w:val="24"/>
        </w:rPr>
        <w:t>Inmediata: Enviar el personal, los equipos e insumos específicos, en la cantidad y oportunidad precisas, a los sitios donde son</w:t>
      </w:r>
      <w:r>
        <w:rPr>
          <w:spacing w:val="-41"/>
          <w:sz w:val="24"/>
        </w:rPr>
        <w:t> </w:t>
      </w:r>
      <w:r>
        <w:rPr>
          <w:sz w:val="24"/>
        </w:rPr>
        <w:t>necesarios.</w:t>
      </w:r>
    </w:p>
    <w:p>
      <w:pPr>
        <w:pStyle w:val="ListParagraph"/>
        <w:numPr>
          <w:ilvl w:val="0"/>
          <w:numId w:val="12"/>
        </w:numPr>
        <w:tabs>
          <w:tab w:pos="370" w:val="left" w:leader="none"/>
        </w:tabs>
        <w:spacing w:line="240" w:lineRule="auto" w:before="2" w:after="0"/>
        <w:ind w:left="369" w:right="0" w:hanging="268"/>
        <w:jc w:val="both"/>
        <w:rPr>
          <w:sz w:val="24"/>
        </w:rPr>
      </w:pPr>
      <w:r>
        <w:rPr>
          <w:sz w:val="24"/>
        </w:rPr>
        <w:t>Eficaz:</w:t>
      </w:r>
      <w:r>
        <w:rPr>
          <w:spacing w:val="-3"/>
          <w:sz w:val="24"/>
        </w:rPr>
        <w:t> </w:t>
      </w:r>
      <w:r>
        <w:rPr>
          <w:sz w:val="24"/>
        </w:rPr>
        <w:t>Prevenir</w:t>
      </w:r>
      <w:r>
        <w:rPr>
          <w:spacing w:val="-4"/>
          <w:sz w:val="24"/>
        </w:rPr>
        <w:t> </w:t>
      </w:r>
      <w:r>
        <w:rPr>
          <w:sz w:val="24"/>
        </w:rPr>
        <w:t>y</w:t>
      </w:r>
      <w:r>
        <w:rPr>
          <w:spacing w:val="-5"/>
          <w:sz w:val="24"/>
        </w:rPr>
        <w:t> </w:t>
      </w:r>
      <w:r>
        <w:rPr>
          <w:sz w:val="24"/>
        </w:rPr>
        <w:t>controlar</w:t>
      </w:r>
      <w:r>
        <w:rPr>
          <w:spacing w:val="-4"/>
          <w:sz w:val="24"/>
        </w:rPr>
        <w:t> </w:t>
      </w:r>
      <w:r>
        <w:rPr>
          <w:sz w:val="24"/>
        </w:rPr>
        <w:t>la</w:t>
      </w:r>
      <w:r>
        <w:rPr>
          <w:spacing w:val="-5"/>
          <w:sz w:val="24"/>
        </w:rPr>
        <w:t> </w:t>
      </w:r>
      <w:r>
        <w:rPr>
          <w:sz w:val="24"/>
        </w:rPr>
        <w:t>ocurrencia</w:t>
      </w:r>
      <w:r>
        <w:rPr>
          <w:spacing w:val="-5"/>
          <w:sz w:val="24"/>
        </w:rPr>
        <w:t> </w:t>
      </w:r>
      <w:r>
        <w:rPr>
          <w:sz w:val="24"/>
        </w:rPr>
        <w:t>de</w:t>
      </w:r>
      <w:r>
        <w:rPr>
          <w:spacing w:val="-5"/>
          <w:sz w:val="24"/>
        </w:rPr>
        <w:t> </w:t>
      </w:r>
      <w:r>
        <w:rPr>
          <w:sz w:val="24"/>
        </w:rPr>
        <w:t>daños</w:t>
      </w:r>
      <w:r>
        <w:rPr>
          <w:spacing w:val="-3"/>
          <w:sz w:val="24"/>
        </w:rPr>
        <w:t> </w:t>
      </w:r>
      <w:r>
        <w:rPr>
          <w:sz w:val="24"/>
        </w:rPr>
        <w:t>a</w:t>
      </w:r>
      <w:r>
        <w:rPr>
          <w:spacing w:val="-5"/>
          <w:sz w:val="24"/>
        </w:rPr>
        <w:t> </w:t>
      </w:r>
      <w:r>
        <w:rPr>
          <w:sz w:val="24"/>
        </w:rPr>
        <w:t>la</w:t>
      </w:r>
      <w:r>
        <w:rPr>
          <w:spacing w:val="-3"/>
          <w:sz w:val="24"/>
        </w:rPr>
        <w:t> </w:t>
      </w:r>
      <w:r>
        <w:rPr>
          <w:sz w:val="24"/>
        </w:rPr>
        <w:t>salud</w:t>
      </w:r>
      <w:r>
        <w:rPr>
          <w:spacing w:val="-3"/>
          <w:sz w:val="24"/>
        </w:rPr>
        <w:t> </w:t>
      </w:r>
      <w:r>
        <w:rPr>
          <w:sz w:val="24"/>
        </w:rPr>
        <w:t>de</w:t>
      </w:r>
      <w:r>
        <w:rPr>
          <w:spacing w:val="-3"/>
          <w:sz w:val="24"/>
        </w:rPr>
        <w:t> </w:t>
      </w:r>
      <w:r>
        <w:rPr>
          <w:sz w:val="24"/>
        </w:rPr>
        <w:t>la</w:t>
      </w:r>
      <w:r>
        <w:rPr>
          <w:spacing w:val="-5"/>
          <w:sz w:val="24"/>
        </w:rPr>
        <w:t> </w:t>
      </w:r>
      <w:r>
        <w:rPr>
          <w:sz w:val="24"/>
        </w:rPr>
        <w:t>población.</w:t>
      </w:r>
    </w:p>
    <w:p>
      <w:pPr>
        <w:pStyle w:val="BodyText"/>
      </w:pPr>
    </w:p>
    <w:p>
      <w:pPr>
        <w:pStyle w:val="BodyText"/>
      </w:pPr>
    </w:p>
    <w:p>
      <w:pPr>
        <w:pStyle w:val="BodyText"/>
        <w:spacing w:line="360" w:lineRule="auto"/>
        <w:ind w:left="101" w:right="128"/>
        <w:jc w:val="both"/>
      </w:pPr>
      <w:r>
        <w:rPr/>
        <w:t>Para la atención de desastres es necesario llevar a cabo las siguientes actividades:</w:t>
      </w:r>
    </w:p>
    <w:p>
      <w:pPr>
        <w:pStyle w:val="ListParagraph"/>
        <w:numPr>
          <w:ilvl w:val="0"/>
          <w:numId w:val="13"/>
        </w:numPr>
        <w:tabs>
          <w:tab w:pos="370" w:val="left" w:leader="none"/>
        </w:tabs>
        <w:spacing w:line="240" w:lineRule="auto" w:before="5" w:after="0"/>
        <w:ind w:left="101" w:right="0" w:firstLine="0"/>
        <w:jc w:val="both"/>
        <w:rPr>
          <w:sz w:val="24"/>
        </w:rPr>
      </w:pPr>
      <w:r>
        <w:rPr>
          <w:sz w:val="24"/>
        </w:rPr>
        <w:t>Establecimiento del programa de</w:t>
      </w:r>
      <w:r>
        <w:rPr>
          <w:spacing w:val="-34"/>
          <w:sz w:val="24"/>
        </w:rPr>
        <w:t> </w:t>
      </w:r>
      <w:r>
        <w:rPr>
          <w:sz w:val="24"/>
        </w:rPr>
        <w:t>intervención.</w:t>
      </w:r>
    </w:p>
    <w:p>
      <w:pPr>
        <w:pStyle w:val="ListParagraph"/>
        <w:numPr>
          <w:ilvl w:val="0"/>
          <w:numId w:val="13"/>
        </w:numPr>
        <w:tabs>
          <w:tab w:pos="370" w:val="left" w:leader="none"/>
        </w:tabs>
        <w:spacing w:line="240" w:lineRule="auto" w:before="137" w:after="0"/>
        <w:ind w:left="369" w:right="0" w:hanging="268"/>
        <w:jc w:val="both"/>
        <w:rPr>
          <w:sz w:val="24"/>
        </w:rPr>
      </w:pPr>
      <w:r>
        <w:rPr>
          <w:sz w:val="24"/>
        </w:rPr>
        <w:t>Establecimiento del centro de</w:t>
      </w:r>
      <w:r>
        <w:rPr>
          <w:spacing w:val="-33"/>
          <w:sz w:val="24"/>
        </w:rPr>
        <w:t> </w:t>
      </w:r>
      <w:r>
        <w:rPr>
          <w:sz w:val="24"/>
        </w:rPr>
        <w:t>operaciones.</w:t>
      </w:r>
    </w:p>
    <w:p>
      <w:pPr>
        <w:pStyle w:val="ListParagraph"/>
        <w:numPr>
          <w:ilvl w:val="0"/>
          <w:numId w:val="13"/>
        </w:numPr>
        <w:tabs>
          <w:tab w:pos="464" w:val="left" w:leader="none"/>
        </w:tabs>
        <w:spacing w:line="360" w:lineRule="auto" w:before="139" w:after="0"/>
        <w:ind w:left="101" w:right="121" w:firstLine="0"/>
        <w:jc w:val="both"/>
        <w:rPr>
          <w:sz w:val="24"/>
        </w:rPr>
      </w:pPr>
      <w:r>
        <w:rPr>
          <w:sz w:val="24"/>
        </w:rPr>
        <w:t>Organización de las actividades en los niveles local, estatal y nacional, dependiendo de la severidad del evento. La atención médica-asistencial para la atención de desastres será gratuita, de manera universal y disponible las 24 horas del  día.  La  vigilancia  epidemiológica  se  llevará  a  cabo  en  las   </w:t>
      </w:r>
      <w:r>
        <w:rPr>
          <w:spacing w:val="35"/>
          <w:sz w:val="24"/>
        </w:rPr>
        <w:t> </w:t>
      </w:r>
      <w:r>
        <w:rPr>
          <w:sz w:val="24"/>
        </w:rPr>
        <w:t>instalaciones</w:t>
      </w:r>
    </w:p>
    <w:p>
      <w:pPr>
        <w:spacing w:after="0" w:line="360" w:lineRule="auto"/>
        <w:jc w:val="both"/>
        <w:rPr>
          <w:sz w:val="24"/>
        </w:rPr>
        <w:sectPr>
          <w:pgSz w:w="12240" w:h="15840"/>
          <w:pgMar w:header="0" w:footer="1005" w:top="1420" w:bottom="1200" w:left="1600" w:right="1580"/>
        </w:sectPr>
      </w:pPr>
    </w:p>
    <w:p>
      <w:pPr>
        <w:pStyle w:val="BodyText"/>
        <w:spacing w:line="360" w:lineRule="auto" w:before="46"/>
        <w:ind w:left="101" w:right="110"/>
        <w:jc w:val="both"/>
      </w:pPr>
      <w:r>
        <w:rPr/>
        <w:t>formales de salud, en los Módulos Comunitarios y dentro de los refugios temporales.</w:t>
      </w:r>
    </w:p>
    <w:p>
      <w:pPr>
        <w:pStyle w:val="ListParagraph"/>
        <w:numPr>
          <w:ilvl w:val="0"/>
          <w:numId w:val="13"/>
        </w:numPr>
        <w:tabs>
          <w:tab w:pos="440" w:val="left" w:leader="none"/>
        </w:tabs>
        <w:spacing w:line="360" w:lineRule="auto" w:before="2" w:after="0"/>
        <w:ind w:left="101" w:right="111" w:firstLine="0"/>
        <w:jc w:val="both"/>
        <w:rPr>
          <w:sz w:val="24"/>
        </w:rPr>
      </w:pPr>
      <w:r>
        <w:rPr>
          <w:sz w:val="24"/>
        </w:rPr>
        <w:t>Continuación de las actividades de auxilio y rescate, y se añaden las de identificación de</w:t>
      </w:r>
      <w:r>
        <w:rPr>
          <w:spacing w:val="-18"/>
          <w:sz w:val="24"/>
        </w:rPr>
        <w:t> </w:t>
      </w:r>
      <w:r>
        <w:rPr>
          <w:sz w:val="24"/>
        </w:rPr>
        <w:t>cadáveres.</w:t>
      </w:r>
    </w:p>
    <w:p>
      <w:pPr>
        <w:pStyle w:val="ListParagraph"/>
        <w:numPr>
          <w:ilvl w:val="0"/>
          <w:numId w:val="13"/>
        </w:numPr>
        <w:tabs>
          <w:tab w:pos="389" w:val="left" w:leader="none"/>
        </w:tabs>
        <w:spacing w:line="360" w:lineRule="auto" w:before="2" w:after="0"/>
        <w:ind w:left="101" w:right="106" w:firstLine="0"/>
        <w:jc w:val="both"/>
        <w:rPr>
          <w:sz w:val="24"/>
        </w:rPr>
      </w:pPr>
      <w:r>
        <w:rPr>
          <w:sz w:val="24"/>
        </w:rPr>
        <w:t>Instrumentación de acciones de vigilancia sanitaria en refugios temporales y la comunidad, referentes a la calidad del agua para uso y consumo humano, la calidad</w:t>
      </w:r>
      <w:r>
        <w:rPr>
          <w:spacing w:val="-7"/>
          <w:sz w:val="24"/>
        </w:rPr>
        <w:t> </w:t>
      </w:r>
      <w:r>
        <w:rPr>
          <w:sz w:val="24"/>
        </w:rPr>
        <w:t>de</w:t>
      </w:r>
      <w:r>
        <w:rPr>
          <w:spacing w:val="-4"/>
          <w:sz w:val="24"/>
        </w:rPr>
        <w:t> </w:t>
      </w:r>
      <w:r>
        <w:rPr>
          <w:sz w:val="24"/>
        </w:rPr>
        <w:t>los</w:t>
      </w:r>
      <w:r>
        <w:rPr>
          <w:spacing w:val="-7"/>
          <w:sz w:val="24"/>
        </w:rPr>
        <w:t> </w:t>
      </w:r>
      <w:r>
        <w:rPr>
          <w:sz w:val="24"/>
        </w:rPr>
        <w:t>alimentos,</w:t>
      </w:r>
      <w:r>
        <w:rPr>
          <w:spacing w:val="-5"/>
          <w:sz w:val="24"/>
        </w:rPr>
        <w:t> </w:t>
      </w:r>
      <w:r>
        <w:rPr>
          <w:sz w:val="24"/>
        </w:rPr>
        <w:t>la</w:t>
      </w:r>
      <w:r>
        <w:rPr>
          <w:spacing w:val="-4"/>
          <w:sz w:val="24"/>
        </w:rPr>
        <w:t> </w:t>
      </w:r>
      <w:r>
        <w:rPr>
          <w:sz w:val="24"/>
        </w:rPr>
        <w:t>adecuada</w:t>
      </w:r>
      <w:r>
        <w:rPr>
          <w:spacing w:val="-7"/>
          <w:sz w:val="24"/>
        </w:rPr>
        <w:t> </w:t>
      </w:r>
      <w:r>
        <w:rPr>
          <w:sz w:val="24"/>
        </w:rPr>
        <w:t>disposición</w:t>
      </w:r>
      <w:r>
        <w:rPr>
          <w:spacing w:val="-4"/>
          <w:sz w:val="24"/>
        </w:rPr>
        <w:t> </w:t>
      </w:r>
      <w:r>
        <w:rPr>
          <w:sz w:val="24"/>
        </w:rPr>
        <w:t>de</w:t>
      </w:r>
      <w:r>
        <w:rPr>
          <w:spacing w:val="-4"/>
          <w:sz w:val="24"/>
        </w:rPr>
        <w:t> </w:t>
      </w:r>
      <w:r>
        <w:rPr>
          <w:sz w:val="24"/>
        </w:rPr>
        <w:t>excretas</w:t>
      </w:r>
      <w:r>
        <w:rPr>
          <w:spacing w:val="-5"/>
          <w:sz w:val="24"/>
        </w:rPr>
        <w:t> </w:t>
      </w:r>
      <w:r>
        <w:rPr>
          <w:sz w:val="24"/>
        </w:rPr>
        <w:t>y</w:t>
      </w:r>
      <w:r>
        <w:rPr>
          <w:spacing w:val="-7"/>
          <w:sz w:val="24"/>
        </w:rPr>
        <w:t> </w:t>
      </w:r>
      <w:r>
        <w:rPr>
          <w:sz w:val="24"/>
        </w:rPr>
        <w:t>basuras.</w:t>
      </w:r>
    </w:p>
    <w:p>
      <w:pPr>
        <w:pStyle w:val="ListParagraph"/>
        <w:numPr>
          <w:ilvl w:val="0"/>
          <w:numId w:val="13"/>
        </w:numPr>
        <w:tabs>
          <w:tab w:pos="452" w:val="left" w:leader="none"/>
        </w:tabs>
        <w:spacing w:line="360" w:lineRule="auto" w:before="5" w:after="0"/>
        <w:ind w:left="101" w:right="103" w:firstLine="0"/>
        <w:jc w:val="both"/>
        <w:rPr>
          <w:sz w:val="24"/>
        </w:rPr>
      </w:pPr>
      <w:r>
        <w:rPr>
          <w:sz w:val="24"/>
        </w:rPr>
        <w:t>Revisión del espectro diagnóstico de los laboratorios de Salud Pública y garantía de su</w:t>
      </w:r>
      <w:r>
        <w:rPr>
          <w:spacing w:val="-20"/>
          <w:sz w:val="24"/>
        </w:rPr>
        <w:t> </w:t>
      </w:r>
      <w:r>
        <w:rPr>
          <w:sz w:val="24"/>
        </w:rPr>
        <w:t>funcionamiento.</w:t>
      </w:r>
    </w:p>
    <w:p>
      <w:pPr>
        <w:pStyle w:val="ListParagraph"/>
        <w:numPr>
          <w:ilvl w:val="0"/>
          <w:numId w:val="13"/>
        </w:numPr>
        <w:tabs>
          <w:tab w:pos="370" w:val="left" w:leader="none"/>
        </w:tabs>
        <w:spacing w:line="240" w:lineRule="auto" w:before="5" w:after="0"/>
        <w:ind w:left="369" w:right="0" w:hanging="268"/>
        <w:jc w:val="both"/>
        <w:rPr>
          <w:sz w:val="24"/>
        </w:rPr>
      </w:pPr>
      <w:r>
        <w:rPr>
          <w:sz w:val="24"/>
        </w:rPr>
        <w:t>Actividades de control de</w:t>
      </w:r>
      <w:r>
        <w:rPr>
          <w:spacing w:val="-26"/>
          <w:sz w:val="24"/>
        </w:rPr>
        <w:t> </w:t>
      </w:r>
      <w:r>
        <w:rPr>
          <w:sz w:val="24"/>
        </w:rPr>
        <w:t>vectores.</w:t>
      </w:r>
    </w:p>
    <w:p>
      <w:pPr>
        <w:pStyle w:val="BodyText"/>
      </w:pPr>
    </w:p>
    <w:p>
      <w:pPr>
        <w:pStyle w:val="BodyText"/>
      </w:pPr>
    </w:p>
    <w:p>
      <w:pPr>
        <w:pStyle w:val="BodyText"/>
        <w:spacing w:line="360" w:lineRule="auto"/>
        <w:ind w:left="101" w:right="98"/>
        <w:jc w:val="both"/>
      </w:pPr>
      <w:r>
        <w:rPr/>
        <w:t>El control de riesgos y daños se refiere más que nada a focalizar la atención con las siguientes acciones: intensificación de la vigilancia epidemiológica y sanitaria, búsqueda activa de casos, ministración de tratamientos específicos, aislamiento de casos que representen riesgo de trasmisión a la población, alertamiento sobre enfermedades reemergentes y orientación de los recursos con relación a la magnitud de los daños; con este componente, su línea estratégica y sus acciones se</w:t>
      </w:r>
      <w:r>
        <w:rPr>
          <w:spacing w:val="-3"/>
        </w:rPr>
        <w:t> </w:t>
      </w:r>
      <w:r>
        <w:rPr/>
        <w:t>espera</w:t>
      </w:r>
      <w:r>
        <w:rPr>
          <w:spacing w:val="-3"/>
        </w:rPr>
        <w:t> </w:t>
      </w:r>
      <w:r>
        <w:rPr/>
        <w:t>como</w:t>
      </w:r>
      <w:r>
        <w:rPr>
          <w:spacing w:val="-6"/>
        </w:rPr>
        <w:t> </w:t>
      </w:r>
      <w:r>
        <w:rPr/>
        <w:t>resultado</w:t>
      </w:r>
      <w:r>
        <w:rPr>
          <w:spacing w:val="-6"/>
        </w:rPr>
        <w:t> </w:t>
      </w:r>
      <w:r>
        <w:rPr/>
        <w:t>evitar</w:t>
      </w:r>
      <w:r>
        <w:rPr>
          <w:spacing w:val="-5"/>
        </w:rPr>
        <w:t> </w:t>
      </w:r>
      <w:r>
        <w:rPr/>
        <w:t>la</w:t>
      </w:r>
      <w:r>
        <w:rPr>
          <w:spacing w:val="-3"/>
        </w:rPr>
        <w:t> </w:t>
      </w:r>
      <w:r>
        <w:rPr/>
        <w:t>presencia</w:t>
      </w:r>
      <w:r>
        <w:rPr>
          <w:spacing w:val="-6"/>
        </w:rPr>
        <w:t> </w:t>
      </w:r>
      <w:r>
        <w:rPr/>
        <w:t>de</w:t>
      </w:r>
      <w:r>
        <w:rPr>
          <w:spacing w:val="-3"/>
        </w:rPr>
        <w:t> </w:t>
      </w:r>
      <w:r>
        <w:rPr/>
        <w:t>casos</w:t>
      </w:r>
      <w:r>
        <w:rPr>
          <w:spacing w:val="-4"/>
        </w:rPr>
        <w:t> </w:t>
      </w:r>
      <w:r>
        <w:rPr/>
        <w:t>y</w:t>
      </w:r>
      <w:r>
        <w:rPr>
          <w:spacing w:val="-6"/>
        </w:rPr>
        <w:t> </w:t>
      </w:r>
      <w:r>
        <w:rPr/>
        <w:t>brotes</w:t>
      </w:r>
      <w:r>
        <w:rPr>
          <w:spacing w:val="-6"/>
        </w:rPr>
        <w:t> </w:t>
      </w:r>
      <w:r>
        <w:rPr/>
        <w:t>epidémicos.</w:t>
      </w:r>
    </w:p>
    <w:p>
      <w:pPr>
        <w:pStyle w:val="BodyText"/>
      </w:pPr>
    </w:p>
    <w:p>
      <w:pPr>
        <w:pStyle w:val="BodyText"/>
        <w:spacing w:line="360" w:lineRule="auto" w:before="142"/>
        <w:ind w:left="101" w:right="102"/>
        <w:jc w:val="both"/>
      </w:pPr>
      <w:r>
        <w:rPr/>
        <w:t>Posterior al impacto inicial del evento se vuelve crítico el evitar que sobre un desastre se "anide" una urgencia epidemiológica, por lo que se realizan las siguientes actividades:</w:t>
      </w:r>
    </w:p>
    <w:p>
      <w:pPr>
        <w:pStyle w:val="ListParagraph"/>
        <w:numPr>
          <w:ilvl w:val="0"/>
          <w:numId w:val="14"/>
        </w:numPr>
        <w:tabs>
          <w:tab w:pos="406" w:val="left" w:leader="none"/>
        </w:tabs>
        <w:spacing w:line="360" w:lineRule="auto" w:before="2" w:after="0"/>
        <w:ind w:left="101" w:right="110" w:firstLine="0"/>
        <w:jc w:val="both"/>
        <w:rPr>
          <w:sz w:val="24"/>
        </w:rPr>
      </w:pPr>
      <w:r>
        <w:rPr>
          <w:sz w:val="24"/>
        </w:rPr>
        <w:t>Atención Médica: Es importante integrar información referente a las unidades (cantidad, tipo, daños, personal de salud</w:t>
      </w:r>
      <w:r>
        <w:rPr>
          <w:spacing w:val="-36"/>
          <w:sz w:val="24"/>
        </w:rPr>
        <w:t> </w:t>
      </w:r>
      <w:r>
        <w:rPr>
          <w:sz w:val="24"/>
        </w:rPr>
        <w:t>existente).</w:t>
      </w:r>
    </w:p>
    <w:p>
      <w:pPr>
        <w:pStyle w:val="ListParagraph"/>
        <w:numPr>
          <w:ilvl w:val="0"/>
          <w:numId w:val="14"/>
        </w:numPr>
        <w:tabs>
          <w:tab w:pos="461" w:val="left" w:leader="none"/>
        </w:tabs>
        <w:spacing w:line="360" w:lineRule="auto" w:before="2" w:after="0"/>
        <w:ind w:left="101" w:right="101" w:firstLine="0"/>
        <w:jc w:val="both"/>
        <w:rPr>
          <w:sz w:val="24"/>
        </w:rPr>
      </w:pPr>
      <w:r>
        <w:rPr>
          <w:sz w:val="24"/>
        </w:rPr>
        <w:t>Vigilancia epidemiológica: Buscar condiciones que pueden incrementar la morbilidad y mortalidad de la población (factores de riesgo, administración de tratamientos y obtención de muestras humanas y</w:t>
      </w:r>
      <w:r>
        <w:rPr>
          <w:spacing w:val="-43"/>
          <w:sz w:val="24"/>
        </w:rPr>
        <w:t> </w:t>
      </w:r>
      <w:r>
        <w:rPr>
          <w:sz w:val="24"/>
        </w:rPr>
        <w:t>ambientales).</w:t>
      </w:r>
    </w:p>
    <w:p>
      <w:pPr>
        <w:pStyle w:val="ListParagraph"/>
        <w:numPr>
          <w:ilvl w:val="0"/>
          <w:numId w:val="14"/>
        </w:numPr>
        <w:tabs>
          <w:tab w:pos="370" w:val="left" w:leader="none"/>
        </w:tabs>
        <w:spacing w:line="240" w:lineRule="auto" w:before="5" w:after="0"/>
        <w:ind w:left="369" w:right="0" w:hanging="268"/>
        <w:jc w:val="both"/>
        <w:rPr>
          <w:sz w:val="24"/>
        </w:rPr>
      </w:pPr>
      <w:r>
        <w:rPr>
          <w:sz w:val="24"/>
        </w:rPr>
        <w:t>Verificación de la calidad del</w:t>
      </w:r>
      <w:r>
        <w:rPr>
          <w:spacing w:val="-25"/>
          <w:sz w:val="24"/>
        </w:rPr>
        <w:t> </w:t>
      </w:r>
      <w:r>
        <w:rPr>
          <w:sz w:val="24"/>
        </w:rPr>
        <w:t>agua.</w:t>
      </w:r>
    </w:p>
    <w:p>
      <w:pPr>
        <w:pStyle w:val="ListParagraph"/>
        <w:numPr>
          <w:ilvl w:val="0"/>
          <w:numId w:val="14"/>
        </w:numPr>
        <w:tabs>
          <w:tab w:pos="492" w:val="left" w:leader="none"/>
        </w:tabs>
        <w:spacing w:line="360" w:lineRule="auto" w:before="137" w:after="0"/>
        <w:ind w:left="101" w:right="98" w:firstLine="0"/>
        <w:jc w:val="both"/>
        <w:rPr>
          <w:sz w:val="24"/>
        </w:rPr>
      </w:pPr>
      <w:r>
        <w:rPr>
          <w:sz w:val="24"/>
        </w:rPr>
        <w:t>Vigilancia sanitaria: Verificaciones sanitarias en </w:t>
      </w:r>
      <w:r>
        <w:rPr>
          <w:spacing w:val="2"/>
          <w:sz w:val="24"/>
        </w:rPr>
        <w:t>los </w:t>
      </w:r>
      <w:r>
        <w:rPr>
          <w:sz w:val="24"/>
        </w:rPr>
        <w:t>lugares de acopio, distribución y preparación de alimentos. Restricción de la venta de alimentos de alto  riesgo  (enfermedades diarréicas). Muestreo  de alimentos. Verificación de </w:t>
      </w:r>
      <w:r>
        <w:rPr>
          <w:spacing w:val="21"/>
          <w:sz w:val="24"/>
        </w:rPr>
        <w:t> </w:t>
      </w:r>
      <w:r>
        <w:rPr>
          <w:sz w:val="24"/>
        </w:rPr>
        <w:t>la</w:t>
      </w:r>
    </w:p>
    <w:p>
      <w:pPr>
        <w:pStyle w:val="BodyText"/>
        <w:spacing w:before="2"/>
        <w:ind w:left="101"/>
        <w:jc w:val="both"/>
      </w:pPr>
      <w:r>
        <w:rPr/>
        <w:t>desinfección  del  agua.  Vigilancia  de  la  recolección  y disposición  adecuada de</w:t>
      </w:r>
    </w:p>
    <w:p>
      <w:pPr>
        <w:spacing w:after="0"/>
        <w:jc w:val="both"/>
        <w:sectPr>
          <w:pgSz w:w="12240" w:h="15840"/>
          <w:pgMar w:header="0" w:footer="1005" w:top="1380" w:bottom="1200" w:left="1600" w:right="1600"/>
        </w:sectPr>
      </w:pPr>
    </w:p>
    <w:p>
      <w:pPr>
        <w:pStyle w:val="BodyText"/>
        <w:spacing w:before="46"/>
        <w:ind w:left="101"/>
        <w:jc w:val="both"/>
      </w:pPr>
      <w:r>
        <w:rPr/>
        <w:t>basura.</w:t>
      </w:r>
    </w:p>
    <w:p>
      <w:pPr>
        <w:pStyle w:val="ListParagraph"/>
        <w:numPr>
          <w:ilvl w:val="0"/>
          <w:numId w:val="14"/>
        </w:numPr>
        <w:tabs>
          <w:tab w:pos="370" w:val="left" w:leader="none"/>
        </w:tabs>
        <w:spacing w:line="240" w:lineRule="auto" w:before="139" w:after="0"/>
        <w:ind w:left="369" w:right="0" w:hanging="268"/>
        <w:jc w:val="both"/>
        <w:rPr>
          <w:sz w:val="24"/>
        </w:rPr>
      </w:pPr>
      <w:r>
        <w:rPr>
          <w:sz w:val="24"/>
        </w:rPr>
        <w:t>Control de</w:t>
      </w:r>
      <w:r>
        <w:rPr>
          <w:spacing w:val="-14"/>
          <w:sz w:val="24"/>
        </w:rPr>
        <w:t> </w:t>
      </w:r>
      <w:r>
        <w:rPr>
          <w:sz w:val="24"/>
        </w:rPr>
        <w:t>Vectores.</w:t>
      </w:r>
    </w:p>
    <w:p>
      <w:pPr>
        <w:pStyle w:val="ListParagraph"/>
        <w:numPr>
          <w:ilvl w:val="0"/>
          <w:numId w:val="14"/>
        </w:numPr>
        <w:tabs>
          <w:tab w:pos="370" w:val="left" w:leader="none"/>
        </w:tabs>
        <w:spacing w:line="240" w:lineRule="auto" w:before="137" w:after="0"/>
        <w:ind w:left="369" w:right="0" w:hanging="268"/>
        <w:jc w:val="both"/>
        <w:rPr>
          <w:sz w:val="24"/>
        </w:rPr>
      </w:pPr>
      <w:r>
        <w:rPr>
          <w:sz w:val="24"/>
        </w:rPr>
        <w:t>Promoción de la</w:t>
      </w:r>
      <w:r>
        <w:rPr>
          <w:spacing w:val="-16"/>
          <w:sz w:val="24"/>
        </w:rPr>
        <w:t> </w:t>
      </w:r>
      <w:r>
        <w:rPr>
          <w:sz w:val="24"/>
        </w:rPr>
        <w:t>salud.</w:t>
      </w:r>
    </w:p>
    <w:p>
      <w:pPr>
        <w:pStyle w:val="ListParagraph"/>
        <w:numPr>
          <w:ilvl w:val="0"/>
          <w:numId w:val="14"/>
        </w:numPr>
        <w:tabs>
          <w:tab w:pos="370" w:val="left" w:leader="none"/>
        </w:tabs>
        <w:spacing w:line="240" w:lineRule="auto" w:before="139" w:after="0"/>
        <w:ind w:left="369" w:right="0" w:hanging="268"/>
        <w:jc w:val="both"/>
        <w:rPr>
          <w:sz w:val="24"/>
        </w:rPr>
      </w:pPr>
      <w:r>
        <w:rPr>
          <w:sz w:val="24"/>
        </w:rPr>
        <w:t>Actividades de</w:t>
      </w:r>
      <w:r>
        <w:rPr>
          <w:spacing w:val="-19"/>
          <w:sz w:val="24"/>
        </w:rPr>
        <w:t> </w:t>
      </w:r>
      <w:r>
        <w:rPr>
          <w:sz w:val="24"/>
        </w:rPr>
        <w:t>Brigadas.</w:t>
      </w:r>
    </w:p>
    <w:p>
      <w:pPr>
        <w:pStyle w:val="BodyText"/>
      </w:pPr>
    </w:p>
    <w:p>
      <w:pPr>
        <w:pStyle w:val="BodyText"/>
      </w:pPr>
    </w:p>
    <w:p>
      <w:pPr>
        <w:pStyle w:val="BodyText"/>
        <w:spacing w:line="360" w:lineRule="auto"/>
        <w:ind w:left="101" w:right="107"/>
        <w:jc w:val="both"/>
      </w:pPr>
      <w:r>
        <w:rPr/>
        <w:t>Es importante mencionar que tras un desastre, la primera asistencia que recibe la población afectada es la auto asistencia es decir las víctimas tratan de salvarse por sí mismas, luego continúa la asistencia mutua, es la brindada por el familiar, el vecino u otra persona presente en el momento y posteriormente intervienen los servicios de socorro que se encargan de atender a la población, sin embargo, es necesario realizar una clasificación para conocer el estado de las víctimas y así comenzar a realizar los traslados necesarios. A ésta clasificación se le llama Triage. (Programa de Acciónpara Urgencias Epidemiológicas y Desastres, SSA. 2001)</w:t>
      </w:r>
    </w:p>
    <w:p>
      <w:pPr>
        <w:pStyle w:val="BodyText"/>
      </w:pPr>
    </w:p>
    <w:p>
      <w:pPr>
        <w:pStyle w:val="Heading1"/>
        <w:numPr>
          <w:ilvl w:val="2"/>
          <w:numId w:val="10"/>
        </w:numPr>
        <w:tabs>
          <w:tab w:pos="703" w:val="left" w:leader="none"/>
        </w:tabs>
        <w:spacing w:line="240" w:lineRule="auto" w:before="142" w:after="0"/>
        <w:ind w:left="702" w:right="0" w:hanging="601"/>
        <w:jc w:val="both"/>
      </w:pPr>
      <w:bookmarkStart w:name="_TOC_250001" w:id="15"/>
      <w:bookmarkEnd w:id="15"/>
      <w:r>
        <w:rPr/>
        <w:t>Triage</w:t>
      </w:r>
    </w:p>
    <w:p>
      <w:pPr>
        <w:pStyle w:val="BodyText"/>
        <w:spacing w:line="360" w:lineRule="auto" w:before="137"/>
        <w:ind w:left="101" w:right="103"/>
        <w:jc w:val="both"/>
      </w:pPr>
      <w:r>
        <w:rPr/>
        <w:t>Es una clasificación rápida de los heridos según la gravedad de sus lesiones y la probabilidad de supervivencia si reciben cuidados médicos rápidos. Debe ser adaptada a las capacidades disponibles localmente. La primera prioridad son las víctimas cuyo pronóstico inmediato o a largo plazo puedan mejorar significativamente con cuidados intensivos sencillos. La prioridad más baja se aplica a los pacientes moribundos que necesitan muchísima atención (con beneficios dudosos).</w:t>
      </w:r>
    </w:p>
    <w:p>
      <w:pPr>
        <w:pStyle w:val="BodyText"/>
      </w:pPr>
    </w:p>
    <w:p>
      <w:pPr>
        <w:pStyle w:val="BodyText"/>
        <w:spacing w:line="360" w:lineRule="auto" w:before="142"/>
        <w:ind w:left="101" w:right="100"/>
        <w:jc w:val="both"/>
      </w:pPr>
      <w:r>
        <w:rPr/>
        <w:t>El triage es el único enfoque que puede proporcionar un beneficio máximo al mayor</w:t>
      </w:r>
      <w:r>
        <w:rPr>
          <w:spacing w:val="-6"/>
        </w:rPr>
        <w:t> </w:t>
      </w:r>
      <w:r>
        <w:rPr/>
        <w:t>número</w:t>
      </w:r>
      <w:r>
        <w:rPr>
          <w:spacing w:val="-7"/>
        </w:rPr>
        <w:t> </w:t>
      </w:r>
      <w:r>
        <w:rPr/>
        <w:t>posible</w:t>
      </w:r>
      <w:r>
        <w:rPr>
          <w:spacing w:val="-7"/>
        </w:rPr>
        <w:t> </w:t>
      </w:r>
      <w:r>
        <w:rPr/>
        <w:t>de</w:t>
      </w:r>
      <w:r>
        <w:rPr>
          <w:spacing w:val="-4"/>
        </w:rPr>
        <w:t> </w:t>
      </w:r>
      <w:r>
        <w:rPr/>
        <w:t>lesionados</w:t>
      </w:r>
      <w:r>
        <w:rPr>
          <w:spacing w:val="-5"/>
        </w:rPr>
        <w:t> </w:t>
      </w:r>
      <w:r>
        <w:rPr/>
        <w:t>en</w:t>
      </w:r>
      <w:r>
        <w:rPr>
          <w:spacing w:val="-4"/>
        </w:rPr>
        <w:t> </w:t>
      </w:r>
      <w:r>
        <w:rPr/>
        <w:t>una</w:t>
      </w:r>
      <w:r>
        <w:rPr>
          <w:spacing w:val="-7"/>
        </w:rPr>
        <w:t> </w:t>
      </w:r>
      <w:r>
        <w:rPr/>
        <w:t>situación</w:t>
      </w:r>
      <w:r>
        <w:rPr>
          <w:spacing w:val="-7"/>
        </w:rPr>
        <w:t> </w:t>
      </w:r>
      <w:r>
        <w:rPr/>
        <w:t>de</w:t>
      </w:r>
      <w:r>
        <w:rPr>
          <w:spacing w:val="-7"/>
        </w:rPr>
        <w:t> </w:t>
      </w:r>
      <w:r>
        <w:rPr/>
        <w:t>desastres.</w:t>
      </w:r>
    </w:p>
    <w:p>
      <w:pPr>
        <w:pStyle w:val="BodyText"/>
        <w:spacing w:line="360" w:lineRule="auto" w:before="2"/>
        <w:ind w:left="101" w:right="100"/>
        <w:jc w:val="both"/>
      </w:pPr>
      <w:r>
        <w:rPr/>
        <w:t>Para que sea eficaz, debe de ser rápido (aprox. treinta segundos en clasificar una víctima muerta, un minuto para una víctima leve y tres minutos para clasificar una víctima grave), preciso y seguro; ya que todo error inicial puede ser fatal para un urgencia grave, pues no siempre es posible ratificar.</w:t>
      </w:r>
    </w:p>
    <w:p>
      <w:pPr>
        <w:spacing w:after="0" w:line="360" w:lineRule="auto"/>
        <w:jc w:val="both"/>
        <w:sectPr>
          <w:pgSz w:w="12240" w:h="15840"/>
          <w:pgMar w:header="0" w:footer="1005" w:top="1380" w:bottom="1200" w:left="1600" w:right="1600"/>
        </w:sectPr>
      </w:pPr>
    </w:p>
    <w:p>
      <w:pPr>
        <w:pStyle w:val="BodyText"/>
        <w:spacing w:before="46"/>
        <w:ind w:left="101"/>
        <w:jc w:val="both"/>
      </w:pPr>
      <w:r>
        <w:rPr/>
        <w:t>Ésta clasificación se realiza en diferentes niveles, siendo éstos:</w:t>
      </w:r>
    </w:p>
    <w:p>
      <w:pPr>
        <w:pStyle w:val="BodyText"/>
        <w:spacing w:line="360" w:lineRule="auto" w:before="139"/>
        <w:ind w:left="101" w:right="360"/>
      </w:pPr>
      <w:r>
        <w:rPr/>
        <w:t>-Zona de desastre o área de rescate (generalmente son las instituciones de socorro las que intervienen a este nivel).</w:t>
      </w:r>
    </w:p>
    <w:p>
      <w:pPr>
        <w:pStyle w:val="BodyText"/>
        <w:spacing w:line="360" w:lineRule="auto" w:before="5"/>
        <w:ind w:left="101" w:right="360"/>
      </w:pPr>
      <w:r>
        <w:rPr/>
        <w:t>-Puesto Médico de Avanzado (determina el modo e insumos para la evacuación  de las</w:t>
      </w:r>
      <w:r>
        <w:rPr>
          <w:spacing w:val="-9"/>
        </w:rPr>
        <w:t> </w:t>
      </w:r>
      <w:r>
        <w:rPr/>
        <w:t>víctimas).</w:t>
      </w:r>
    </w:p>
    <w:p>
      <w:pPr>
        <w:pStyle w:val="BodyText"/>
        <w:spacing w:before="5"/>
        <w:ind w:left="101"/>
        <w:jc w:val="both"/>
      </w:pPr>
      <w:r>
        <w:rPr/>
        <w:t>-Hospitales Receptores (para atención de las víctimas).</w:t>
      </w:r>
    </w:p>
    <w:p>
      <w:pPr>
        <w:pStyle w:val="BodyText"/>
      </w:pPr>
    </w:p>
    <w:p>
      <w:pPr>
        <w:pStyle w:val="BodyText"/>
      </w:pPr>
    </w:p>
    <w:p>
      <w:pPr>
        <w:pStyle w:val="BodyText"/>
        <w:spacing w:line="360" w:lineRule="auto"/>
        <w:ind w:left="101" w:right="360"/>
      </w:pPr>
      <w:r>
        <w:rPr/>
        <w:t>El sistema que se utiliza a nivel internacional para el triage en situación de desastre es un sistema mediante códigos de</w:t>
      </w:r>
      <w:r>
        <w:rPr>
          <w:spacing w:val="-33"/>
        </w:rPr>
        <w:t> </w:t>
      </w:r>
      <w:r>
        <w:rPr/>
        <w:t>colores:</w:t>
      </w:r>
    </w:p>
    <w:p>
      <w:pPr>
        <w:pStyle w:val="BodyText"/>
        <w:spacing w:line="360" w:lineRule="auto" w:before="5"/>
        <w:ind w:left="101" w:right="360"/>
      </w:pPr>
      <w:r>
        <w:rPr/>
        <w:t>Rojo: Indica una elevada prioridad en cuanto al tratamiento o el traslado. Amarillo: Se aplica a las prioridades medias.</w:t>
      </w:r>
    </w:p>
    <w:p>
      <w:pPr>
        <w:pStyle w:val="BodyText"/>
        <w:spacing w:before="5"/>
        <w:ind w:left="101"/>
        <w:jc w:val="both"/>
      </w:pPr>
      <w:r>
        <w:rPr/>
        <w:t>Verde: Se usa para los pacientes ambulatorios.</w:t>
      </w:r>
    </w:p>
    <w:p>
      <w:pPr>
        <w:pStyle w:val="BodyText"/>
        <w:spacing w:before="137"/>
        <w:ind w:left="101"/>
        <w:jc w:val="both"/>
      </w:pPr>
      <w:r>
        <w:rPr/>
        <w:t>Negro: Para los muertos o moribundos (Ministerio de Salud de Nicaragua. 2003).</w:t>
      </w:r>
    </w:p>
    <w:p>
      <w:pPr>
        <w:pStyle w:val="BodyText"/>
      </w:pPr>
    </w:p>
    <w:p>
      <w:pPr>
        <w:pStyle w:val="BodyText"/>
      </w:pPr>
    </w:p>
    <w:p>
      <w:pPr>
        <w:pStyle w:val="Heading1"/>
        <w:numPr>
          <w:ilvl w:val="1"/>
          <w:numId w:val="15"/>
        </w:numPr>
        <w:tabs>
          <w:tab w:pos="564" w:val="left" w:leader="none"/>
        </w:tabs>
        <w:spacing w:line="360" w:lineRule="auto" w:before="0" w:after="0"/>
        <w:ind w:left="101" w:right="173" w:firstLine="0"/>
        <w:jc w:val="left"/>
      </w:pPr>
      <w:r>
        <w:rPr/>
        <w:t>Clasificación de los tipos de programas y proyectos de inversión de acuerdo a la Secretaria de Hacienda y Crédito</w:t>
      </w:r>
      <w:r>
        <w:rPr>
          <w:spacing w:val="-31"/>
        </w:rPr>
        <w:t> </w:t>
      </w:r>
      <w:r>
        <w:rPr/>
        <w:t>Público</w:t>
      </w:r>
    </w:p>
    <w:p>
      <w:pPr>
        <w:pStyle w:val="BodyText"/>
        <w:spacing w:before="6"/>
        <w:rPr>
          <w:b/>
          <w:sz w:val="31"/>
        </w:rPr>
      </w:pPr>
    </w:p>
    <w:p>
      <w:pPr>
        <w:pStyle w:val="ListParagraph"/>
        <w:numPr>
          <w:ilvl w:val="2"/>
          <w:numId w:val="15"/>
        </w:numPr>
        <w:tabs>
          <w:tab w:pos="751" w:val="left" w:leader="none"/>
        </w:tabs>
        <w:spacing w:line="360" w:lineRule="auto" w:before="0" w:after="0"/>
        <w:ind w:left="101" w:right="166" w:firstLine="0"/>
        <w:jc w:val="left"/>
        <w:rPr>
          <w:b/>
          <w:i/>
          <w:sz w:val="24"/>
        </w:rPr>
      </w:pPr>
      <w:r>
        <w:rPr>
          <w:b/>
          <w:i/>
          <w:sz w:val="24"/>
        </w:rPr>
        <w:t>Descripción de los tipos de evaluación a programas y proyectos de </w:t>
      </w:r>
      <w:r>
        <w:rPr>
          <w:b/>
          <w:i/>
          <w:sz w:val="24"/>
        </w:rPr>
        <w:t>inversión</w:t>
      </w:r>
    </w:p>
    <w:p>
      <w:pPr>
        <w:pStyle w:val="BodyText"/>
        <w:spacing w:before="2"/>
        <w:ind w:left="101"/>
        <w:jc w:val="both"/>
      </w:pPr>
      <w:r>
        <w:rPr/>
        <w:t>Los proyectos de inversión se clasifican en los siguientes tipos:</w:t>
      </w:r>
    </w:p>
    <w:p>
      <w:pPr>
        <w:pStyle w:val="BodyText"/>
      </w:pPr>
    </w:p>
    <w:p>
      <w:pPr>
        <w:pStyle w:val="BodyText"/>
      </w:pPr>
    </w:p>
    <w:p>
      <w:pPr>
        <w:pStyle w:val="ListParagraph"/>
        <w:numPr>
          <w:ilvl w:val="0"/>
          <w:numId w:val="16"/>
        </w:numPr>
        <w:tabs>
          <w:tab w:pos="423" w:val="left" w:leader="none"/>
        </w:tabs>
        <w:spacing w:line="360" w:lineRule="auto" w:before="0" w:after="0"/>
        <w:ind w:left="101" w:right="116" w:firstLine="0"/>
        <w:jc w:val="both"/>
        <w:rPr>
          <w:sz w:val="24"/>
        </w:rPr>
      </w:pPr>
      <w:r>
        <w:rPr>
          <w:sz w:val="24"/>
        </w:rPr>
        <w:t>Proyectos de infraestructura económica, cuando se trate de la construcción, adquisición y/o ampliación de activos fijos para la producción de bienes y servicios en los sectores de agua, comunicaciones y transportes, electricidad, hidrocarburos y turismo. Bajo esta denominación, se incluyen todos los proyectos de infraestructura productiva de largo plazo a que se refieren los artículos 18, tercer párrafo, de la Ley General de Deuda Pública y 32, segundo párrafo, de la Ley, así como los de rehabilitación y mantenimiento cuyo objeto sea incrementar la vida útil o capacidad original de los activos fijos destinados a la producción de bienes y servicios de los sectores</w:t>
      </w:r>
      <w:r>
        <w:rPr>
          <w:spacing w:val="-22"/>
          <w:sz w:val="24"/>
        </w:rPr>
        <w:t> </w:t>
      </w:r>
      <w:r>
        <w:rPr>
          <w:sz w:val="24"/>
        </w:rPr>
        <w:t>mencionados.</w:t>
      </w:r>
    </w:p>
    <w:p>
      <w:pPr>
        <w:pStyle w:val="ListParagraph"/>
        <w:numPr>
          <w:ilvl w:val="0"/>
          <w:numId w:val="16"/>
        </w:numPr>
        <w:tabs>
          <w:tab w:pos="478" w:val="left" w:leader="none"/>
        </w:tabs>
        <w:spacing w:line="360" w:lineRule="auto" w:before="2" w:after="0"/>
        <w:ind w:left="101" w:right="130" w:firstLine="0"/>
        <w:jc w:val="left"/>
        <w:rPr>
          <w:sz w:val="24"/>
        </w:rPr>
      </w:pPr>
      <w:r>
        <w:rPr>
          <w:sz w:val="24"/>
        </w:rPr>
        <w:t>Proyectos de infraestructura social, cuando se trate de la construcción, adquisición y/o ampliación de activos fijos para llevar a cabo funciones en </w:t>
      </w:r>
      <w:r>
        <w:rPr>
          <w:spacing w:val="40"/>
          <w:sz w:val="24"/>
        </w:rPr>
        <w:t> </w:t>
      </w:r>
      <w:r>
        <w:rPr>
          <w:sz w:val="24"/>
        </w:rPr>
        <w:t>materia</w:t>
      </w:r>
    </w:p>
    <w:p>
      <w:pPr>
        <w:spacing w:after="0" w:line="360" w:lineRule="auto"/>
        <w:jc w:val="left"/>
        <w:rPr>
          <w:sz w:val="24"/>
        </w:rPr>
        <w:sectPr>
          <w:pgSz w:w="12240" w:h="15840"/>
          <w:pgMar w:header="0" w:footer="1005" w:top="1380" w:bottom="1200" w:left="1600" w:right="1540"/>
        </w:sectPr>
      </w:pPr>
    </w:p>
    <w:p>
      <w:pPr>
        <w:pStyle w:val="BodyText"/>
        <w:spacing w:line="360" w:lineRule="auto" w:before="46"/>
        <w:ind w:left="101" w:right="99"/>
        <w:jc w:val="both"/>
      </w:pPr>
      <w:r>
        <w:rPr/>
        <w:t>de educación, ciencia y tecnología, cultura, deporte, salud, seguridad social, urbanización, vivienda y asistencia social.</w:t>
      </w:r>
    </w:p>
    <w:p>
      <w:pPr>
        <w:pStyle w:val="ListParagraph"/>
        <w:numPr>
          <w:ilvl w:val="0"/>
          <w:numId w:val="16"/>
        </w:numPr>
        <w:tabs>
          <w:tab w:pos="377" w:val="left" w:leader="none"/>
        </w:tabs>
        <w:spacing w:line="360" w:lineRule="auto" w:before="2" w:after="0"/>
        <w:ind w:left="101" w:right="102" w:firstLine="0"/>
        <w:jc w:val="both"/>
        <w:rPr>
          <w:sz w:val="24"/>
        </w:rPr>
      </w:pPr>
      <w:r>
        <w:rPr>
          <w:sz w:val="24"/>
        </w:rPr>
        <w:t>Proyectos de infraestructura gubernamental, cuando se trate de la construcción, adquisición y/o ampliación de activos fijos para llevar a cabo funciones de gobierno, tales como seguridad nacional, seguridad pública y procuración de justicia, entre otras, así como funciones de desarrollo económico y social distintas a las señaladas en las fracciones i y ii anteriores. Esta fracción no incluye los proyectos de inmuebles destinados a oficinas administrativas, mismos que están comprendidos en la fracción iv siguiente de este</w:t>
      </w:r>
      <w:r>
        <w:rPr>
          <w:spacing w:val="-38"/>
          <w:sz w:val="24"/>
        </w:rPr>
        <w:t> </w:t>
      </w:r>
      <w:r>
        <w:rPr>
          <w:sz w:val="24"/>
        </w:rPr>
        <w:t>numeral.</w:t>
      </w:r>
    </w:p>
    <w:p>
      <w:pPr>
        <w:pStyle w:val="ListParagraph"/>
        <w:numPr>
          <w:ilvl w:val="0"/>
          <w:numId w:val="16"/>
        </w:numPr>
        <w:tabs>
          <w:tab w:pos="418" w:val="left" w:leader="none"/>
        </w:tabs>
        <w:spacing w:line="360" w:lineRule="auto" w:before="5" w:after="0"/>
        <w:ind w:left="101" w:right="108" w:firstLine="0"/>
        <w:jc w:val="both"/>
        <w:rPr>
          <w:sz w:val="24"/>
        </w:rPr>
      </w:pPr>
      <w:r>
        <w:rPr>
          <w:sz w:val="24"/>
        </w:rPr>
        <w:t>Proyectos de inmuebles, cuando se trate de la construcción, adquisición y/o ampliación de inmuebles destinados a oficinas administrativas, incluyendo las operaciones</w:t>
      </w:r>
      <w:r>
        <w:rPr>
          <w:spacing w:val="-5"/>
          <w:sz w:val="24"/>
        </w:rPr>
        <w:t> </w:t>
      </w:r>
      <w:r>
        <w:rPr>
          <w:sz w:val="24"/>
        </w:rPr>
        <w:t>que</w:t>
      </w:r>
      <w:r>
        <w:rPr>
          <w:spacing w:val="-7"/>
          <w:sz w:val="24"/>
        </w:rPr>
        <w:t> </w:t>
      </w:r>
      <w:r>
        <w:rPr>
          <w:sz w:val="24"/>
        </w:rPr>
        <w:t>se</w:t>
      </w:r>
      <w:r>
        <w:rPr>
          <w:spacing w:val="-4"/>
          <w:sz w:val="24"/>
        </w:rPr>
        <w:t> </w:t>
      </w:r>
      <w:r>
        <w:rPr>
          <w:sz w:val="24"/>
        </w:rPr>
        <w:t>realicen</w:t>
      </w:r>
      <w:r>
        <w:rPr>
          <w:spacing w:val="-4"/>
          <w:sz w:val="24"/>
        </w:rPr>
        <w:t> </w:t>
      </w:r>
      <w:r>
        <w:rPr>
          <w:sz w:val="24"/>
        </w:rPr>
        <w:t>bajo</w:t>
      </w:r>
      <w:r>
        <w:rPr>
          <w:spacing w:val="-4"/>
          <w:sz w:val="24"/>
        </w:rPr>
        <w:t> </w:t>
      </w:r>
      <w:r>
        <w:rPr>
          <w:sz w:val="24"/>
        </w:rPr>
        <w:t>el</w:t>
      </w:r>
      <w:r>
        <w:rPr>
          <w:spacing w:val="-8"/>
          <w:sz w:val="24"/>
        </w:rPr>
        <w:t> </w:t>
      </w:r>
      <w:r>
        <w:rPr>
          <w:sz w:val="24"/>
        </w:rPr>
        <w:t>esquema</w:t>
      </w:r>
      <w:r>
        <w:rPr>
          <w:spacing w:val="-7"/>
          <w:sz w:val="24"/>
        </w:rPr>
        <w:t> </w:t>
      </w:r>
      <w:r>
        <w:rPr>
          <w:sz w:val="24"/>
        </w:rPr>
        <w:t>de</w:t>
      </w:r>
      <w:r>
        <w:rPr>
          <w:spacing w:val="-7"/>
          <w:sz w:val="24"/>
        </w:rPr>
        <w:t> </w:t>
      </w:r>
      <w:r>
        <w:rPr>
          <w:sz w:val="24"/>
        </w:rPr>
        <w:t>arrendamiento</w:t>
      </w:r>
      <w:r>
        <w:rPr>
          <w:spacing w:val="-9"/>
          <w:sz w:val="24"/>
        </w:rPr>
        <w:t> </w:t>
      </w:r>
      <w:r>
        <w:rPr>
          <w:sz w:val="24"/>
        </w:rPr>
        <w:t>financiero.</w:t>
      </w:r>
    </w:p>
    <w:p>
      <w:pPr>
        <w:pStyle w:val="ListParagraph"/>
        <w:numPr>
          <w:ilvl w:val="0"/>
          <w:numId w:val="16"/>
        </w:numPr>
        <w:tabs>
          <w:tab w:pos="454" w:val="left" w:leader="none"/>
        </w:tabs>
        <w:spacing w:line="360" w:lineRule="auto" w:before="2" w:after="0"/>
        <w:ind w:left="101" w:right="111" w:firstLine="0"/>
        <w:jc w:val="both"/>
        <w:rPr>
          <w:sz w:val="24"/>
        </w:rPr>
      </w:pPr>
      <w:r>
        <w:rPr>
          <w:sz w:val="24"/>
        </w:rPr>
        <w:t>Otros proyectos de inversión, cuando se trate de aquellos que no estén identificados en las fracciones</w:t>
      </w:r>
      <w:r>
        <w:rPr>
          <w:spacing w:val="-31"/>
          <w:sz w:val="24"/>
        </w:rPr>
        <w:t> </w:t>
      </w:r>
      <w:r>
        <w:rPr>
          <w:sz w:val="24"/>
        </w:rPr>
        <w:t>anteriores.</w:t>
      </w:r>
    </w:p>
    <w:p>
      <w:pPr>
        <w:pStyle w:val="BodyText"/>
      </w:pPr>
    </w:p>
    <w:p>
      <w:pPr>
        <w:pStyle w:val="BodyText"/>
        <w:spacing w:before="142"/>
        <w:ind w:left="101"/>
        <w:jc w:val="both"/>
      </w:pPr>
      <w:r>
        <w:rPr/>
        <w:t>Los programas de inversión se clasifican en los siguientes tipos:</w:t>
      </w:r>
    </w:p>
    <w:p>
      <w:pPr>
        <w:pStyle w:val="BodyText"/>
      </w:pPr>
    </w:p>
    <w:p>
      <w:pPr>
        <w:pStyle w:val="BodyText"/>
      </w:pPr>
    </w:p>
    <w:p>
      <w:pPr>
        <w:pStyle w:val="ListParagraph"/>
        <w:numPr>
          <w:ilvl w:val="0"/>
          <w:numId w:val="17"/>
        </w:numPr>
        <w:tabs>
          <w:tab w:pos="384" w:val="left" w:leader="none"/>
        </w:tabs>
        <w:spacing w:line="360" w:lineRule="auto" w:before="0" w:after="0"/>
        <w:ind w:left="101" w:right="108" w:firstLine="0"/>
        <w:jc w:val="both"/>
        <w:rPr>
          <w:sz w:val="24"/>
        </w:rPr>
      </w:pPr>
      <w:r>
        <w:rPr>
          <w:sz w:val="24"/>
        </w:rPr>
        <w:t>Programas de adquisiciones, cuando se trate de la compra de bienes muebles, tales como vehículos, mobiliario para oficinas, bienes informáticos y equipo  diverso, entre otros, que no estén asociados a proyectos de inversión o relacionados con protección</w:t>
      </w:r>
      <w:r>
        <w:rPr>
          <w:spacing w:val="-25"/>
          <w:sz w:val="24"/>
        </w:rPr>
        <w:t> </w:t>
      </w:r>
      <w:r>
        <w:rPr>
          <w:sz w:val="24"/>
        </w:rPr>
        <w:t>civil.</w:t>
      </w:r>
    </w:p>
    <w:p>
      <w:pPr>
        <w:pStyle w:val="ListParagraph"/>
        <w:numPr>
          <w:ilvl w:val="0"/>
          <w:numId w:val="17"/>
        </w:numPr>
        <w:tabs>
          <w:tab w:pos="423" w:val="left" w:leader="none"/>
        </w:tabs>
        <w:spacing w:line="360" w:lineRule="auto" w:before="5" w:after="0"/>
        <w:ind w:left="101" w:right="100" w:firstLine="0"/>
        <w:jc w:val="both"/>
        <w:rPr>
          <w:sz w:val="24"/>
        </w:rPr>
      </w:pPr>
      <w:r>
        <w:rPr>
          <w:sz w:val="24"/>
        </w:rPr>
        <w:t>Programas de mantenimiento, cuando se trate de acciones cuyo objeto sea conservar o mantener los activos existentes en condiciones adecuadas de operación y que no implican un aumento en la vida útil o capacidad original de dichos activos para la producción de bienes y servicios, ni se encuentren relacionados con protección civil. Estas acciones buscan que los activos existentes continúen operando de manera adecuada, incluyendo reparaciones y remodelaciones de activos fijos y bienes inmuebles aun cuando </w:t>
      </w:r>
      <w:r>
        <w:rPr>
          <w:spacing w:val="5"/>
          <w:sz w:val="24"/>
        </w:rPr>
        <w:t>se </w:t>
      </w:r>
      <w:r>
        <w:rPr>
          <w:sz w:val="24"/>
        </w:rPr>
        <w:t>trate de obra pública o se asocien a</w:t>
      </w:r>
      <w:r>
        <w:rPr>
          <w:spacing w:val="-17"/>
          <w:sz w:val="24"/>
        </w:rPr>
        <w:t> </w:t>
      </w:r>
      <w:r>
        <w:rPr>
          <w:sz w:val="24"/>
        </w:rPr>
        <w:t>ésta.</w:t>
      </w:r>
    </w:p>
    <w:p>
      <w:pPr>
        <w:pStyle w:val="ListParagraph"/>
        <w:numPr>
          <w:ilvl w:val="0"/>
          <w:numId w:val="17"/>
        </w:numPr>
        <w:tabs>
          <w:tab w:pos="372" w:val="left" w:leader="none"/>
        </w:tabs>
        <w:spacing w:line="240" w:lineRule="auto" w:before="2" w:after="0"/>
        <w:ind w:left="371" w:right="0" w:hanging="270"/>
        <w:jc w:val="both"/>
        <w:rPr>
          <w:sz w:val="24"/>
        </w:rPr>
      </w:pPr>
      <w:r>
        <w:rPr>
          <w:sz w:val="24"/>
        </w:rPr>
        <w:t>Programas de adquisiciones de protección civil, cuando se trate de la compra</w:t>
      </w:r>
      <w:r>
        <w:rPr>
          <w:spacing w:val="-27"/>
          <w:sz w:val="24"/>
        </w:rPr>
        <w:t> </w:t>
      </w:r>
      <w:r>
        <w:rPr>
          <w:sz w:val="24"/>
        </w:rPr>
        <w:t>de</w:t>
      </w:r>
    </w:p>
    <w:p>
      <w:pPr>
        <w:pStyle w:val="BodyText"/>
        <w:spacing w:line="410" w:lineRule="atLeast" w:before="5"/>
        <w:ind w:left="101" w:right="109"/>
        <w:jc w:val="both"/>
      </w:pPr>
      <w:r>
        <w:rPr/>
        <w:t>bienes muebles tales como extintores, detectores de humo, detectores de gas, entre otros, que no estén asociados a proyectos de inversión.</w:t>
      </w:r>
    </w:p>
    <w:p>
      <w:pPr>
        <w:spacing w:after="0" w:line="410" w:lineRule="atLeast"/>
        <w:jc w:val="both"/>
        <w:sectPr>
          <w:pgSz w:w="12240" w:h="15840"/>
          <w:pgMar w:header="0" w:footer="1005" w:top="1380" w:bottom="1200" w:left="1600" w:right="1560"/>
        </w:sectPr>
      </w:pPr>
    </w:p>
    <w:p>
      <w:pPr>
        <w:pStyle w:val="ListParagraph"/>
        <w:numPr>
          <w:ilvl w:val="0"/>
          <w:numId w:val="17"/>
        </w:numPr>
        <w:tabs>
          <w:tab w:pos="411" w:val="left" w:leader="none"/>
        </w:tabs>
        <w:spacing w:line="360" w:lineRule="auto" w:before="46" w:after="0"/>
        <w:ind w:left="101" w:right="128" w:firstLine="0"/>
        <w:jc w:val="both"/>
        <w:rPr>
          <w:sz w:val="24"/>
        </w:rPr>
      </w:pPr>
      <w:r>
        <w:rPr>
          <w:sz w:val="24"/>
        </w:rPr>
        <w:t>Programas de mantenimiento de protección civil, relacionados con protección civil, a fin de salvaguardar la vida, integridad y salud de la población, así como sus bienes;</w:t>
      </w:r>
      <w:r>
        <w:rPr>
          <w:spacing w:val="-5"/>
          <w:sz w:val="24"/>
        </w:rPr>
        <w:t> </w:t>
      </w:r>
      <w:r>
        <w:rPr>
          <w:sz w:val="24"/>
        </w:rPr>
        <w:t>la</w:t>
      </w:r>
      <w:r>
        <w:rPr>
          <w:spacing w:val="-4"/>
          <w:sz w:val="24"/>
        </w:rPr>
        <w:t> </w:t>
      </w:r>
      <w:r>
        <w:rPr>
          <w:sz w:val="24"/>
        </w:rPr>
        <w:t>infraestructura,</w:t>
      </w:r>
      <w:r>
        <w:rPr>
          <w:spacing w:val="-5"/>
          <w:sz w:val="24"/>
        </w:rPr>
        <w:t> </w:t>
      </w:r>
      <w:r>
        <w:rPr>
          <w:sz w:val="24"/>
        </w:rPr>
        <w:t>la</w:t>
      </w:r>
      <w:r>
        <w:rPr>
          <w:spacing w:val="-4"/>
          <w:sz w:val="24"/>
        </w:rPr>
        <w:t> </w:t>
      </w:r>
      <w:r>
        <w:rPr>
          <w:sz w:val="24"/>
        </w:rPr>
        <w:t>planta</w:t>
      </w:r>
      <w:r>
        <w:rPr>
          <w:spacing w:val="-7"/>
          <w:sz w:val="24"/>
        </w:rPr>
        <w:t> </w:t>
      </w:r>
      <w:r>
        <w:rPr>
          <w:sz w:val="24"/>
        </w:rPr>
        <w:t>productiva</w:t>
      </w:r>
      <w:r>
        <w:rPr>
          <w:spacing w:val="-4"/>
          <w:sz w:val="24"/>
        </w:rPr>
        <w:t> </w:t>
      </w:r>
      <w:r>
        <w:rPr>
          <w:sz w:val="24"/>
        </w:rPr>
        <w:t>y</w:t>
      </w:r>
      <w:r>
        <w:rPr>
          <w:spacing w:val="-7"/>
          <w:sz w:val="24"/>
        </w:rPr>
        <w:t> </w:t>
      </w:r>
      <w:r>
        <w:rPr>
          <w:sz w:val="24"/>
        </w:rPr>
        <w:t>el</w:t>
      </w:r>
      <w:r>
        <w:rPr>
          <w:spacing w:val="-6"/>
          <w:sz w:val="24"/>
        </w:rPr>
        <w:t> </w:t>
      </w:r>
      <w:r>
        <w:rPr>
          <w:sz w:val="24"/>
        </w:rPr>
        <w:t>medio</w:t>
      </w:r>
      <w:r>
        <w:rPr>
          <w:spacing w:val="-7"/>
          <w:sz w:val="24"/>
        </w:rPr>
        <w:t> </w:t>
      </w:r>
      <w:r>
        <w:rPr>
          <w:sz w:val="24"/>
        </w:rPr>
        <w:t>ambiente.</w:t>
      </w:r>
    </w:p>
    <w:p>
      <w:pPr>
        <w:pStyle w:val="ListParagraph"/>
        <w:numPr>
          <w:ilvl w:val="0"/>
          <w:numId w:val="17"/>
        </w:numPr>
        <w:tabs>
          <w:tab w:pos="375" w:val="left" w:leader="none"/>
        </w:tabs>
        <w:spacing w:line="360" w:lineRule="auto" w:before="5" w:after="0"/>
        <w:ind w:left="101" w:right="125" w:firstLine="0"/>
        <w:jc w:val="both"/>
        <w:rPr>
          <w:sz w:val="24"/>
        </w:rPr>
      </w:pPr>
      <w:r>
        <w:rPr>
          <w:sz w:val="24"/>
        </w:rPr>
        <w:t>Estudios de preinversión, cuando se trate de estudios que sean necesarios para que una dependencia o entidad tome la decisión de llevar a cabo un programa o proyecto de inversión, y por lo tanto aún no se han erogado recursos para su ejecución. Dentro de los estudios de preinversión, podrá considerarse el análisis costo y</w:t>
      </w:r>
      <w:r>
        <w:rPr>
          <w:spacing w:val="-9"/>
          <w:sz w:val="24"/>
        </w:rPr>
        <w:t> </w:t>
      </w:r>
      <w:r>
        <w:rPr>
          <w:sz w:val="24"/>
        </w:rPr>
        <w:t>beneficio.</w:t>
      </w:r>
    </w:p>
    <w:p>
      <w:pPr>
        <w:pStyle w:val="ListParagraph"/>
        <w:numPr>
          <w:ilvl w:val="0"/>
          <w:numId w:val="17"/>
        </w:numPr>
        <w:tabs>
          <w:tab w:pos="399" w:val="left" w:leader="none"/>
        </w:tabs>
        <w:spacing w:line="360" w:lineRule="auto" w:before="2" w:after="0"/>
        <w:ind w:left="101" w:right="123" w:firstLine="0"/>
        <w:jc w:val="left"/>
        <w:rPr>
          <w:sz w:val="24"/>
        </w:rPr>
      </w:pPr>
      <w:r>
        <w:rPr>
          <w:sz w:val="24"/>
        </w:rPr>
        <w:t>Programa ambiental, cuando se trate de acciones cuyo objeto principal sea la conservación y protección de los recursos naturales y del ecosistema, la preservación de la biodiversidad, la mitigación de los efectos derivados de las actividades humanas sobre el medio ambiente, la restauración del equilibrio ecológico, así como aquellas encaminadas a la prevención, control y reversión de los procesos que generan contaminación con efectos adversos a la población. Incluye también aquellas acciones que promueven la gestión ambiental, el ordenamiento ecológico, y la educación y conocimientos para la sustentabilidad ambiental.</w:t>
      </w:r>
    </w:p>
    <w:p>
      <w:pPr>
        <w:pStyle w:val="ListParagraph"/>
        <w:numPr>
          <w:ilvl w:val="0"/>
          <w:numId w:val="17"/>
        </w:numPr>
        <w:tabs>
          <w:tab w:pos="444" w:val="left" w:leader="none"/>
        </w:tabs>
        <w:spacing w:line="360" w:lineRule="auto" w:before="5" w:after="0"/>
        <w:ind w:left="101" w:right="121" w:firstLine="0"/>
        <w:jc w:val="both"/>
        <w:rPr>
          <w:sz w:val="24"/>
        </w:rPr>
      </w:pPr>
      <w:r>
        <w:rPr>
          <w:sz w:val="24"/>
        </w:rPr>
        <w:t>Otros programas de inversión, cuando se trate de aquellos que </w:t>
      </w:r>
      <w:r>
        <w:rPr>
          <w:spacing w:val="6"/>
          <w:sz w:val="24"/>
        </w:rPr>
        <w:t>no </w:t>
      </w:r>
      <w:r>
        <w:rPr>
          <w:sz w:val="24"/>
        </w:rPr>
        <w:t>estén identificados en las fracciones</w:t>
      </w:r>
      <w:r>
        <w:rPr>
          <w:spacing w:val="-31"/>
          <w:sz w:val="24"/>
        </w:rPr>
        <w:t> </w:t>
      </w:r>
      <w:r>
        <w:rPr>
          <w:sz w:val="24"/>
        </w:rPr>
        <w:t>anteriores.</w:t>
      </w:r>
    </w:p>
    <w:p>
      <w:pPr>
        <w:pStyle w:val="BodyText"/>
      </w:pPr>
    </w:p>
    <w:p>
      <w:pPr>
        <w:pStyle w:val="Heading1"/>
        <w:numPr>
          <w:ilvl w:val="2"/>
          <w:numId w:val="15"/>
        </w:numPr>
        <w:tabs>
          <w:tab w:pos="727" w:val="left" w:leader="none"/>
        </w:tabs>
        <w:spacing w:line="360" w:lineRule="auto" w:before="142" w:after="0"/>
        <w:ind w:left="101" w:right="136" w:firstLine="0"/>
        <w:jc w:val="both"/>
      </w:pPr>
      <w:r>
        <w:rPr/>
        <w:t>Puntos a considerar en la naturaleza de los bienes que se adquieren para definir los programas de</w:t>
      </w:r>
      <w:r>
        <w:rPr>
          <w:spacing w:val="-23"/>
        </w:rPr>
        <w:t> </w:t>
      </w:r>
      <w:r>
        <w:rPr/>
        <w:t>adquisiciones</w:t>
      </w:r>
    </w:p>
    <w:p>
      <w:pPr>
        <w:pStyle w:val="BodyText"/>
        <w:rPr>
          <w:b/>
        </w:rPr>
      </w:pPr>
    </w:p>
    <w:p>
      <w:pPr>
        <w:pStyle w:val="BodyText"/>
        <w:spacing w:line="360" w:lineRule="auto" w:before="142"/>
        <w:ind w:left="101" w:right="128"/>
        <w:jc w:val="both"/>
      </w:pPr>
      <w:r>
        <w:rPr/>
        <w:t>Al definir sus programas de adquisiciones, las dependencias y entidades deberán considerar la naturaleza de los bienes que se adquieren, sin combinar adquisiciones de naturalezas distintas.</w:t>
      </w:r>
    </w:p>
    <w:p>
      <w:pPr>
        <w:pStyle w:val="BodyText"/>
        <w:spacing w:line="360" w:lineRule="auto" w:before="2"/>
        <w:ind w:left="101" w:right="117"/>
        <w:jc w:val="both"/>
      </w:pPr>
      <w:r>
        <w:rPr/>
        <w:t>Las dependencias y entidades podrán consolidar sus adquisiciones de una misma naturaleza, aun cuando las realicen diversas unidades responsables. Por ejemplo, podrán integrar sus adquisiciones de equipo informático o de vehículos para uso administrativo en un solo programa para cada uno de estos conceptos, sin importar que el presupuesto provenga de distintas unidades responsables.</w:t>
      </w:r>
    </w:p>
    <w:p>
      <w:pPr>
        <w:spacing w:after="0" w:line="360" w:lineRule="auto"/>
        <w:jc w:val="both"/>
        <w:sectPr>
          <w:pgSz w:w="12240" w:h="15840"/>
          <w:pgMar w:header="0" w:footer="1005" w:top="1380" w:bottom="1200" w:left="1600" w:right="1540"/>
        </w:sectPr>
      </w:pPr>
    </w:p>
    <w:p>
      <w:pPr>
        <w:pStyle w:val="BodyText"/>
        <w:spacing w:line="360" w:lineRule="auto" w:before="46"/>
        <w:ind w:left="101" w:right="106"/>
        <w:jc w:val="both"/>
      </w:pPr>
      <w:r>
        <w:rPr/>
        <w:t>En casos excepcionales, debidamente justificados, se podrán incluir bienes de naturalezas distintas en un solo programa cuyo monto total no rebase 20 millones de pesos.</w:t>
      </w:r>
    </w:p>
    <w:p>
      <w:pPr>
        <w:pStyle w:val="BodyText"/>
        <w:spacing w:line="360" w:lineRule="auto" w:before="5"/>
        <w:ind w:left="101" w:right="106"/>
        <w:jc w:val="both"/>
      </w:pPr>
      <w:r>
        <w:rPr/>
        <w:t>En materia de adquisiciones, las dependencias y entidades deberán manifestar de manera expresa, en el análisis costo y beneficio correspondiente, que cumplen con las disposiciones vigentes en materia de austeridad y disciplina presupuestaria.</w:t>
      </w:r>
    </w:p>
    <w:p>
      <w:pPr>
        <w:pStyle w:val="BodyText"/>
      </w:pPr>
    </w:p>
    <w:p>
      <w:pPr>
        <w:pStyle w:val="Heading1"/>
        <w:numPr>
          <w:ilvl w:val="2"/>
          <w:numId w:val="15"/>
        </w:numPr>
        <w:tabs>
          <w:tab w:pos="704" w:val="left" w:leader="none"/>
        </w:tabs>
        <w:spacing w:line="240" w:lineRule="auto" w:before="142" w:after="0"/>
        <w:ind w:left="704" w:right="0" w:hanging="603"/>
        <w:jc w:val="both"/>
      </w:pPr>
      <w:bookmarkStart w:name="_TOC_250000" w:id="16"/>
      <w:r>
        <w:rPr/>
        <w:t>Registro de Cartera de</w:t>
      </w:r>
      <w:r>
        <w:rPr>
          <w:spacing w:val="-21"/>
        </w:rPr>
        <w:t> </w:t>
      </w:r>
      <w:bookmarkEnd w:id="16"/>
      <w:r>
        <w:rPr/>
        <w:t>Proyectos</w:t>
      </w:r>
    </w:p>
    <w:p>
      <w:pPr>
        <w:pStyle w:val="BodyText"/>
        <w:rPr>
          <w:b/>
        </w:rPr>
      </w:pPr>
    </w:p>
    <w:p>
      <w:pPr>
        <w:pStyle w:val="BodyText"/>
        <w:rPr>
          <w:b/>
        </w:rPr>
      </w:pPr>
    </w:p>
    <w:p>
      <w:pPr>
        <w:pStyle w:val="BodyText"/>
        <w:spacing w:line="360" w:lineRule="auto"/>
        <w:ind w:left="101" w:right="138"/>
        <w:jc w:val="both"/>
      </w:pPr>
      <w:r>
        <w:rPr/>
        <w:t>La solicitud de registro en Cartera de nuevos programas y proyectos de inversión deberá contener el nombre del programa o proyecto, ramo administrativo (definido conforme al PEF), programa presupuestario, unidad responsable que ejecuta o coordina el programa o proyecto de inversión, alineación de documentos de planeación (vinculación del programa o proyecto de inversión con los objetivos, estrategias y prioridades contenidos en el Plan Nacional de Desarrollo, así como en los programas sectoriales, institucionales, regionales y especiales que de él se desprenden, conforme al Mecanismo de Planeación de los programas y proyectos de inversión del ramo que corresponda), tipo de programa o proyecto, localización, datos del administrador del programa, año con base en el cual se expresan los montos reportados en la solicitud, factibilidades del programa, calendario fiscal, otras fuentes de financiamiento, monto total de la inversión, metas físicas, beneficios esperados, tiempo estimado de operación de los activos, gastos estimados de operación y mantenimiento, otros cosos y gastos adicionales, costo total, costos y beneficios anuales, indicaciones de rentabilidad, tasa social de descuento, indicador estratégico, observaciones generales</w:t>
      </w:r>
    </w:p>
    <w:p>
      <w:pPr>
        <w:pStyle w:val="BodyText"/>
        <w:spacing w:line="360" w:lineRule="auto" w:before="5"/>
        <w:ind w:left="101" w:right="142"/>
        <w:jc w:val="both"/>
      </w:pPr>
      <w:r>
        <w:rPr/>
        <w:t>Si los análisis de prefactibilidad se encuentran en proceso de elaboración, se podrá otorgar el registro en la Cartera por un período de 180 días hábiles, y una vez cumplido dicho plazo, las dependencias y entidades deberán presentar ante la Unidad de Inversiones las conclusiones de los análisis de factibilidad técnica,  legal, económica y ambiental, así como los estudios de mercado y otros específicos de acuerdo al sector y al programa o proyecto de inversión de que  </w:t>
      </w:r>
      <w:r>
        <w:rPr>
          <w:spacing w:val="15"/>
        </w:rPr>
        <w:t> </w:t>
      </w:r>
      <w:r>
        <w:rPr/>
        <w:t>se</w:t>
      </w:r>
    </w:p>
    <w:p>
      <w:pPr>
        <w:pStyle w:val="BodyText"/>
        <w:spacing w:before="2"/>
        <w:ind w:left="101"/>
        <w:jc w:val="both"/>
      </w:pPr>
      <w:r>
        <w:rPr/>
        <w:t>trate; así como un escrito por medio del cual, se manifieste bajo protesta de   decir</w:t>
      </w:r>
    </w:p>
    <w:p>
      <w:pPr>
        <w:spacing w:after="0"/>
        <w:jc w:val="both"/>
        <w:sectPr>
          <w:pgSz w:w="12240" w:h="15840"/>
          <w:pgMar w:header="0" w:footer="1005" w:top="1380" w:bottom="1200" w:left="1600" w:right="1560"/>
        </w:sectPr>
      </w:pPr>
    </w:p>
    <w:p>
      <w:pPr>
        <w:pStyle w:val="BodyText"/>
        <w:spacing w:line="360" w:lineRule="auto" w:before="46"/>
        <w:ind w:left="101" w:right="139"/>
        <w:jc w:val="both"/>
      </w:pPr>
      <w:r>
        <w:rPr/>
        <w:t>verdad que han cumplido con los requisitos de los análisis de factibilidad. En caso de no cumplir con los requisitos antes mencionados en el plazo citado, el proyecto puede cambiar a la fase “En proceso de modificación/en proceso de captura” o ser cancelada la clave del registro en la Cartera (si el proyecto no ejerció los recuros a la fecha del cumplimiento).</w:t>
      </w:r>
    </w:p>
    <w:p>
      <w:pPr>
        <w:pStyle w:val="BodyText"/>
        <w:spacing w:line="360" w:lineRule="auto" w:before="5"/>
        <w:ind w:left="101" w:right="134"/>
        <w:jc w:val="both"/>
      </w:pPr>
      <w:r>
        <w:rPr/>
        <w:t>Así mismo, se deberá de llenar y enviar la solicitud de registro y el análisis costo- beneficio correspondiente; si se envían imágenes se recomienda el uso de formato PDF, ZIP o RAR; si corresponde, se enviarán las hojas electrónicas con las estimaciones de oferta y demanda, costos y beneficios e indicadores de rentabilidad.</w:t>
      </w:r>
    </w:p>
    <w:p>
      <w:pPr>
        <w:pStyle w:val="BodyText"/>
        <w:spacing w:line="360" w:lineRule="auto" w:before="2"/>
        <w:ind w:left="101" w:right="138"/>
        <w:jc w:val="both"/>
      </w:pPr>
      <w:r>
        <w:rPr/>
        <w:t>Una vez que las dependencias y entidades envíen electrónicamente la solicitud de registro y el análisis costo y beneficio, el PIPP asignará un número de solicitud que facilitará el manejo de la información entre las dependencias y entidades solicitantes y las áreas competentes de la Subsecretaría de Egresos (éste número de solicitud no significa que el programa o proyecto de inversión cuente con clave de registro en Cartera).La Unidad de Inversiones informará sobre el resultado de  la</w:t>
      </w:r>
      <w:r>
        <w:rPr>
          <w:spacing w:val="-3"/>
        </w:rPr>
        <w:t> </w:t>
      </w:r>
      <w:r>
        <w:rPr/>
        <w:t>solicitud</w:t>
      </w:r>
      <w:r>
        <w:rPr>
          <w:spacing w:val="-6"/>
        </w:rPr>
        <w:t> </w:t>
      </w:r>
      <w:r>
        <w:rPr/>
        <w:t>de</w:t>
      </w:r>
      <w:r>
        <w:rPr>
          <w:spacing w:val="-3"/>
        </w:rPr>
        <w:t> </w:t>
      </w:r>
      <w:r>
        <w:rPr/>
        <w:t>registro</w:t>
      </w:r>
      <w:r>
        <w:rPr>
          <w:spacing w:val="-6"/>
        </w:rPr>
        <w:t> </w:t>
      </w:r>
      <w:r>
        <w:rPr/>
        <w:t>al</w:t>
      </w:r>
      <w:r>
        <w:rPr>
          <w:spacing w:val="-5"/>
        </w:rPr>
        <w:t> </w:t>
      </w:r>
      <w:r>
        <w:rPr/>
        <w:t>solicitante</w:t>
      </w:r>
      <w:r>
        <w:rPr>
          <w:spacing w:val="-3"/>
        </w:rPr>
        <w:t> </w:t>
      </w:r>
      <w:r>
        <w:rPr/>
        <w:t>e</w:t>
      </w:r>
      <w:r>
        <w:rPr>
          <w:spacing w:val="-3"/>
        </w:rPr>
        <w:t> </w:t>
      </w:r>
      <w:r>
        <w:rPr/>
        <w:t>instancias</w:t>
      </w:r>
      <w:r>
        <w:rPr>
          <w:spacing w:val="-4"/>
        </w:rPr>
        <w:t> </w:t>
      </w:r>
      <w:r>
        <w:rPr/>
        <w:t>competentes</w:t>
      </w:r>
      <w:r>
        <w:rPr>
          <w:spacing w:val="-6"/>
        </w:rPr>
        <w:t> </w:t>
      </w:r>
      <w:r>
        <w:rPr/>
        <w:t>a</w:t>
      </w:r>
      <w:r>
        <w:rPr>
          <w:spacing w:val="-3"/>
        </w:rPr>
        <w:t> </w:t>
      </w:r>
      <w:r>
        <w:rPr/>
        <w:t>través</w:t>
      </w:r>
      <w:r>
        <w:rPr>
          <w:spacing w:val="-4"/>
        </w:rPr>
        <w:t> </w:t>
      </w:r>
      <w:r>
        <w:rPr/>
        <w:t>del</w:t>
      </w:r>
      <w:r>
        <w:rPr>
          <w:spacing w:val="-7"/>
        </w:rPr>
        <w:t> </w:t>
      </w:r>
      <w:r>
        <w:rPr/>
        <w:t>PIPP.</w:t>
      </w:r>
    </w:p>
    <w:p>
      <w:pPr>
        <w:pStyle w:val="BodyText"/>
        <w:spacing w:line="360" w:lineRule="auto" w:before="5"/>
        <w:ind w:left="101" w:right="107"/>
        <w:jc w:val="both"/>
      </w:pPr>
      <w:r>
        <w:rPr/>
        <w:t>Si existen modificaciones de programas y proyectos de inversión previamente registrados en Cartera sin modificación de alcance, dependencias y entidades únicamente se actualizará la información correspondiente a través del módulo de “Cartera de Inversión” del PIPP</w:t>
      </w:r>
    </w:p>
    <w:p>
      <w:pPr>
        <w:spacing w:after="0" w:line="360" w:lineRule="auto"/>
        <w:jc w:val="both"/>
        <w:sectPr>
          <w:pgSz w:w="12240" w:h="15840"/>
          <w:pgMar w:header="0" w:footer="1005" w:top="1380" w:bottom="1200" w:left="1600" w:right="1560"/>
        </w:sectPr>
      </w:pPr>
    </w:p>
    <w:p>
      <w:pPr>
        <w:pStyle w:val="Heading1"/>
        <w:spacing w:line="360" w:lineRule="auto" w:before="46"/>
        <w:ind w:left="251" w:right="275"/>
        <w:jc w:val="center"/>
      </w:pPr>
      <w:r>
        <w:rPr/>
        <w:t>CAPÍTULO III METODOLOGÍA PARA LA EVALUACIÓN SOCIOECONÓMICA DE PROYECTOS DE SALUD</w:t>
      </w:r>
    </w:p>
    <w:p>
      <w:pPr>
        <w:pStyle w:val="BodyText"/>
        <w:rPr>
          <w:b/>
        </w:rPr>
      </w:pPr>
    </w:p>
    <w:p>
      <w:pPr>
        <w:spacing w:before="142"/>
        <w:ind w:left="251" w:right="270" w:firstLine="0"/>
        <w:jc w:val="center"/>
        <w:rPr>
          <w:b/>
          <w:sz w:val="24"/>
        </w:rPr>
      </w:pPr>
      <w:r>
        <w:rPr>
          <w:b/>
          <w:sz w:val="24"/>
        </w:rPr>
        <w:t>Objetivo General</w:t>
      </w:r>
    </w:p>
    <w:p>
      <w:pPr>
        <w:pStyle w:val="BodyText"/>
        <w:rPr>
          <w:b/>
        </w:rPr>
      </w:pPr>
    </w:p>
    <w:p>
      <w:pPr>
        <w:pStyle w:val="BodyText"/>
        <w:rPr>
          <w:b/>
        </w:rPr>
      </w:pPr>
    </w:p>
    <w:p>
      <w:pPr>
        <w:pStyle w:val="BodyText"/>
        <w:spacing w:line="360" w:lineRule="auto"/>
        <w:ind w:left="101" w:right="102"/>
      </w:pPr>
      <w:r>
        <w:rPr/>
        <w:t>Demostrar la viabilidad financiera y social de la adquisición de una Unidad de Atención Médica a Pacientes Críticos en Situación de Desastre.</w:t>
      </w:r>
    </w:p>
    <w:p>
      <w:pPr>
        <w:pStyle w:val="BodyText"/>
      </w:pPr>
    </w:p>
    <w:p>
      <w:pPr>
        <w:pStyle w:val="Heading1"/>
        <w:ind w:left="249" w:right="275"/>
        <w:jc w:val="center"/>
      </w:pPr>
      <w:r>
        <w:rPr/>
        <w:t>Objetivos específicos</w:t>
      </w:r>
    </w:p>
    <w:p>
      <w:pPr>
        <w:pStyle w:val="BodyText"/>
        <w:rPr>
          <w:b/>
        </w:rPr>
      </w:pPr>
    </w:p>
    <w:p>
      <w:pPr>
        <w:pStyle w:val="BodyText"/>
        <w:rPr>
          <w:b/>
        </w:rPr>
      </w:pPr>
    </w:p>
    <w:p>
      <w:pPr>
        <w:pStyle w:val="ListParagraph"/>
        <w:numPr>
          <w:ilvl w:val="0"/>
          <w:numId w:val="18"/>
        </w:numPr>
        <w:tabs>
          <w:tab w:pos="383" w:val="left" w:leader="none"/>
        </w:tabs>
        <w:spacing w:line="240" w:lineRule="auto" w:before="0" w:after="0"/>
        <w:ind w:left="101" w:right="0" w:firstLine="0"/>
        <w:jc w:val="left"/>
        <w:rPr>
          <w:sz w:val="24"/>
        </w:rPr>
      </w:pPr>
      <w:r>
        <w:rPr>
          <w:sz w:val="24"/>
        </w:rPr>
        <w:t>Determinar la fuente de</w:t>
      </w:r>
      <w:r>
        <w:rPr>
          <w:spacing w:val="-30"/>
          <w:sz w:val="24"/>
        </w:rPr>
        <w:t> </w:t>
      </w:r>
      <w:r>
        <w:rPr>
          <w:sz w:val="24"/>
        </w:rPr>
        <w:t>financiamiento.</w:t>
      </w:r>
    </w:p>
    <w:p>
      <w:pPr>
        <w:pStyle w:val="ListParagraph"/>
        <w:numPr>
          <w:ilvl w:val="0"/>
          <w:numId w:val="18"/>
        </w:numPr>
        <w:tabs>
          <w:tab w:pos="383" w:val="left" w:leader="none"/>
        </w:tabs>
        <w:spacing w:line="240" w:lineRule="auto" w:before="139" w:after="0"/>
        <w:ind w:left="382" w:right="0" w:hanging="281"/>
        <w:jc w:val="left"/>
        <w:rPr>
          <w:sz w:val="24"/>
        </w:rPr>
      </w:pPr>
      <w:r>
        <w:rPr>
          <w:sz w:val="24"/>
        </w:rPr>
        <w:t>Analizar el contexto de aplicación del</w:t>
      </w:r>
      <w:r>
        <w:rPr>
          <w:spacing w:val="-36"/>
          <w:sz w:val="24"/>
        </w:rPr>
        <w:t> </w:t>
      </w:r>
      <w:r>
        <w:rPr>
          <w:sz w:val="24"/>
        </w:rPr>
        <w:t>proyecto.</w:t>
      </w:r>
    </w:p>
    <w:p>
      <w:pPr>
        <w:pStyle w:val="ListParagraph"/>
        <w:numPr>
          <w:ilvl w:val="0"/>
          <w:numId w:val="18"/>
        </w:numPr>
        <w:tabs>
          <w:tab w:pos="400" w:val="left" w:leader="none"/>
        </w:tabs>
        <w:spacing w:line="360" w:lineRule="auto" w:before="137" w:after="0"/>
        <w:ind w:left="101" w:right="130" w:firstLine="0"/>
        <w:jc w:val="left"/>
        <w:rPr>
          <w:sz w:val="24"/>
        </w:rPr>
      </w:pPr>
      <w:r>
        <w:rPr>
          <w:sz w:val="24"/>
        </w:rPr>
        <w:t>Calcular los indicadores de rentabilidad de una Unidad de Atención Médica a Pacientes Críticos en Situación de</w:t>
      </w:r>
      <w:r>
        <w:rPr>
          <w:spacing w:val="-25"/>
          <w:sz w:val="24"/>
        </w:rPr>
        <w:t> </w:t>
      </w:r>
      <w:r>
        <w:rPr>
          <w:sz w:val="24"/>
        </w:rPr>
        <w:t>desastre.</w:t>
      </w:r>
    </w:p>
    <w:p>
      <w:pPr>
        <w:pStyle w:val="ListParagraph"/>
        <w:numPr>
          <w:ilvl w:val="0"/>
          <w:numId w:val="18"/>
        </w:numPr>
        <w:tabs>
          <w:tab w:pos="383" w:val="left" w:leader="none"/>
        </w:tabs>
        <w:spacing w:line="240" w:lineRule="auto" w:before="2" w:after="0"/>
        <w:ind w:left="382" w:right="0" w:hanging="281"/>
        <w:jc w:val="left"/>
        <w:rPr>
          <w:sz w:val="24"/>
        </w:rPr>
      </w:pPr>
      <w:r>
        <w:rPr>
          <w:sz w:val="24"/>
        </w:rPr>
        <w:t>Cuantificar la oferta y la</w:t>
      </w:r>
      <w:r>
        <w:rPr>
          <w:spacing w:val="-23"/>
          <w:sz w:val="24"/>
        </w:rPr>
        <w:t> </w:t>
      </w:r>
      <w:r>
        <w:rPr>
          <w:sz w:val="24"/>
        </w:rPr>
        <w:t>demanda.</w:t>
      </w:r>
    </w:p>
    <w:p>
      <w:pPr>
        <w:pStyle w:val="ListParagraph"/>
        <w:numPr>
          <w:ilvl w:val="0"/>
          <w:numId w:val="18"/>
        </w:numPr>
        <w:tabs>
          <w:tab w:pos="383" w:val="left" w:leader="none"/>
        </w:tabs>
        <w:spacing w:line="240" w:lineRule="auto" w:before="139" w:after="0"/>
        <w:ind w:left="382" w:right="0" w:hanging="281"/>
        <w:jc w:val="left"/>
        <w:rPr>
          <w:sz w:val="24"/>
        </w:rPr>
      </w:pPr>
      <w:r>
        <w:rPr>
          <w:sz w:val="24"/>
        </w:rPr>
        <w:t>Analizar el</w:t>
      </w:r>
      <w:r>
        <w:rPr>
          <w:spacing w:val="-17"/>
          <w:sz w:val="24"/>
        </w:rPr>
        <w:t> </w:t>
      </w:r>
      <w:r>
        <w:rPr>
          <w:sz w:val="24"/>
        </w:rPr>
        <w:t>costo-beneficio.</w:t>
      </w:r>
    </w:p>
    <w:p>
      <w:pPr>
        <w:pStyle w:val="ListParagraph"/>
        <w:numPr>
          <w:ilvl w:val="0"/>
          <w:numId w:val="18"/>
        </w:numPr>
        <w:tabs>
          <w:tab w:pos="356" w:val="left" w:leader="none"/>
        </w:tabs>
        <w:spacing w:line="360" w:lineRule="auto" w:before="137" w:after="0"/>
        <w:ind w:left="101" w:right="114" w:firstLine="0"/>
        <w:jc w:val="left"/>
        <w:rPr>
          <w:sz w:val="24"/>
        </w:rPr>
      </w:pPr>
      <w:r>
        <w:rPr>
          <w:sz w:val="24"/>
        </w:rPr>
        <w:t>Establecer la viabilidad por medio de análisis de riesgo, sensibilidad y costo- beneficio.</w:t>
      </w:r>
    </w:p>
    <w:p>
      <w:pPr>
        <w:pStyle w:val="ListParagraph"/>
        <w:numPr>
          <w:ilvl w:val="0"/>
          <w:numId w:val="18"/>
        </w:numPr>
        <w:tabs>
          <w:tab w:pos="381" w:val="left" w:leader="none"/>
        </w:tabs>
        <w:spacing w:line="240" w:lineRule="auto" w:before="2" w:after="0"/>
        <w:ind w:left="380" w:right="0" w:hanging="279"/>
        <w:jc w:val="left"/>
        <w:rPr>
          <w:sz w:val="24"/>
        </w:rPr>
      </w:pPr>
      <w:r>
        <w:rPr>
          <w:sz w:val="24"/>
        </w:rPr>
        <w:t>Analizar el costo anual</w:t>
      </w:r>
      <w:r>
        <w:rPr>
          <w:spacing w:val="-26"/>
          <w:sz w:val="24"/>
        </w:rPr>
        <w:t> </w:t>
      </w:r>
      <w:r>
        <w:rPr>
          <w:sz w:val="24"/>
        </w:rPr>
        <w:t>equivalente.</w:t>
      </w:r>
    </w:p>
    <w:p>
      <w:pPr>
        <w:pStyle w:val="ListParagraph"/>
        <w:numPr>
          <w:ilvl w:val="0"/>
          <w:numId w:val="18"/>
        </w:numPr>
        <w:tabs>
          <w:tab w:pos="383" w:val="left" w:leader="none"/>
        </w:tabs>
        <w:spacing w:line="240" w:lineRule="auto" w:before="139" w:after="0"/>
        <w:ind w:left="382" w:right="0" w:hanging="281"/>
        <w:jc w:val="left"/>
        <w:rPr>
          <w:sz w:val="24"/>
        </w:rPr>
      </w:pPr>
      <w:r>
        <w:rPr>
          <w:sz w:val="24"/>
        </w:rPr>
        <w:t>Realizar la propuesta de</w:t>
      </w:r>
      <w:r>
        <w:rPr>
          <w:spacing w:val="-26"/>
          <w:sz w:val="24"/>
        </w:rPr>
        <w:t> </w:t>
      </w:r>
      <w:r>
        <w:rPr>
          <w:sz w:val="24"/>
        </w:rPr>
        <w:t>inversión.</w:t>
      </w:r>
    </w:p>
    <w:p>
      <w:pPr>
        <w:pStyle w:val="BodyText"/>
      </w:pPr>
    </w:p>
    <w:p>
      <w:pPr>
        <w:pStyle w:val="BodyText"/>
      </w:pPr>
    </w:p>
    <w:p>
      <w:pPr>
        <w:pStyle w:val="Heading1"/>
        <w:spacing w:before="0"/>
        <w:ind w:left="251" w:right="272"/>
        <w:jc w:val="center"/>
      </w:pPr>
      <w:r>
        <w:rPr/>
        <w:t>Preguntas de investigación</w:t>
      </w:r>
    </w:p>
    <w:p>
      <w:pPr>
        <w:pStyle w:val="BodyText"/>
        <w:rPr>
          <w:b/>
        </w:rPr>
      </w:pPr>
    </w:p>
    <w:p>
      <w:pPr>
        <w:pStyle w:val="BodyText"/>
        <w:spacing w:before="5"/>
        <w:rPr>
          <w:b/>
          <w:sz w:val="34"/>
        </w:rPr>
      </w:pPr>
    </w:p>
    <w:p>
      <w:pPr>
        <w:pStyle w:val="ListParagraph"/>
        <w:numPr>
          <w:ilvl w:val="0"/>
          <w:numId w:val="19"/>
        </w:numPr>
        <w:tabs>
          <w:tab w:pos="462" w:val="left" w:leader="none"/>
        </w:tabs>
        <w:spacing w:line="360" w:lineRule="auto" w:before="0" w:after="0"/>
        <w:ind w:left="461" w:right="122" w:hanging="360"/>
        <w:jc w:val="left"/>
        <w:rPr>
          <w:sz w:val="24"/>
        </w:rPr>
      </w:pPr>
      <w:r>
        <w:rPr>
          <w:sz w:val="24"/>
        </w:rPr>
        <w:t>¿Cuál será la fuente de financiamiento de la Unidad de Atención Médica a Pacientes Críticos en Situación de</w:t>
      </w:r>
      <w:r>
        <w:rPr>
          <w:spacing w:val="-28"/>
          <w:sz w:val="24"/>
        </w:rPr>
        <w:t> </w:t>
      </w:r>
      <w:r>
        <w:rPr>
          <w:sz w:val="24"/>
        </w:rPr>
        <w:t>Desastre?</w:t>
      </w:r>
    </w:p>
    <w:p>
      <w:pPr>
        <w:pStyle w:val="ListParagraph"/>
        <w:numPr>
          <w:ilvl w:val="0"/>
          <w:numId w:val="19"/>
        </w:numPr>
        <w:tabs>
          <w:tab w:pos="462" w:val="left" w:leader="none"/>
        </w:tabs>
        <w:spacing w:line="240" w:lineRule="auto" w:before="5" w:after="0"/>
        <w:ind w:left="461" w:right="0" w:hanging="360"/>
        <w:jc w:val="left"/>
        <w:rPr>
          <w:sz w:val="24"/>
        </w:rPr>
      </w:pPr>
      <w:r>
        <w:rPr>
          <w:sz w:val="24"/>
        </w:rPr>
        <w:t>¿Cuál es el contexto de aplicación del</w:t>
      </w:r>
      <w:r>
        <w:rPr>
          <w:spacing w:val="-35"/>
          <w:sz w:val="24"/>
        </w:rPr>
        <w:t> </w:t>
      </w:r>
      <w:r>
        <w:rPr>
          <w:sz w:val="24"/>
        </w:rPr>
        <w:t>proyecto?</w:t>
      </w:r>
    </w:p>
    <w:p>
      <w:pPr>
        <w:pStyle w:val="ListParagraph"/>
        <w:numPr>
          <w:ilvl w:val="0"/>
          <w:numId w:val="19"/>
        </w:numPr>
        <w:tabs>
          <w:tab w:pos="462" w:val="left" w:leader="none"/>
        </w:tabs>
        <w:spacing w:line="360" w:lineRule="auto" w:before="137" w:after="0"/>
        <w:ind w:left="461" w:right="128" w:hanging="360"/>
        <w:jc w:val="left"/>
        <w:rPr>
          <w:sz w:val="24"/>
        </w:rPr>
      </w:pPr>
      <w:r>
        <w:rPr>
          <w:sz w:val="24"/>
        </w:rPr>
        <w:t>¿Cuáles son los indicadores de rentabilidad de una Unidad de Atención Médica a Pacientes Críticos en Situación de</w:t>
      </w:r>
      <w:r>
        <w:rPr>
          <w:spacing w:val="-28"/>
          <w:sz w:val="24"/>
        </w:rPr>
        <w:t> </w:t>
      </w:r>
      <w:r>
        <w:rPr>
          <w:sz w:val="24"/>
        </w:rPr>
        <w:t>Desastre?</w:t>
      </w:r>
    </w:p>
    <w:p>
      <w:pPr>
        <w:pStyle w:val="ListParagraph"/>
        <w:numPr>
          <w:ilvl w:val="0"/>
          <w:numId w:val="19"/>
        </w:numPr>
        <w:tabs>
          <w:tab w:pos="462" w:val="left" w:leader="none"/>
        </w:tabs>
        <w:spacing w:line="360" w:lineRule="auto" w:before="2" w:after="0"/>
        <w:ind w:left="461" w:right="123" w:hanging="360"/>
        <w:jc w:val="left"/>
        <w:rPr>
          <w:sz w:val="24"/>
        </w:rPr>
      </w:pPr>
      <w:r>
        <w:rPr>
          <w:sz w:val="24"/>
        </w:rPr>
        <w:t>¿Cuál es la oferta y la demanda de la Unidad de Atención Médica a Pacientes Críticos en Situación de</w:t>
      </w:r>
      <w:r>
        <w:rPr>
          <w:spacing w:val="-17"/>
          <w:sz w:val="24"/>
        </w:rPr>
        <w:t> </w:t>
      </w:r>
      <w:r>
        <w:rPr>
          <w:sz w:val="24"/>
        </w:rPr>
        <w:t>Desastre?</w:t>
      </w:r>
    </w:p>
    <w:p>
      <w:pPr>
        <w:pStyle w:val="ListParagraph"/>
        <w:numPr>
          <w:ilvl w:val="0"/>
          <w:numId w:val="19"/>
        </w:numPr>
        <w:tabs>
          <w:tab w:pos="462" w:val="left" w:leader="none"/>
        </w:tabs>
        <w:spacing w:line="240" w:lineRule="auto" w:before="5" w:after="0"/>
        <w:ind w:left="461" w:right="0" w:hanging="360"/>
        <w:jc w:val="left"/>
        <w:rPr>
          <w:sz w:val="24"/>
        </w:rPr>
      </w:pPr>
      <w:r>
        <w:rPr>
          <w:sz w:val="24"/>
        </w:rPr>
        <w:t>¿Cuál es el costo-beneficio del</w:t>
      </w:r>
      <w:r>
        <w:rPr>
          <w:spacing w:val="-24"/>
          <w:sz w:val="24"/>
        </w:rPr>
        <w:t> </w:t>
      </w:r>
      <w:r>
        <w:rPr>
          <w:sz w:val="24"/>
        </w:rPr>
        <w:t>proyecto?</w:t>
      </w:r>
    </w:p>
    <w:p>
      <w:pPr>
        <w:spacing w:after="0" w:line="240" w:lineRule="auto"/>
        <w:jc w:val="left"/>
        <w:rPr>
          <w:sz w:val="24"/>
        </w:rPr>
        <w:sectPr>
          <w:footerReference w:type="default" r:id="rId13"/>
          <w:pgSz w:w="12240" w:h="15840"/>
          <w:pgMar w:footer="998" w:header="0" w:top="1380" w:bottom="1180" w:left="1600" w:right="1580"/>
          <w:pgNumType w:start="20"/>
        </w:sectPr>
      </w:pPr>
    </w:p>
    <w:p>
      <w:pPr>
        <w:pStyle w:val="ListParagraph"/>
        <w:numPr>
          <w:ilvl w:val="0"/>
          <w:numId w:val="19"/>
        </w:numPr>
        <w:tabs>
          <w:tab w:pos="461" w:val="left" w:leader="none"/>
          <w:tab w:pos="462" w:val="left" w:leader="none"/>
        </w:tabs>
        <w:spacing w:line="360" w:lineRule="auto" w:before="46" w:after="0"/>
        <w:ind w:left="461" w:right="100" w:hanging="360"/>
        <w:jc w:val="left"/>
        <w:rPr>
          <w:sz w:val="24"/>
        </w:rPr>
      </w:pPr>
      <w:r>
        <w:rPr>
          <w:sz w:val="24"/>
        </w:rPr>
        <w:t>¿En base al análisis de riesgo, sensibilidad y costo-beneficio es viable el proyecto?</w:t>
      </w:r>
    </w:p>
    <w:p>
      <w:pPr>
        <w:pStyle w:val="ListParagraph"/>
        <w:numPr>
          <w:ilvl w:val="0"/>
          <w:numId w:val="19"/>
        </w:numPr>
        <w:tabs>
          <w:tab w:pos="462" w:val="left" w:leader="none"/>
        </w:tabs>
        <w:spacing w:line="240" w:lineRule="auto" w:before="2" w:after="0"/>
        <w:ind w:left="461" w:right="0" w:hanging="360"/>
        <w:jc w:val="both"/>
        <w:rPr>
          <w:sz w:val="24"/>
        </w:rPr>
      </w:pPr>
      <w:r>
        <w:rPr>
          <w:sz w:val="24"/>
        </w:rPr>
        <w:t>¿Es viable el proyecto en base al costo anual</w:t>
      </w:r>
      <w:r>
        <w:rPr>
          <w:spacing w:val="-31"/>
          <w:sz w:val="24"/>
        </w:rPr>
        <w:t> </w:t>
      </w:r>
      <w:r>
        <w:rPr>
          <w:sz w:val="24"/>
        </w:rPr>
        <w:t>equivalente?</w:t>
      </w:r>
    </w:p>
    <w:p>
      <w:pPr>
        <w:pStyle w:val="ListParagraph"/>
        <w:numPr>
          <w:ilvl w:val="0"/>
          <w:numId w:val="19"/>
        </w:numPr>
        <w:tabs>
          <w:tab w:pos="462" w:val="left" w:leader="none"/>
        </w:tabs>
        <w:spacing w:line="360" w:lineRule="auto" w:before="139" w:after="0"/>
        <w:ind w:left="461" w:right="102" w:hanging="360"/>
        <w:jc w:val="left"/>
        <w:rPr>
          <w:sz w:val="24"/>
        </w:rPr>
      </w:pPr>
      <w:r>
        <w:rPr>
          <w:sz w:val="24"/>
        </w:rPr>
        <w:t>¿Cuál es la propuesta de inversión de la Unidad de Atención Médica a Pacientes Críticos en Situación de</w:t>
      </w:r>
      <w:r>
        <w:rPr>
          <w:spacing w:val="-28"/>
          <w:sz w:val="24"/>
        </w:rPr>
        <w:t> </w:t>
      </w:r>
      <w:r>
        <w:rPr>
          <w:sz w:val="24"/>
        </w:rPr>
        <w:t>desastre?</w:t>
      </w:r>
    </w:p>
    <w:p>
      <w:pPr>
        <w:pStyle w:val="BodyText"/>
      </w:pPr>
    </w:p>
    <w:p>
      <w:pPr>
        <w:pStyle w:val="Heading1"/>
        <w:ind w:left="461"/>
      </w:pPr>
      <w:r>
        <w:rPr/>
        <w:t>Propósito</w:t>
      </w:r>
    </w:p>
    <w:p>
      <w:pPr>
        <w:pStyle w:val="BodyText"/>
        <w:spacing w:before="6"/>
        <w:rPr>
          <w:b/>
          <w:sz w:val="22"/>
        </w:rPr>
      </w:pPr>
    </w:p>
    <w:p>
      <w:pPr>
        <w:pStyle w:val="BodyText"/>
        <w:spacing w:line="360" w:lineRule="auto"/>
        <w:ind w:left="461" w:right="101"/>
        <w:jc w:val="both"/>
      </w:pPr>
      <w:r>
        <w:rPr/>
        <w:t>Mostrar el desarrollo pertinente que aporta una valuación financiera adecuada para evitar pérdidas financieras a la hora de la implementación de una Unidad de Atención Médica a Pacientes Críticos en Situación de Desastre.</w:t>
      </w:r>
    </w:p>
    <w:p>
      <w:pPr>
        <w:pStyle w:val="BodyText"/>
      </w:pPr>
    </w:p>
    <w:p>
      <w:pPr>
        <w:pStyle w:val="Heading1"/>
      </w:pPr>
      <w:r>
        <w:rPr/>
        <w:t>Planteamiento del Problema</w:t>
      </w:r>
    </w:p>
    <w:p>
      <w:pPr>
        <w:pStyle w:val="BodyText"/>
        <w:rPr>
          <w:b/>
        </w:rPr>
      </w:pPr>
    </w:p>
    <w:p>
      <w:pPr>
        <w:pStyle w:val="BodyText"/>
        <w:rPr>
          <w:b/>
        </w:rPr>
      </w:pPr>
    </w:p>
    <w:p>
      <w:pPr>
        <w:pStyle w:val="BodyText"/>
        <w:spacing w:line="360" w:lineRule="auto"/>
        <w:ind w:left="101" w:right="101"/>
        <w:jc w:val="both"/>
      </w:pPr>
      <w:r>
        <w:rPr/>
        <w:t>La atención médica especializada es importante porque ayuda a mejorar el estado de salud de personas con padecimientos graves crónicos o de urgencia que pueden llegar a poner en riesgo su vida, tal es el caso de enfermedades cómo Cáncer, Hipertensión o heridos durante accidentes o desastres.</w:t>
      </w:r>
    </w:p>
    <w:p>
      <w:pPr>
        <w:pStyle w:val="BodyText"/>
        <w:spacing w:line="360" w:lineRule="auto" w:before="5"/>
        <w:ind w:left="101" w:right="109"/>
        <w:jc w:val="both"/>
      </w:pPr>
      <w:r>
        <w:rPr/>
        <w:t>Las áreas de oportunidad de la atención médica especializada, son principalmente en Hospitales de tercer nivel, en los que se cuenta con la infraestructura necesaria para atender a pacientes que requieren cierto tipo de cuidados, tratamientos, terapias o medicamentos que no se encuentran en otros niveles de atención hospitalaria.</w:t>
      </w:r>
    </w:p>
    <w:p>
      <w:pPr>
        <w:pStyle w:val="BodyText"/>
        <w:spacing w:line="360" w:lineRule="auto" w:before="2"/>
        <w:ind w:left="101" w:right="105"/>
        <w:jc w:val="both"/>
      </w:pPr>
      <w:r>
        <w:rPr/>
        <w:t>Por lo anteriormente mencionado, las unidades de segundo y primer nivel refieren personas que no pueden atenderse en éstos hospitales hacia el tercer nivel de atención, lo que ocasiona que se saturen los servicios, de la misma manera </w:t>
      </w:r>
      <w:r>
        <w:rPr>
          <w:spacing w:val="-2"/>
        </w:rPr>
        <w:t>que</w:t>
      </w:r>
      <w:r>
        <w:rPr>
          <w:spacing w:val="62"/>
        </w:rPr>
        <w:t> </w:t>
      </w:r>
      <w:r>
        <w:rPr/>
        <w:t>en ocasiones los pacientes tienen que trasladarse de su lugar de origen junto con algún acompañante o</w:t>
      </w:r>
      <w:r>
        <w:rPr>
          <w:spacing w:val="-21"/>
        </w:rPr>
        <w:t> </w:t>
      </w:r>
      <w:r>
        <w:rPr/>
        <w:t>familiar.</w:t>
      </w:r>
    </w:p>
    <w:p>
      <w:pPr>
        <w:pStyle w:val="BodyText"/>
        <w:spacing w:line="360" w:lineRule="auto" w:before="5"/>
        <w:ind w:left="101" w:right="104"/>
        <w:jc w:val="both"/>
      </w:pPr>
      <w:r>
        <w:rPr/>
        <w:t>Actualmente, el Estado de México, es una entidad de mediano riesgo en emergencias asociadas a fenómenos perturbadores, que se pueden ir  presentando de manera imprevisible, de entre los cuales, los más relevantes han sido asociadas a la industria de la pirotecnia, inundaciones en algunos </w:t>
      </w:r>
      <w:r>
        <w:rPr>
          <w:spacing w:val="14"/>
        </w:rPr>
        <w:t> </w:t>
      </w:r>
      <w:r>
        <w:rPr/>
        <w:t>municipios</w:t>
      </w:r>
    </w:p>
    <w:p>
      <w:pPr>
        <w:spacing w:after="0" w:line="360" w:lineRule="auto"/>
        <w:jc w:val="both"/>
        <w:sectPr>
          <w:pgSz w:w="12240" w:h="15840"/>
          <w:pgMar w:header="0" w:footer="998" w:top="1380" w:bottom="1200" w:left="1600" w:right="1600"/>
        </w:sectPr>
      </w:pPr>
    </w:p>
    <w:p>
      <w:pPr>
        <w:pStyle w:val="BodyText"/>
        <w:spacing w:line="360" w:lineRule="auto" w:before="46"/>
        <w:ind w:left="101" w:right="100"/>
        <w:jc w:val="both"/>
      </w:pPr>
      <w:r>
        <w:rPr/>
        <w:t>(Chalco, Ecatepec, Tlalnepantla, Nezahualcóyotl e Ixtapaluca), la constante amenaza de erupción volcánica, así como sismos (uno de gran magnitud), entre otros desastres.</w:t>
      </w:r>
    </w:p>
    <w:p>
      <w:pPr>
        <w:pStyle w:val="BodyText"/>
        <w:spacing w:line="360" w:lineRule="auto" w:before="5"/>
        <w:ind w:left="101" w:right="98"/>
        <w:jc w:val="both"/>
      </w:pPr>
      <w:r>
        <w:rPr/>
        <w:t>Éste tipo de sucesos pueden generar múltiples víctimas por la atención especializada tardía, debido principalmente al insuficiente tiempo de traslado causado por el tipo y capacidad de unidades con las que se cuenta actualmente dentro del Sistema de Urgencias del Estado de México (SUEM) y al personal médico y paramédico no especializado, lo cual limita el tipo de procedimientos que se pueden realizar en el sitio en que se presentó la emergencia.</w:t>
      </w:r>
    </w:p>
    <w:p>
      <w:pPr>
        <w:pStyle w:val="BodyText"/>
        <w:spacing w:line="360" w:lineRule="auto" w:before="5"/>
        <w:ind w:left="101" w:right="103"/>
        <w:jc w:val="both"/>
      </w:pPr>
      <w:r>
        <w:rPr/>
        <w:t>En la NOM-237-SSA1-2004 se establecen los criterios mínimos que se deben observar en la atención pre-hospitalaria de las urgencias médicas, los requisitos y características del personal involucrado, así como el equipamiento e insumos mínimos para las unidades de traslado, debido principalmente a que el campo de las urgencias médicas especializadas, no ha logrado alcanzar el desarrollo suficiente para abatir los índices de morbilidad y mortalidad en aquellas personas lesionadas o enfermas que a consecuencia de  fenómenos  perturbadores requieren ser atendidas y tratadas con oportunidad y eficacia a fin de limitar el daño y tener mayores probabilidades de sobrevivir con las menores secuelas posibles.</w:t>
      </w:r>
    </w:p>
    <w:p>
      <w:pPr>
        <w:pStyle w:val="BodyText"/>
        <w:spacing w:line="360" w:lineRule="auto" w:before="5"/>
        <w:ind w:left="101" w:right="109"/>
        <w:jc w:val="both"/>
      </w:pPr>
      <w:r>
        <w:rPr/>
        <w:t>El análisis de la viabilidad financiera de la Adquisición de una Unidad Médica Móvil Especializada para el Estado de México, se realizará con la finalidad de conocer los principales costos de atención, de traslado, de material, de operación y de recursos humanos, así como la rentabilidad y B/C por impacto a la población desprotegida durante un desastre</w:t>
      </w:r>
    </w:p>
    <w:p>
      <w:pPr>
        <w:spacing w:after="0" w:line="360" w:lineRule="auto"/>
        <w:jc w:val="both"/>
        <w:sectPr>
          <w:pgSz w:w="12240" w:h="15840"/>
          <w:pgMar w:header="0" w:footer="998" w:top="1380" w:bottom="1200" w:left="1600" w:right="1600"/>
        </w:sectPr>
      </w:pPr>
    </w:p>
    <w:p>
      <w:pPr>
        <w:pStyle w:val="Heading1"/>
        <w:spacing w:before="46"/>
        <w:ind w:left="3474" w:right="3474"/>
        <w:jc w:val="center"/>
      </w:pPr>
      <w:r>
        <w:rPr/>
        <w:t>Hipótesis</w:t>
      </w:r>
    </w:p>
    <w:p>
      <w:pPr>
        <w:pStyle w:val="BodyText"/>
        <w:rPr>
          <w:b/>
        </w:rPr>
      </w:pPr>
    </w:p>
    <w:p>
      <w:pPr>
        <w:pStyle w:val="BodyText"/>
        <w:rPr>
          <w:b/>
        </w:rPr>
      </w:pPr>
    </w:p>
    <w:p>
      <w:pPr>
        <w:pStyle w:val="BodyText"/>
        <w:spacing w:line="360" w:lineRule="auto"/>
        <w:ind w:left="101" w:right="109"/>
        <w:jc w:val="both"/>
      </w:pPr>
      <w:r>
        <w:rPr/>
        <w:t>Hipótesis: La adquisición de una Unidad de Atención Médica a Pacientes Críticos en Situación de Desastre para el Estado de México es viable social y financieramente.</w:t>
      </w:r>
    </w:p>
    <w:p>
      <w:pPr>
        <w:pStyle w:val="BodyText"/>
      </w:pPr>
    </w:p>
    <w:p>
      <w:pPr>
        <w:pStyle w:val="BodyText"/>
        <w:spacing w:line="360" w:lineRule="auto" w:before="142"/>
        <w:ind w:left="101" w:right="101"/>
        <w:jc w:val="both"/>
      </w:pPr>
      <w:r>
        <w:rPr/>
        <w:t>Hipótesis Alterna: La adquisición de un helicóptero para traslados a personas en estado crítico es mejor opción que la Unidad de Atención Médica a Pacientes Críticos en Situación de Desastre.</w:t>
      </w:r>
    </w:p>
    <w:p>
      <w:pPr>
        <w:pStyle w:val="BodyText"/>
      </w:pPr>
    </w:p>
    <w:p>
      <w:pPr>
        <w:pStyle w:val="BodyText"/>
        <w:spacing w:line="360" w:lineRule="auto" w:before="142"/>
        <w:ind w:left="101" w:right="102"/>
        <w:jc w:val="both"/>
      </w:pPr>
      <w:r>
        <w:rPr/>
        <w:t>Hipótesis Nula: La adquisición de una Unidad de Atención Médica a Pacientes Críticos en Situación de Desastre para el Estado de México no es viable social y financieramente.</w:t>
      </w:r>
    </w:p>
    <w:p>
      <w:pPr>
        <w:pStyle w:val="Heading1"/>
        <w:spacing w:before="5"/>
      </w:pPr>
      <w:r>
        <w:rPr/>
        <w:t>Método de Investigación</w:t>
      </w:r>
    </w:p>
    <w:p>
      <w:pPr>
        <w:pStyle w:val="BodyText"/>
        <w:spacing w:before="3"/>
        <w:rPr>
          <w:b/>
          <w:sz w:val="22"/>
        </w:rPr>
      </w:pPr>
    </w:p>
    <w:p>
      <w:pPr>
        <w:pStyle w:val="BodyText"/>
        <w:spacing w:line="360" w:lineRule="auto" w:before="1"/>
        <w:ind w:left="101" w:right="104"/>
        <w:jc w:val="both"/>
      </w:pPr>
      <w:r>
        <w:rPr/>
        <w:t>El presente trabajo cuenta con la metodología exploratoria ya que son pocos los recursos e información que se recaban cuando surgen desastres naturales ,así mismo es descriptivo ya que en zona de riesgo la mayoría de los usuarios no cuentan con derechohabiencia y los costos de atención en la zona de impacto son altos, lo cual quiere decir, que la mayoría de la población sin derechohabiencia queda desprotegida ya que son de pocos recursos y actualmente la población en el estado de México es 15,175,862 y siendo la población no derechohabiente es de 6,128,990 mientras que, las estadísticas de atención en zona de desastre es 20,757 de tantas</w:t>
      </w:r>
      <w:r>
        <w:rPr>
          <w:spacing w:val="-20"/>
        </w:rPr>
        <w:t> </w:t>
      </w:r>
      <w:r>
        <w:rPr/>
        <w:t>atenciones.</w:t>
      </w:r>
    </w:p>
    <w:p>
      <w:pPr>
        <w:pStyle w:val="BodyText"/>
        <w:spacing w:line="360" w:lineRule="auto" w:before="125"/>
        <w:ind w:left="101" w:right="98"/>
        <w:jc w:val="both"/>
      </w:pPr>
      <w:r>
        <w:rPr/>
        <w:t>El análisis que se realiza es un análisis financiero para valuar la viabilidad de la adquisición de una unidad médica móvil especializada que evite las secuelas y la mortalidad en población en una zona en que haya ocurrido un desastre y así mismo un costo beneficio de impacto que este tipo de equipamiento ayudará a toda la población, teniendo en cuenta las zonas marginadas o que no cuente con una seguridad social como tal para que tenga atención medica en insitu y sin  costo corroborando esta información con un estudio de correlación resolviendo las preguntas de</w:t>
      </w:r>
      <w:r>
        <w:rPr>
          <w:spacing w:val="-20"/>
        </w:rPr>
        <w:t> </w:t>
      </w:r>
      <w:r>
        <w:rPr/>
        <w:t>investigación.</w:t>
      </w:r>
    </w:p>
    <w:p>
      <w:pPr>
        <w:spacing w:after="0" w:line="360" w:lineRule="auto"/>
        <w:jc w:val="both"/>
        <w:sectPr>
          <w:pgSz w:w="12240" w:h="15840"/>
          <w:pgMar w:header="0" w:footer="998" w:top="1380" w:bottom="1200" w:left="1600" w:right="1600"/>
        </w:sectPr>
      </w:pPr>
    </w:p>
    <w:p>
      <w:pPr>
        <w:pStyle w:val="Heading1"/>
        <w:spacing w:before="46"/>
      </w:pPr>
      <w:r>
        <w:rPr/>
        <w:t>Justificación</w:t>
      </w:r>
    </w:p>
    <w:p>
      <w:pPr>
        <w:spacing w:line="360" w:lineRule="auto" w:before="139"/>
        <w:ind w:left="101" w:right="104" w:firstLine="0"/>
        <w:jc w:val="both"/>
        <w:rPr>
          <w:sz w:val="23"/>
        </w:rPr>
      </w:pPr>
      <w:r>
        <w:rPr>
          <w:sz w:val="23"/>
        </w:rPr>
        <w:t>Los desastres naturales han cegado aproximadamente 3 millones de vidas en el mundo durante los últimos  20 años;  han afectado adversamente a, por lo menos,  800 millones de personas y han ocasionado pérdidas por más de 50 000 millones de dólares en daños a la propiedad. Un desastre de grandes proporciones ocurre casi diariamente en el mundo y uno natural, que requiere apoyo internacional para las poblaciones afectadas, se presenta</w:t>
      </w:r>
      <w:r>
        <w:rPr>
          <w:spacing w:val="-19"/>
          <w:sz w:val="23"/>
        </w:rPr>
        <w:t> </w:t>
      </w:r>
      <w:r>
        <w:rPr>
          <w:sz w:val="23"/>
        </w:rPr>
        <w:t>semanalmente.</w:t>
      </w:r>
    </w:p>
    <w:p>
      <w:pPr>
        <w:spacing w:line="360" w:lineRule="auto" w:before="5"/>
        <w:ind w:left="101" w:right="107" w:firstLine="0"/>
        <w:jc w:val="both"/>
        <w:rPr>
          <w:sz w:val="23"/>
        </w:rPr>
      </w:pPr>
      <w:r>
        <w:rPr>
          <w:sz w:val="23"/>
        </w:rPr>
        <w:t>Desafortunadamente, las amenazas fundadas en  los  desastres  probablemente  serán peores en el futuro. El incremento de la densidad de las poblaciones en  terrenos anegadizos, en áreas costeras vulnerables y cerca de fallas geológicas; el desarrollo y el transporte de miles de materiales tóxicos y peligrosos y la rápida industrialización de los países en vías de desarrollo, sugieren la probabilidad de futuros desastres  catastróficos, con millones  de damnificados</w:t>
      </w:r>
      <w:r>
        <w:rPr>
          <w:spacing w:val="-35"/>
          <w:sz w:val="23"/>
        </w:rPr>
        <w:t> </w:t>
      </w:r>
      <w:r>
        <w:rPr>
          <w:sz w:val="23"/>
        </w:rPr>
        <w:t>potenciales.</w:t>
      </w:r>
    </w:p>
    <w:p>
      <w:pPr>
        <w:spacing w:line="360" w:lineRule="auto" w:before="3"/>
        <w:ind w:left="101" w:right="103" w:firstLine="0"/>
        <w:jc w:val="both"/>
        <w:rPr>
          <w:sz w:val="23"/>
        </w:rPr>
      </w:pPr>
      <w:r>
        <w:rPr>
          <w:sz w:val="23"/>
        </w:rPr>
        <w:t>Actualmente el Estado de México, es una entidad con mediano riesgo en emergencias asociadas a fenómenos perturbadores que se pueden ir presentando de manera imprevisible, de entre los cuales, los más relevantes han sido asociadas a la industria de la pirotecnia, inundaciones en Chalco, Valle Dorado, Ecatepec, Nezahualcóyotl e Ixtapaluca; la constante amenaza de una erupción volcánica, así como un terremoto de gran magnitud, entre otras emergencias. Todos estos sucesos pueden generar múltiples víctimas por recursos médicos insuficientes o inaccesibles, así como el tiempo de una atención especializada.</w:t>
      </w:r>
    </w:p>
    <w:p>
      <w:pPr>
        <w:spacing w:line="360" w:lineRule="auto" w:before="3"/>
        <w:ind w:left="101" w:right="106" w:firstLine="0"/>
        <w:jc w:val="both"/>
        <w:rPr>
          <w:sz w:val="23"/>
        </w:rPr>
      </w:pPr>
      <w:r>
        <w:rPr>
          <w:sz w:val="23"/>
        </w:rPr>
        <w:t>El presente proyecto pretende Adquirir una Unidad de atención médica a pacientes críticos en situación de desastre para el Estado de México con el fin de proveer una respuesta inmediata en emergencias a la población de bajos recursos que hayan sido víctimas de incidentes masivos o desastres que rebasen la capacidad de respuesta del área de ocurrencia. Las ocurrencias pueden ser múltiples y van desde incidentes mayores (explosión, accidentes industriales, choque múltiple, fuga, derrame, etc.), desastres naturales (inundación, huracán, terremoto, etc.), hasta conflictos armados y puede constituirse como elemento de apoyo a los recursos disponibles o cuando éstos ya no son</w:t>
      </w:r>
      <w:r>
        <w:rPr>
          <w:spacing w:val="-10"/>
          <w:sz w:val="23"/>
        </w:rPr>
        <w:t> </w:t>
      </w:r>
      <w:r>
        <w:rPr>
          <w:sz w:val="23"/>
        </w:rPr>
        <w:t>funcionales.</w:t>
      </w:r>
    </w:p>
    <w:p>
      <w:pPr>
        <w:spacing w:line="360" w:lineRule="auto" w:before="5"/>
        <w:ind w:left="101" w:right="108" w:firstLine="0"/>
        <w:jc w:val="both"/>
        <w:rPr>
          <w:sz w:val="23"/>
        </w:rPr>
      </w:pPr>
      <w:r>
        <w:rPr>
          <w:sz w:val="23"/>
        </w:rPr>
        <w:t>La unidad permite dar atención a 7 pacientes encamados (en camillas en “cubículos” independientes) en forma simultánea, además del área de cirugía y terapia. La “edificación”  cuenta con agua (caliente,  si se  desea),  iluminación natural  y  energía</w:t>
      </w:r>
    </w:p>
    <w:p>
      <w:pPr>
        <w:spacing w:after="0" w:line="360" w:lineRule="auto"/>
        <w:jc w:val="both"/>
        <w:rPr>
          <w:sz w:val="23"/>
        </w:rPr>
        <w:sectPr>
          <w:pgSz w:w="12240" w:h="15840"/>
          <w:pgMar w:header="0" w:footer="998" w:top="1380" w:bottom="1200" w:left="1600" w:right="1600"/>
        </w:sectPr>
      </w:pPr>
    </w:p>
    <w:p>
      <w:pPr>
        <w:spacing w:line="360" w:lineRule="auto" w:before="46"/>
        <w:ind w:left="101" w:right="165" w:firstLine="0"/>
        <w:jc w:val="left"/>
        <w:rPr>
          <w:sz w:val="23"/>
        </w:rPr>
      </w:pPr>
      <w:r>
        <w:rPr>
          <w:sz w:val="23"/>
        </w:rPr>
        <w:t>eléctrica, así como dispositivo de aire acondicionado y calefacción para mayor comodidad de los pacientes. Los materiales son de uso rudo y de fácil limpieza y/o descontaminación. De esta manera, es posible otorgar atención a un número significativo de personas en condiciones ambientales y de higiene adecuadas.</w:t>
      </w:r>
    </w:p>
    <w:p>
      <w:pPr>
        <w:spacing w:line="360" w:lineRule="auto" w:before="5"/>
        <w:ind w:left="101" w:right="104" w:firstLine="0"/>
        <w:jc w:val="both"/>
        <w:rPr>
          <w:sz w:val="23"/>
        </w:rPr>
      </w:pPr>
      <w:r>
        <w:rPr>
          <w:sz w:val="23"/>
        </w:rPr>
        <w:t>La Secretaría de Salud, a través del Servicio de Urgencias del Estado de México (SUEM), proveerá la infraestructura necesaria para resguardar la Unidad de atención médica a pacientes críticos en situación de desastre , además proporcionará el recurso humano necesario para instalarlo, operarlo y garantizar el mantenimiento preventivo y correctivo</w:t>
      </w:r>
      <w:r>
        <w:rPr>
          <w:spacing w:val="-14"/>
          <w:sz w:val="23"/>
        </w:rPr>
        <w:t> </w:t>
      </w:r>
      <w:r>
        <w:rPr>
          <w:sz w:val="23"/>
        </w:rPr>
        <w:t>necesario</w:t>
      </w:r>
    </w:p>
    <w:p>
      <w:pPr>
        <w:pStyle w:val="BodyText"/>
        <w:rPr>
          <w:sz w:val="22"/>
        </w:rPr>
      </w:pPr>
    </w:p>
    <w:p>
      <w:pPr>
        <w:pStyle w:val="Heading1"/>
        <w:spacing w:before="165"/>
        <w:ind w:right="165"/>
        <w:jc w:val="left"/>
      </w:pPr>
      <w:r>
        <w:rPr/>
        <w:t>Identificación, cuantificación y valoración de beneficios</w:t>
      </w:r>
    </w:p>
    <w:p>
      <w:pPr>
        <w:pStyle w:val="BodyText"/>
        <w:rPr>
          <w:b/>
        </w:rPr>
      </w:pPr>
    </w:p>
    <w:p>
      <w:pPr>
        <w:pStyle w:val="BodyText"/>
        <w:spacing w:before="11"/>
        <w:rPr>
          <w:b/>
          <w:sz w:val="27"/>
        </w:rPr>
      </w:pPr>
    </w:p>
    <w:p>
      <w:pPr>
        <w:pStyle w:val="BodyText"/>
        <w:spacing w:line="360" w:lineRule="auto"/>
        <w:ind w:left="303" w:right="170"/>
        <w:jc w:val="both"/>
      </w:pPr>
      <w:r>
        <w:rPr/>
        <w:t>Generalmente, cuando se proponen proyectos de ampliación o construcción de unidades médicas se debe a la falta de capacidad (oferta) que se tiene en cierta zona de influencia, provocando que las atenciones y servicios médicos no sean oportunos, pudiendo disminuir la calidad y la esperanza de vida de las personas.</w:t>
      </w:r>
    </w:p>
    <w:p>
      <w:pPr>
        <w:pStyle w:val="BodyText"/>
        <w:spacing w:line="360" w:lineRule="auto" w:before="182"/>
        <w:ind w:left="303" w:right="174"/>
        <w:jc w:val="both"/>
      </w:pPr>
      <w:r>
        <w:rPr/>
        <w:t>Se considera que el objetivo de ampliar o construir servicios médicos es proporcionar una atención oportuna, los beneficios que se identifican son los siguientes:</w:t>
      </w:r>
    </w:p>
    <w:p>
      <w:pPr>
        <w:pStyle w:val="BodyText"/>
      </w:pPr>
    </w:p>
    <w:p>
      <w:pPr>
        <w:pStyle w:val="BodyText"/>
        <w:spacing w:before="7"/>
      </w:pPr>
    </w:p>
    <w:p>
      <w:pPr>
        <w:pStyle w:val="ListParagraph"/>
        <w:numPr>
          <w:ilvl w:val="1"/>
          <w:numId w:val="19"/>
        </w:numPr>
        <w:tabs>
          <w:tab w:pos="2400" w:val="left" w:leader="none"/>
          <w:tab w:pos="2401" w:val="left" w:leader="none"/>
        </w:tabs>
        <w:spacing w:line="360" w:lineRule="auto" w:before="0" w:after="0"/>
        <w:ind w:left="1023" w:right="175" w:hanging="360"/>
        <w:jc w:val="both"/>
        <w:rPr>
          <w:sz w:val="24"/>
        </w:rPr>
      </w:pPr>
      <w:r>
        <w:rPr>
          <w:b/>
          <w:i/>
          <w:sz w:val="24"/>
        </w:rPr>
        <w:t>Mayor número de atenciones oportunas: </w:t>
      </w:r>
      <w:r>
        <w:rPr>
          <w:sz w:val="24"/>
        </w:rPr>
        <w:t>Al proporcionarse  un  mayor  número  de  atenciones  médicas,  la población que en la situación  sin  proyecto  no  podía  atenderse,  incurría en altos costos de espera o de traslado, en la situación con proyecto disminuirá o eliminará esos costos, por lo que el beneficio económico que se identifica es un mayor consumo de atenciones oportunas.</w:t>
      </w:r>
    </w:p>
    <w:p>
      <w:pPr>
        <w:pStyle w:val="BodyText"/>
        <w:spacing w:line="360" w:lineRule="auto" w:before="2"/>
        <w:ind w:left="1023" w:right="175" w:firstLine="81"/>
        <w:jc w:val="both"/>
      </w:pPr>
      <w:r>
        <w:rPr/>
        <w:t>Este beneficio, se  cuantifica  por  medio  del número de servicios que  no se consumen oportunamente en la situación sin proyecto, y su valoración  es  a  través  de  la  aplicación  de  la  regla  de  oro      </w:t>
      </w:r>
      <w:r>
        <w:rPr>
          <w:spacing w:val="28"/>
        </w:rPr>
        <w:t> </w:t>
      </w:r>
      <w:r>
        <w:rPr/>
        <w:t>de  la</w:t>
      </w:r>
    </w:p>
    <w:p>
      <w:pPr>
        <w:spacing w:after="0" w:line="360" w:lineRule="auto"/>
        <w:jc w:val="both"/>
        <w:sectPr>
          <w:pgSz w:w="12240" w:h="15840"/>
          <w:pgMar w:header="0" w:footer="998" w:top="1380" w:bottom="1200" w:left="1600" w:right="1600"/>
        </w:sectPr>
      </w:pPr>
    </w:p>
    <w:p>
      <w:pPr>
        <w:pStyle w:val="BodyText"/>
        <w:spacing w:line="360" w:lineRule="auto" w:before="46"/>
        <w:ind w:left="1023" w:right="175"/>
        <w:jc w:val="both"/>
      </w:pPr>
      <w:r>
        <w:rPr/>
        <w:t>evaluación de proyectos, la cual indica que no se le puede asignar a un beneficio un valor mayor que el menor costo de obtenerlo por una vía alternativa.   De ahí, que se utiliza el precio promedio de mercado de     los servicios proporcionados en instituciones privadas que los ofrezcan con una misma</w:t>
      </w:r>
      <w:r>
        <w:rPr>
          <w:spacing w:val="-14"/>
        </w:rPr>
        <w:t> </w:t>
      </w:r>
      <w:r>
        <w:rPr/>
        <w:t>calidad.</w:t>
      </w:r>
    </w:p>
    <w:p>
      <w:pPr>
        <w:pStyle w:val="ListParagraph"/>
        <w:numPr>
          <w:ilvl w:val="1"/>
          <w:numId w:val="19"/>
        </w:numPr>
        <w:tabs>
          <w:tab w:pos="1410" w:val="left" w:leader="none"/>
        </w:tabs>
        <w:spacing w:line="360" w:lineRule="auto" w:before="5" w:after="0"/>
        <w:ind w:left="1023" w:right="173" w:firstLine="0"/>
        <w:jc w:val="both"/>
        <w:rPr>
          <w:sz w:val="24"/>
        </w:rPr>
      </w:pPr>
      <w:r>
        <w:rPr>
          <w:b/>
          <w:i/>
          <w:sz w:val="24"/>
        </w:rPr>
        <w:t>Valor de rescate: </w:t>
      </w:r>
      <w:r>
        <w:rPr>
          <w:sz w:val="24"/>
        </w:rPr>
        <w:t>Este beneficio es la retribución que se tendría por la venta de los inmuebles, terrenos y equipamiento del proyecto en el último año del horizonte de evaluación. Lo anterior se puede cuantificar con el número de bienes que se tenga o con los  beneficios  netos  futuros a obtener. Si se opta por la primera, su valoración es por medio del precio de mercado de estos bienes al final del horizonte de evaluación; si se escoge la segunda, se calcula una perpetuidad </w:t>
      </w:r>
      <w:r>
        <w:rPr>
          <w:spacing w:val="2"/>
          <w:sz w:val="24"/>
        </w:rPr>
        <w:t>del </w:t>
      </w:r>
      <w:r>
        <w:rPr>
          <w:sz w:val="24"/>
        </w:rPr>
        <w:t>beneficio neto obtenido en el último año de operación del</w:t>
      </w:r>
      <w:r>
        <w:rPr>
          <w:spacing w:val="-33"/>
          <w:sz w:val="24"/>
        </w:rPr>
        <w:t> </w:t>
      </w:r>
      <w:r>
        <w:rPr>
          <w:sz w:val="24"/>
        </w:rPr>
        <w:t>proyecto.</w:t>
      </w:r>
    </w:p>
    <w:p>
      <w:pPr>
        <w:pStyle w:val="BodyText"/>
      </w:pPr>
    </w:p>
    <w:p>
      <w:pPr>
        <w:pStyle w:val="BodyText"/>
        <w:spacing w:line="360" w:lineRule="auto" w:before="197"/>
        <w:ind w:left="1011" w:right="175"/>
        <w:jc w:val="both"/>
      </w:pPr>
      <w:r>
        <w:rPr/>
        <w:t>Cabe señalar que si se escoge calcular el precio de mercado de los bienes al final del horizonte de evaluación, se debe considerar si se realizaron reinversiones o mantenimientos mayores a los equipos o inmuebles, ya que éstas impactan el valor final de estos bienes. Por ejemplo, el CEPEP propone utilizar el 100% del valor del costo  del terreno y de construcción incurrido al ejecutar el proyecto, adicionando sólo un porcentaje del costo del equipamiento si  a  éste  se  le  realizó  un  mantenimiento  adecuado  y</w:t>
      </w:r>
      <w:r>
        <w:rPr>
          <w:spacing w:val="-33"/>
        </w:rPr>
        <w:t> </w:t>
      </w:r>
      <w:r>
        <w:rPr/>
        <w:t>reinversiones.</w:t>
      </w:r>
    </w:p>
    <w:p>
      <w:pPr>
        <w:pStyle w:val="BodyText"/>
      </w:pPr>
    </w:p>
    <w:p>
      <w:pPr>
        <w:pStyle w:val="Heading1"/>
        <w:numPr>
          <w:ilvl w:val="1"/>
          <w:numId w:val="20"/>
        </w:numPr>
        <w:tabs>
          <w:tab w:pos="569" w:val="left" w:leader="none"/>
        </w:tabs>
        <w:spacing w:line="240" w:lineRule="auto" w:before="142" w:after="0"/>
        <w:ind w:left="568" w:right="0" w:hanging="467"/>
        <w:jc w:val="left"/>
      </w:pPr>
      <w:r>
        <w:rPr/>
        <w:t>Identificación, valoración y cuantificación de</w:t>
      </w:r>
      <w:r>
        <w:rPr>
          <w:spacing w:val="-33"/>
        </w:rPr>
        <w:t> </w:t>
      </w:r>
      <w:r>
        <w:rPr/>
        <w:t>costos</w:t>
      </w:r>
    </w:p>
    <w:p>
      <w:pPr>
        <w:pStyle w:val="BodyText"/>
        <w:rPr>
          <w:b/>
        </w:rPr>
      </w:pPr>
    </w:p>
    <w:p>
      <w:pPr>
        <w:pStyle w:val="BodyText"/>
        <w:spacing w:before="2"/>
        <w:rPr>
          <w:b/>
          <w:sz w:val="28"/>
        </w:rPr>
      </w:pPr>
    </w:p>
    <w:p>
      <w:pPr>
        <w:pStyle w:val="ListParagraph"/>
        <w:numPr>
          <w:ilvl w:val="2"/>
          <w:numId w:val="20"/>
        </w:numPr>
        <w:tabs>
          <w:tab w:pos="1230" w:val="left" w:leader="none"/>
        </w:tabs>
        <w:spacing w:line="360" w:lineRule="auto" w:before="0" w:after="0"/>
        <w:ind w:left="1229" w:right="177" w:hanging="360"/>
        <w:jc w:val="both"/>
        <w:rPr>
          <w:sz w:val="24"/>
        </w:rPr>
      </w:pPr>
      <w:r>
        <w:rPr>
          <w:b/>
          <w:i/>
          <w:sz w:val="24"/>
        </w:rPr>
        <w:t>Costos de inversión</w:t>
      </w:r>
      <w:r>
        <w:rPr>
          <w:sz w:val="24"/>
        </w:rPr>
        <w:t>: Se refiere a  la  utilización  de  recursos humanos y materiales para construir las obras requeridas por el proyecto y su</w:t>
      </w:r>
      <w:r>
        <w:rPr>
          <w:spacing w:val="-13"/>
          <w:sz w:val="24"/>
        </w:rPr>
        <w:t> </w:t>
      </w:r>
      <w:r>
        <w:rPr>
          <w:sz w:val="24"/>
        </w:rPr>
        <w:t>equipamiento.</w:t>
      </w:r>
    </w:p>
    <w:p>
      <w:pPr>
        <w:pStyle w:val="BodyText"/>
        <w:spacing w:before="11"/>
        <w:rPr>
          <w:sz w:val="31"/>
        </w:rPr>
      </w:pPr>
    </w:p>
    <w:p>
      <w:pPr>
        <w:pStyle w:val="ListParagraph"/>
        <w:numPr>
          <w:ilvl w:val="2"/>
          <w:numId w:val="20"/>
        </w:numPr>
        <w:tabs>
          <w:tab w:pos="1280" w:val="left" w:leader="none"/>
        </w:tabs>
        <w:spacing w:line="360" w:lineRule="auto" w:before="0" w:after="0"/>
        <w:ind w:left="1229" w:right="175" w:hanging="360"/>
        <w:jc w:val="both"/>
        <w:rPr>
          <w:sz w:val="24"/>
        </w:rPr>
      </w:pPr>
      <w:r>
        <w:rPr>
          <w:b/>
          <w:i/>
          <w:sz w:val="24"/>
        </w:rPr>
        <w:t>Costos de operación, mantenimiento y reposición de equipo: </w:t>
      </w:r>
      <w:r>
        <w:rPr>
          <w:sz w:val="24"/>
        </w:rPr>
        <w:t>Se refiere  a  la  utilización  de  los  recursos  humanos  y  materiales </w:t>
      </w:r>
      <w:r>
        <w:rPr>
          <w:spacing w:val="14"/>
          <w:sz w:val="24"/>
        </w:rPr>
        <w:t> </w:t>
      </w:r>
      <w:r>
        <w:rPr>
          <w:sz w:val="24"/>
        </w:rPr>
        <w:t>para</w:t>
      </w:r>
    </w:p>
    <w:p>
      <w:pPr>
        <w:pStyle w:val="BodyText"/>
        <w:spacing w:before="5"/>
        <w:ind w:left="1229" w:right="165"/>
      </w:pPr>
      <w:r>
        <w:rPr/>
        <w:t>mantener el servicio en un nivel adecuado. Por lo general, estos costos</w:t>
      </w:r>
    </w:p>
    <w:p>
      <w:pPr>
        <w:spacing w:after="0"/>
        <w:sectPr>
          <w:pgSz w:w="12240" w:h="15840"/>
          <w:pgMar w:header="0" w:footer="998" w:top="1380" w:bottom="1180" w:left="1600" w:right="1600"/>
        </w:sectPr>
      </w:pPr>
    </w:p>
    <w:p>
      <w:pPr>
        <w:pStyle w:val="BodyText"/>
        <w:spacing w:line="360" w:lineRule="auto" w:before="46"/>
        <w:ind w:left="1229" w:right="174"/>
        <w:jc w:val="both"/>
      </w:pPr>
      <w:r>
        <w:rPr/>
        <w:t>anuales son “altos”, representando entre un 45% y 70% de los costos de inversión o entre un 50% y 80% de los beneficios anuales (el porcentaje de los costos depende generalmente del nivel de atención de la unidad médica, entre mayor sea éste, mayor será el costo).</w:t>
      </w:r>
    </w:p>
    <w:p>
      <w:pPr>
        <w:pStyle w:val="BodyText"/>
        <w:spacing w:before="11"/>
        <w:rPr>
          <w:sz w:val="31"/>
        </w:rPr>
      </w:pPr>
    </w:p>
    <w:p>
      <w:pPr>
        <w:pStyle w:val="Heading1"/>
        <w:numPr>
          <w:ilvl w:val="1"/>
          <w:numId w:val="21"/>
        </w:numPr>
        <w:tabs>
          <w:tab w:pos="570" w:val="left" w:leader="none"/>
        </w:tabs>
        <w:spacing w:line="240" w:lineRule="auto" w:before="0" w:after="0"/>
        <w:ind w:left="569" w:right="0" w:hanging="468"/>
        <w:jc w:val="left"/>
      </w:pPr>
      <w:r>
        <w:rPr/>
        <w:t>Evaluación</w:t>
      </w:r>
    </w:p>
    <w:p>
      <w:pPr>
        <w:pStyle w:val="BodyText"/>
        <w:spacing w:line="360" w:lineRule="auto" w:before="137"/>
        <w:ind w:left="303" w:right="176"/>
        <w:jc w:val="both"/>
      </w:pPr>
      <w:r>
        <w:rPr/>
        <w:t>Para determinar si es conveniente o no ejecutar un proyecto, se utilizan indicadores de rentabilidad obtenidos de la comparación de los costos y beneficios que se presentan en la situación con y sin proyecto durante un horizonte de evaluación. En este caso, los indicadores dependerán del comportamiento de los beneficios netos, es decir, si estos son crecientes en el tiempo se utiliza la Tasa de Rentabilidad Inmediata (TRI), mientras que si son constantes o variables, el indicador más conveniente es el Valor Presente Neto (VPN).</w:t>
      </w:r>
    </w:p>
    <w:p>
      <w:pPr>
        <w:pStyle w:val="BodyText"/>
        <w:spacing w:before="10"/>
        <w:rPr>
          <w:sz w:val="29"/>
        </w:rPr>
      </w:pPr>
    </w:p>
    <w:p>
      <w:pPr>
        <w:pStyle w:val="ListParagraph"/>
        <w:numPr>
          <w:ilvl w:val="2"/>
          <w:numId w:val="21"/>
        </w:numPr>
        <w:tabs>
          <w:tab w:pos="1008" w:val="left" w:leader="none"/>
          <w:tab w:pos="1009" w:val="left" w:leader="none"/>
        </w:tabs>
        <w:spacing w:line="240" w:lineRule="auto" w:before="0" w:after="0"/>
        <w:ind w:left="1008" w:right="0" w:hanging="345"/>
        <w:jc w:val="left"/>
        <w:rPr>
          <w:sz w:val="24"/>
        </w:rPr>
      </w:pPr>
      <w:r>
        <w:rPr/>
        <w:pict>
          <v:group style="position:absolute;margin-left:365.759979pt;margin-top:-7.584155pt;width:50.1pt;height:20.05pt;mso-position-horizontal-relative:page;mso-position-vertical-relative:paragraph;z-index:1936" coordorigin="7315,-152" coordsize="1002,401">
            <v:line style="position:absolute" from="7949,-3" to="8309,-3" stroked="true" strokeweight=".72pt" strokecolor="#000000"/>
            <v:shape style="position:absolute;left:7949;top:-152;width:72;height:55" type="#_x0000_t75" stroked="false">
              <v:imagedata r:id="rId14" o:title=""/>
            </v:shape>
            <v:shape style="position:absolute;left:7315;top:-152;width:991;height:286" type="#_x0000_t75" stroked="false">
              <v:imagedata r:id="rId15" o:title=""/>
            </v:shape>
            <v:shape style="position:absolute;left:8050;top:62;width:158;height:187" type="#_x0000_t75" stroked="false">
              <v:imagedata r:id="rId16" o:title=""/>
            </v:shape>
            <w10:wrap type="none"/>
          </v:group>
        </w:pict>
      </w:r>
      <w:r>
        <w:rPr>
          <w:sz w:val="24"/>
        </w:rPr>
        <w:t>Tasa de Rentabilidad Inmediata</w:t>
      </w:r>
      <w:r>
        <w:rPr>
          <w:spacing w:val="-8"/>
          <w:sz w:val="24"/>
        </w:rPr>
        <w:t> </w:t>
      </w:r>
      <w:r>
        <w:rPr>
          <w:sz w:val="24"/>
        </w:rPr>
        <w:t>(TRI)</w:t>
      </w:r>
    </w:p>
    <w:p>
      <w:pPr>
        <w:pStyle w:val="BodyText"/>
      </w:pPr>
    </w:p>
    <w:p>
      <w:pPr>
        <w:pStyle w:val="BodyText"/>
        <w:rPr>
          <w:sz w:val="27"/>
        </w:rPr>
      </w:pPr>
    </w:p>
    <w:p>
      <w:pPr>
        <w:pStyle w:val="BodyText"/>
        <w:spacing w:line="360" w:lineRule="auto" w:after="14"/>
        <w:ind w:left="303" w:right="175"/>
        <w:jc w:val="both"/>
      </w:pPr>
      <w:r>
        <w:rPr/>
        <w:t>Donde </w:t>
      </w:r>
      <w:r>
        <w:rPr>
          <w:i/>
        </w:rPr>
        <w:t>FE</w:t>
      </w:r>
      <w:r>
        <w:rPr>
          <w:i/>
          <w:position w:val="-2"/>
          <w:sz w:val="16"/>
        </w:rPr>
        <w:t>t </w:t>
      </w:r>
      <w:r>
        <w:rPr/>
        <w:t>es el flujo de efectivo en el periodo t e  I</w:t>
      </w:r>
      <w:r>
        <w:rPr>
          <w:position w:val="-2"/>
          <w:sz w:val="16"/>
        </w:rPr>
        <w:t>0  </w:t>
      </w:r>
      <w:r>
        <w:rPr/>
        <w:t>es  el  valor  de  la  inversión o inversiones un periodo antes del primer año de operación del proyecto. El criterio de decisión es que cuando la TRI es mayor o igual al costo de oportunidad de los recursos, entonces  es  el  momento  óptimo  para  que  </w:t>
      </w:r>
      <w:r>
        <w:rPr>
          <w:position w:val="1"/>
        </w:rPr>
        <w:t>se inicie  la operación del </w:t>
      </w:r>
      <w:r>
        <w:rPr/>
        <w:t>proyecto, es decir,   cuando:</w:t>
      </w:r>
    </w:p>
    <w:p>
      <w:pPr>
        <w:pStyle w:val="BodyText"/>
        <w:spacing w:line="148" w:lineRule="exact"/>
        <w:ind w:left="4347"/>
        <w:rPr>
          <w:sz w:val="14"/>
        </w:rPr>
      </w:pPr>
      <w:r>
        <w:rPr>
          <w:position w:val="-2"/>
          <w:sz w:val="14"/>
        </w:rPr>
        <w:pict>
          <v:group style="width:26.3pt;height:7.45pt;mso-position-horizontal-relative:char;mso-position-vertical-relative:line" coordorigin="0,0" coordsize="526,149">
            <v:shape style="position:absolute;left:475;top:0;width:50;height:122" type="#_x0000_t75" stroked="false">
              <v:imagedata r:id="rId17" o:title=""/>
            </v:shape>
            <v:shape style="position:absolute;left:0;top:29;width:413;height:120" type="#_x0000_t75" stroked="false">
              <v:imagedata r:id="rId18" o:title=""/>
            </v:shape>
          </v:group>
        </w:pict>
      </w:r>
      <w:r>
        <w:rPr>
          <w:position w:val="-2"/>
          <w:sz w:val="14"/>
        </w:rPr>
      </w:r>
    </w:p>
    <w:p>
      <w:pPr>
        <w:pStyle w:val="BodyText"/>
        <w:spacing w:before="107"/>
        <w:ind w:left="303" w:right="165"/>
      </w:pPr>
      <w:r>
        <w:rPr/>
        <w:t>Donde:</w:t>
      </w:r>
    </w:p>
    <w:p>
      <w:pPr>
        <w:pStyle w:val="BodyText"/>
        <w:spacing w:line="360" w:lineRule="auto" w:before="137"/>
        <w:ind w:left="303" w:right="165"/>
      </w:pPr>
      <w:r>
        <w:rPr>
          <w:i/>
        </w:rPr>
        <w:t>i </w:t>
      </w:r>
      <w:r>
        <w:rPr/>
        <w:t>es la tasa social de descuento (12% en el caso de México) y representa el costo de oportunidad de los recursos.</w:t>
      </w:r>
    </w:p>
    <w:p>
      <w:pPr>
        <w:pStyle w:val="BodyText"/>
        <w:spacing w:before="3"/>
        <w:rPr>
          <w:sz w:val="34"/>
        </w:rPr>
      </w:pPr>
    </w:p>
    <w:p>
      <w:pPr>
        <w:pStyle w:val="ListParagraph"/>
        <w:numPr>
          <w:ilvl w:val="0"/>
          <w:numId w:val="22"/>
        </w:numPr>
        <w:tabs>
          <w:tab w:pos="1008" w:val="left" w:leader="none"/>
          <w:tab w:pos="1009" w:val="left" w:leader="none"/>
        </w:tabs>
        <w:spacing w:line="240" w:lineRule="auto" w:before="0" w:after="0"/>
        <w:ind w:left="1008" w:right="0" w:hanging="345"/>
        <w:jc w:val="left"/>
        <w:rPr>
          <w:sz w:val="24"/>
        </w:rPr>
      </w:pPr>
      <w:r>
        <w:rPr>
          <w:sz w:val="24"/>
        </w:rPr>
        <w:t>Valor presente neto</w:t>
      </w:r>
      <w:r>
        <w:rPr>
          <w:spacing w:val="-11"/>
          <w:sz w:val="24"/>
        </w:rPr>
        <w:t> </w:t>
      </w:r>
      <w:r>
        <w:rPr>
          <w:sz w:val="24"/>
        </w:rPr>
        <w:t>(VPN)</w:t>
      </w:r>
    </w:p>
    <w:p>
      <w:pPr>
        <w:pStyle w:val="BodyText"/>
        <w:rPr>
          <w:sz w:val="10"/>
        </w:rPr>
      </w:pPr>
      <w:r>
        <w:rPr/>
        <w:pict>
          <v:group style="position:absolute;margin-left:85.68pt;margin-top:7.724328pt;width:89.7pt;height:33.6pt;mso-position-horizontal-relative:page;mso-position-vertical-relative:paragraph;z-index:1912;mso-wrap-distance-left:0;mso-wrap-distance-right:0" coordorigin="1714,154" coordsize="1794,672">
            <v:shape style="position:absolute;left:2203;top:493;width:180;height:14" type="#_x0000_t75" stroked="false">
              <v:imagedata r:id="rId19" o:title=""/>
            </v:shape>
            <v:shape style="position:absolute;left:1714;top:442;width:422;height:125" type="#_x0000_t75" stroked="false">
              <v:imagedata r:id="rId20" o:title=""/>
            </v:shape>
            <v:shape style="position:absolute;left:2756;top:507;width:751;height:247" type="#_x0000_t75" stroked="false">
              <v:imagedata r:id="rId21" o:title=""/>
            </v:shape>
            <v:shape style="position:absolute;left:3226;top:541;width:259;height:214" type="#_x0000_t75" stroked="false">
              <v:imagedata r:id="rId22" o:title=""/>
            </v:shape>
            <v:shape style="position:absolute;left:2866;top:574;width:101;height:168" type="#_x0000_t75" stroked="false">
              <v:imagedata r:id="rId23" o:title=""/>
            </v:shape>
            <v:shape style="position:absolute;left:3010;top:591;width:173;height:151" type="#_x0000_t75" stroked="false">
              <v:imagedata r:id="rId24" o:title=""/>
            </v:shape>
            <v:shape style="position:absolute;left:2434;top:322;width:274;height:504" type="#_x0000_t75" stroked="false">
              <v:imagedata r:id="rId25" o:title=""/>
            </v:shape>
            <v:shape style="position:absolute;left:2635;top:154;width:648;height:319" type="#_x0000_t75" stroked="false">
              <v:imagedata r:id="rId26" o:title=""/>
            </v:shape>
            <w10:wrap type="topAndBottom"/>
          </v:group>
        </w:pict>
      </w:r>
    </w:p>
    <w:p>
      <w:pPr>
        <w:spacing w:after="0"/>
        <w:rPr>
          <w:sz w:val="10"/>
        </w:rPr>
        <w:sectPr>
          <w:pgSz w:w="12240" w:h="15840"/>
          <w:pgMar w:header="0" w:footer="998" w:top="1380" w:bottom="1200" w:left="1600" w:right="1600"/>
        </w:sectPr>
      </w:pPr>
    </w:p>
    <w:p>
      <w:pPr>
        <w:pStyle w:val="BodyText"/>
        <w:spacing w:before="46"/>
        <w:ind w:left="101" w:right="165"/>
      </w:pPr>
      <w:r>
        <w:rPr/>
        <w:t>Dónde:</w:t>
      </w:r>
    </w:p>
    <w:p>
      <w:pPr>
        <w:pStyle w:val="BodyText"/>
        <w:spacing w:before="1"/>
        <w:rPr>
          <w:sz w:val="32"/>
        </w:rPr>
      </w:pPr>
    </w:p>
    <w:p>
      <w:pPr>
        <w:pStyle w:val="BodyText"/>
        <w:tabs>
          <w:tab w:pos="1234" w:val="left" w:leader="none"/>
        </w:tabs>
        <w:spacing w:line="360" w:lineRule="auto"/>
        <w:ind w:left="303" w:right="1329"/>
      </w:pPr>
      <w:r>
        <w:rPr>
          <w:i/>
        </w:rPr>
        <w:t>i</w:t>
        <w:tab/>
      </w:r>
      <w:r>
        <w:rPr/>
        <w:t>Tasa social de descuento anual idéntica para  </w:t>
      </w:r>
      <w:r>
        <w:rPr>
          <w:spacing w:val="19"/>
        </w:rPr>
        <w:t> </w:t>
      </w:r>
      <w:r>
        <w:rPr/>
        <w:t>cada</w:t>
      </w:r>
      <w:r>
        <w:rPr>
          <w:spacing w:val="22"/>
        </w:rPr>
        <w:t> </w:t>
      </w:r>
      <w:r>
        <w:rPr/>
        <w:t>periodo</w:t>
      </w:r>
      <w:r>
        <w:rPr>
          <w:w w:val="99"/>
        </w:rPr>
        <w:t> </w:t>
      </w:r>
      <w:r>
        <w:rPr/>
        <w:t>(12%)</w:t>
      </w:r>
    </w:p>
    <w:p>
      <w:pPr>
        <w:pStyle w:val="BodyText"/>
        <w:spacing w:before="3"/>
        <w:rPr>
          <w:sz w:val="20"/>
        </w:rPr>
      </w:pPr>
    </w:p>
    <w:p>
      <w:pPr>
        <w:pStyle w:val="BodyText"/>
        <w:tabs>
          <w:tab w:pos="1296" w:val="left" w:leader="none"/>
        </w:tabs>
        <w:spacing w:line="360" w:lineRule="auto"/>
        <w:ind w:left="303" w:right="5731"/>
      </w:pPr>
      <w:r>
        <w:rPr>
          <w:i/>
        </w:rPr>
        <w:t>t</w:t>
        <w:tab/>
      </w:r>
      <w:r>
        <w:rPr/>
        <w:t>Periodo</w:t>
      </w:r>
      <w:r>
        <w:rPr>
          <w:spacing w:val="25"/>
        </w:rPr>
        <w:t> </w:t>
      </w:r>
      <w:r>
        <w:rPr/>
        <w:t>de</w:t>
      </w:r>
      <w:r>
        <w:rPr>
          <w:spacing w:val="27"/>
        </w:rPr>
        <w:t> </w:t>
      </w:r>
      <w:r>
        <w:rPr/>
        <w:t>tiempo</w:t>
      </w:r>
      <w:r>
        <w:rPr>
          <w:w w:val="99"/>
        </w:rPr>
        <w:t> </w:t>
      </w:r>
      <w:r>
        <w:rPr/>
        <w:t>(año)</w:t>
      </w:r>
    </w:p>
    <w:p>
      <w:pPr>
        <w:pStyle w:val="BodyText"/>
        <w:spacing w:before="5"/>
        <w:rPr>
          <w:sz w:val="20"/>
        </w:rPr>
      </w:pPr>
    </w:p>
    <w:p>
      <w:pPr>
        <w:pStyle w:val="BodyText"/>
        <w:tabs>
          <w:tab w:pos="1157" w:val="left" w:leader="none"/>
        </w:tabs>
        <w:spacing w:line="362" w:lineRule="auto"/>
        <w:ind w:left="303" w:right="5983"/>
      </w:pPr>
      <w:r>
        <w:rPr>
          <w:i/>
        </w:rPr>
        <w:t>FE</w:t>
      </w:r>
      <w:r>
        <w:rPr>
          <w:i/>
          <w:position w:val="-2"/>
          <w:sz w:val="16"/>
        </w:rPr>
        <w:t>t</w:t>
        <w:tab/>
      </w:r>
      <w:r>
        <w:rPr/>
        <w:t>Flujos</w:t>
      </w:r>
      <w:r>
        <w:rPr>
          <w:spacing w:val="8"/>
        </w:rPr>
        <w:t> </w:t>
      </w:r>
      <w:r>
        <w:rPr/>
        <w:t>de</w:t>
      </w:r>
      <w:r>
        <w:rPr>
          <w:spacing w:val="9"/>
        </w:rPr>
        <w:t> </w:t>
      </w:r>
      <w:r>
        <w:rPr/>
        <w:t>efectivo</w:t>
      </w:r>
      <w:r>
        <w:rPr>
          <w:w w:val="99"/>
        </w:rPr>
        <w:t> </w:t>
      </w:r>
      <w:r>
        <w:rPr/>
        <w:t>en t</w:t>
      </w:r>
    </w:p>
    <w:p>
      <w:pPr>
        <w:pStyle w:val="BodyText"/>
        <w:tabs>
          <w:tab w:pos="1109" w:val="left" w:leader="none"/>
        </w:tabs>
        <w:spacing w:line="362" w:lineRule="auto" w:before="209"/>
        <w:ind w:left="303" w:right="2302"/>
      </w:pPr>
      <w:r>
        <w:rPr>
          <w:i/>
        </w:rPr>
        <w:t>n</w:t>
        <w:tab/>
      </w:r>
      <w:r>
        <w:rPr/>
        <w:t>Número de años del horizonte de</w:t>
      </w:r>
      <w:r>
        <w:rPr>
          <w:spacing w:val="43"/>
        </w:rPr>
        <w:t> </w:t>
      </w:r>
      <w:r>
        <w:rPr/>
        <w:t>evaluación</w:t>
      </w:r>
      <w:r>
        <w:rPr>
          <w:spacing w:val="5"/>
        </w:rPr>
        <w:t> </w:t>
      </w:r>
      <w:r>
        <w:rPr/>
        <w:t>menos</w:t>
      </w:r>
      <w:r>
        <w:rPr>
          <w:w w:val="99"/>
        </w:rPr>
        <w:t> </w:t>
      </w:r>
      <w:r>
        <w:rPr/>
        <w:t>no</w:t>
      </w:r>
    </w:p>
    <w:p>
      <w:pPr>
        <w:spacing w:after="0" w:line="362" w:lineRule="auto"/>
        <w:sectPr>
          <w:pgSz w:w="12240" w:h="15840"/>
          <w:pgMar w:header="0" w:footer="998" w:top="1380" w:bottom="1200" w:left="1600" w:right="1600"/>
        </w:sectPr>
      </w:pPr>
    </w:p>
    <w:p>
      <w:pPr>
        <w:pStyle w:val="Heading1"/>
        <w:spacing w:line="360" w:lineRule="auto" w:before="46"/>
        <w:ind w:left="82" w:right="78"/>
        <w:jc w:val="center"/>
      </w:pPr>
      <w:r>
        <w:rPr/>
        <w:t>CAPÍTULO IV ADQUISICIÓN DE UNIDAD DE ATENCIÓN A PACIENTES CRÍTICOS EN SITUACIÓN DE DESASTRE PARA EL ESTADO DE MÉXICO</w:t>
      </w:r>
    </w:p>
    <w:p>
      <w:pPr>
        <w:pStyle w:val="BodyText"/>
        <w:spacing w:before="9"/>
        <w:rPr>
          <w:b/>
          <w:sz w:val="34"/>
        </w:rPr>
      </w:pPr>
    </w:p>
    <w:p>
      <w:pPr>
        <w:spacing w:line="360" w:lineRule="auto" w:before="1"/>
        <w:ind w:left="241" w:right="400" w:firstLine="0"/>
        <w:jc w:val="both"/>
        <w:rPr>
          <w:sz w:val="23"/>
        </w:rPr>
      </w:pPr>
      <w:r>
        <w:rPr>
          <w:sz w:val="23"/>
        </w:rPr>
        <w:t>La regla de decisión de este indicador consiste en que si el VPN es positivo,  entonces el proyecto es rentable, ya que la sociedad aumentará su riqueza al ejecutarlo. Por el contrario, un VPN negativo indica que se tendrían pérdidas en caso de llevarlo a cabo y por lo tanto, la realización del proyecto no sería conveniente (CEPEP,</w:t>
      </w:r>
      <w:r>
        <w:rPr>
          <w:spacing w:val="-10"/>
          <w:sz w:val="23"/>
        </w:rPr>
        <w:t> </w:t>
      </w:r>
      <w:r>
        <w:rPr>
          <w:sz w:val="23"/>
        </w:rPr>
        <w:t>2007).</w:t>
      </w:r>
    </w:p>
    <w:p>
      <w:pPr>
        <w:pStyle w:val="BodyText"/>
        <w:rPr>
          <w:sz w:val="22"/>
        </w:rPr>
      </w:pPr>
    </w:p>
    <w:p>
      <w:pPr>
        <w:pStyle w:val="Heading1"/>
        <w:numPr>
          <w:ilvl w:val="1"/>
          <w:numId w:val="23"/>
        </w:numPr>
        <w:tabs>
          <w:tab w:pos="645" w:val="left" w:leader="none"/>
        </w:tabs>
        <w:spacing w:line="240" w:lineRule="auto" w:before="146" w:after="0"/>
        <w:ind w:left="644" w:right="0" w:hanging="403"/>
        <w:jc w:val="both"/>
      </w:pPr>
      <w:r>
        <w:rPr/>
        <w:t>Ubicación</w:t>
      </w:r>
      <w:r>
        <w:rPr>
          <w:spacing w:val="-14"/>
        </w:rPr>
        <w:t> </w:t>
      </w:r>
      <w:r>
        <w:rPr/>
        <w:t>Geográfica</w:t>
      </w:r>
    </w:p>
    <w:p>
      <w:pPr>
        <w:pStyle w:val="BodyText"/>
        <w:rPr>
          <w:b/>
        </w:rPr>
      </w:pPr>
    </w:p>
    <w:p>
      <w:pPr>
        <w:pStyle w:val="BodyText"/>
        <w:rPr>
          <w:b/>
        </w:rPr>
      </w:pPr>
    </w:p>
    <w:p>
      <w:pPr>
        <w:pStyle w:val="BodyText"/>
        <w:spacing w:line="360" w:lineRule="auto"/>
        <w:ind w:left="241" w:right="317"/>
        <w:jc w:val="both"/>
      </w:pPr>
      <w:r>
        <w:rPr/>
        <w:t>El Estado de México se encuentra en el centro sur del país y se extiende por una superficie algo superior a 21 mil km2; que limita al norte con Querétaro e Hidalgo, al sur con Morelos y Guerrero; al oeste con Michoacán, al este con Tlaxcala y Puebla, y rodea al Distrito Federal.</w:t>
      </w:r>
    </w:p>
    <w:p>
      <w:pPr>
        <w:pStyle w:val="BodyText"/>
        <w:spacing w:line="360" w:lineRule="auto" w:before="122"/>
        <w:ind w:left="241" w:right="323"/>
        <w:jc w:val="both"/>
      </w:pPr>
      <w:r>
        <w:rPr/>
        <w:pict>
          <v:group style="position:absolute;margin-left:165.224991pt;margin-top:71.580849pt;width:316.5pt;height:255.55pt;mso-position-horizontal-relative:page;mso-position-vertical-relative:paragraph;z-index:1960;mso-wrap-distance-left:0;mso-wrap-distance-right:0" coordorigin="3304,1432" coordsize="6330,5111">
            <v:shape style="position:absolute;left:3336;top:1446;width:6283;height:3336" type="#_x0000_t75" stroked="false">
              <v:imagedata r:id="rId27" o:title=""/>
            </v:shape>
            <v:rect style="position:absolute;left:3329;top:1439;width:6298;height:3350" filled="false" stroked="true" strokeweight=".72pt" strokecolor="#000000"/>
            <v:shape style="position:absolute;left:3319;top:4799;width:6300;height:1728" type="#_x0000_t75" stroked="false">
              <v:imagedata r:id="rId28" o:title=""/>
            </v:shape>
            <v:rect style="position:absolute;left:3312;top:4792;width:6314;height:1742" filled="false" stroked="true" strokeweight=".72pt" strokecolor="#000000"/>
            <w10:wrap type="topAndBottom"/>
          </v:group>
        </w:pict>
      </w:r>
      <w:r>
        <w:rPr/>
        <w:t>Para definir el peligro de un municipio se tomó en cuenta la ocurrencia de decesos y el monto de los daños generados por el evento, de tal suerte que surge el siguiente mapa:</w:t>
      </w:r>
    </w:p>
    <w:p>
      <w:pPr>
        <w:spacing w:before="34"/>
        <w:ind w:left="2" w:right="78" w:firstLine="0"/>
        <w:jc w:val="center"/>
        <w:rPr>
          <w:b/>
          <w:sz w:val="16"/>
        </w:rPr>
      </w:pPr>
      <w:r>
        <w:rPr>
          <w:b/>
          <w:sz w:val="16"/>
        </w:rPr>
        <w:t>Fuente: Cenapred 2012.</w:t>
      </w:r>
    </w:p>
    <w:p>
      <w:pPr>
        <w:spacing w:after="0"/>
        <w:jc w:val="center"/>
        <w:rPr>
          <w:sz w:val="16"/>
        </w:rPr>
        <w:sectPr>
          <w:pgSz w:w="12240" w:h="15840"/>
          <w:pgMar w:header="0" w:footer="998" w:top="1380" w:bottom="1200" w:left="1460" w:right="1380"/>
        </w:sectPr>
      </w:pPr>
    </w:p>
    <w:p>
      <w:pPr>
        <w:pStyle w:val="Heading1"/>
        <w:numPr>
          <w:ilvl w:val="1"/>
          <w:numId w:val="23"/>
        </w:numPr>
        <w:tabs>
          <w:tab w:pos="505" w:val="left" w:leader="none"/>
        </w:tabs>
        <w:spacing w:line="240" w:lineRule="auto" w:before="46" w:after="0"/>
        <w:ind w:left="504" w:right="0" w:hanging="403"/>
        <w:jc w:val="both"/>
      </w:pPr>
      <w:r>
        <w:rPr/>
        <w:t>Diagnóstico de la Situación</w:t>
      </w:r>
      <w:r>
        <w:rPr>
          <w:spacing w:val="-26"/>
        </w:rPr>
        <w:t> </w:t>
      </w:r>
      <w:r>
        <w:rPr/>
        <w:t>Actual</w:t>
      </w:r>
    </w:p>
    <w:p>
      <w:pPr>
        <w:pStyle w:val="BodyText"/>
        <w:rPr>
          <w:b/>
        </w:rPr>
      </w:pPr>
    </w:p>
    <w:p>
      <w:pPr>
        <w:pStyle w:val="BodyText"/>
        <w:rPr>
          <w:b/>
        </w:rPr>
      </w:pPr>
    </w:p>
    <w:p>
      <w:pPr>
        <w:pStyle w:val="BodyText"/>
        <w:spacing w:line="360" w:lineRule="auto"/>
        <w:ind w:left="101" w:right="160"/>
        <w:jc w:val="both"/>
      </w:pPr>
      <w:r>
        <w:rPr/>
        <w:t>Los desastres naturales han cegado aproximadamente 3 millones de vidas en el mundo durante los últimos 20 años; han afectado adversamente a, por lo menos, 800 millones de personas y han ocasionado pérdidas por más de 50 000 millones de dólares en daños a la propiedad. Un desastre de grandes proporciones ocurre casi diariamente en el mundo y uno natural, que requiere apoyo internacional para las poblaciones afectadas, se presenta semanalmente.</w:t>
      </w:r>
    </w:p>
    <w:p>
      <w:pPr>
        <w:pStyle w:val="BodyText"/>
        <w:spacing w:line="360" w:lineRule="auto" w:before="2"/>
        <w:ind w:left="101" w:right="166"/>
        <w:jc w:val="both"/>
      </w:pPr>
      <w:r>
        <w:rPr/>
        <w:t>Desafortunadamente, las amenazas fundadas en los desastres probablemente serán peores en el futuro. El incremento de la densidad de las poblaciones en terrenos anegadizos, en áreas costeras vulnerables y cerca de fallas geológicas;  el desarrollo y el transporte de miles de materiales tóxicos y peligrosos y la rápida industrialización de los países </w:t>
      </w:r>
      <w:r>
        <w:rPr>
          <w:spacing w:val="3"/>
        </w:rPr>
        <w:t>en </w:t>
      </w:r>
      <w:r>
        <w:rPr/>
        <w:t>vías de desarrollo, sugieren la probabilidad de futuros desastres catastróficos, con millones de damnificados potenciales. En la figura se muestra algunos de los desastres graves que ha padecido nuestro país los últimos 200</w:t>
      </w:r>
      <w:r>
        <w:rPr>
          <w:spacing w:val="-16"/>
        </w:rPr>
        <w:t> </w:t>
      </w:r>
      <w:r>
        <w:rPr/>
        <w:t>años:</w:t>
      </w:r>
    </w:p>
    <w:p>
      <w:pPr>
        <w:pStyle w:val="BodyText"/>
        <w:spacing w:before="3"/>
        <w:rPr>
          <w:sz w:val="9"/>
        </w:rPr>
      </w:pPr>
      <w:r>
        <w:rPr/>
        <w:pict>
          <v:group style="position:absolute;margin-left:86.264999pt;margin-top:7.298902pt;width:443.1pt;height:272.1pt;mso-position-horizontal-relative:page;mso-position-vertical-relative:paragraph;z-index:1984;mso-wrap-distance-left:0;mso-wrap-distance-right:0" coordorigin="1725,146" coordsize="8862,5442">
            <v:shape style="position:absolute;left:1740;top:161;width:8832;height:5412" type="#_x0000_t75" stroked="false">
              <v:imagedata r:id="rId30" o:title=""/>
            </v:shape>
            <v:rect style="position:absolute;left:1733;top:153;width:8846;height:5426" filled="false" stroked="true" strokeweight=".72pt" strokecolor="#4f80bc"/>
            <w10:wrap type="topAndBottom"/>
          </v:group>
        </w:pict>
      </w:r>
    </w:p>
    <w:p>
      <w:pPr>
        <w:spacing w:before="178"/>
        <w:ind w:left="3688" w:right="3743" w:firstLine="0"/>
        <w:jc w:val="center"/>
        <w:rPr>
          <w:b/>
          <w:sz w:val="16"/>
        </w:rPr>
      </w:pPr>
      <w:r>
        <w:rPr>
          <w:b/>
          <w:sz w:val="16"/>
        </w:rPr>
        <w:t>Funte:Cofeprice 2001</w:t>
      </w:r>
    </w:p>
    <w:p>
      <w:pPr>
        <w:spacing w:after="0"/>
        <w:jc w:val="center"/>
        <w:rPr>
          <w:sz w:val="16"/>
        </w:rPr>
        <w:sectPr>
          <w:footerReference w:type="default" r:id="rId29"/>
          <w:pgSz w:w="12240" w:h="15840"/>
          <w:pgMar w:footer="1005" w:header="0" w:top="1380" w:bottom="1200" w:left="1600" w:right="1540"/>
          <w:pgNumType w:start="30"/>
        </w:sectPr>
      </w:pPr>
    </w:p>
    <w:p>
      <w:pPr>
        <w:pStyle w:val="BodyText"/>
        <w:spacing w:line="360" w:lineRule="auto" w:before="46"/>
        <w:ind w:left="821" w:right="829"/>
        <w:jc w:val="both"/>
      </w:pPr>
      <w:r>
        <w:rPr/>
        <w:t>El Estado de México es afectado por fenómenos que producen emergencias y se ha recopilado un registro histórico de eventos extraordinarios, con el cual se ha tratado estimar el peligro y riesgos como se muestra en la tabla de acontecimientos:</w:t>
      </w:r>
    </w:p>
    <w:p>
      <w:pPr>
        <w:pStyle w:val="BodyText"/>
        <w:rPr>
          <w:sz w:val="20"/>
        </w:rPr>
      </w:pPr>
    </w:p>
    <w:p>
      <w:pPr>
        <w:pStyle w:val="BodyText"/>
        <w:spacing w:before="3" w:after="1"/>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18"/>
        <w:gridCol w:w="3413"/>
        <w:gridCol w:w="2273"/>
        <w:gridCol w:w="3132"/>
      </w:tblGrid>
      <w:tr>
        <w:trPr>
          <w:trHeight w:val="425" w:hRule="exact"/>
        </w:trPr>
        <w:tc>
          <w:tcPr>
            <w:tcW w:w="1418" w:type="dxa"/>
          </w:tcPr>
          <w:p>
            <w:pPr>
              <w:pStyle w:val="TableParagraph"/>
              <w:spacing w:before="6"/>
              <w:ind w:left="84" w:right="84"/>
              <w:jc w:val="center"/>
              <w:rPr>
                <w:sz w:val="24"/>
              </w:rPr>
            </w:pPr>
            <w:r>
              <w:rPr>
                <w:sz w:val="24"/>
              </w:rPr>
              <w:t>Fecha</w:t>
            </w:r>
          </w:p>
        </w:tc>
        <w:tc>
          <w:tcPr>
            <w:tcW w:w="3413" w:type="dxa"/>
          </w:tcPr>
          <w:p>
            <w:pPr>
              <w:pStyle w:val="TableParagraph"/>
              <w:spacing w:before="6"/>
              <w:ind w:left="1309" w:right="1309"/>
              <w:jc w:val="center"/>
              <w:rPr>
                <w:sz w:val="24"/>
              </w:rPr>
            </w:pPr>
            <w:r>
              <w:rPr>
                <w:sz w:val="24"/>
              </w:rPr>
              <w:t>Evento</w:t>
            </w:r>
          </w:p>
        </w:tc>
        <w:tc>
          <w:tcPr>
            <w:tcW w:w="2273" w:type="dxa"/>
          </w:tcPr>
          <w:p>
            <w:pPr>
              <w:pStyle w:val="TableParagraph"/>
              <w:spacing w:before="6"/>
              <w:ind w:left="259"/>
              <w:rPr>
                <w:sz w:val="24"/>
              </w:rPr>
            </w:pPr>
            <w:r>
              <w:rPr>
                <w:sz w:val="24"/>
              </w:rPr>
              <w:t>Región afectada</w:t>
            </w:r>
          </w:p>
        </w:tc>
        <w:tc>
          <w:tcPr>
            <w:tcW w:w="3132" w:type="dxa"/>
          </w:tcPr>
          <w:p>
            <w:pPr>
              <w:pStyle w:val="TableParagraph"/>
              <w:spacing w:before="6"/>
              <w:ind w:left="1197" w:right="1194"/>
              <w:jc w:val="center"/>
              <w:rPr>
                <w:sz w:val="24"/>
              </w:rPr>
            </w:pPr>
            <w:r>
              <w:rPr>
                <w:sz w:val="24"/>
              </w:rPr>
              <w:t>Daños</w:t>
            </w:r>
          </w:p>
        </w:tc>
      </w:tr>
      <w:tr>
        <w:trPr>
          <w:trHeight w:val="1666" w:hRule="exact"/>
        </w:trPr>
        <w:tc>
          <w:tcPr>
            <w:tcW w:w="1418" w:type="dxa"/>
          </w:tcPr>
          <w:p>
            <w:pPr>
              <w:pStyle w:val="TableParagraph"/>
              <w:rPr>
                <w:sz w:val="24"/>
              </w:rPr>
            </w:pPr>
          </w:p>
          <w:p>
            <w:pPr>
              <w:pStyle w:val="TableParagraph"/>
              <w:spacing w:before="4"/>
              <w:rPr>
                <w:sz w:val="30"/>
              </w:rPr>
            </w:pPr>
          </w:p>
          <w:p>
            <w:pPr>
              <w:pStyle w:val="TableParagraph"/>
              <w:spacing w:before="1"/>
              <w:ind w:left="85" w:right="84"/>
              <w:jc w:val="center"/>
              <w:rPr>
                <w:sz w:val="24"/>
              </w:rPr>
            </w:pPr>
            <w:r>
              <w:rPr>
                <w:sz w:val="24"/>
              </w:rPr>
              <w:t>05/03/1980</w:t>
            </w:r>
          </w:p>
        </w:tc>
        <w:tc>
          <w:tcPr>
            <w:tcW w:w="3413" w:type="dxa"/>
          </w:tcPr>
          <w:p>
            <w:pPr>
              <w:pStyle w:val="TableParagraph"/>
              <w:tabs>
                <w:tab w:pos="1241" w:val="left" w:leader="none"/>
                <w:tab w:pos="1737" w:val="left" w:leader="none"/>
                <w:tab w:pos="2151" w:val="left" w:leader="none"/>
                <w:tab w:pos="3033" w:val="left" w:leader="none"/>
              </w:tabs>
              <w:spacing w:line="360" w:lineRule="auto" w:before="4"/>
              <w:ind w:left="105" w:right="104"/>
              <w:rPr>
                <w:sz w:val="24"/>
              </w:rPr>
            </w:pPr>
            <w:r>
              <w:rPr>
                <w:sz w:val="24"/>
              </w:rPr>
              <w:t>Incendio</w:t>
              <w:tab/>
              <w:t>en</w:t>
              <w:tab/>
              <w:t>la</w:t>
              <w:tab/>
              <w:t>planta</w:t>
              <w:tab/>
              <w:t>de</w:t>
            </w:r>
            <w:r>
              <w:rPr>
                <w:w w:val="99"/>
                <w:sz w:val="24"/>
              </w:rPr>
              <w:t> </w:t>
            </w:r>
            <w:r>
              <w:rPr>
                <w:sz w:val="24"/>
              </w:rPr>
              <w:t>Flama</w:t>
            </w:r>
            <w:r>
              <w:rPr>
                <w:spacing w:val="-5"/>
                <w:sz w:val="24"/>
              </w:rPr>
              <w:t> </w:t>
            </w:r>
            <w:r>
              <w:rPr>
                <w:sz w:val="24"/>
              </w:rPr>
              <w:t>-Gas</w:t>
            </w:r>
          </w:p>
        </w:tc>
        <w:tc>
          <w:tcPr>
            <w:tcW w:w="2273" w:type="dxa"/>
          </w:tcPr>
          <w:p>
            <w:pPr>
              <w:pStyle w:val="TableParagraph"/>
              <w:spacing w:before="4"/>
              <w:ind w:left="105"/>
              <w:rPr>
                <w:sz w:val="24"/>
              </w:rPr>
            </w:pPr>
            <w:r>
              <w:rPr>
                <w:sz w:val="24"/>
              </w:rPr>
              <w:t>Xalostoc</w:t>
            </w:r>
          </w:p>
        </w:tc>
        <w:tc>
          <w:tcPr>
            <w:tcW w:w="3132" w:type="dxa"/>
          </w:tcPr>
          <w:p>
            <w:pPr>
              <w:pStyle w:val="TableParagraph"/>
              <w:spacing w:line="360" w:lineRule="auto" w:before="4"/>
              <w:ind w:left="105" w:right="103"/>
              <w:jc w:val="both"/>
              <w:rPr>
                <w:sz w:val="24"/>
              </w:rPr>
            </w:pPr>
            <w:r>
              <w:rPr>
                <w:sz w:val="24"/>
              </w:rPr>
              <w:t>4 heridos, estalló un carro cisterna con 32 mil litros de gas, pérdidas por 20 millones de pesos</w:t>
            </w:r>
          </w:p>
        </w:tc>
      </w:tr>
      <w:tr>
        <w:trPr>
          <w:trHeight w:val="838" w:hRule="exact"/>
        </w:trPr>
        <w:tc>
          <w:tcPr>
            <w:tcW w:w="1418" w:type="dxa"/>
          </w:tcPr>
          <w:p>
            <w:pPr>
              <w:pStyle w:val="TableParagraph"/>
              <w:spacing w:before="213"/>
              <w:ind w:left="85" w:right="84"/>
              <w:jc w:val="center"/>
              <w:rPr>
                <w:sz w:val="24"/>
              </w:rPr>
            </w:pPr>
            <w:r>
              <w:rPr>
                <w:sz w:val="24"/>
              </w:rPr>
              <w:t>05/11/1980</w:t>
            </w:r>
          </w:p>
        </w:tc>
        <w:tc>
          <w:tcPr>
            <w:tcW w:w="3413" w:type="dxa"/>
          </w:tcPr>
          <w:p>
            <w:pPr>
              <w:pStyle w:val="TableParagraph"/>
              <w:spacing w:before="4"/>
              <w:ind w:left="105" w:right="104"/>
              <w:rPr>
                <w:sz w:val="24"/>
              </w:rPr>
            </w:pPr>
            <w:r>
              <w:rPr>
                <w:sz w:val="24"/>
              </w:rPr>
              <w:t>Incendio en fábricas</w:t>
            </w:r>
          </w:p>
        </w:tc>
        <w:tc>
          <w:tcPr>
            <w:tcW w:w="2273" w:type="dxa"/>
          </w:tcPr>
          <w:p>
            <w:pPr>
              <w:pStyle w:val="TableParagraph"/>
              <w:spacing w:before="4"/>
              <w:ind w:left="105"/>
              <w:rPr>
                <w:sz w:val="24"/>
              </w:rPr>
            </w:pPr>
            <w:r>
              <w:rPr>
                <w:sz w:val="24"/>
              </w:rPr>
              <w:t>Naucalpan</w:t>
            </w:r>
          </w:p>
        </w:tc>
        <w:tc>
          <w:tcPr>
            <w:tcW w:w="3132" w:type="dxa"/>
          </w:tcPr>
          <w:p>
            <w:pPr>
              <w:pStyle w:val="TableParagraph"/>
              <w:spacing w:line="360" w:lineRule="auto" w:before="4"/>
              <w:ind w:left="105"/>
              <w:rPr>
                <w:sz w:val="24"/>
              </w:rPr>
            </w:pPr>
            <w:r>
              <w:rPr>
                <w:sz w:val="24"/>
              </w:rPr>
              <w:t>10 muertos, 50 empresas arrasadas</w:t>
            </w:r>
          </w:p>
        </w:tc>
      </w:tr>
      <w:tr>
        <w:trPr>
          <w:trHeight w:val="425" w:hRule="exact"/>
        </w:trPr>
        <w:tc>
          <w:tcPr>
            <w:tcW w:w="1418" w:type="dxa"/>
          </w:tcPr>
          <w:p>
            <w:pPr>
              <w:pStyle w:val="TableParagraph"/>
              <w:spacing w:before="4"/>
              <w:ind w:left="85" w:right="84"/>
              <w:jc w:val="center"/>
              <w:rPr>
                <w:sz w:val="24"/>
              </w:rPr>
            </w:pPr>
            <w:r>
              <w:rPr>
                <w:sz w:val="24"/>
              </w:rPr>
              <w:t>10/02/1982</w:t>
            </w:r>
          </w:p>
        </w:tc>
        <w:tc>
          <w:tcPr>
            <w:tcW w:w="3413" w:type="dxa"/>
          </w:tcPr>
          <w:p>
            <w:pPr>
              <w:pStyle w:val="TableParagraph"/>
              <w:spacing w:before="4"/>
              <w:ind w:left="105" w:right="104"/>
              <w:rPr>
                <w:sz w:val="24"/>
              </w:rPr>
            </w:pPr>
            <w:r>
              <w:rPr>
                <w:sz w:val="24"/>
              </w:rPr>
              <w:t>Hundimiento de cerro</w:t>
            </w:r>
          </w:p>
        </w:tc>
        <w:tc>
          <w:tcPr>
            <w:tcW w:w="2273" w:type="dxa"/>
          </w:tcPr>
          <w:p>
            <w:pPr>
              <w:pStyle w:val="TableParagraph"/>
              <w:spacing w:before="4"/>
              <w:ind w:left="105"/>
              <w:rPr>
                <w:sz w:val="24"/>
              </w:rPr>
            </w:pPr>
            <w:r>
              <w:rPr>
                <w:sz w:val="24"/>
              </w:rPr>
              <w:t>Naucalpan</w:t>
            </w:r>
          </w:p>
        </w:tc>
        <w:tc>
          <w:tcPr>
            <w:tcW w:w="3132" w:type="dxa"/>
          </w:tcPr>
          <w:p>
            <w:pPr>
              <w:pStyle w:val="TableParagraph"/>
              <w:spacing w:before="4"/>
              <w:ind w:left="105"/>
              <w:rPr>
                <w:sz w:val="24"/>
              </w:rPr>
            </w:pPr>
            <w:r>
              <w:rPr>
                <w:sz w:val="24"/>
              </w:rPr>
              <w:t>20 víctimas</w:t>
            </w:r>
          </w:p>
        </w:tc>
      </w:tr>
      <w:tr>
        <w:trPr>
          <w:trHeight w:val="425" w:hRule="exact"/>
        </w:trPr>
        <w:tc>
          <w:tcPr>
            <w:tcW w:w="1418" w:type="dxa"/>
          </w:tcPr>
          <w:p>
            <w:pPr>
              <w:pStyle w:val="TableParagraph"/>
              <w:spacing w:before="4"/>
              <w:ind w:left="85" w:right="84"/>
              <w:jc w:val="center"/>
              <w:rPr>
                <w:sz w:val="24"/>
              </w:rPr>
            </w:pPr>
            <w:r>
              <w:rPr>
                <w:sz w:val="24"/>
              </w:rPr>
              <w:t>06/07/1983</w:t>
            </w:r>
          </w:p>
        </w:tc>
        <w:tc>
          <w:tcPr>
            <w:tcW w:w="3413" w:type="dxa"/>
          </w:tcPr>
          <w:p>
            <w:pPr>
              <w:pStyle w:val="TableParagraph"/>
              <w:spacing w:before="4"/>
              <w:ind w:left="105" w:right="104"/>
              <w:rPr>
                <w:sz w:val="24"/>
              </w:rPr>
            </w:pPr>
            <w:r>
              <w:rPr>
                <w:sz w:val="24"/>
              </w:rPr>
              <w:t>Inundación</w:t>
            </w:r>
          </w:p>
        </w:tc>
        <w:tc>
          <w:tcPr>
            <w:tcW w:w="2273" w:type="dxa"/>
          </w:tcPr>
          <w:p>
            <w:pPr>
              <w:pStyle w:val="TableParagraph"/>
              <w:spacing w:before="4"/>
              <w:ind w:left="105"/>
              <w:rPr>
                <w:sz w:val="24"/>
              </w:rPr>
            </w:pPr>
            <w:r>
              <w:rPr>
                <w:sz w:val="24"/>
              </w:rPr>
              <w:t>Toluca</w:t>
            </w:r>
          </w:p>
        </w:tc>
        <w:tc>
          <w:tcPr>
            <w:tcW w:w="3132" w:type="dxa"/>
          </w:tcPr>
          <w:p>
            <w:pPr>
              <w:pStyle w:val="TableParagraph"/>
              <w:spacing w:before="4"/>
              <w:ind w:left="105"/>
              <w:rPr>
                <w:sz w:val="24"/>
              </w:rPr>
            </w:pPr>
            <w:r>
              <w:rPr>
                <w:sz w:val="24"/>
              </w:rPr>
              <w:t>30 mil damnificados</w:t>
            </w:r>
          </w:p>
        </w:tc>
      </w:tr>
      <w:tr>
        <w:trPr>
          <w:trHeight w:val="422" w:hRule="exact"/>
        </w:trPr>
        <w:tc>
          <w:tcPr>
            <w:tcW w:w="1418" w:type="dxa"/>
          </w:tcPr>
          <w:p>
            <w:pPr>
              <w:pStyle w:val="TableParagraph"/>
              <w:spacing w:before="4"/>
              <w:ind w:left="85" w:right="84"/>
              <w:jc w:val="center"/>
              <w:rPr>
                <w:sz w:val="24"/>
              </w:rPr>
            </w:pPr>
            <w:r>
              <w:rPr>
                <w:sz w:val="24"/>
              </w:rPr>
              <w:t>21/11/1984</w:t>
            </w:r>
          </w:p>
        </w:tc>
        <w:tc>
          <w:tcPr>
            <w:tcW w:w="3413" w:type="dxa"/>
          </w:tcPr>
          <w:p>
            <w:pPr>
              <w:pStyle w:val="TableParagraph"/>
              <w:spacing w:before="4"/>
              <w:ind w:left="105" w:right="104"/>
              <w:rPr>
                <w:sz w:val="24"/>
              </w:rPr>
            </w:pPr>
            <w:r>
              <w:rPr>
                <w:sz w:val="24"/>
              </w:rPr>
              <w:t>Explosión en planta de gas</w:t>
            </w:r>
          </w:p>
        </w:tc>
        <w:tc>
          <w:tcPr>
            <w:tcW w:w="2273" w:type="dxa"/>
          </w:tcPr>
          <w:p>
            <w:pPr>
              <w:pStyle w:val="TableParagraph"/>
              <w:spacing w:before="4"/>
              <w:ind w:left="105"/>
              <w:rPr>
                <w:sz w:val="24"/>
              </w:rPr>
            </w:pPr>
            <w:r>
              <w:rPr>
                <w:sz w:val="24"/>
              </w:rPr>
              <w:t>San Juanico</w:t>
            </w:r>
          </w:p>
        </w:tc>
        <w:tc>
          <w:tcPr>
            <w:tcW w:w="3132" w:type="dxa"/>
          </w:tcPr>
          <w:p>
            <w:pPr>
              <w:pStyle w:val="TableParagraph"/>
              <w:spacing w:before="4"/>
              <w:ind w:left="105"/>
              <w:rPr>
                <w:sz w:val="24"/>
              </w:rPr>
            </w:pPr>
            <w:r>
              <w:rPr>
                <w:sz w:val="24"/>
              </w:rPr>
              <w:t>410 muertos</w:t>
            </w:r>
          </w:p>
        </w:tc>
      </w:tr>
      <w:tr>
        <w:trPr>
          <w:trHeight w:val="425" w:hRule="exact"/>
        </w:trPr>
        <w:tc>
          <w:tcPr>
            <w:tcW w:w="1418" w:type="dxa"/>
          </w:tcPr>
          <w:p>
            <w:pPr>
              <w:pStyle w:val="TableParagraph"/>
              <w:spacing w:before="4"/>
              <w:ind w:left="85" w:right="84"/>
              <w:jc w:val="center"/>
              <w:rPr>
                <w:sz w:val="24"/>
              </w:rPr>
            </w:pPr>
            <w:r>
              <w:rPr>
                <w:sz w:val="24"/>
              </w:rPr>
              <w:t>19/09/1985</w:t>
            </w:r>
          </w:p>
        </w:tc>
        <w:tc>
          <w:tcPr>
            <w:tcW w:w="3413" w:type="dxa"/>
          </w:tcPr>
          <w:p>
            <w:pPr>
              <w:pStyle w:val="TableParagraph"/>
              <w:spacing w:before="4"/>
              <w:ind w:left="105" w:right="104"/>
              <w:rPr>
                <w:sz w:val="24"/>
              </w:rPr>
            </w:pPr>
            <w:r>
              <w:rPr>
                <w:sz w:val="24"/>
              </w:rPr>
              <w:t>Terremoto</w:t>
            </w:r>
          </w:p>
        </w:tc>
        <w:tc>
          <w:tcPr>
            <w:tcW w:w="2273" w:type="dxa"/>
          </w:tcPr>
          <w:p>
            <w:pPr>
              <w:pStyle w:val="TableParagraph"/>
              <w:spacing w:before="4"/>
              <w:ind w:left="105"/>
              <w:rPr>
                <w:sz w:val="24"/>
              </w:rPr>
            </w:pPr>
            <w:r>
              <w:rPr>
                <w:sz w:val="24"/>
              </w:rPr>
              <w:t>Estado de México</w:t>
            </w:r>
          </w:p>
        </w:tc>
        <w:tc>
          <w:tcPr>
            <w:tcW w:w="3132" w:type="dxa"/>
          </w:tcPr>
          <w:p>
            <w:pPr/>
          </w:p>
        </w:tc>
      </w:tr>
      <w:tr>
        <w:trPr>
          <w:trHeight w:val="838" w:hRule="exact"/>
        </w:trPr>
        <w:tc>
          <w:tcPr>
            <w:tcW w:w="1418" w:type="dxa"/>
          </w:tcPr>
          <w:p>
            <w:pPr>
              <w:pStyle w:val="TableParagraph"/>
              <w:spacing w:before="210"/>
              <w:ind w:left="85" w:right="84"/>
              <w:jc w:val="center"/>
              <w:rPr>
                <w:sz w:val="24"/>
              </w:rPr>
            </w:pPr>
            <w:r>
              <w:rPr>
                <w:sz w:val="24"/>
              </w:rPr>
              <w:t>24/11/1990</w:t>
            </w:r>
          </w:p>
        </w:tc>
        <w:tc>
          <w:tcPr>
            <w:tcW w:w="3413" w:type="dxa"/>
          </w:tcPr>
          <w:p>
            <w:pPr>
              <w:pStyle w:val="TableParagraph"/>
              <w:tabs>
                <w:tab w:pos="1428" w:val="left" w:leader="none"/>
                <w:tab w:pos="2363" w:val="left" w:leader="none"/>
                <w:tab w:pos="2912" w:val="left" w:leader="none"/>
              </w:tabs>
              <w:spacing w:line="360" w:lineRule="auto" w:before="4"/>
              <w:ind w:left="105" w:right="101"/>
              <w:rPr>
                <w:sz w:val="24"/>
              </w:rPr>
            </w:pPr>
            <w:r>
              <w:rPr>
                <w:sz w:val="24"/>
              </w:rPr>
              <w:t>Explosión</w:t>
              <w:tab/>
              <w:t>planta</w:t>
              <w:tab/>
              <w:t>de</w:t>
              <w:tab/>
              <w:t>gas licuado</w:t>
            </w:r>
          </w:p>
        </w:tc>
        <w:tc>
          <w:tcPr>
            <w:tcW w:w="2273" w:type="dxa"/>
          </w:tcPr>
          <w:p>
            <w:pPr>
              <w:pStyle w:val="TableParagraph"/>
              <w:tabs>
                <w:tab w:pos="1642" w:val="left" w:leader="none"/>
              </w:tabs>
              <w:spacing w:before="4"/>
              <w:ind w:left="105"/>
              <w:rPr>
                <w:sz w:val="24"/>
              </w:rPr>
            </w:pPr>
            <w:r>
              <w:rPr>
                <w:sz w:val="24"/>
              </w:rPr>
              <w:t>San</w:t>
              <w:tab/>
              <w:t>Juan</w:t>
            </w:r>
          </w:p>
          <w:p>
            <w:pPr>
              <w:pStyle w:val="TableParagraph"/>
              <w:spacing w:before="139"/>
              <w:ind w:left="105"/>
              <w:rPr>
                <w:sz w:val="24"/>
              </w:rPr>
            </w:pPr>
            <w:r>
              <w:rPr>
                <w:sz w:val="24"/>
              </w:rPr>
              <w:t>Ixhuatepec</w:t>
            </w:r>
          </w:p>
        </w:tc>
        <w:tc>
          <w:tcPr>
            <w:tcW w:w="3132" w:type="dxa"/>
          </w:tcPr>
          <w:p>
            <w:pPr>
              <w:pStyle w:val="TableParagraph"/>
              <w:spacing w:before="4"/>
              <w:ind w:left="105"/>
              <w:rPr>
                <w:sz w:val="24"/>
              </w:rPr>
            </w:pPr>
            <w:r>
              <w:rPr>
                <w:sz w:val="24"/>
              </w:rPr>
              <w:t>340 muertos, 980 heridos</w:t>
            </w:r>
          </w:p>
        </w:tc>
      </w:tr>
      <w:tr>
        <w:trPr>
          <w:trHeight w:val="425" w:hRule="exact"/>
        </w:trPr>
        <w:tc>
          <w:tcPr>
            <w:tcW w:w="1418" w:type="dxa"/>
          </w:tcPr>
          <w:p>
            <w:pPr>
              <w:pStyle w:val="TableParagraph"/>
              <w:spacing w:before="4"/>
              <w:ind w:left="85" w:right="84"/>
              <w:jc w:val="center"/>
              <w:rPr>
                <w:sz w:val="24"/>
              </w:rPr>
            </w:pPr>
            <w:r>
              <w:rPr>
                <w:sz w:val="24"/>
              </w:rPr>
              <w:t>17/05/1995</w:t>
            </w:r>
          </w:p>
        </w:tc>
        <w:tc>
          <w:tcPr>
            <w:tcW w:w="3413" w:type="dxa"/>
          </w:tcPr>
          <w:p>
            <w:pPr>
              <w:pStyle w:val="TableParagraph"/>
              <w:spacing w:before="4"/>
              <w:ind w:left="105" w:right="104"/>
              <w:rPr>
                <w:sz w:val="24"/>
              </w:rPr>
            </w:pPr>
            <w:r>
              <w:rPr>
                <w:sz w:val="24"/>
              </w:rPr>
              <w:t>Tormenta</w:t>
            </w:r>
          </w:p>
        </w:tc>
        <w:tc>
          <w:tcPr>
            <w:tcW w:w="2273" w:type="dxa"/>
          </w:tcPr>
          <w:p>
            <w:pPr>
              <w:pStyle w:val="TableParagraph"/>
              <w:spacing w:before="4"/>
              <w:ind w:left="105"/>
              <w:rPr>
                <w:sz w:val="24"/>
              </w:rPr>
            </w:pPr>
            <w:r>
              <w:rPr>
                <w:sz w:val="24"/>
              </w:rPr>
              <w:t>Estado de México</w:t>
            </w:r>
          </w:p>
        </w:tc>
        <w:tc>
          <w:tcPr>
            <w:tcW w:w="3132" w:type="dxa"/>
          </w:tcPr>
          <w:p>
            <w:pPr>
              <w:pStyle w:val="TableParagraph"/>
              <w:spacing w:before="4"/>
              <w:ind w:left="105"/>
              <w:rPr>
                <w:sz w:val="24"/>
              </w:rPr>
            </w:pPr>
            <w:r>
              <w:rPr>
                <w:sz w:val="24"/>
              </w:rPr>
              <w:t>157 casas inundadas</w:t>
            </w:r>
          </w:p>
        </w:tc>
      </w:tr>
      <w:tr>
        <w:trPr>
          <w:trHeight w:val="838" w:hRule="exact"/>
        </w:trPr>
        <w:tc>
          <w:tcPr>
            <w:tcW w:w="1418" w:type="dxa"/>
          </w:tcPr>
          <w:p>
            <w:pPr>
              <w:pStyle w:val="TableParagraph"/>
              <w:spacing w:before="210"/>
              <w:ind w:left="85" w:right="84"/>
              <w:jc w:val="center"/>
              <w:rPr>
                <w:sz w:val="24"/>
              </w:rPr>
            </w:pPr>
            <w:r>
              <w:rPr>
                <w:sz w:val="24"/>
              </w:rPr>
              <w:t>23/08/1995</w:t>
            </w:r>
          </w:p>
        </w:tc>
        <w:tc>
          <w:tcPr>
            <w:tcW w:w="3413" w:type="dxa"/>
          </w:tcPr>
          <w:p>
            <w:pPr>
              <w:pStyle w:val="TableParagraph"/>
              <w:tabs>
                <w:tab w:pos="2700" w:val="left" w:leader="none"/>
              </w:tabs>
              <w:spacing w:line="360" w:lineRule="auto" w:before="4"/>
              <w:ind w:left="105" w:right="102"/>
              <w:rPr>
                <w:sz w:val="24"/>
              </w:rPr>
            </w:pPr>
            <w:r>
              <w:rPr>
                <w:sz w:val="24"/>
              </w:rPr>
              <w:t>Desbordamiento</w:t>
              <w:tab/>
              <w:t>presa Concepción</w:t>
            </w:r>
          </w:p>
        </w:tc>
        <w:tc>
          <w:tcPr>
            <w:tcW w:w="2273" w:type="dxa"/>
          </w:tcPr>
          <w:p>
            <w:pPr>
              <w:pStyle w:val="TableParagraph"/>
              <w:spacing w:before="4"/>
              <w:ind w:left="105"/>
              <w:rPr>
                <w:sz w:val="24"/>
              </w:rPr>
            </w:pPr>
            <w:r>
              <w:rPr>
                <w:sz w:val="24"/>
              </w:rPr>
              <w:t>Estado de México</w:t>
            </w:r>
          </w:p>
        </w:tc>
        <w:tc>
          <w:tcPr>
            <w:tcW w:w="3132" w:type="dxa"/>
          </w:tcPr>
          <w:p>
            <w:pPr>
              <w:pStyle w:val="TableParagraph"/>
              <w:spacing w:before="4"/>
              <w:ind w:left="105"/>
              <w:rPr>
                <w:sz w:val="24"/>
              </w:rPr>
            </w:pPr>
            <w:r>
              <w:rPr>
                <w:sz w:val="24"/>
              </w:rPr>
              <w:t>1,000 evacuados</w:t>
            </w:r>
          </w:p>
        </w:tc>
      </w:tr>
      <w:tr>
        <w:trPr>
          <w:trHeight w:val="838" w:hRule="exact"/>
        </w:trPr>
        <w:tc>
          <w:tcPr>
            <w:tcW w:w="1418" w:type="dxa"/>
          </w:tcPr>
          <w:p>
            <w:pPr>
              <w:pStyle w:val="TableParagraph"/>
              <w:spacing w:before="210"/>
              <w:ind w:left="85" w:right="84"/>
              <w:jc w:val="center"/>
              <w:rPr>
                <w:sz w:val="24"/>
              </w:rPr>
            </w:pPr>
            <w:r>
              <w:rPr>
                <w:sz w:val="24"/>
              </w:rPr>
              <w:t>13/11/1996</w:t>
            </w:r>
          </w:p>
        </w:tc>
        <w:tc>
          <w:tcPr>
            <w:tcW w:w="3413" w:type="dxa"/>
          </w:tcPr>
          <w:p>
            <w:pPr>
              <w:pStyle w:val="TableParagraph"/>
              <w:spacing w:before="4"/>
              <w:ind w:left="105" w:right="104"/>
              <w:rPr>
                <w:sz w:val="24"/>
              </w:rPr>
            </w:pPr>
            <w:r>
              <w:rPr>
                <w:sz w:val="24"/>
              </w:rPr>
              <w:t>Explosión</w:t>
            </w:r>
          </w:p>
        </w:tc>
        <w:tc>
          <w:tcPr>
            <w:tcW w:w="2273" w:type="dxa"/>
          </w:tcPr>
          <w:p>
            <w:pPr>
              <w:pStyle w:val="TableParagraph"/>
              <w:tabs>
                <w:tab w:pos="1642" w:val="left" w:leader="none"/>
              </w:tabs>
              <w:spacing w:before="4"/>
              <w:ind w:left="105"/>
              <w:rPr>
                <w:sz w:val="24"/>
              </w:rPr>
            </w:pPr>
            <w:r>
              <w:rPr>
                <w:sz w:val="24"/>
              </w:rPr>
              <w:t>San</w:t>
              <w:tab/>
              <w:t>Juan</w:t>
            </w:r>
          </w:p>
          <w:p>
            <w:pPr>
              <w:pStyle w:val="TableParagraph"/>
              <w:spacing w:before="139"/>
              <w:ind w:left="105"/>
              <w:rPr>
                <w:sz w:val="24"/>
              </w:rPr>
            </w:pPr>
            <w:r>
              <w:rPr>
                <w:sz w:val="24"/>
              </w:rPr>
              <w:t>Ixhuatepec</w:t>
            </w:r>
          </w:p>
        </w:tc>
        <w:tc>
          <w:tcPr>
            <w:tcW w:w="3132" w:type="dxa"/>
          </w:tcPr>
          <w:p>
            <w:pPr>
              <w:pStyle w:val="TableParagraph"/>
              <w:spacing w:before="4"/>
              <w:ind w:left="105"/>
              <w:rPr>
                <w:sz w:val="24"/>
              </w:rPr>
            </w:pPr>
            <w:r>
              <w:rPr>
                <w:sz w:val="24"/>
              </w:rPr>
              <w:t>11 mil desalojados</w:t>
            </w:r>
          </w:p>
        </w:tc>
      </w:tr>
      <w:tr>
        <w:trPr>
          <w:trHeight w:val="425" w:hRule="exact"/>
        </w:trPr>
        <w:tc>
          <w:tcPr>
            <w:tcW w:w="1418" w:type="dxa"/>
          </w:tcPr>
          <w:p>
            <w:pPr>
              <w:pStyle w:val="TableParagraph"/>
              <w:spacing w:before="4"/>
              <w:ind w:left="85" w:right="83"/>
              <w:jc w:val="center"/>
              <w:rPr>
                <w:sz w:val="24"/>
              </w:rPr>
            </w:pPr>
            <w:r>
              <w:rPr>
                <w:sz w:val="24"/>
              </w:rPr>
              <w:t>02/05/1997</w:t>
            </w:r>
          </w:p>
        </w:tc>
        <w:tc>
          <w:tcPr>
            <w:tcW w:w="3413" w:type="dxa"/>
          </w:tcPr>
          <w:p>
            <w:pPr>
              <w:pStyle w:val="TableParagraph"/>
              <w:spacing w:before="4"/>
              <w:ind w:left="105" w:right="104"/>
              <w:rPr>
                <w:sz w:val="24"/>
              </w:rPr>
            </w:pPr>
            <w:r>
              <w:rPr>
                <w:sz w:val="24"/>
              </w:rPr>
              <w:t>Explosión planta PEMEX</w:t>
            </w:r>
          </w:p>
        </w:tc>
        <w:tc>
          <w:tcPr>
            <w:tcW w:w="2273" w:type="dxa"/>
          </w:tcPr>
          <w:p>
            <w:pPr>
              <w:pStyle w:val="TableParagraph"/>
              <w:spacing w:before="4"/>
              <w:ind w:left="105"/>
              <w:rPr>
                <w:sz w:val="24"/>
              </w:rPr>
            </w:pPr>
            <w:r>
              <w:rPr>
                <w:sz w:val="24"/>
              </w:rPr>
              <w:t>Cd. Satélite</w:t>
            </w:r>
          </w:p>
        </w:tc>
        <w:tc>
          <w:tcPr>
            <w:tcW w:w="3132" w:type="dxa"/>
          </w:tcPr>
          <w:p>
            <w:pPr>
              <w:pStyle w:val="TableParagraph"/>
              <w:spacing w:before="4"/>
              <w:ind w:left="105"/>
              <w:rPr>
                <w:sz w:val="24"/>
              </w:rPr>
            </w:pPr>
            <w:r>
              <w:rPr>
                <w:sz w:val="24"/>
              </w:rPr>
              <w:t>2 muertos</w:t>
            </w:r>
          </w:p>
        </w:tc>
      </w:tr>
      <w:tr>
        <w:trPr>
          <w:trHeight w:val="1250" w:hRule="exact"/>
        </w:trPr>
        <w:tc>
          <w:tcPr>
            <w:tcW w:w="1418" w:type="dxa"/>
          </w:tcPr>
          <w:p>
            <w:pPr>
              <w:pStyle w:val="TableParagraph"/>
              <w:rPr>
                <w:sz w:val="24"/>
              </w:rPr>
            </w:pPr>
          </w:p>
          <w:p>
            <w:pPr>
              <w:pStyle w:val="TableParagraph"/>
              <w:spacing w:before="141"/>
              <w:ind w:left="85" w:right="84"/>
              <w:jc w:val="center"/>
              <w:rPr>
                <w:sz w:val="24"/>
              </w:rPr>
            </w:pPr>
            <w:r>
              <w:rPr>
                <w:sz w:val="24"/>
              </w:rPr>
              <w:t>31/05/2001</w:t>
            </w:r>
          </w:p>
        </w:tc>
        <w:tc>
          <w:tcPr>
            <w:tcW w:w="3413" w:type="dxa"/>
          </w:tcPr>
          <w:p>
            <w:pPr>
              <w:pStyle w:val="TableParagraph"/>
              <w:tabs>
                <w:tab w:pos="2952" w:val="left" w:leader="none"/>
              </w:tabs>
              <w:spacing w:before="4"/>
              <w:ind w:left="105"/>
              <w:rPr>
                <w:sz w:val="24"/>
              </w:rPr>
            </w:pPr>
            <w:r>
              <w:rPr>
                <w:sz w:val="24"/>
              </w:rPr>
              <w:t>Inundación</w:t>
              <w:tab/>
              <w:t>por</w:t>
            </w:r>
          </w:p>
          <w:p>
            <w:pPr>
              <w:pStyle w:val="TableParagraph"/>
              <w:tabs>
                <w:tab w:pos="2027" w:val="left" w:leader="none"/>
                <w:tab w:pos="2550" w:val="left" w:leader="none"/>
                <w:tab w:pos="3032" w:val="left" w:leader="none"/>
              </w:tabs>
              <w:spacing w:line="360" w:lineRule="auto" w:before="137"/>
              <w:ind w:left="105" w:right="104"/>
              <w:rPr>
                <w:sz w:val="24"/>
              </w:rPr>
            </w:pPr>
            <w:r>
              <w:rPr>
                <w:sz w:val="24"/>
              </w:rPr>
              <w:t>desbordamiento</w:t>
              <w:tab/>
              <w:t>del</w:t>
              <w:tab/>
              <w:t>río</w:t>
              <w:tab/>
              <w:t>La Compañía</w:t>
            </w:r>
          </w:p>
        </w:tc>
        <w:tc>
          <w:tcPr>
            <w:tcW w:w="2273" w:type="dxa"/>
          </w:tcPr>
          <w:p>
            <w:pPr>
              <w:pStyle w:val="TableParagraph"/>
              <w:tabs>
                <w:tab w:pos="860" w:val="left" w:leader="none"/>
                <w:tab w:pos="1349" w:val="left" w:leader="none"/>
              </w:tabs>
              <w:spacing w:line="360" w:lineRule="auto" w:before="4"/>
              <w:ind w:left="105" w:right="101"/>
              <w:rPr>
                <w:sz w:val="24"/>
              </w:rPr>
            </w:pPr>
            <w:r>
              <w:rPr>
                <w:sz w:val="24"/>
              </w:rPr>
              <w:t>Valle</w:t>
              <w:tab/>
              <w:t>de</w:t>
              <w:tab/>
            </w:r>
            <w:r>
              <w:rPr>
                <w:w w:val="95"/>
                <w:sz w:val="24"/>
              </w:rPr>
              <w:t>Chalco, </w:t>
            </w:r>
            <w:r>
              <w:rPr>
                <w:sz w:val="24"/>
              </w:rPr>
              <w:t>Chalco,</w:t>
            </w:r>
            <w:r>
              <w:rPr>
                <w:spacing w:val="-11"/>
                <w:sz w:val="24"/>
              </w:rPr>
              <w:t> </w:t>
            </w:r>
            <w:r>
              <w:rPr>
                <w:sz w:val="24"/>
              </w:rPr>
              <w:t>Ixtapaluca</w:t>
            </w:r>
          </w:p>
        </w:tc>
        <w:tc>
          <w:tcPr>
            <w:tcW w:w="3132" w:type="dxa"/>
          </w:tcPr>
          <w:p>
            <w:pPr>
              <w:pStyle w:val="TableParagraph"/>
              <w:spacing w:before="4"/>
              <w:ind w:left="105"/>
              <w:rPr>
                <w:sz w:val="24"/>
              </w:rPr>
            </w:pPr>
            <w:r>
              <w:rPr>
                <w:sz w:val="24"/>
              </w:rPr>
              <w:t>80 ha.</w:t>
            </w:r>
          </w:p>
        </w:tc>
      </w:tr>
      <w:tr>
        <w:trPr>
          <w:trHeight w:val="1253" w:hRule="exact"/>
        </w:trPr>
        <w:tc>
          <w:tcPr>
            <w:tcW w:w="1418" w:type="dxa"/>
          </w:tcPr>
          <w:p>
            <w:pPr>
              <w:pStyle w:val="TableParagraph"/>
              <w:rPr>
                <w:sz w:val="24"/>
              </w:rPr>
            </w:pPr>
          </w:p>
          <w:p>
            <w:pPr>
              <w:pStyle w:val="TableParagraph"/>
              <w:spacing w:before="143"/>
              <w:ind w:left="85" w:right="84"/>
              <w:jc w:val="center"/>
              <w:rPr>
                <w:sz w:val="24"/>
              </w:rPr>
            </w:pPr>
            <w:r>
              <w:rPr>
                <w:sz w:val="24"/>
              </w:rPr>
              <w:t>02/05/2004</w:t>
            </w:r>
          </w:p>
        </w:tc>
        <w:tc>
          <w:tcPr>
            <w:tcW w:w="3413" w:type="dxa"/>
          </w:tcPr>
          <w:p>
            <w:pPr>
              <w:pStyle w:val="TableParagraph"/>
              <w:tabs>
                <w:tab w:pos="2952" w:val="left" w:leader="none"/>
              </w:tabs>
              <w:spacing w:before="4"/>
              <w:ind w:left="105"/>
              <w:rPr>
                <w:sz w:val="24"/>
              </w:rPr>
            </w:pPr>
            <w:r>
              <w:rPr>
                <w:sz w:val="24"/>
              </w:rPr>
              <w:t>Inundación</w:t>
              <w:tab/>
              <w:t>por</w:t>
            </w:r>
          </w:p>
          <w:p>
            <w:pPr>
              <w:pStyle w:val="TableParagraph"/>
              <w:tabs>
                <w:tab w:pos="2251" w:val="left" w:leader="none"/>
                <w:tab w:pos="2939" w:val="left" w:leader="none"/>
              </w:tabs>
              <w:spacing w:line="360" w:lineRule="auto" w:before="139"/>
              <w:ind w:left="105" w:right="104"/>
              <w:rPr>
                <w:sz w:val="24"/>
              </w:rPr>
            </w:pPr>
            <w:r>
              <w:rPr>
                <w:sz w:val="24"/>
              </w:rPr>
              <w:t>desbordamiento</w:t>
              <w:tab/>
              <w:t>de</w:t>
              <w:tab/>
              <w:t>Rio Santiaguito</w:t>
            </w:r>
          </w:p>
        </w:tc>
        <w:tc>
          <w:tcPr>
            <w:tcW w:w="2273" w:type="dxa"/>
          </w:tcPr>
          <w:p>
            <w:pPr>
              <w:pStyle w:val="TableParagraph"/>
              <w:spacing w:before="4"/>
              <w:ind w:left="105"/>
              <w:rPr>
                <w:sz w:val="24"/>
              </w:rPr>
            </w:pPr>
            <w:r>
              <w:rPr>
                <w:sz w:val="24"/>
              </w:rPr>
              <w:t>Tenango</w:t>
            </w:r>
          </w:p>
        </w:tc>
        <w:tc>
          <w:tcPr>
            <w:tcW w:w="3132" w:type="dxa"/>
          </w:tcPr>
          <w:p>
            <w:pPr/>
          </w:p>
        </w:tc>
      </w:tr>
    </w:tbl>
    <w:p>
      <w:pPr>
        <w:spacing w:before="0"/>
        <w:ind w:left="4318" w:right="4316" w:firstLine="0"/>
        <w:jc w:val="center"/>
        <w:rPr>
          <w:b/>
          <w:sz w:val="16"/>
        </w:rPr>
      </w:pPr>
      <w:r>
        <w:rPr>
          <w:b/>
          <w:sz w:val="16"/>
        </w:rPr>
        <w:t>Fuente: Cenapred, 2001</w:t>
      </w:r>
    </w:p>
    <w:p>
      <w:pPr>
        <w:spacing w:after="0"/>
        <w:jc w:val="center"/>
        <w:rPr>
          <w:sz w:val="16"/>
        </w:rPr>
        <w:sectPr>
          <w:pgSz w:w="12240" w:h="15840"/>
          <w:pgMar w:header="0" w:footer="1005" w:top="1380" w:bottom="1200" w:left="880" w:right="880"/>
        </w:sectPr>
      </w:pPr>
    </w:p>
    <w:p>
      <w:pPr>
        <w:pStyle w:val="Heading1"/>
        <w:numPr>
          <w:ilvl w:val="1"/>
          <w:numId w:val="23"/>
        </w:numPr>
        <w:tabs>
          <w:tab w:pos="508" w:val="left" w:leader="none"/>
        </w:tabs>
        <w:spacing w:line="240" w:lineRule="auto" w:before="46" w:after="0"/>
        <w:ind w:left="507" w:right="0" w:hanging="406"/>
        <w:jc w:val="both"/>
      </w:pPr>
      <w:r>
        <w:rPr/>
        <w:t>Análisis de la Oferta o Infraestructura</w:t>
      </w:r>
      <w:r>
        <w:rPr>
          <w:spacing w:val="-34"/>
        </w:rPr>
        <w:t> </w:t>
      </w:r>
      <w:r>
        <w:rPr/>
        <w:t>Existente</w:t>
      </w:r>
    </w:p>
    <w:p>
      <w:pPr>
        <w:pStyle w:val="BodyText"/>
        <w:rPr>
          <w:b/>
        </w:rPr>
      </w:pPr>
    </w:p>
    <w:p>
      <w:pPr>
        <w:pStyle w:val="BodyText"/>
        <w:rPr>
          <w:b/>
        </w:rPr>
      </w:pPr>
    </w:p>
    <w:p>
      <w:pPr>
        <w:pStyle w:val="BodyText"/>
        <w:spacing w:line="360" w:lineRule="auto"/>
        <w:ind w:left="101" w:right="101"/>
        <w:jc w:val="both"/>
      </w:pPr>
      <w:r>
        <w:rPr/>
        <w:t>El Estado México cuenta con una extensa oferta en cuanto a unidades médicas, no obstante las dificultades geográficas y de vías de comunicación que presenta la zona, el elevado número de personas que habitan y las precarias condiciones socio económicas de la población que habitan en la región, así como la elevada vulnerabilidad a incidentes masivos y desastres en la zona, puede ocurrir que la disponibilidad de servicios médicos resulte</w:t>
      </w:r>
      <w:r>
        <w:rPr>
          <w:spacing w:val="-40"/>
        </w:rPr>
        <w:t> </w:t>
      </w:r>
      <w:r>
        <w:rPr/>
        <w:t>insuficiente.</w:t>
      </w:r>
    </w:p>
    <w:p>
      <w:pPr>
        <w:pStyle w:val="BodyText"/>
        <w:spacing w:line="360" w:lineRule="auto" w:before="2"/>
        <w:ind w:left="101" w:right="103"/>
        <w:jc w:val="both"/>
      </w:pPr>
      <w:r>
        <w:rPr/>
        <w:t>El personal del SUEM, en conjunto con otras organizaciones (Protección Civil, Bomberos, Ejército, Cruz Roja, etc.) es quien ha hecho frente hasta ahora a este tipo de eventos. El Sistema de Urgencias del Estado de México cuenta con 148 Técnicos en Urgencias Médicas, 15 médicos generales, 42 elementos administrativos, 69 ambulancias de urgencias, 3 ambulancias de terapia intensiva,</w:t>
      </w:r>
    </w:p>
    <w:p>
      <w:pPr>
        <w:pStyle w:val="BodyText"/>
        <w:spacing w:line="360" w:lineRule="auto" w:before="5"/>
        <w:ind w:left="101" w:right="101"/>
        <w:jc w:val="both"/>
      </w:pPr>
      <w:r>
        <w:rPr/>
        <w:t>2 camiones de rescate urbano, 3 camionetas 4 X 4 de rescate multiusos, 2 vehículos Ranger todo terreno, 1 vehículo anfibio, 2 lanchas, 2 moto nieves, 8 equipos para buceo con la más alta tecnología de rescate de cuerpos a nivel subacuático, equipo de rescate de alta montaña y en estructuras colapsadas y rescate vertical y actualmente en etapa de conformación el rescate apoyado por perros.</w:t>
      </w:r>
    </w:p>
    <w:p>
      <w:pPr>
        <w:pStyle w:val="BodyText"/>
        <w:spacing w:line="360" w:lineRule="auto" w:before="5"/>
        <w:ind w:left="101" w:right="107"/>
        <w:jc w:val="both"/>
      </w:pPr>
      <w:r>
        <w:rPr/>
        <w:t>Adicionalmente, a raíz de la inundación en el municipio de Chalco en 2010, como consecuencia del desbordamiento del río La Compañía, se adquirió un hospital de campaña totalmente equipado, con luz, aire acondicionado y lavabo con agua caliente, con capacidad normal para atender a 32 pacientes y en caso de contingencia hasta 140 pacientes.</w:t>
      </w:r>
    </w:p>
    <w:p>
      <w:pPr>
        <w:spacing w:after="0" w:line="360" w:lineRule="auto"/>
        <w:jc w:val="both"/>
        <w:sectPr>
          <w:pgSz w:w="12240" w:h="15840"/>
          <w:pgMar w:header="0" w:footer="1005" w:top="1380" w:bottom="1200" w:left="1600" w:right="1600"/>
        </w:sectPr>
      </w:pPr>
    </w:p>
    <w:p>
      <w:pPr>
        <w:pStyle w:val="Heading1"/>
        <w:numPr>
          <w:ilvl w:val="1"/>
          <w:numId w:val="23"/>
        </w:numPr>
        <w:tabs>
          <w:tab w:pos="507" w:val="left" w:leader="none"/>
        </w:tabs>
        <w:spacing w:line="240" w:lineRule="auto" w:before="46" w:after="0"/>
        <w:ind w:left="506" w:right="0" w:hanging="405"/>
        <w:jc w:val="both"/>
      </w:pPr>
      <w:r>
        <w:rPr/>
        <w:t>Análisis de la Demanda</w:t>
      </w:r>
      <w:r>
        <w:rPr>
          <w:spacing w:val="-25"/>
        </w:rPr>
        <w:t> </w:t>
      </w:r>
      <w:r>
        <w:rPr/>
        <w:t>Actual</w:t>
      </w:r>
    </w:p>
    <w:p>
      <w:pPr>
        <w:pStyle w:val="BodyText"/>
        <w:spacing w:before="6"/>
        <w:rPr>
          <w:b/>
          <w:sz w:val="22"/>
        </w:rPr>
      </w:pPr>
    </w:p>
    <w:p>
      <w:pPr>
        <w:pStyle w:val="BodyText"/>
        <w:spacing w:line="360" w:lineRule="auto"/>
        <w:ind w:left="101" w:right="342"/>
        <w:jc w:val="both"/>
      </w:pPr>
      <w:r>
        <w:rPr/>
        <w:t>Actualmente el Estado de México tiene 15,175,862 personas(INEGI, 2010),que están sujetas a riesgos de desastres por las condiciones geográficas, población de escasos recursos y el acelerado crecimiento poblacional.</w:t>
      </w:r>
    </w:p>
    <w:p>
      <w:pPr>
        <w:pStyle w:val="BodyText"/>
        <w:rPr>
          <w:sz w:val="20"/>
        </w:rPr>
      </w:pPr>
    </w:p>
    <w:p>
      <w:pPr>
        <w:pStyle w:val="BodyText"/>
        <w:spacing w:before="9"/>
        <w:rPr>
          <w:sz w:val="22"/>
        </w:rPr>
      </w:pPr>
    </w:p>
    <w:p>
      <w:pPr>
        <w:spacing w:before="81"/>
        <w:ind w:left="0" w:right="739" w:firstLine="0"/>
        <w:jc w:val="right"/>
        <w:rPr>
          <w:rFonts w:ascii="Times New Roman" w:hAnsi="Times New Roman"/>
          <w:b/>
          <w:sz w:val="16"/>
        </w:rPr>
      </w:pPr>
      <w:r>
        <w:rPr/>
        <w:drawing>
          <wp:anchor distT="0" distB="0" distL="0" distR="0" allowOverlap="1" layoutInCell="1" locked="0" behindDoc="1" simplePos="0" relativeHeight="268256495">
            <wp:simplePos x="0" y="0"/>
            <wp:positionH relativeFrom="page">
              <wp:posOffset>1839467</wp:posOffset>
            </wp:positionH>
            <wp:positionV relativeFrom="paragraph">
              <wp:posOffset>-391684</wp:posOffset>
            </wp:positionV>
            <wp:extent cx="4056888" cy="2380488"/>
            <wp:effectExtent l="0" t="0" r="0" b="0"/>
            <wp:wrapNone/>
            <wp:docPr id="117" name="image23.jpeg" descr=""/>
            <wp:cNvGraphicFramePr>
              <a:graphicFrameLocks noChangeAspect="1"/>
            </wp:cNvGraphicFramePr>
            <a:graphic>
              <a:graphicData uri="http://schemas.openxmlformats.org/drawingml/2006/picture">
                <pic:pic>
                  <pic:nvPicPr>
                    <pic:cNvPr id="118" name="image23.jpeg"/>
                    <pic:cNvPicPr/>
                  </pic:nvPicPr>
                  <pic:blipFill>
                    <a:blip r:embed="rId31" cstate="print"/>
                    <a:stretch>
                      <a:fillRect/>
                    </a:stretch>
                  </pic:blipFill>
                  <pic:spPr>
                    <a:xfrm>
                      <a:off x="0" y="0"/>
                      <a:ext cx="4056888" cy="2380488"/>
                    </a:xfrm>
                    <a:prstGeom prst="rect">
                      <a:avLst/>
                    </a:prstGeom>
                  </pic:spPr>
                </pic:pic>
              </a:graphicData>
            </a:graphic>
          </wp:anchor>
        </w:drawing>
      </w:r>
      <w:r>
        <w:rPr>
          <w:rFonts w:ascii="Times New Roman" w:hAnsi="Times New Roman"/>
          <w:b/>
          <w:sz w:val="16"/>
        </w:rPr>
        <w:t>Población 15,175,862</w:t>
      </w: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16"/>
        </w:rPr>
      </w:pPr>
    </w:p>
    <w:p>
      <w:pPr>
        <w:pStyle w:val="BodyText"/>
        <w:rPr>
          <w:rFonts w:ascii="Times New Roman"/>
          <w:b/>
          <w:sz w:val="20"/>
        </w:rPr>
      </w:pPr>
    </w:p>
    <w:p>
      <w:pPr>
        <w:spacing w:before="1"/>
        <w:ind w:left="0" w:right="110" w:firstLine="0"/>
        <w:jc w:val="right"/>
        <w:rPr>
          <w:rFonts w:ascii="Calibri"/>
          <w:b/>
          <w:sz w:val="16"/>
        </w:rPr>
      </w:pPr>
      <w:r>
        <w:rPr>
          <w:rFonts w:ascii="Calibri"/>
          <w:b/>
          <w:color w:val="933634"/>
          <w:sz w:val="16"/>
        </w:rPr>
        <w:t>365 muertes por desastre de 2000-2010</w:t>
      </w:r>
    </w:p>
    <w:p>
      <w:pPr>
        <w:pStyle w:val="BodyText"/>
        <w:rPr>
          <w:rFonts w:ascii="Calibri"/>
          <w:b/>
          <w:sz w:val="20"/>
        </w:rPr>
      </w:pPr>
    </w:p>
    <w:p>
      <w:pPr>
        <w:pStyle w:val="BodyText"/>
        <w:spacing w:before="7"/>
        <w:rPr>
          <w:rFonts w:ascii="Calibri"/>
          <w:b/>
          <w:sz w:val="18"/>
        </w:rPr>
      </w:pPr>
    </w:p>
    <w:p>
      <w:pPr>
        <w:spacing w:before="1"/>
        <w:ind w:left="3204" w:right="3442" w:firstLine="0"/>
        <w:jc w:val="center"/>
        <w:rPr>
          <w:b/>
          <w:sz w:val="16"/>
        </w:rPr>
      </w:pPr>
      <w:r>
        <w:rPr>
          <w:b/>
          <w:sz w:val="16"/>
        </w:rPr>
        <w:t>Fuente: Inegi,2010</w:t>
      </w:r>
    </w:p>
    <w:p>
      <w:pPr>
        <w:pStyle w:val="BodyText"/>
        <w:rPr>
          <w:b/>
          <w:sz w:val="16"/>
        </w:rPr>
      </w:pPr>
    </w:p>
    <w:p>
      <w:pPr>
        <w:pStyle w:val="BodyText"/>
        <w:rPr>
          <w:b/>
          <w:sz w:val="16"/>
        </w:rPr>
      </w:pPr>
    </w:p>
    <w:p>
      <w:pPr>
        <w:pStyle w:val="Heading1"/>
        <w:spacing w:before="143"/>
        <w:ind w:left="3204" w:right="3447"/>
        <w:jc w:val="center"/>
      </w:pPr>
      <w:r>
        <w:rPr/>
        <w:t>Situación sin Proyecto</w:t>
      </w:r>
    </w:p>
    <w:p>
      <w:pPr>
        <w:pStyle w:val="ListParagraph"/>
        <w:numPr>
          <w:ilvl w:val="1"/>
          <w:numId w:val="23"/>
        </w:numPr>
        <w:tabs>
          <w:tab w:pos="504" w:val="left" w:leader="none"/>
        </w:tabs>
        <w:spacing w:line="240" w:lineRule="auto" w:before="137" w:after="0"/>
        <w:ind w:left="503" w:right="0" w:hanging="402"/>
        <w:jc w:val="both"/>
        <w:rPr>
          <w:b/>
          <w:sz w:val="24"/>
        </w:rPr>
      </w:pPr>
      <w:r>
        <w:rPr>
          <w:b/>
          <w:sz w:val="24"/>
        </w:rPr>
        <w:t>Descripción de la situación actual</w:t>
      </w:r>
      <w:r>
        <w:rPr>
          <w:b/>
          <w:spacing w:val="-30"/>
          <w:sz w:val="24"/>
        </w:rPr>
        <w:t> </w:t>
      </w:r>
      <w:r>
        <w:rPr>
          <w:b/>
          <w:sz w:val="24"/>
        </w:rPr>
        <w:t>optimizada</w:t>
      </w:r>
    </w:p>
    <w:p>
      <w:pPr>
        <w:pStyle w:val="BodyText"/>
        <w:spacing w:line="360" w:lineRule="auto" w:before="139"/>
        <w:ind w:left="101" w:right="340"/>
        <w:jc w:val="both"/>
      </w:pPr>
      <w:r>
        <w:rPr/>
        <w:t>Actualmente el manejo de urgencias especializadas no se realiza en zona de desastres y emergencias por lo que se propone dar mantenimiento adecuado y oportuno a las unidades de respuesta rápida de traslado (Ambulancias) así como capacitación continua en el protocolo de triage al personal médico del SUEM en el Protocolo de Triage  para eficientar los tiempos de traslado.</w:t>
      </w:r>
    </w:p>
    <w:p>
      <w:pPr>
        <w:pStyle w:val="BodyText"/>
      </w:pPr>
    </w:p>
    <w:p>
      <w:pPr>
        <w:pStyle w:val="Heading1"/>
        <w:numPr>
          <w:ilvl w:val="1"/>
          <w:numId w:val="23"/>
        </w:numPr>
        <w:tabs>
          <w:tab w:pos="574" w:val="left" w:leader="none"/>
        </w:tabs>
        <w:spacing w:line="240" w:lineRule="auto" w:before="142" w:after="0"/>
        <w:ind w:left="573" w:right="0" w:hanging="472"/>
        <w:jc w:val="both"/>
      </w:pPr>
      <w:r>
        <w:rPr/>
        <w:t>Análisis de la oferta o infraestructura</w:t>
      </w:r>
      <w:r>
        <w:rPr>
          <w:spacing w:val="-27"/>
        </w:rPr>
        <w:t> </w:t>
      </w:r>
      <w:r>
        <w:rPr/>
        <w:t>existente</w:t>
      </w:r>
    </w:p>
    <w:p>
      <w:pPr>
        <w:pStyle w:val="BodyText"/>
        <w:spacing w:line="360" w:lineRule="auto" w:before="137"/>
        <w:ind w:left="101" w:right="338"/>
        <w:jc w:val="both"/>
      </w:pPr>
      <w:r>
        <w:rPr/>
        <w:t>Como parte del Instituto de Salud del Estado de México, opera el Sistema de Urgencias del Estado de México (SUEM) orientado a proporcionar Atención  Médica Pre hospitalaria a personas lesionadas por accidente o víctimas de enfermedades súbitas, así como el efectuar rescates a personas atrapadas en vehículos accidentados, espacios confinados, colapsados, lesionados  o extraviados en zonas montañosas, rescate acuático de cuerpos de personas ahogadas, con personal calificado en las diferentes áreas. A continuación se muestra la oferta de Especialidad en Hospitales del Instituto de Salud del Estado de</w:t>
      </w:r>
      <w:r>
        <w:rPr>
          <w:spacing w:val="-7"/>
        </w:rPr>
        <w:t> </w:t>
      </w:r>
      <w:r>
        <w:rPr/>
        <w:t>México.</w:t>
      </w:r>
    </w:p>
    <w:p>
      <w:pPr>
        <w:spacing w:after="0" w:line="360" w:lineRule="auto"/>
        <w:jc w:val="both"/>
        <w:sectPr>
          <w:pgSz w:w="12240" w:h="15840"/>
          <w:pgMar w:header="0" w:footer="1005" w:top="1380" w:bottom="1200" w:left="1600" w:right="136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5"/>
        <w:gridCol w:w="1384"/>
        <w:gridCol w:w="1829"/>
        <w:gridCol w:w="1512"/>
        <w:gridCol w:w="1637"/>
      </w:tblGrid>
      <w:tr>
        <w:trPr>
          <w:trHeight w:val="829" w:hRule="exact"/>
        </w:trPr>
        <w:tc>
          <w:tcPr>
            <w:tcW w:w="2535" w:type="dxa"/>
            <w:tcBorders>
              <w:top w:val="single" w:sz="7" w:space="0" w:color="77BFD4"/>
              <w:left w:val="single" w:sz="7" w:space="0" w:color="77BFD4"/>
              <w:bottom w:val="single" w:sz="7" w:space="0" w:color="77BFD4"/>
            </w:tcBorders>
            <w:shd w:val="clear" w:color="auto" w:fill="4BACC6"/>
          </w:tcPr>
          <w:p>
            <w:pPr>
              <w:pStyle w:val="TableParagraph"/>
              <w:spacing w:before="170"/>
              <w:ind w:left="465" w:right="175"/>
              <w:rPr>
                <w:b/>
                <w:sz w:val="20"/>
              </w:rPr>
            </w:pPr>
            <w:r>
              <w:rPr>
                <w:b/>
                <w:sz w:val="20"/>
              </w:rPr>
              <w:t>UNIDAD MÉDICA</w:t>
            </w:r>
          </w:p>
        </w:tc>
        <w:tc>
          <w:tcPr>
            <w:tcW w:w="1384" w:type="dxa"/>
            <w:tcBorders>
              <w:top w:val="single" w:sz="7" w:space="0" w:color="77BFD4"/>
              <w:bottom w:val="single" w:sz="7" w:space="0" w:color="77BFD4"/>
            </w:tcBorders>
            <w:shd w:val="clear" w:color="auto" w:fill="4BACC6"/>
          </w:tcPr>
          <w:p>
            <w:pPr>
              <w:pStyle w:val="TableParagraph"/>
              <w:spacing w:before="170"/>
              <w:ind w:left="122" w:right="87"/>
              <w:jc w:val="center"/>
              <w:rPr>
                <w:b/>
                <w:sz w:val="20"/>
              </w:rPr>
            </w:pPr>
            <w:r>
              <w:rPr>
                <w:b/>
                <w:sz w:val="20"/>
              </w:rPr>
              <w:t>UBICACIÓN</w:t>
            </w:r>
          </w:p>
        </w:tc>
        <w:tc>
          <w:tcPr>
            <w:tcW w:w="1829" w:type="dxa"/>
            <w:tcBorders>
              <w:top w:val="single" w:sz="7" w:space="0" w:color="77BFD4"/>
              <w:bottom w:val="single" w:sz="7" w:space="0" w:color="77BFD4"/>
            </w:tcBorders>
            <w:shd w:val="clear" w:color="auto" w:fill="4BACC6"/>
          </w:tcPr>
          <w:p>
            <w:pPr>
              <w:pStyle w:val="TableParagraph"/>
              <w:spacing w:before="170"/>
              <w:ind w:left="88" w:right="88"/>
              <w:jc w:val="center"/>
              <w:rPr>
                <w:b/>
                <w:sz w:val="20"/>
              </w:rPr>
            </w:pPr>
            <w:r>
              <w:rPr>
                <w:b/>
                <w:sz w:val="20"/>
              </w:rPr>
              <w:t>CONSULTORIOS</w:t>
            </w:r>
          </w:p>
        </w:tc>
        <w:tc>
          <w:tcPr>
            <w:tcW w:w="1512" w:type="dxa"/>
            <w:tcBorders>
              <w:top w:val="single" w:sz="7" w:space="0" w:color="77BFD4"/>
              <w:bottom w:val="single" w:sz="7" w:space="0" w:color="77BFD4"/>
            </w:tcBorders>
            <w:shd w:val="clear" w:color="auto" w:fill="4BACC6"/>
          </w:tcPr>
          <w:p>
            <w:pPr>
              <w:pStyle w:val="TableParagraph"/>
              <w:spacing w:line="357" w:lineRule="auto"/>
              <w:ind w:left="110" w:firstLine="249"/>
              <w:rPr>
                <w:b/>
                <w:sz w:val="20"/>
              </w:rPr>
            </w:pPr>
            <w:r>
              <w:rPr>
                <w:b/>
                <w:sz w:val="20"/>
              </w:rPr>
              <w:t>CAMAS </w:t>
            </w:r>
            <w:r>
              <w:rPr>
                <w:b/>
                <w:w w:val="95"/>
                <w:sz w:val="20"/>
              </w:rPr>
              <w:t>CENSABLES</w:t>
            </w:r>
          </w:p>
        </w:tc>
        <w:tc>
          <w:tcPr>
            <w:tcW w:w="1637" w:type="dxa"/>
            <w:tcBorders>
              <w:top w:val="single" w:sz="7" w:space="0" w:color="77BFD4"/>
              <w:bottom w:val="single" w:sz="7" w:space="0" w:color="77BFD4"/>
              <w:right w:val="single" w:sz="7" w:space="0" w:color="77BFD4"/>
            </w:tcBorders>
            <w:shd w:val="clear" w:color="auto" w:fill="4BACC6"/>
          </w:tcPr>
          <w:p>
            <w:pPr>
              <w:pStyle w:val="TableParagraph"/>
              <w:spacing w:line="357" w:lineRule="auto"/>
              <w:ind w:left="172" w:firstLine="72"/>
              <w:rPr>
                <w:b/>
                <w:sz w:val="20"/>
              </w:rPr>
            </w:pPr>
            <w:r>
              <w:rPr>
                <w:b/>
                <w:sz w:val="20"/>
              </w:rPr>
              <w:t>CAMAS NO </w:t>
            </w:r>
            <w:r>
              <w:rPr>
                <w:b/>
                <w:w w:val="95"/>
                <w:sz w:val="20"/>
              </w:rPr>
              <w:t>CENSABLES</w:t>
            </w:r>
          </w:p>
        </w:tc>
      </w:tr>
      <w:tr>
        <w:trPr>
          <w:trHeight w:val="828" w:hRule="exact"/>
        </w:trPr>
        <w:tc>
          <w:tcPr>
            <w:tcW w:w="2535" w:type="dxa"/>
            <w:tcBorders>
              <w:top w:val="single" w:sz="7" w:space="0" w:color="77BFD4"/>
              <w:left w:val="single" w:sz="7" w:space="0" w:color="77BFD4"/>
              <w:bottom w:val="single" w:sz="7" w:space="0" w:color="77BFD4"/>
            </w:tcBorders>
            <w:shd w:val="clear" w:color="auto" w:fill="D1E9F0"/>
          </w:tcPr>
          <w:p>
            <w:pPr>
              <w:pStyle w:val="TableParagraph"/>
              <w:spacing w:line="357" w:lineRule="auto"/>
              <w:ind w:left="220" w:right="175" w:firstLine="112"/>
              <w:rPr>
                <w:b/>
                <w:sz w:val="20"/>
              </w:rPr>
            </w:pPr>
            <w:r>
              <w:rPr>
                <w:b/>
                <w:sz w:val="20"/>
              </w:rPr>
              <w:t>Centro Médico “Lic. Adolfo López Mateos”</w:t>
            </w:r>
          </w:p>
        </w:tc>
        <w:tc>
          <w:tcPr>
            <w:tcW w:w="1384" w:type="dxa"/>
            <w:tcBorders>
              <w:top w:val="single" w:sz="7" w:space="0" w:color="77BFD4"/>
              <w:bottom w:val="single" w:sz="7" w:space="0" w:color="77BFD4"/>
            </w:tcBorders>
            <w:shd w:val="clear" w:color="auto" w:fill="D1E9F0"/>
          </w:tcPr>
          <w:p>
            <w:pPr>
              <w:pStyle w:val="TableParagraph"/>
              <w:spacing w:before="171"/>
              <w:ind w:left="122" w:right="84"/>
              <w:jc w:val="center"/>
              <w:rPr>
                <w:sz w:val="20"/>
              </w:rPr>
            </w:pPr>
            <w:r>
              <w:rPr>
                <w:sz w:val="20"/>
              </w:rPr>
              <w:t>Toluca</w:t>
            </w:r>
          </w:p>
        </w:tc>
        <w:tc>
          <w:tcPr>
            <w:tcW w:w="1829" w:type="dxa"/>
            <w:tcBorders>
              <w:top w:val="single" w:sz="7" w:space="0" w:color="77BFD4"/>
              <w:bottom w:val="single" w:sz="7" w:space="0" w:color="77BFD4"/>
            </w:tcBorders>
            <w:shd w:val="clear" w:color="auto" w:fill="D1E9F0"/>
          </w:tcPr>
          <w:p>
            <w:pPr>
              <w:pStyle w:val="TableParagraph"/>
              <w:spacing w:before="171"/>
              <w:ind w:left="88" w:right="88"/>
              <w:jc w:val="center"/>
              <w:rPr>
                <w:sz w:val="20"/>
              </w:rPr>
            </w:pPr>
            <w:r>
              <w:rPr>
                <w:sz w:val="20"/>
              </w:rPr>
              <w:t>42</w:t>
            </w:r>
          </w:p>
        </w:tc>
        <w:tc>
          <w:tcPr>
            <w:tcW w:w="1512" w:type="dxa"/>
            <w:tcBorders>
              <w:top w:val="single" w:sz="7" w:space="0" w:color="77BFD4"/>
              <w:bottom w:val="single" w:sz="7" w:space="0" w:color="77BFD4"/>
            </w:tcBorders>
            <w:shd w:val="clear" w:color="auto" w:fill="D1E9F0"/>
          </w:tcPr>
          <w:p>
            <w:pPr>
              <w:pStyle w:val="TableParagraph"/>
              <w:spacing w:before="171"/>
              <w:ind w:left="558"/>
              <w:rPr>
                <w:sz w:val="20"/>
              </w:rPr>
            </w:pPr>
            <w:r>
              <w:rPr>
                <w:sz w:val="20"/>
              </w:rPr>
              <w:t>180</w:t>
            </w:r>
          </w:p>
        </w:tc>
        <w:tc>
          <w:tcPr>
            <w:tcW w:w="1637" w:type="dxa"/>
            <w:tcBorders>
              <w:top w:val="single" w:sz="7" w:space="0" w:color="77BFD4"/>
              <w:bottom w:val="single" w:sz="7" w:space="0" w:color="77BFD4"/>
              <w:right w:val="single" w:sz="7" w:space="0" w:color="77BFD4"/>
            </w:tcBorders>
            <w:shd w:val="clear" w:color="auto" w:fill="D1E9F0"/>
          </w:tcPr>
          <w:p>
            <w:pPr>
              <w:pStyle w:val="TableParagraph"/>
              <w:spacing w:before="171"/>
              <w:ind w:left="601" w:right="654"/>
              <w:jc w:val="center"/>
              <w:rPr>
                <w:sz w:val="20"/>
              </w:rPr>
            </w:pPr>
            <w:r>
              <w:rPr>
                <w:sz w:val="20"/>
              </w:rPr>
              <w:t>69</w:t>
            </w:r>
          </w:p>
        </w:tc>
      </w:tr>
      <w:tr>
        <w:trPr>
          <w:trHeight w:val="1867" w:hRule="exact"/>
        </w:trPr>
        <w:tc>
          <w:tcPr>
            <w:tcW w:w="2535" w:type="dxa"/>
            <w:tcBorders>
              <w:top w:val="single" w:sz="7" w:space="0" w:color="77BFD4"/>
              <w:left w:val="single" w:sz="7" w:space="0" w:color="77BFD4"/>
              <w:bottom w:val="single" w:sz="7" w:space="0" w:color="77BFD4"/>
            </w:tcBorders>
          </w:tcPr>
          <w:p>
            <w:pPr>
              <w:pStyle w:val="TableParagraph"/>
              <w:spacing w:line="360" w:lineRule="auto"/>
              <w:ind w:left="172" w:right="142" w:hanging="1"/>
              <w:jc w:val="center"/>
              <w:rPr>
                <w:b/>
                <w:sz w:val="20"/>
              </w:rPr>
            </w:pPr>
            <w:r>
              <w:rPr>
                <w:b/>
                <w:sz w:val="20"/>
              </w:rPr>
              <w:t>Hospital Regional de Alta Especialidad de Zumpango de Zumpango “José María Morelos y Pavón“</w:t>
            </w:r>
          </w:p>
        </w:tc>
        <w:tc>
          <w:tcPr>
            <w:tcW w:w="1384" w:type="dxa"/>
            <w:tcBorders>
              <w:top w:val="single" w:sz="7" w:space="0" w:color="77BFD4"/>
              <w:bottom w:val="single" w:sz="7" w:space="0" w:color="77BFD4"/>
            </w:tcBorders>
          </w:tcPr>
          <w:p>
            <w:pPr>
              <w:pStyle w:val="TableParagraph"/>
              <w:rPr>
                <w:sz w:val="20"/>
              </w:rPr>
            </w:pPr>
          </w:p>
          <w:p>
            <w:pPr>
              <w:pStyle w:val="TableParagraph"/>
              <w:rPr>
                <w:sz w:val="20"/>
              </w:rPr>
            </w:pPr>
          </w:p>
          <w:p>
            <w:pPr>
              <w:pStyle w:val="TableParagraph"/>
              <w:spacing w:before="2"/>
              <w:rPr>
                <w:sz w:val="20"/>
              </w:rPr>
            </w:pPr>
          </w:p>
          <w:p>
            <w:pPr>
              <w:pStyle w:val="TableParagraph"/>
              <w:ind w:left="122" w:right="83"/>
              <w:jc w:val="center"/>
              <w:rPr>
                <w:sz w:val="20"/>
              </w:rPr>
            </w:pPr>
            <w:r>
              <w:rPr>
                <w:sz w:val="20"/>
              </w:rPr>
              <w:t>Zumpango</w:t>
            </w:r>
          </w:p>
        </w:tc>
        <w:tc>
          <w:tcPr>
            <w:tcW w:w="1829" w:type="dxa"/>
            <w:tcBorders>
              <w:top w:val="single" w:sz="7" w:space="0" w:color="77BFD4"/>
              <w:bottom w:val="single" w:sz="7" w:space="0" w:color="77BFD4"/>
            </w:tcBorders>
          </w:tcPr>
          <w:p>
            <w:pPr>
              <w:pStyle w:val="TableParagraph"/>
              <w:rPr>
                <w:sz w:val="20"/>
              </w:rPr>
            </w:pPr>
          </w:p>
          <w:p>
            <w:pPr>
              <w:pStyle w:val="TableParagraph"/>
              <w:rPr>
                <w:sz w:val="20"/>
              </w:rPr>
            </w:pPr>
          </w:p>
          <w:p>
            <w:pPr>
              <w:pStyle w:val="TableParagraph"/>
              <w:spacing w:before="2"/>
              <w:rPr>
                <w:sz w:val="20"/>
              </w:rPr>
            </w:pPr>
          </w:p>
          <w:p>
            <w:pPr>
              <w:pStyle w:val="TableParagraph"/>
              <w:ind w:left="88" w:right="88"/>
              <w:jc w:val="center"/>
              <w:rPr>
                <w:sz w:val="20"/>
              </w:rPr>
            </w:pPr>
            <w:r>
              <w:rPr>
                <w:sz w:val="20"/>
              </w:rPr>
              <w:t>42</w:t>
            </w:r>
          </w:p>
        </w:tc>
        <w:tc>
          <w:tcPr>
            <w:tcW w:w="1512" w:type="dxa"/>
            <w:tcBorders>
              <w:top w:val="single" w:sz="7" w:space="0" w:color="77BFD4"/>
              <w:bottom w:val="single" w:sz="7" w:space="0" w:color="77BFD4"/>
            </w:tcBorders>
          </w:tcPr>
          <w:p>
            <w:pPr>
              <w:pStyle w:val="TableParagraph"/>
              <w:rPr>
                <w:sz w:val="20"/>
              </w:rPr>
            </w:pPr>
          </w:p>
          <w:p>
            <w:pPr>
              <w:pStyle w:val="TableParagraph"/>
              <w:rPr>
                <w:sz w:val="20"/>
              </w:rPr>
            </w:pPr>
          </w:p>
          <w:p>
            <w:pPr>
              <w:pStyle w:val="TableParagraph"/>
              <w:spacing w:before="2"/>
              <w:rPr>
                <w:sz w:val="20"/>
              </w:rPr>
            </w:pPr>
          </w:p>
          <w:p>
            <w:pPr>
              <w:pStyle w:val="TableParagraph"/>
              <w:ind w:left="558"/>
              <w:rPr>
                <w:sz w:val="20"/>
              </w:rPr>
            </w:pPr>
            <w:r>
              <w:rPr>
                <w:sz w:val="20"/>
              </w:rPr>
              <w:t>126</w:t>
            </w:r>
          </w:p>
        </w:tc>
        <w:tc>
          <w:tcPr>
            <w:tcW w:w="1637" w:type="dxa"/>
            <w:tcBorders>
              <w:top w:val="single" w:sz="7" w:space="0" w:color="77BFD4"/>
              <w:bottom w:val="single" w:sz="7" w:space="0" w:color="77BFD4"/>
              <w:right w:val="single" w:sz="7" w:space="0" w:color="77BFD4"/>
            </w:tcBorders>
          </w:tcPr>
          <w:p>
            <w:pPr>
              <w:pStyle w:val="TableParagraph"/>
              <w:rPr>
                <w:sz w:val="20"/>
              </w:rPr>
            </w:pPr>
          </w:p>
          <w:p>
            <w:pPr>
              <w:pStyle w:val="TableParagraph"/>
              <w:rPr>
                <w:sz w:val="20"/>
              </w:rPr>
            </w:pPr>
          </w:p>
          <w:p>
            <w:pPr>
              <w:pStyle w:val="TableParagraph"/>
              <w:spacing w:before="2"/>
              <w:rPr>
                <w:sz w:val="20"/>
              </w:rPr>
            </w:pPr>
          </w:p>
          <w:p>
            <w:pPr>
              <w:pStyle w:val="TableParagraph"/>
              <w:ind w:left="601" w:right="654"/>
              <w:jc w:val="center"/>
              <w:rPr>
                <w:sz w:val="20"/>
              </w:rPr>
            </w:pPr>
            <w:r>
              <w:rPr>
                <w:sz w:val="20"/>
              </w:rPr>
              <w:t>92</w:t>
            </w:r>
          </w:p>
        </w:tc>
      </w:tr>
      <w:tr>
        <w:trPr>
          <w:trHeight w:val="1174" w:hRule="exact"/>
        </w:trPr>
        <w:tc>
          <w:tcPr>
            <w:tcW w:w="2535" w:type="dxa"/>
            <w:tcBorders>
              <w:top w:val="single" w:sz="7" w:space="0" w:color="77BFD4"/>
              <w:left w:val="single" w:sz="7" w:space="0" w:color="77BFD4"/>
              <w:bottom w:val="single" w:sz="7" w:space="0" w:color="77BFD4"/>
            </w:tcBorders>
            <w:shd w:val="clear" w:color="auto" w:fill="D1E9F0"/>
          </w:tcPr>
          <w:p>
            <w:pPr>
              <w:pStyle w:val="TableParagraph"/>
              <w:spacing w:line="360" w:lineRule="auto"/>
              <w:ind w:left="269" w:right="239"/>
              <w:jc w:val="center"/>
              <w:rPr>
                <w:b/>
                <w:sz w:val="20"/>
              </w:rPr>
            </w:pPr>
            <w:r>
              <w:rPr>
                <w:b/>
                <w:sz w:val="20"/>
              </w:rPr>
              <w:t>Hospital Regional de Alta Especialidad Ixtapaluca</w:t>
            </w:r>
          </w:p>
        </w:tc>
        <w:tc>
          <w:tcPr>
            <w:tcW w:w="1384" w:type="dxa"/>
            <w:tcBorders>
              <w:top w:val="single" w:sz="7" w:space="0" w:color="77BFD4"/>
              <w:bottom w:val="single" w:sz="7" w:space="0" w:color="77BFD4"/>
            </w:tcBorders>
            <w:shd w:val="clear" w:color="auto" w:fill="D1E9F0"/>
          </w:tcPr>
          <w:p>
            <w:pPr>
              <w:pStyle w:val="TableParagraph"/>
              <w:spacing w:before="10"/>
              <w:rPr>
                <w:sz w:val="29"/>
              </w:rPr>
            </w:pPr>
          </w:p>
          <w:p>
            <w:pPr>
              <w:pStyle w:val="TableParagraph"/>
              <w:spacing w:before="1"/>
              <w:ind w:left="122" w:right="86"/>
              <w:jc w:val="center"/>
              <w:rPr>
                <w:sz w:val="20"/>
              </w:rPr>
            </w:pPr>
            <w:r>
              <w:rPr>
                <w:sz w:val="20"/>
              </w:rPr>
              <w:t>Ixtapaluca</w:t>
            </w:r>
          </w:p>
        </w:tc>
        <w:tc>
          <w:tcPr>
            <w:tcW w:w="1829" w:type="dxa"/>
            <w:tcBorders>
              <w:top w:val="single" w:sz="7" w:space="0" w:color="77BFD4"/>
              <w:bottom w:val="single" w:sz="7" w:space="0" w:color="77BFD4"/>
            </w:tcBorders>
            <w:shd w:val="clear" w:color="auto" w:fill="D1E9F0"/>
          </w:tcPr>
          <w:p>
            <w:pPr>
              <w:pStyle w:val="TableParagraph"/>
              <w:spacing w:before="10"/>
              <w:rPr>
                <w:sz w:val="29"/>
              </w:rPr>
            </w:pPr>
          </w:p>
          <w:p>
            <w:pPr>
              <w:pStyle w:val="TableParagraph"/>
              <w:spacing w:before="1"/>
              <w:ind w:left="88" w:right="88"/>
              <w:jc w:val="center"/>
              <w:rPr>
                <w:sz w:val="20"/>
              </w:rPr>
            </w:pPr>
            <w:r>
              <w:rPr>
                <w:sz w:val="20"/>
              </w:rPr>
              <w:t>47</w:t>
            </w:r>
          </w:p>
        </w:tc>
        <w:tc>
          <w:tcPr>
            <w:tcW w:w="1512" w:type="dxa"/>
            <w:tcBorders>
              <w:top w:val="single" w:sz="7" w:space="0" w:color="77BFD4"/>
              <w:bottom w:val="single" w:sz="7" w:space="0" w:color="77BFD4"/>
            </w:tcBorders>
            <w:shd w:val="clear" w:color="auto" w:fill="D1E9F0"/>
          </w:tcPr>
          <w:p>
            <w:pPr>
              <w:pStyle w:val="TableParagraph"/>
              <w:spacing w:before="10"/>
              <w:rPr>
                <w:sz w:val="29"/>
              </w:rPr>
            </w:pPr>
          </w:p>
          <w:p>
            <w:pPr>
              <w:pStyle w:val="TableParagraph"/>
              <w:spacing w:before="1"/>
              <w:ind w:left="558"/>
              <w:rPr>
                <w:sz w:val="20"/>
              </w:rPr>
            </w:pPr>
            <w:r>
              <w:rPr>
                <w:sz w:val="20"/>
              </w:rPr>
              <w:t>246</w:t>
            </w:r>
          </w:p>
        </w:tc>
        <w:tc>
          <w:tcPr>
            <w:tcW w:w="1637" w:type="dxa"/>
            <w:tcBorders>
              <w:top w:val="single" w:sz="7" w:space="0" w:color="77BFD4"/>
              <w:bottom w:val="single" w:sz="7" w:space="0" w:color="77BFD4"/>
              <w:right w:val="single" w:sz="7" w:space="0" w:color="77BFD4"/>
            </w:tcBorders>
            <w:shd w:val="clear" w:color="auto" w:fill="D1E9F0"/>
          </w:tcPr>
          <w:p>
            <w:pPr>
              <w:pStyle w:val="TableParagraph"/>
              <w:spacing w:before="10"/>
              <w:rPr>
                <w:sz w:val="29"/>
              </w:rPr>
            </w:pPr>
          </w:p>
          <w:p>
            <w:pPr>
              <w:pStyle w:val="TableParagraph"/>
              <w:spacing w:before="1"/>
              <w:ind w:left="601" w:right="654"/>
              <w:jc w:val="center"/>
              <w:rPr>
                <w:sz w:val="20"/>
              </w:rPr>
            </w:pPr>
            <w:r>
              <w:rPr>
                <w:sz w:val="20"/>
              </w:rPr>
              <w:t>116</w:t>
            </w:r>
          </w:p>
        </w:tc>
      </w:tr>
      <w:tr>
        <w:trPr>
          <w:trHeight w:val="486" w:hRule="exact"/>
        </w:trPr>
        <w:tc>
          <w:tcPr>
            <w:tcW w:w="2535" w:type="dxa"/>
            <w:tcBorders>
              <w:top w:val="single" w:sz="7" w:space="0" w:color="77BFD4"/>
              <w:left w:val="single" w:sz="7" w:space="0" w:color="77BFD4"/>
              <w:bottom w:val="single" w:sz="7" w:space="0" w:color="77BFD4"/>
            </w:tcBorders>
          </w:tcPr>
          <w:p>
            <w:pPr>
              <w:pStyle w:val="TableParagraph"/>
              <w:spacing w:line="228" w:lineRule="exact"/>
              <w:ind w:left="1617" w:right="175"/>
              <w:rPr>
                <w:b/>
                <w:sz w:val="20"/>
              </w:rPr>
            </w:pPr>
            <w:r>
              <w:rPr>
                <w:b/>
                <w:sz w:val="20"/>
              </w:rPr>
              <w:t>TOTAL</w:t>
            </w:r>
          </w:p>
        </w:tc>
        <w:tc>
          <w:tcPr>
            <w:tcW w:w="1384" w:type="dxa"/>
            <w:tcBorders>
              <w:top w:val="single" w:sz="7" w:space="0" w:color="77BFD4"/>
              <w:bottom w:val="single" w:sz="7" w:space="0" w:color="77BFD4"/>
            </w:tcBorders>
          </w:tcPr>
          <w:p>
            <w:pPr/>
          </w:p>
        </w:tc>
        <w:tc>
          <w:tcPr>
            <w:tcW w:w="1829" w:type="dxa"/>
            <w:tcBorders>
              <w:top w:val="single" w:sz="7" w:space="0" w:color="77BFD4"/>
              <w:bottom w:val="single" w:sz="7" w:space="0" w:color="77BFD4"/>
            </w:tcBorders>
          </w:tcPr>
          <w:p>
            <w:pPr>
              <w:pStyle w:val="TableParagraph"/>
              <w:ind w:left="88" w:right="88"/>
              <w:jc w:val="center"/>
              <w:rPr>
                <w:sz w:val="20"/>
              </w:rPr>
            </w:pPr>
            <w:r>
              <w:rPr>
                <w:sz w:val="20"/>
              </w:rPr>
              <w:t>131</w:t>
            </w:r>
          </w:p>
        </w:tc>
        <w:tc>
          <w:tcPr>
            <w:tcW w:w="1512" w:type="dxa"/>
            <w:tcBorders>
              <w:top w:val="single" w:sz="7" w:space="0" w:color="77BFD4"/>
              <w:bottom w:val="single" w:sz="7" w:space="0" w:color="77BFD4"/>
            </w:tcBorders>
          </w:tcPr>
          <w:p>
            <w:pPr>
              <w:pStyle w:val="TableParagraph"/>
              <w:ind w:left="558"/>
              <w:rPr>
                <w:sz w:val="20"/>
              </w:rPr>
            </w:pPr>
            <w:r>
              <w:rPr>
                <w:sz w:val="20"/>
              </w:rPr>
              <w:t>552</w:t>
            </w:r>
          </w:p>
        </w:tc>
        <w:tc>
          <w:tcPr>
            <w:tcW w:w="1637" w:type="dxa"/>
            <w:tcBorders>
              <w:top w:val="single" w:sz="7" w:space="0" w:color="77BFD4"/>
              <w:bottom w:val="single" w:sz="7" w:space="0" w:color="77BFD4"/>
              <w:right w:val="single" w:sz="7" w:space="0" w:color="77BFD4"/>
            </w:tcBorders>
          </w:tcPr>
          <w:p>
            <w:pPr>
              <w:pStyle w:val="TableParagraph"/>
              <w:ind w:left="601" w:right="654"/>
              <w:jc w:val="center"/>
              <w:rPr>
                <w:sz w:val="20"/>
              </w:rPr>
            </w:pPr>
            <w:r>
              <w:rPr>
                <w:sz w:val="20"/>
              </w:rPr>
              <w:t>277</w:t>
            </w:r>
          </w:p>
        </w:tc>
      </w:tr>
    </w:tbl>
    <w:p>
      <w:pPr>
        <w:spacing w:before="11"/>
        <w:ind w:left="3329" w:right="3211" w:firstLine="0"/>
        <w:jc w:val="center"/>
        <w:rPr>
          <w:b/>
          <w:sz w:val="16"/>
        </w:rPr>
      </w:pPr>
      <w:r>
        <w:rPr>
          <w:b/>
          <w:sz w:val="16"/>
        </w:rPr>
        <w:t>Fuente: Estadística del ISEM 2013</w:t>
      </w:r>
    </w:p>
    <w:p>
      <w:pPr>
        <w:pStyle w:val="BodyText"/>
        <w:spacing w:before="9"/>
        <w:rPr>
          <w:b/>
          <w:sz w:val="18"/>
        </w:rPr>
      </w:pPr>
    </w:p>
    <w:p>
      <w:pPr>
        <w:pStyle w:val="Heading1"/>
        <w:spacing w:before="0"/>
        <w:ind w:left="221"/>
      </w:pPr>
      <w:r>
        <w:rPr/>
        <w:t>4.6.1 Análisis de la Demanda sin proyecto</w:t>
      </w:r>
    </w:p>
    <w:p>
      <w:pPr>
        <w:pStyle w:val="BodyText"/>
        <w:spacing w:before="3"/>
        <w:rPr>
          <w:b/>
          <w:sz w:val="22"/>
        </w:rPr>
      </w:pPr>
    </w:p>
    <w:p>
      <w:pPr>
        <w:pStyle w:val="BodyText"/>
        <w:spacing w:line="360" w:lineRule="auto" w:before="1"/>
        <w:ind w:left="221" w:right="101"/>
        <w:jc w:val="both"/>
      </w:pPr>
      <w:r>
        <w:rPr/>
        <w:t>Actualmente el Estado de México tiene 15, 175,862 personas (INEGI, 2010), que están sujetas a riesgos de desastres por las condiciones geográficas, población de escasos recursos y el acelerado crecimiento poblacional.</w:t>
      </w:r>
    </w:p>
    <w:p>
      <w:pPr>
        <w:pStyle w:val="Heading1"/>
        <w:numPr>
          <w:ilvl w:val="1"/>
          <w:numId w:val="24"/>
        </w:numPr>
        <w:tabs>
          <w:tab w:pos="628" w:val="left" w:leader="none"/>
        </w:tabs>
        <w:spacing w:line="240" w:lineRule="auto" w:before="5" w:after="0"/>
        <w:ind w:left="101" w:right="0" w:firstLine="120"/>
        <w:jc w:val="both"/>
      </w:pPr>
      <w:r>
        <w:rPr/>
        <w:t>Alternativas de</w:t>
      </w:r>
      <w:r>
        <w:rPr>
          <w:spacing w:val="-20"/>
        </w:rPr>
        <w:t> </w:t>
      </w:r>
      <w:r>
        <w:rPr/>
        <w:t>solución</w:t>
      </w:r>
    </w:p>
    <w:p>
      <w:pPr>
        <w:pStyle w:val="BodyText"/>
        <w:spacing w:line="360" w:lineRule="auto" w:before="137"/>
        <w:ind w:left="221" w:right="99"/>
        <w:jc w:val="both"/>
      </w:pPr>
      <w:r>
        <w:rPr/>
        <w:t>Se tomó como la mejor alternativa y la más adecuada para lograr eficientar los tiempos de traslado el Incrementar la oferta mediante la adquisición de 3 helicópteros relámpago para agilizar los traslados a pacientes que requieren atención médica especializada.</w:t>
      </w:r>
    </w:p>
    <w:p>
      <w:pPr>
        <w:pStyle w:val="Heading1"/>
        <w:spacing w:before="2"/>
        <w:ind w:left="3325" w:right="3211"/>
        <w:jc w:val="center"/>
      </w:pPr>
      <w:r>
        <w:rPr/>
        <w:t>Costo por adquisición</w:t>
      </w:r>
    </w:p>
    <w:p>
      <w:pPr>
        <w:pStyle w:val="BodyText"/>
        <w:spacing w:before="4"/>
        <w:rPr>
          <w:b/>
          <w:sz w:val="12"/>
        </w:rPr>
      </w:pPr>
    </w:p>
    <w:tbl>
      <w:tblPr>
        <w:tblW w:w="0" w:type="auto"/>
        <w:jc w:val="left"/>
        <w:tblInd w:w="177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36"/>
        <w:gridCol w:w="1752"/>
        <w:gridCol w:w="2094"/>
      </w:tblGrid>
      <w:tr>
        <w:trPr>
          <w:trHeight w:val="1450" w:hRule="exact"/>
        </w:trPr>
        <w:tc>
          <w:tcPr>
            <w:tcW w:w="1936" w:type="dxa"/>
            <w:shd w:val="clear" w:color="auto" w:fill="B8CCE4"/>
          </w:tcPr>
          <w:p>
            <w:pPr>
              <w:pStyle w:val="TableParagraph"/>
              <w:spacing w:line="360" w:lineRule="auto"/>
              <w:ind w:left="104" w:right="101" w:hanging="2"/>
              <w:jc w:val="center"/>
              <w:rPr>
                <w:sz w:val="24"/>
              </w:rPr>
            </w:pPr>
            <w:r>
              <w:rPr>
                <w:sz w:val="24"/>
              </w:rPr>
              <w:t>COSTO EUROS X 1 </w:t>
            </w:r>
            <w:r>
              <w:rPr>
                <w:w w:val="95"/>
                <w:sz w:val="24"/>
              </w:rPr>
              <w:t>HELICÓPTERO</w:t>
            </w:r>
          </w:p>
        </w:tc>
        <w:tc>
          <w:tcPr>
            <w:tcW w:w="1752" w:type="dxa"/>
            <w:shd w:val="clear" w:color="auto" w:fill="B8CCE4"/>
          </w:tcPr>
          <w:p>
            <w:pPr>
              <w:pStyle w:val="TableParagraph"/>
              <w:spacing w:line="360" w:lineRule="auto" w:before="205"/>
              <w:ind w:left="326" w:right="227" w:hanging="82"/>
              <w:rPr>
                <w:sz w:val="24"/>
              </w:rPr>
            </w:pPr>
            <w:r>
              <w:rPr>
                <w:sz w:val="24"/>
              </w:rPr>
              <w:t>COSTO EN PESOS M</w:t>
            </w:r>
          </w:p>
        </w:tc>
        <w:tc>
          <w:tcPr>
            <w:tcW w:w="2094" w:type="dxa"/>
            <w:shd w:val="clear" w:color="auto" w:fill="B8CCE4"/>
          </w:tcPr>
          <w:p>
            <w:pPr>
              <w:pStyle w:val="TableParagraph"/>
              <w:spacing w:line="360" w:lineRule="auto" w:before="205"/>
              <w:ind w:left="103" w:right="83" w:firstLine="760"/>
              <w:rPr>
                <w:sz w:val="24"/>
              </w:rPr>
            </w:pPr>
            <w:r>
              <w:rPr>
                <w:sz w:val="24"/>
              </w:rPr>
              <w:t>X 3 HELICÓPTEROS</w:t>
            </w:r>
          </w:p>
        </w:tc>
      </w:tr>
      <w:tr>
        <w:trPr>
          <w:trHeight w:val="625" w:hRule="exact"/>
        </w:trPr>
        <w:tc>
          <w:tcPr>
            <w:tcW w:w="1936" w:type="dxa"/>
          </w:tcPr>
          <w:p>
            <w:pPr>
              <w:pStyle w:val="TableParagraph"/>
              <w:spacing w:before="1"/>
              <w:ind w:left="104"/>
              <w:rPr>
                <w:sz w:val="24"/>
              </w:rPr>
            </w:pPr>
            <w:r>
              <w:rPr>
                <w:sz w:val="24"/>
              </w:rPr>
              <w:t>3,404,698.00</w:t>
            </w:r>
          </w:p>
        </w:tc>
        <w:tc>
          <w:tcPr>
            <w:tcW w:w="1752" w:type="dxa"/>
          </w:tcPr>
          <w:p>
            <w:pPr>
              <w:pStyle w:val="TableParagraph"/>
              <w:spacing w:before="1"/>
              <w:ind w:left="105"/>
              <w:rPr>
                <w:sz w:val="24"/>
              </w:rPr>
            </w:pPr>
            <w:r>
              <w:rPr>
                <w:sz w:val="24"/>
              </w:rPr>
              <w:t>59,684,355.94</w:t>
            </w:r>
          </w:p>
        </w:tc>
        <w:tc>
          <w:tcPr>
            <w:tcW w:w="2094" w:type="dxa"/>
          </w:tcPr>
          <w:p>
            <w:pPr>
              <w:pStyle w:val="TableParagraph"/>
              <w:spacing w:before="1"/>
              <w:ind w:left="103" w:right="83"/>
              <w:rPr>
                <w:sz w:val="24"/>
              </w:rPr>
            </w:pPr>
            <w:r>
              <w:rPr>
                <w:sz w:val="24"/>
              </w:rPr>
              <w:t>179,053,067.82</w:t>
            </w:r>
          </w:p>
        </w:tc>
      </w:tr>
    </w:tbl>
    <w:p>
      <w:pPr>
        <w:spacing w:after="0"/>
        <w:rPr>
          <w:sz w:val="24"/>
        </w:rPr>
        <w:sectPr>
          <w:pgSz w:w="12240" w:h="15840"/>
          <w:pgMar w:header="0" w:footer="1005" w:top="1500" w:bottom="1200" w:left="1480" w:right="1600"/>
        </w:sectPr>
      </w:pPr>
    </w:p>
    <w:p>
      <w:pPr>
        <w:pStyle w:val="BodyText"/>
        <w:spacing w:before="7"/>
        <w:rPr>
          <w:b/>
          <w:sz w:val="23"/>
        </w:rPr>
      </w:pPr>
    </w:p>
    <w:p>
      <w:pPr>
        <w:spacing w:before="70"/>
        <w:ind w:left="3204" w:right="3207" w:firstLine="0"/>
        <w:jc w:val="center"/>
        <w:rPr>
          <w:b/>
          <w:sz w:val="24"/>
        </w:rPr>
      </w:pPr>
      <w:r>
        <w:rPr>
          <w:b/>
          <w:sz w:val="24"/>
        </w:rPr>
        <w:t>Costo por renta</w:t>
      </w:r>
    </w:p>
    <w:p>
      <w:pPr>
        <w:pStyle w:val="BodyText"/>
        <w:spacing w:before="3"/>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82"/>
        <w:gridCol w:w="890"/>
        <w:gridCol w:w="1310"/>
        <w:gridCol w:w="1310"/>
        <w:gridCol w:w="1550"/>
        <w:gridCol w:w="1092"/>
        <w:gridCol w:w="1620"/>
      </w:tblGrid>
      <w:tr>
        <w:trPr>
          <w:trHeight w:val="1036" w:hRule="exact"/>
        </w:trPr>
        <w:tc>
          <w:tcPr>
            <w:tcW w:w="1282" w:type="dxa"/>
            <w:shd w:val="clear" w:color="auto" w:fill="B8CCE4"/>
          </w:tcPr>
          <w:p>
            <w:pPr>
              <w:pStyle w:val="TableParagraph"/>
              <w:ind w:left="105" w:right="1"/>
              <w:rPr>
                <w:sz w:val="24"/>
              </w:rPr>
            </w:pPr>
            <w:r>
              <w:rPr>
                <w:sz w:val="24"/>
              </w:rPr>
              <w:t>Item</w:t>
            </w:r>
          </w:p>
        </w:tc>
        <w:tc>
          <w:tcPr>
            <w:tcW w:w="890" w:type="dxa"/>
            <w:shd w:val="clear" w:color="auto" w:fill="B8CCE4"/>
          </w:tcPr>
          <w:p>
            <w:pPr>
              <w:pStyle w:val="TableParagraph"/>
              <w:ind w:left="103"/>
              <w:rPr>
                <w:sz w:val="24"/>
              </w:rPr>
            </w:pPr>
            <w:r>
              <w:rPr>
                <w:sz w:val="24"/>
              </w:rPr>
              <w:t>Días</w:t>
            </w:r>
          </w:p>
        </w:tc>
        <w:tc>
          <w:tcPr>
            <w:tcW w:w="1310" w:type="dxa"/>
            <w:shd w:val="clear" w:color="auto" w:fill="B8CCE4"/>
          </w:tcPr>
          <w:p>
            <w:pPr>
              <w:pStyle w:val="TableParagraph"/>
              <w:spacing w:line="360" w:lineRule="auto"/>
              <w:ind w:left="103"/>
              <w:rPr>
                <w:sz w:val="24"/>
              </w:rPr>
            </w:pPr>
            <w:r>
              <w:rPr>
                <w:sz w:val="24"/>
              </w:rPr>
              <w:t>Costo </w:t>
            </w:r>
            <w:r>
              <w:rPr>
                <w:w w:val="95"/>
                <w:sz w:val="24"/>
              </w:rPr>
              <w:t>renta/hora</w:t>
            </w:r>
          </w:p>
        </w:tc>
        <w:tc>
          <w:tcPr>
            <w:tcW w:w="1310" w:type="dxa"/>
            <w:shd w:val="clear" w:color="auto" w:fill="B8CCE4"/>
          </w:tcPr>
          <w:p>
            <w:pPr>
              <w:pStyle w:val="TableParagraph"/>
              <w:ind w:left="105"/>
              <w:rPr>
                <w:sz w:val="24"/>
              </w:rPr>
            </w:pPr>
            <w:r>
              <w:rPr>
                <w:sz w:val="24"/>
              </w:rPr>
              <w:t>Horas/uso</w:t>
            </w:r>
          </w:p>
        </w:tc>
        <w:tc>
          <w:tcPr>
            <w:tcW w:w="1550" w:type="dxa"/>
            <w:shd w:val="clear" w:color="auto" w:fill="B8CCE4"/>
          </w:tcPr>
          <w:p>
            <w:pPr>
              <w:pStyle w:val="TableParagraph"/>
              <w:spacing w:line="360" w:lineRule="auto"/>
              <w:ind w:left="103" w:right="86"/>
              <w:rPr>
                <w:sz w:val="24"/>
              </w:rPr>
            </w:pPr>
            <w:r>
              <w:rPr>
                <w:sz w:val="24"/>
              </w:rPr>
              <w:t>Helicópteros relámpago</w:t>
            </w:r>
          </w:p>
        </w:tc>
        <w:tc>
          <w:tcPr>
            <w:tcW w:w="1092" w:type="dxa"/>
            <w:shd w:val="clear" w:color="auto" w:fill="B8CCE4"/>
          </w:tcPr>
          <w:p>
            <w:pPr>
              <w:pStyle w:val="TableParagraph"/>
              <w:tabs>
                <w:tab w:pos="714" w:val="left" w:leader="none"/>
              </w:tabs>
              <w:spacing w:line="360" w:lineRule="auto"/>
              <w:ind w:left="103" w:right="100"/>
              <w:rPr>
                <w:sz w:val="24"/>
              </w:rPr>
            </w:pPr>
            <w:r>
              <w:rPr>
                <w:sz w:val="24"/>
              </w:rPr>
              <w:t>No.</w:t>
              <w:tab/>
              <w:t>de vueltas</w:t>
            </w:r>
          </w:p>
        </w:tc>
        <w:tc>
          <w:tcPr>
            <w:tcW w:w="1620" w:type="dxa"/>
            <w:shd w:val="clear" w:color="auto" w:fill="B8CCE4"/>
          </w:tcPr>
          <w:p>
            <w:pPr>
              <w:pStyle w:val="TableParagraph"/>
              <w:ind w:left="105"/>
              <w:rPr>
                <w:sz w:val="24"/>
              </w:rPr>
            </w:pPr>
            <w:r>
              <w:rPr>
                <w:sz w:val="24"/>
              </w:rPr>
              <w:t>Total</w:t>
            </w:r>
          </w:p>
        </w:tc>
      </w:tr>
      <w:tr>
        <w:trPr>
          <w:trHeight w:val="2082" w:hRule="exact"/>
        </w:trPr>
        <w:tc>
          <w:tcPr>
            <w:tcW w:w="1282" w:type="dxa"/>
          </w:tcPr>
          <w:p>
            <w:pPr>
              <w:pStyle w:val="TableParagraph"/>
              <w:spacing w:line="360" w:lineRule="auto" w:before="1"/>
              <w:ind w:left="105" w:right="1"/>
              <w:rPr>
                <w:sz w:val="24"/>
              </w:rPr>
            </w:pPr>
            <w:r>
              <w:rPr>
                <w:sz w:val="24"/>
              </w:rPr>
              <w:t>Costo por uso promedio en desastre</w:t>
            </w:r>
          </w:p>
        </w:tc>
        <w:tc>
          <w:tcPr>
            <w:tcW w:w="890" w:type="dxa"/>
          </w:tcPr>
          <w:p>
            <w:pPr>
              <w:pStyle w:val="TableParagraph"/>
              <w:spacing w:before="1"/>
              <w:ind w:left="103"/>
              <w:rPr>
                <w:sz w:val="24"/>
              </w:rPr>
            </w:pPr>
            <w:r>
              <w:rPr>
                <w:w w:val="99"/>
                <w:sz w:val="24"/>
              </w:rPr>
              <w:t>1</w:t>
            </w:r>
          </w:p>
        </w:tc>
        <w:tc>
          <w:tcPr>
            <w:tcW w:w="1310" w:type="dxa"/>
          </w:tcPr>
          <w:p>
            <w:pPr>
              <w:pStyle w:val="TableParagraph"/>
              <w:spacing w:before="1"/>
              <w:ind w:left="103"/>
              <w:rPr>
                <w:sz w:val="24"/>
              </w:rPr>
            </w:pPr>
            <w:r>
              <w:rPr>
                <w:sz w:val="24"/>
              </w:rPr>
              <w:t>44,319.00</w:t>
            </w:r>
          </w:p>
        </w:tc>
        <w:tc>
          <w:tcPr>
            <w:tcW w:w="1310" w:type="dxa"/>
          </w:tcPr>
          <w:p>
            <w:pPr>
              <w:pStyle w:val="TableParagraph"/>
              <w:spacing w:before="1"/>
              <w:ind w:left="105"/>
              <w:rPr>
                <w:sz w:val="24"/>
              </w:rPr>
            </w:pPr>
            <w:r>
              <w:rPr>
                <w:sz w:val="24"/>
              </w:rPr>
              <w:t>24</w:t>
            </w:r>
          </w:p>
        </w:tc>
        <w:tc>
          <w:tcPr>
            <w:tcW w:w="1550" w:type="dxa"/>
          </w:tcPr>
          <w:p>
            <w:pPr>
              <w:pStyle w:val="TableParagraph"/>
              <w:spacing w:before="1"/>
              <w:ind w:left="103" w:right="86"/>
              <w:rPr>
                <w:sz w:val="24"/>
              </w:rPr>
            </w:pPr>
            <w:r>
              <w:rPr>
                <w:sz w:val="24"/>
              </w:rPr>
              <w:t>3.00</w:t>
            </w:r>
          </w:p>
        </w:tc>
        <w:tc>
          <w:tcPr>
            <w:tcW w:w="1092" w:type="dxa"/>
          </w:tcPr>
          <w:p>
            <w:pPr>
              <w:pStyle w:val="TableParagraph"/>
              <w:spacing w:before="1"/>
              <w:ind w:left="103"/>
              <w:rPr>
                <w:sz w:val="24"/>
              </w:rPr>
            </w:pPr>
            <w:r>
              <w:rPr>
                <w:w w:val="99"/>
                <w:sz w:val="24"/>
              </w:rPr>
              <w:t>3</w:t>
            </w:r>
          </w:p>
        </w:tc>
        <w:tc>
          <w:tcPr>
            <w:tcW w:w="1620" w:type="dxa"/>
          </w:tcPr>
          <w:p>
            <w:pPr>
              <w:pStyle w:val="TableParagraph"/>
              <w:spacing w:before="1"/>
              <w:ind w:left="105"/>
              <w:rPr>
                <w:sz w:val="24"/>
              </w:rPr>
            </w:pPr>
            <w:r>
              <w:rPr>
                <w:sz w:val="24"/>
              </w:rPr>
              <w:t>9,572,904.00</w:t>
            </w:r>
          </w:p>
        </w:tc>
      </w:tr>
    </w:tbl>
    <w:p>
      <w:pPr>
        <w:pStyle w:val="BodyText"/>
        <w:spacing w:before="10"/>
        <w:rPr>
          <w:b/>
          <w:sz w:val="29"/>
        </w:rPr>
      </w:pPr>
    </w:p>
    <w:p>
      <w:pPr>
        <w:spacing w:before="70"/>
        <w:ind w:left="221" w:right="0" w:firstLine="0"/>
        <w:jc w:val="both"/>
        <w:rPr>
          <w:b/>
          <w:sz w:val="24"/>
        </w:rPr>
      </w:pPr>
      <w:r>
        <w:rPr>
          <w:b/>
          <w:sz w:val="24"/>
        </w:rPr>
        <w:t>Situación con proyecto</w:t>
      </w:r>
    </w:p>
    <w:p>
      <w:pPr>
        <w:pStyle w:val="ListParagraph"/>
        <w:numPr>
          <w:ilvl w:val="1"/>
          <w:numId w:val="24"/>
        </w:numPr>
        <w:tabs>
          <w:tab w:pos="625" w:val="left" w:leader="none"/>
        </w:tabs>
        <w:spacing w:line="240" w:lineRule="auto" w:before="139" w:after="0"/>
        <w:ind w:left="624" w:right="0" w:hanging="403"/>
        <w:jc w:val="both"/>
        <w:rPr>
          <w:b/>
          <w:sz w:val="24"/>
        </w:rPr>
      </w:pPr>
      <w:r>
        <w:rPr>
          <w:b/>
          <w:sz w:val="24"/>
        </w:rPr>
        <w:t>Descripción del</w:t>
      </w:r>
      <w:r>
        <w:rPr>
          <w:b/>
          <w:spacing w:val="-23"/>
          <w:sz w:val="24"/>
        </w:rPr>
        <w:t> </w:t>
      </w:r>
      <w:r>
        <w:rPr>
          <w:b/>
          <w:sz w:val="24"/>
        </w:rPr>
        <w:t>proyecto</w:t>
      </w:r>
    </w:p>
    <w:p>
      <w:pPr>
        <w:pStyle w:val="BodyText"/>
        <w:spacing w:line="360" w:lineRule="auto" w:before="137"/>
        <w:ind w:left="221" w:right="220"/>
        <w:jc w:val="both"/>
      </w:pPr>
      <w:r>
        <w:rPr/>
        <w:t>El presente proyecto pretende Adquirir una Unidad de atención médica a  pacientes críticos en situación de desastre para el Estado de México con el fin de proveer una respuesta inmediata en emergencias a la población de bajos recursos que hayan sido víctimas de incidentes masivos o desastres </w:t>
      </w:r>
      <w:r>
        <w:rPr>
          <w:spacing w:val="3"/>
        </w:rPr>
        <w:t>que </w:t>
      </w:r>
      <w:r>
        <w:rPr/>
        <w:t>rebasen la capacidad de respuesta del área de ocurrencia. Las ocurrencias pueden ser múltiples y van desde incidentes mayores (explosión, accidentes industriales, choque múltiple, fuga, derrame, etc.), desastres naturales (inundación, huracán, terremoto, etc.), hasta conflictos armados y puede constituirse como elemento de apoyo</w:t>
      </w:r>
      <w:r>
        <w:rPr>
          <w:spacing w:val="-4"/>
        </w:rPr>
        <w:t> </w:t>
      </w:r>
      <w:r>
        <w:rPr/>
        <w:t>a</w:t>
      </w:r>
      <w:r>
        <w:rPr>
          <w:spacing w:val="-4"/>
        </w:rPr>
        <w:t> </w:t>
      </w:r>
      <w:r>
        <w:rPr/>
        <w:t>los</w:t>
      </w:r>
      <w:r>
        <w:rPr>
          <w:spacing w:val="-6"/>
        </w:rPr>
        <w:t> </w:t>
      </w:r>
      <w:r>
        <w:rPr/>
        <w:t>recursos</w:t>
      </w:r>
      <w:r>
        <w:rPr>
          <w:spacing w:val="-6"/>
        </w:rPr>
        <w:t> </w:t>
      </w:r>
      <w:r>
        <w:rPr/>
        <w:t>disponibles</w:t>
      </w:r>
      <w:r>
        <w:rPr>
          <w:spacing w:val="-6"/>
        </w:rPr>
        <w:t> </w:t>
      </w:r>
      <w:r>
        <w:rPr/>
        <w:t>o</w:t>
      </w:r>
      <w:r>
        <w:rPr>
          <w:spacing w:val="-4"/>
        </w:rPr>
        <w:t> </w:t>
      </w:r>
      <w:r>
        <w:rPr/>
        <w:t>cuando</w:t>
      </w:r>
      <w:r>
        <w:rPr>
          <w:spacing w:val="-6"/>
        </w:rPr>
        <w:t> </w:t>
      </w:r>
      <w:r>
        <w:rPr/>
        <w:t>éstos</w:t>
      </w:r>
      <w:r>
        <w:rPr>
          <w:spacing w:val="-5"/>
        </w:rPr>
        <w:t> </w:t>
      </w:r>
      <w:r>
        <w:rPr/>
        <w:t>ya</w:t>
      </w:r>
      <w:r>
        <w:rPr>
          <w:spacing w:val="-4"/>
        </w:rPr>
        <w:t> </w:t>
      </w:r>
      <w:r>
        <w:rPr/>
        <w:t>no</w:t>
      </w:r>
      <w:r>
        <w:rPr>
          <w:spacing w:val="-4"/>
        </w:rPr>
        <w:t> </w:t>
      </w:r>
      <w:r>
        <w:rPr/>
        <w:t>son</w:t>
      </w:r>
      <w:r>
        <w:rPr>
          <w:spacing w:val="-6"/>
        </w:rPr>
        <w:t> </w:t>
      </w:r>
      <w:r>
        <w:rPr/>
        <w:t>funcionales.</w:t>
      </w:r>
    </w:p>
    <w:p>
      <w:pPr>
        <w:pStyle w:val="BodyText"/>
        <w:spacing w:line="360" w:lineRule="auto" w:before="2"/>
        <w:ind w:left="221" w:right="221"/>
        <w:jc w:val="both"/>
      </w:pPr>
      <w:r>
        <w:rPr/>
        <w:t>La unidad permite dar atención a 3 pacientes encamados (en camillas en “cubículos” independientes) en forma simultánea, además del área de cirugía. La “edificación” cuenta con agua (caliente, si se desea), iluminación natural y energía eléctrica, así como dispositivo de aire acondicionado y calefacción. Los materiales son de uso rudo y de fácil limpieza y/o descontaminación. De esta manera, es posible otorgar atención a un número significativo de personas en condiciones ambientales y de higiene adecuadas.</w:t>
      </w:r>
    </w:p>
    <w:p>
      <w:pPr>
        <w:pStyle w:val="BodyText"/>
      </w:pPr>
    </w:p>
    <w:p>
      <w:pPr>
        <w:pStyle w:val="BodyText"/>
        <w:spacing w:line="360" w:lineRule="auto" w:before="142"/>
        <w:ind w:left="221" w:right="223"/>
        <w:jc w:val="both"/>
      </w:pPr>
      <w:r>
        <w:rPr/>
        <w:t>La Secretaría de Salud, a través del Servicio de Urgencias del Estado de México (SUEM),  proveerá  la  infraestructura  necesaria  para  resguardar  la  Unidad   de</w:t>
      </w:r>
    </w:p>
    <w:p>
      <w:pPr>
        <w:spacing w:after="0" w:line="360" w:lineRule="auto"/>
        <w:jc w:val="both"/>
        <w:sectPr>
          <w:pgSz w:w="12240" w:h="15840"/>
          <w:pgMar w:header="0" w:footer="1005" w:top="1500" w:bottom="1200" w:left="1480" w:right="1480"/>
        </w:sectPr>
      </w:pPr>
    </w:p>
    <w:p>
      <w:pPr>
        <w:pStyle w:val="BodyText"/>
        <w:spacing w:line="360" w:lineRule="auto" w:before="46"/>
        <w:ind w:left="101" w:right="110"/>
        <w:jc w:val="both"/>
      </w:pPr>
      <w:r>
        <w:rPr/>
        <w:t>atención médica a pacientes críticos en situación de desastre , además proporcionará el recurso humano necesario para instalarlo, operarlo y garantizar el mantenimiento preventivo y correctivo necesario.</w:t>
      </w:r>
    </w:p>
    <w:p>
      <w:pPr>
        <w:pStyle w:val="BodyText"/>
      </w:pPr>
    </w:p>
    <w:p>
      <w:pPr>
        <w:pStyle w:val="BodyText"/>
        <w:spacing w:line="360" w:lineRule="auto" w:before="142"/>
        <w:ind w:left="101" w:right="107"/>
        <w:jc w:val="both"/>
      </w:pPr>
      <w:r>
        <w:rPr/>
        <w:t>Demostrar la viabilidad financiera y social de la adquisición de una Unidad de Atención Médica a Pacientes Críticos en Situación de Desastre.</w:t>
      </w:r>
    </w:p>
    <w:p>
      <w:pPr>
        <w:pStyle w:val="BodyText"/>
      </w:pPr>
    </w:p>
    <w:p>
      <w:pPr>
        <w:pStyle w:val="Heading1"/>
        <w:numPr>
          <w:ilvl w:val="1"/>
          <w:numId w:val="24"/>
        </w:numPr>
        <w:tabs>
          <w:tab w:pos="504" w:val="left" w:leader="none"/>
        </w:tabs>
        <w:spacing w:line="240" w:lineRule="auto" w:before="142" w:after="0"/>
        <w:ind w:left="503" w:right="0" w:hanging="402"/>
        <w:jc w:val="both"/>
      </w:pPr>
      <w:r>
        <w:rPr/>
        <w:t>Objetivo</w:t>
      </w:r>
    </w:p>
    <w:p>
      <w:pPr>
        <w:pStyle w:val="BodyText"/>
        <w:rPr>
          <w:b/>
        </w:rPr>
      </w:pPr>
    </w:p>
    <w:p>
      <w:pPr>
        <w:pStyle w:val="BodyText"/>
        <w:rPr>
          <w:b/>
        </w:rPr>
      </w:pPr>
    </w:p>
    <w:p>
      <w:pPr>
        <w:pStyle w:val="BodyText"/>
        <w:spacing w:line="360" w:lineRule="auto"/>
        <w:ind w:left="101" w:right="108"/>
        <w:jc w:val="both"/>
      </w:pPr>
      <w:r>
        <w:rPr/>
        <w:t>Disminuir las secuelas y complicaciones por falta de atención especializada oportuna a personas en situación crítica por desastres.</w:t>
      </w:r>
    </w:p>
    <w:p>
      <w:pPr>
        <w:pStyle w:val="BodyText"/>
      </w:pPr>
    </w:p>
    <w:p>
      <w:pPr>
        <w:pStyle w:val="Heading1"/>
      </w:pPr>
      <w:r>
        <w:rPr/>
        <w:t>Propósito</w:t>
      </w:r>
    </w:p>
    <w:p>
      <w:pPr>
        <w:pStyle w:val="BodyText"/>
        <w:rPr>
          <w:b/>
        </w:rPr>
      </w:pPr>
    </w:p>
    <w:p>
      <w:pPr>
        <w:pStyle w:val="BodyText"/>
        <w:rPr>
          <w:b/>
        </w:rPr>
      </w:pPr>
    </w:p>
    <w:p>
      <w:pPr>
        <w:pStyle w:val="BodyText"/>
        <w:spacing w:line="360" w:lineRule="auto"/>
        <w:ind w:left="101" w:right="112"/>
        <w:jc w:val="both"/>
      </w:pPr>
      <w:r>
        <w:rPr/>
        <w:t>Ofrecer atención especializada oportuna a la población que haya sido víctima de incidentes masivos o desastres que rebasen la capacidad de respuesta del área de ocurrencia, sin importar nivel socioeconómico o seguridad</w:t>
      </w:r>
      <w:r>
        <w:rPr>
          <w:spacing w:val="-39"/>
        </w:rPr>
        <w:t> </w:t>
      </w:r>
      <w:r>
        <w:rPr/>
        <w:t>social.</w:t>
      </w:r>
    </w:p>
    <w:p>
      <w:pPr>
        <w:pStyle w:val="BodyText"/>
      </w:pPr>
    </w:p>
    <w:p>
      <w:pPr>
        <w:pStyle w:val="Heading1"/>
        <w:numPr>
          <w:ilvl w:val="1"/>
          <w:numId w:val="24"/>
        </w:numPr>
        <w:tabs>
          <w:tab w:pos="638" w:val="left" w:leader="none"/>
        </w:tabs>
        <w:spacing w:line="240" w:lineRule="auto" w:before="142" w:after="0"/>
        <w:ind w:left="637" w:right="0" w:hanging="536"/>
        <w:jc w:val="both"/>
      </w:pPr>
      <w:r>
        <w:rPr/>
        <w:t>Alineación</w:t>
      </w:r>
      <w:r>
        <w:rPr>
          <w:spacing w:val="-19"/>
        </w:rPr>
        <w:t> </w:t>
      </w:r>
      <w:r>
        <w:rPr/>
        <w:t>estratégica</w:t>
      </w:r>
    </w:p>
    <w:p>
      <w:pPr>
        <w:pStyle w:val="BodyText"/>
        <w:rPr>
          <w:b/>
        </w:rPr>
      </w:pPr>
    </w:p>
    <w:p>
      <w:pPr>
        <w:pStyle w:val="BodyText"/>
        <w:rPr>
          <w:b/>
        </w:rPr>
      </w:pPr>
    </w:p>
    <w:p>
      <w:pPr>
        <w:pStyle w:val="BodyText"/>
        <w:spacing w:line="360" w:lineRule="auto"/>
        <w:ind w:left="101" w:right="100"/>
        <w:jc w:val="both"/>
      </w:pPr>
      <w:r>
        <w:rPr/>
        <w:t>Ésta unidad se alinea al Plan Nacional de Desarrollo 2013-2018, Programa Nacional de Salud 2007-2012 y Plan Estatal de Desarrollo 2011-2017 (Estado de México).</w:t>
      </w:r>
    </w:p>
    <w:p>
      <w:pPr>
        <w:pStyle w:val="BodyText"/>
      </w:pPr>
    </w:p>
    <w:p>
      <w:pPr>
        <w:pStyle w:val="BodyText"/>
        <w:spacing w:line="360" w:lineRule="auto" w:before="142"/>
        <w:ind w:left="101" w:right="102"/>
        <w:jc w:val="both"/>
      </w:pPr>
      <w:r>
        <w:rPr/>
        <w:t>En el Plan Nacional de Desarrollo, se encuentra en el Objetivo 2.3 que se refiere a asegurar el acceso a los servicios de salud, dentro de la estrategia 2.3.3 (mejorar la atención de la salud a la población en situación de vulnerabilidad), en la cual se menciona el fomento del desarrollo de infraestructura y la puesta en marcha de unidades médicas móviles y su equipamiento en zonas vulnerables, así como el fortalecimiento de los mecanismos de anticipación y respuesta ante enfermedades emergentes y desastres.</w:t>
      </w:r>
    </w:p>
    <w:p>
      <w:pPr>
        <w:spacing w:after="0" w:line="360" w:lineRule="auto"/>
        <w:jc w:val="both"/>
        <w:sectPr>
          <w:pgSz w:w="12240" w:h="15840"/>
          <w:pgMar w:header="0" w:footer="1005" w:top="1380" w:bottom="1200" w:left="1600" w:right="1600"/>
        </w:sectPr>
      </w:pPr>
    </w:p>
    <w:p>
      <w:pPr>
        <w:pStyle w:val="BodyText"/>
        <w:spacing w:line="360" w:lineRule="auto" w:before="46"/>
        <w:ind w:left="561" w:right="421" w:firstLine="67"/>
        <w:jc w:val="both"/>
      </w:pPr>
      <w:r>
        <w:rPr/>
        <w:t>En lo que respecta al Programa Nacional de Salud 2007-2012, es el objetivo 2.16, referente a la atención de los efectos de los desastres y urgencias epidemiológicas en donde se menciona el establecimiento de una regionalización operativa de acuerdo a los riesgos para proporcionar atención oportuna a la población afectada en caso de desastres provocados por fenómenos naturales o por el hombre.</w:t>
      </w:r>
    </w:p>
    <w:p>
      <w:pPr>
        <w:pStyle w:val="BodyText"/>
        <w:spacing w:line="348" w:lineRule="auto"/>
        <w:ind w:left="201" w:right="490"/>
        <w:jc w:val="both"/>
      </w:pPr>
      <w:r>
        <w:rPr/>
        <w:t>Por último, dentro del Plan Estatal de Desarrollo (Estado de México) 2011-2017, en el pilar que se refiere a mantener una sociedad protegida, se menciona la constitución de un sistema integral de protección civil dentro del objetivo 4.</w:t>
      </w:r>
    </w:p>
    <w:p>
      <w:pPr>
        <w:pStyle w:val="BodyText"/>
      </w:pPr>
    </w:p>
    <w:p>
      <w:pPr>
        <w:pStyle w:val="Heading1"/>
        <w:numPr>
          <w:ilvl w:val="1"/>
          <w:numId w:val="24"/>
        </w:numPr>
        <w:tabs>
          <w:tab w:pos="737" w:val="left" w:leader="none"/>
        </w:tabs>
        <w:spacing w:line="240" w:lineRule="auto" w:before="143" w:after="0"/>
        <w:ind w:left="736" w:right="0" w:hanging="535"/>
        <w:jc w:val="both"/>
      </w:pPr>
      <w:r>
        <w:rPr/>
        <w:t>Localización</w:t>
      </w:r>
      <w:r>
        <w:rPr>
          <w:spacing w:val="-15"/>
        </w:rPr>
        <w:t> </w:t>
      </w:r>
      <w:r>
        <w:rPr/>
        <w:t>geográfica</w:t>
      </w:r>
    </w:p>
    <w:p>
      <w:pPr>
        <w:pStyle w:val="BodyText"/>
        <w:spacing w:before="5"/>
        <w:rPr>
          <w:b/>
          <w:sz w:val="20"/>
        </w:rPr>
      </w:pPr>
    </w:p>
    <w:p>
      <w:pPr>
        <w:pStyle w:val="BodyText"/>
        <w:spacing w:line="360" w:lineRule="auto"/>
        <w:ind w:left="201" w:right="422"/>
        <w:jc w:val="both"/>
      </w:pPr>
      <w:r>
        <w:rPr/>
        <w:t>La ubicación del Proyecto se encuentra en la ciudad de Toluca que se sitúa en el centro de México, y por consecuencia dentro del </w:t>
      </w:r>
      <w:r>
        <w:rPr>
          <w:u w:val="single"/>
        </w:rPr>
        <w:t>hemisferio boreal</w:t>
      </w:r>
      <w:r>
        <w:rPr/>
        <w:t>, a 19°17'29 de latitud norte y a los 99°39'38 de longitud oeste. Su territorio se extiende sobre el llamado </w:t>
      </w:r>
      <w:r>
        <w:rPr>
          <w:u w:val="single"/>
        </w:rPr>
        <w:t>Valle de Toluca</w:t>
      </w:r>
      <w:r>
        <w:rPr/>
        <w:t>, enorme planicie rodeada de montañas de naturaleza volcánica. La altura promedio de la ciudad sobre el nivel del mar es de 2 mil 650 metros, lo que la clasifica entre las ciudades más altas del continente americano.</w:t>
      </w:r>
    </w:p>
    <w:p>
      <w:pPr>
        <w:pStyle w:val="BodyText"/>
        <w:spacing w:line="360" w:lineRule="auto" w:before="122"/>
        <w:ind w:left="201" w:right="428"/>
        <w:jc w:val="both"/>
      </w:pPr>
      <w:r>
        <w:rPr/>
        <w:t>Su naturaleza geográfica, particularmente su altitud y situación en el globo terráqueo, le han determinado condiciones climáticas, que a su vez derivan en características muy particulares a su flora y su fauna.</w:t>
      </w:r>
    </w:p>
    <w:p>
      <w:pPr>
        <w:pStyle w:val="BodyText"/>
        <w:spacing w:line="360" w:lineRule="auto" w:before="125"/>
        <w:ind w:left="201" w:right="420"/>
        <w:jc w:val="both"/>
      </w:pPr>
      <w:r>
        <w:rPr/>
        <w:pict>
          <v:shape style="position:absolute;margin-left:320.039978pt;margin-top:123.225891pt;width:222pt;height:167.2pt;mso-position-horizontal-relative:page;mso-position-vertical-relative:paragraph;z-index:-17893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19"/>
                    </w:rPr>
                  </w:pPr>
                </w:p>
                <w:p>
                  <w:pPr>
                    <w:spacing w:before="0"/>
                    <w:ind w:left="0" w:right="299" w:firstLine="0"/>
                    <w:jc w:val="right"/>
                    <w:rPr>
                      <w:rFonts w:ascii="Calibri"/>
                      <w:sz w:val="22"/>
                    </w:rPr>
                  </w:pPr>
                  <w:r>
                    <w:rPr>
                      <w:rFonts w:ascii="Calibri"/>
                      <w:sz w:val="22"/>
                    </w:rPr>
                    <w:t>37</w:t>
                  </w:r>
                </w:p>
              </w:txbxContent>
            </v:textbox>
            <w10:wrap type="none"/>
          </v:shape>
        </w:pict>
      </w:r>
      <w:r>
        <w:rPr/>
        <w:pict>
          <v:group style="position:absolute;margin-left:80.504997pt;margin-top:123.225891pt;width:461.9pt;height:167.2pt;mso-position-horizontal-relative:page;mso-position-vertical-relative:paragraph;z-index:-178888" coordorigin="1610,2465" coordsize="9238,3344">
            <v:shape style="position:absolute;left:1625;top:2810;width:4776;height:2930" type="#_x0000_t75" stroked="false">
              <v:imagedata r:id="rId33" o:title=""/>
            </v:shape>
            <v:rect style="position:absolute;left:1618;top:2803;width:1555;height:1063" filled="false" stroked="true" strokeweight=".72pt" strokecolor="#000000"/>
            <v:shape style="position:absolute;left:2395;top:2928;width:1270;height:1440" coordorigin="2395,2928" coordsize="1270,1440" path="m3166,2928l3665,4368m2395,3859l3665,4368e" filled="false" stroked="true" strokeweight=".24pt" strokecolor="#000000">
              <v:path arrowok="t"/>
            </v:shape>
            <v:shape style="position:absolute;left:6401;top:2465;width:4440;height:3343" type="#_x0000_t75" stroked="false">
              <v:imagedata r:id="rId34" o:title=""/>
            </v:shape>
            <v:shape style="position:absolute;left:7711;top:2465;width:3130;height:3343" type="#_x0000_t75" stroked="false">
              <v:imagedata r:id="rId35" o:title=""/>
            </v:shape>
            <v:shape style="position:absolute;left:8911;top:2714;width:1937;height:2681" type="#_x0000_t75" stroked="false">
              <v:imagedata r:id="rId36" o:title=""/>
            </v:shape>
            <v:shape style="position:absolute;left:2102;top:3367;width:338;height:403" type="#_x0000_t75" stroked="false">
              <v:imagedata r:id="rId37" o:title=""/>
            </v:shape>
            <v:shape style="position:absolute;left:2417;top:2961;width:1352;height:521" coordorigin="2417,2961" coordsize="1352,521" path="m3725,2997l2422,3468,2417,3473,2417,3477,2419,3482,2426,3482,3730,3011,3740,3000,3725,2997xm3756,2988l3761,2993,3761,2997,3756,3002,3730,3011,3658,3096,3658,3101,3660,3108,3665,3108,3670,3105,3768,2990,3756,2988xm3740,3000l3730,3011,3756,3002,3751,3002,3740,3000xm3749,2990l3740,3000,3751,3002,3749,2990xm3758,2990l3749,2990,3751,3002,3756,3002,3761,2997,3761,2993,3758,2990xm3756,2988l3751,2988,3725,2997,3740,3000,3749,2990,3758,2990,3756,2988,3756,2988xm3619,2961l3612,2964,3610,2969,3610,2973,3614,2976,3725,2997,3751,2988,3756,2988,3619,2961xm3756,2988l3756,2988,3756,2988,3756,2988xe" filled="true" fillcolor="#ff0000" stroked="false">
              <v:path arrowok="t"/>
              <v:fill type="solid"/>
            </v:shape>
            <v:shape style="position:absolute;left:9295;top:3907;width:1256;height:1409" coordorigin="9295,3907" coordsize="1256,1409" path="m9922,5316l9849,5311,9778,5297,9710,5275,9646,5244,9586,5206,9530,5161,9479,5110,9433,5052,9393,4989,9359,4921,9332,4849,9312,4772,9299,4693,9295,4610,9299,4528,9312,4449,9332,4373,9359,4301,9393,4233,9433,4170,9479,4113,9530,4061,9586,4016,9646,3978,9710,3948,9778,3925,9849,3912,9922,3907,9995,3912,10066,3925,10134,3948,10198,3978,10259,4016,10315,4061,10367,4113,10412,4170,10453,4233,10487,4301,10514,4373,10534,4449,10546,4528,10550,4610,10547,4687,10536,4762,10518,4834,10495,4902,10465,4967,10429,5027,10389,5083,10343,5134,10293,5180,10239,5220,10182,5253,10121,5280,10057,5300,9990,5312,9922,5316e" filled="false" stroked="true" strokeweight=".24pt" strokecolor="#ff0000">
              <v:path arrowok="t"/>
            </v:shape>
            <v:shape style="position:absolute;left:3811;top:2948;width:878;height:360" type="#_x0000_t202" filled="false" stroked="false">
              <v:textbox inset="0,0,0,0">
                <w:txbxContent>
                  <w:p>
                    <w:pPr>
                      <w:spacing w:line="360" w:lineRule="exact" w:before="0"/>
                      <w:ind w:left="0" w:right="0" w:firstLine="0"/>
                      <w:jc w:val="left"/>
                      <w:rPr>
                        <w:rFonts w:ascii="Calibri"/>
                        <w:sz w:val="36"/>
                      </w:rPr>
                    </w:pPr>
                    <w:r>
                      <w:rPr>
                        <w:rFonts w:ascii="Calibri"/>
                        <w:w w:val="95"/>
                        <w:sz w:val="36"/>
                      </w:rPr>
                      <w:t>SUEM</w:t>
                    </w:r>
                  </w:p>
                </w:txbxContent>
              </v:textbox>
              <w10:wrap type="none"/>
            </v:shape>
            <w10:wrap type="none"/>
          </v:group>
        </w:pict>
      </w:r>
      <w:r>
        <w:rPr/>
        <w:t>Limita al  norte  con  el  municipio  de </w:t>
      </w:r>
      <w:r>
        <w:rPr>
          <w:u w:val="single"/>
        </w:rPr>
        <w:t>Temoaya</w:t>
      </w:r>
      <w:r>
        <w:rPr/>
        <w:t>,  al  noroeste  con  el  municipio  de </w:t>
      </w:r>
      <w:r>
        <w:rPr>
          <w:u w:val="single"/>
        </w:rPr>
        <w:t>Otzolotepec </w:t>
      </w:r>
      <w:r>
        <w:rPr/>
        <w:t>y con el municipio de </w:t>
      </w:r>
      <w:r>
        <w:rPr>
          <w:u w:val="single"/>
        </w:rPr>
        <w:t>Almoloya de Juárez</w:t>
      </w:r>
      <w:r>
        <w:rPr/>
        <w:t>, al oeste con el  municipio de </w:t>
      </w:r>
      <w:r>
        <w:rPr>
          <w:u w:val="single"/>
        </w:rPr>
        <w:t>Zinacantepec</w:t>
      </w:r>
      <w:r>
        <w:rPr/>
        <w:t>, al este con el municipio de </w:t>
      </w:r>
      <w:r>
        <w:rPr>
          <w:u w:val="single"/>
        </w:rPr>
        <w:t>Lerma </w:t>
      </w:r>
      <w:r>
        <w:rPr/>
        <w:t>y con el municipio de </w:t>
      </w:r>
      <w:r>
        <w:rPr>
          <w:u w:val="single"/>
        </w:rPr>
        <w:t>San Mateo Atenco</w:t>
      </w:r>
      <w:r>
        <w:rPr/>
        <w:t>, al sureste con el municipio de </w:t>
      </w:r>
      <w:r>
        <w:rPr>
          <w:u w:val="single"/>
        </w:rPr>
        <w:t>Metepec</w:t>
      </w:r>
      <w:r>
        <w:rPr/>
        <w:t>, con  el municipio  de </w:t>
      </w:r>
      <w:r>
        <w:rPr>
          <w:u w:val="single"/>
        </w:rPr>
        <w:t>Calimaya </w:t>
      </w:r>
      <w:r>
        <w:rPr/>
        <w:t>y con  el municipio de </w:t>
      </w:r>
      <w:r>
        <w:rPr>
          <w:u w:val="single"/>
        </w:rPr>
        <w:t>Tenango del Valle</w:t>
      </w:r>
      <w:r>
        <w:rPr/>
        <w:t>, al sur con el municipio      de </w:t>
      </w:r>
      <w:r>
        <w:rPr>
          <w:u w:val="single"/>
        </w:rPr>
        <w:t>Villa</w:t>
      </w:r>
      <w:r>
        <w:rPr>
          <w:spacing w:val="-7"/>
          <w:u w:val="single"/>
        </w:rPr>
        <w:t> </w:t>
      </w:r>
      <w:r>
        <w:rPr>
          <w:u w:val="single"/>
        </w:rPr>
        <w:t>Guerrero</w:t>
      </w:r>
      <w:r>
        <w:rPr/>
        <w:t>.</w:t>
      </w:r>
    </w:p>
    <w:p>
      <w:pPr>
        <w:spacing w:after="0" w:line="360" w:lineRule="auto"/>
        <w:jc w:val="both"/>
        <w:sectPr>
          <w:footerReference w:type="default" r:id="rId32"/>
          <w:pgSz w:w="12240" w:h="15840"/>
          <w:pgMar w:footer="0" w:header="0" w:top="1380" w:bottom="0" w:left="1500" w:right="1280"/>
        </w:sectPr>
      </w:pPr>
    </w:p>
    <w:p>
      <w:pPr>
        <w:pStyle w:val="Heading1"/>
        <w:numPr>
          <w:ilvl w:val="1"/>
          <w:numId w:val="24"/>
        </w:numPr>
        <w:tabs>
          <w:tab w:pos="997" w:val="left" w:leader="none"/>
        </w:tabs>
        <w:spacing w:line="240" w:lineRule="auto" w:before="46" w:after="0"/>
        <w:ind w:left="996" w:right="0" w:hanging="535"/>
        <w:jc w:val="left"/>
      </w:pPr>
      <w:r>
        <w:rPr/>
        <w:t>Calendario de</w:t>
      </w:r>
      <w:r>
        <w:rPr>
          <w:spacing w:val="-20"/>
        </w:rPr>
        <w:t> </w:t>
      </w:r>
      <w:r>
        <w:rPr/>
        <w:t>Inversión</w:t>
      </w:r>
    </w:p>
    <w:p>
      <w:pPr>
        <w:pStyle w:val="BodyText"/>
        <w:spacing w:before="4"/>
        <w:rPr>
          <w:b/>
          <w:sz w:val="12"/>
        </w:rPr>
      </w:pPr>
    </w:p>
    <w:tbl>
      <w:tblPr>
        <w:tblW w:w="0" w:type="auto"/>
        <w:jc w:val="left"/>
        <w:tblInd w:w="437"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803"/>
        <w:gridCol w:w="2095"/>
      </w:tblGrid>
      <w:tr>
        <w:trPr>
          <w:trHeight w:val="432" w:hRule="exact"/>
        </w:trPr>
        <w:tc>
          <w:tcPr>
            <w:tcW w:w="4898" w:type="dxa"/>
            <w:gridSpan w:val="2"/>
            <w:shd w:val="clear" w:color="auto" w:fill="D8D8D8"/>
          </w:tcPr>
          <w:p>
            <w:pPr>
              <w:pStyle w:val="TableParagraph"/>
              <w:spacing w:line="275" w:lineRule="exact"/>
              <w:ind w:left="1060"/>
              <w:rPr>
                <w:sz w:val="24"/>
              </w:rPr>
            </w:pPr>
            <w:r>
              <w:rPr>
                <w:sz w:val="24"/>
              </w:rPr>
              <w:t>Calendario de actividades</w:t>
            </w:r>
          </w:p>
        </w:tc>
      </w:tr>
      <w:tr>
        <w:trPr>
          <w:trHeight w:val="431" w:hRule="exact"/>
        </w:trPr>
        <w:tc>
          <w:tcPr>
            <w:tcW w:w="2803" w:type="dxa"/>
            <w:tcBorders>
              <w:bottom w:val="single" w:sz="3" w:space="0" w:color="000000"/>
              <w:right w:val="single" w:sz="3" w:space="0" w:color="000000"/>
            </w:tcBorders>
          </w:tcPr>
          <w:p>
            <w:pPr>
              <w:pStyle w:val="TableParagraph"/>
              <w:spacing w:before="1"/>
              <w:ind w:left="62"/>
              <w:rPr>
                <w:sz w:val="24"/>
              </w:rPr>
            </w:pPr>
            <w:r>
              <w:rPr>
                <w:sz w:val="24"/>
              </w:rPr>
              <w:t>Proceso de licitación</w:t>
            </w:r>
          </w:p>
        </w:tc>
        <w:tc>
          <w:tcPr>
            <w:tcW w:w="2095" w:type="dxa"/>
            <w:tcBorders>
              <w:left w:val="single" w:sz="3" w:space="0" w:color="000000"/>
              <w:bottom w:val="single" w:sz="3" w:space="0" w:color="000000"/>
            </w:tcBorders>
          </w:tcPr>
          <w:p>
            <w:pPr>
              <w:pStyle w:val="TableParagraph"/>
              <w:spacing w:before="1"/>
              <w:ind w:right="56"/>
              <w:jc w:val="right"/>
              <w:rPr>
                <w:sz w:val="24"/>
              </w:rPr>
            </w:pPr>
            <w:r>
              <w:rPr>
                <w:sz w:val="24"/>
              </w:rPr>
              <w:t>Diciembre 2014</w:t>
            </w:r>
          </w:p>
        </w:tc>
      </w:tr>
      <w:tr>
        <w:trPr>
          <w:trHeight w:val="422" w:hRule="exact"/>
        </w:trPr>
        <w:tc>
          <w:tcPr>
            <w:tcW w:w="2803" w:type="dxa"/>
            <w:tcBorders>
              <w:top w:val="single" w:sz="3" w:space="0" w:color="000000"/>
              <w:bottom w:val="single" w:sz="3" w:space="0" w:color="000000"/>
              <w:right w:val="single" w:sz="3" w:space="0" w:color="000000"/>
            </w:tcBorders>
          </w:tcPr>
          <w:p>
            <w:pPr>
              <w:pStyle w:val="TableParagraph"/>
              <w:ind w:left="62"/>
              <w:rPr>
                <w:sz w:val="24"/>
              </w:rPr>
            </w:pPr>
            <w:r>
              <w:rPr>
                <w:sz w:val="24"/>
              </w:rPr>
              <w:t>Adquisición</w:t>
            </w:r>
          </w:p>
        </w:tc>
        <w:tc>
          <w:tcPr>
            <w:tcW w:w="2095" w:type="dxa"/>
            <w:tcBorders>
              <w:top w:val="single" w:sz="3" w:space="0" w:color="000000"/>
              <w:left w:val="single" w:sz="3" w:space="0" w:color="000000"/>
              <w:bottom w:val="single" w:sz="3" w:space="0" w:color="000000"/>
            </w:tcBorders>
          </w:tcPr>
          <w:p>
            <w:pPr>
              <w:pStyle w:val="TableParagraph"/>
              <w:ind w:right="56"/>
              <w:jc w:val="right"/>
              <w:rPr>
                <w:sz w:val="24"/>
              </w:rPr>
            </w:pPr>
            <w:r>
              <w:rPr>
                <w:sz w:val="24"/>
              </w:rPr>
              <w:t>Enero 2015</w:t>
            </w:r>
          </w:p>
        </w:tc>
      </w:tr>
      <w:tr>
        <w:trPr>
          <w:trHeight w:val="430" w:hRule="exact"/>
        </w:trPr>
        <w:tc>
          <w:tcPr>
            <w:tcW w:w="2803" w:type="dxa"/>
            <w:tcBorders>
              <w:top w:val="single" w:sz="3" w:space="0" w:color="000000"/>
              <w:right w:val="single" w:sz="3" w:space="0" w:color="000000"/>
            </w:tcBorders>
          </w:tcPr>
          <w:p>
            <w:pPr>
              <w:pStyle w:val="TableParagraph"/>
              <w:ind w:left="62"/>
              <w:rPr>
                <w:sz w:val="24"/>
              </w:rPr>
            </w:pPr>
            <w:r>
              <w:rPr>
                <w:sz w:val="24"/>
              </w:rPr>
              <w:t>Inicio de operaciones</w:t>
            </w:r>
          </w:p>
        </w:tc>
        <w:tc>
          <w:tcPr>
            <w:tcW w:w="2095" w:type="dxa"/>
            <w:tcBorders>
              <w:top w:val="single" w:sz="3" w:space="0" w:color="000000"/>
              <w:left w:val="single" w:sz="3" w:space="0" w:color="000000"/>
            </w:tcBorders>
          </w:tcPr>
          <w:p>
            <w:pPr>
              <w:pStyle w:val="TableParagraph"/>
              <w:ind w:right="56"/>
              <w:jc w:val="right"/>
              <w:rPr>
                <w:sz w:val="24"/>
              </w:rPr>
            </w:pPr>
            <w:r>
              <w:rPr>
                <w:sz w:val="24"/>
              </w:rPr>
              <w:t>Julio 2015</w:t>
            </w:r>
          </w:p>
        </w:tc>
      </w:tr>
    </w:tbl>
    <w:p>
      <w:pPr>
        <w:pStyle w:val="BodyText"/>
        <w:rPr>
          <w:b/>
          <w:sz w:val="20"/>
        </w:rPr>
      </w:pPr>
    </w:p>
    <w:p>
      <w:pPr>
        <w:pStyle w:val="ListParagraph"/>
        <w:numPr>
          <w:ilvl w:val="1"/>
          <w:numId w:val="24"/>
        </w:numPr>
        <w:tabs>
          <w:tab w:pos="1064" w:val="left" w:leader="none"/>
        </w:tabs>
        <w:spacing w:line="240" w:lineRule="auto" w:before="185" w:after="0"/>
        <w:ind w:left="1064" w:right="0" w:hanging="536"/>
        <w:jc w:val="both"/>
        <w:rPr>
          <w:b/>
          <w:sz w:val="24"/>
        </w:rPr>
      </w:pPr>
      <w:r>
        <w:rPr>
          <w:b/>
          <w:sz w:val="24"/>
        </w:rPr>
        <w:t>Monto Total de la</w:t>
      </w:r>
      <w:r>
        <w:rPr>
          <w:b/>
          <w:spacing w:val="-16"/>
          <w:sz w:val="24"/>
        </w:rPr>
        <w:t> </w:t>
      </w:r>
      <w:r>
        <w:rPr>
          <w:b/>
          <w:sz w:val="24"/>
        </w:rPr>
        <w:t>Inversión</w:t>
      </w:r>
    </w:p>
    <w:p>
      <w:pPr>
        <w:pStyle w:val="BodyText"/>
        <w:spacing w:before="137"/>
        <w:ind w:left="461"/>
        <w:jc w:val="both"/>
      </w:pPr>
      <w:r>
        <w:rPr/>
        <w:t>$34,961,096</w:t>
      </w:r>
    </w:p>
    <w:p>
      <w:pPr>
        <w:pStyle w:val="Heading1"/>
        <w:numPr>
          <w:ilvl w:val="1"/>
          <w:numId w:val="24"/>
        </w:numPr>
        <w:tabs>
          <w:tab w:pos="997" w:val="left" w:leader="none"/>
        </w:tabs>
        <w:spacing w:line="240" w:lineRule="auto" w:before="139" w:after="0"/>
        <w:ind w:left="996" w:right="0" w:hanging="535"/>
        <w:jc w:val="both"/>
      </w:pPr>
      <w:r>
        <w:rPr/>
        <w:t>Financiamiento</w:t>
      </w:r>
    </w:p>
    <w:p>
      <w:pPr>
        <w:pStyle w:val="BodyText"/>
        <w:spacing w:line="360" w:lineRule="auto" w:before="137"/>
        <w:ind w:left="461" w:right="483"/>
        <w:jc w:val="both"/>
      </w:pPr>
      <w:r>
        <w:rPr/>
        <w:t>El modo de adquirir los recursos para la Adquisición de Unidad de atención a pacientes críticos en situación de desastre para el Estado de México será por fideicomiso.</w:t>
      </w:r>
    </w:p>
    <w:p>
      <w:pPr>
        <w:pStyle w:val="Heading1"/>
        <w:numPr>
          <w:ilvl w:val="1"/>
          <w:numId w:val="24"/>
        </w:numPr>
        <w:tabs>
          <w:tab w:pos="997" w:val="left" w:leader="none"/>
        </w:tabs>
        <w:spacing w:line="240" w:lineRule="auto" w:before="5" w:after="0"/>
        <w:ind w:left="996" w:right="0" w:hanging="535"/>
        <w:jc w:val="both"/>
      </w:pPr>
      <w:r>
        <w:rPr/>
        <w:t>Capacidad</w:t>
      </w:r>
      <w:r>
        <w:rPr>
          <w:spacing w:val="-15"/>
        </w:rPr>
        <w:t> </w:t>
      </w:r>
      <w:r>
        <w:rPr/>
        <w:t>instalada</w:t>
      </w:r>
    </w:p>
    <w:p>
      <w:pPr>
        <w:pStyle w:val="BodyText"/>
        <w:spacing w:before="137"/>
        <w:ind w:left="461"/>
        <w:jc w:val="both"/>
      </w:pPr>
      <w:r>
        <w:rPr/>
        <w:t>3 Pacientes + 1 en Operación</w:t>
      </w:r>
    </w:p>
    <w:p>
      <w:pPr>
        <w:pStyle w:val="Heading1"/>
        <w:numPr>
          <w:ilvl w:val="1"/>
          <w:numId w:val="24"/>
        </w:numPr>
        <w:tabs>
          <w:tab w:pos="997" w:val="left" w:leader="none"/>
        </w:tabs>
        <w:spacing w:line="240" w:lineRule="auto" w:before="139" w:after="0"/>
        <w:ind w:left="996" w:right="0" w:hanging="535"/>
        <w:jc w:val="both"/>
      </w:pPr>
      <w:r>
        <w:rPr/>
        <w:t>Metas</w:t>
      </w:r>
      <w:r>
        <w:rPr>
          <w:spacing w:val="-10"/>
        </w:rPr>
        <w:t> </w:t>
      </w:r>
      <w:r>
        <w:rPr/>
        <w:t>anuales</w:t>
      </w:r>
    </w:p>
    <w:p>
      <w:pPr>
        <w:pStyle w:val="BodyText"/>
        <w:spacing w:line="360" w:lineRule="auto" w:before="137" w:after="7"/>
        <w:ind w:left="461" w:right="120"/>
      </w:pPr>
      <w:r>
        <w:rPr/>
        <w:t>Las metas anuales se calcularon en referencia al número de eventos por año y número de pacientes atendidos en promedio por desastre.</w:t>
      </w:r>
    </w:p>
    <w:tbl>
      <w:tblPr>
        <w:tblW w:w="0" w:type="auto"/>
        <w:jc w:val="left"/>
        <w:tblInd w:w="108" w:type="dxa"/>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994"/>
        <w:gridCol w:w="566"/>
        <w:gridCol w:w="566"/>
        <w:gridCol w:w="569"/>
        <w:gridCol w:w="566"/>
        <w:gridCol w:w="566"/>
        <w:gridCol w:w="566"/>
        <w:gridCol w:w="569"/>
        <w:gridCol w:w="566"/>
        <w:gridCol w:w="566"/>
        <w:gridCol w:w="566"/>
        <w:gridCol w:w="569"/>
        <w:gridCol w:w="566"/>
        <w:gridCol w:w="566"/>
        <w:gridCol w:w="566"/>
        <w:gridCol w:w="569"/>
      </w:tblGrid>
      <w:tr>
        <w:trPr>
          <w:trHeight w:val="745" w:hRule="exact"/>
        </w:trPr>
        <w:tc>
          <w:tcPr>
            <w:tcW w:w="994" w:type="dxa"/>
            <w:tcBorders>
              <w:right w:val="single" w:sz="3" w:space="0" w:color="000000"/>
            </w:tcBorders>
            <w:shd w:val="clear" w:color="auto" w:fill="C6D8F0"/>
          </w:tcPr>
          <w:p>
            <w:pPr>
              <w:pStyle w:val="TableParagraph"/>
              <w:spacing w:before="88"/>
              <w:ind w:left="10" w:right="15"/>
              <w:jc w:val="center"/>
              <w:rPr>
                <w:sz w:val="20"/>
              </w:rPr>
            </w:pPr>
            <w:r>
              <w:rPr>
                <w:sz w:val="20"/>
              </w:rPr>
              <w:t>Item</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1</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2</w:t>
            </w:r>
          </w:p>
        </w:tc>
        <w:tc>
          <w:tcPr>
            <w:tcW w:w="569" w:type="dxa"/>
            <w:tcBorders>
              <w:left w:val="single" w:sz="3" w:space="0" w:color="000000"/>
              <w:right w:val="single" w:sz="3" w:space="0" w:color="000000"/>
            </w:tcBorders>
            <w:shd w:val="clear" w:color="auto" w:fill="C6D8F0"/>
          </w:tcPr>
          <w:p>
            <w:pPr>
              <w:pStyle w:val="TableParagraph"/>
              <w:spacing w:before="88"/>
              <w:jc w:val="center"/>
              <w:rPr>
                <w:sz w:val="20"/>
              </w:rPr>
            </w:pPr>
            <w:r>
              <w:rPr>
                <w:w w:val="99"/>
                <w:sz w:val="20"/>
              </w:rPr>
              <w:t>3</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4</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5</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6</w:t>
            </w:r>
          </w:p>
        </w:tc>
        <w:tc>
          <w:tcPr>
            <w:tcW w:w="569" w:type="dxa"/>
            <w:tcBorders>
              <w:left w:val="single" w:sz="3" w:space="0" w:color="000000"/>
              <w:right w:val="single" w:sz="3" w:space="0" w:color="000000"/>
            </w:tcBorders>
            <w:shd w:val="clear" w:color="auto" w:fill="C6D8F0"/>
          </w:tcPr>
          <w:p>
            <w:pPr>
              <w:pStyle w:val="TableParagraph"/>
              <w:spacing w:before="88"/>
              <w:jc w:val="center"/>
              <w:rPr>
                <w:sz w:val="20"/>
              </w:rPr>
            </w:pPr>
            <w:r>
              <w:rPr>
                <w:w w:val="99"/>
                <w:sz w:val="20"/>
              </w:rPr>
              <w:t>7</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8</w:t>
            </w:r>
          </w:p>
        </w:tc>
        <w:tc>
          <w:tcPr>
            <w:tcW w:w="566" w:type="dxa"/>
            <w:tcBorders>
              <w:left w:val="single" w:sz="3" w:space="0" w:color="000000"/>
              <w:right w:val="single" w:sz="3" w:space="0" w:color="000000"/>
            </w:tcBorders>
            <w:shd w:val="clear" w:color="auto" w:fill="C6D8F0"/>
          </w:tcPr>
          <w:p>
            <w:pPr>
              <w:pStyle w:val="TableParagraph"/>
              <w:spacing w:before="88"/>
              <w:ind w:left="2"/>
              <w:jc w:val="center"/>
              <w:rPr>
                <w:sz w:val="20"/>
              </w:rPr>
            </w:pPr>
            <w:r>
              <w:rPr>
                <w:w w:val="99"/>
                <w:sz w:val="20"/>
              </w:rPr>
              <w:t>9</w:t>
            </w:r>
          </w:p>
        </w:tc>
        <w:tc>
          <w:tcPr>
            <w:tcW w:w="566" w:type="dxa"/>
            <w:tcBorders>
              <w:left w:val="single" w:sz="3" w:space="0" w:color="000000"/>
              <w:right w:val="single" w:sz="3" w:space="0" w:color="000000"/>
            </w:tcBorders>
            <w:shd w:val="clear" w:color="auto" w:fill="C6D8F0"/>
          </w:tcPr>
          <w:p>
            <w:pPr>
              <w:pStyle w:val="TableParagraph"/>
              <w:spacing w:before="88"/>
              <w:jc w:val="center"/>
              <w:rPr>
                <w:sz w:val="20"/>
              </w:rPr>
            </w:pPr>
            <w:r>
              <w:rPr>
                <w:sz w:val="20"/>
              </w:rPr>
              <w:t>10</w:t>
            </w:r>
          </w:p>
        </w:tc>
        <w:tc>
          <w:tcPr>
            <w:tcW w:w="569" w:type="dxa"/>
            <w:tcBorders>
              <w:left w:val="single" w:sz="3" w:space="0" w:color="000000"/>
              <w:right w:val="single" w:sz="3" w:space="0" w:color="000000"/>
            </w:tcBorders>
            <w:shd w:val="clear" w:color="auto" w:fill="C6D8F0"/>
          </w:tcPr>
          <w:p>
            <w:pPr>
              <w:pStyle w:val="TableParagraph"/>
              <w:spacing w:before="88"/>
              <w:ind w:left="168"/>
              <w:rPr>
                <w:sz w:val="20"/>
              </w:rPr>
            </w:pPr>
            <w:r>
              <w:rPr>
                <w:sz w:val="20"/>
              </w:rPr>
              <w:t>11</w:t>
            </w:r>
          </w:p>
        </w:tc>
        <w:tc>
          <w:tcPr>
            <w:tcW w:w="566" w:type="dxa"/>
            <w:tcBorders>
              <w:left w:val="single" w:sz="3" w:space="0" w:color="000000"/>
              <w:right w:val="single" w:sz="3" w:space="0" w:color="000000"/>
            </w:tcBorders>
            <w:shd w:val="clear" w:color="auto" w:fill="C6D8F0"/>
          </w:tcPr>
          <w:p>
            <w:pPr>
              <w:pStyle w:val="TableParagraph"/>
              <w:spacing w:before="88"/>
              <w:ind w:left="167"/>
              <w:rPr>
                <w:sz w:val="20"/>
              </w:rPr>
            </w:pPr>
            <w:r>
              <w:rPr>
                <w:sz w:val="20"/>
              </w:rPr>
              <w:t>12</w:t>
            </w:r>
          </w:p>
        </w:tc>
        <w:tc>
          <w:tcPr>
            <w:tcW w:w="566" w:type="dxa"/>
            <w:tcBorders>
              <w:left w:val="single" w:sz="3" w:space="0" w:color="000000"/>
              <w:right w:val="single" w:sz="3" w:space="0" w:color="000000"/>
            </w:tcBorders>
            <w:shd w:val="clear" w:color="auto" w:fill="C6D8F0"/>
          </w:tcPr>
          <w:p>
            <w:pPr>
              <w:pStyle w:val="TableParagraph"/>
              <w:spacing w:before="88"/>
              <w:ind w:left="167"/>
              <w:rPr>
                <w:sz w:val="20"/>
              </w:rPr>
            </w:pPr>
            <w:r>
              <w:rPr>
                <w:sz w:val="20"/>
              </w:rPr>
              <w:t>13</w:t>
            </w:r>
          </w:p>
        </w:tc>
        <w:tc>
          <w:tcPr>
            <w:tcW w:w="566" w:type="dxa"/>
            <w:tcBorders>
              <w:left w:val="single" w:sz="3" w:space="0" w:color="000000"/>
              <w:right w:val="single" w:sz="3" w:space="0" w:color="000000"/>
            </w:tcBorders>
            <w:shd w:val="clear" w:color="auto" w:fill="C6D8F0"/>
          </w:tcPr>
          <w:p>
            <w:pPr>
              <w:pStyle w:val="TableParagraph"/>
              <w:spacing w:before="88"/>
              <w:ind w:left="168"/>
              <w:rPr>
                <w:sz w:val="20"/>
              </w:rPr>
            </w:pPr>
            <w:r>
              <w:rPr>
                <w:sz w:val="20"/>
              </w:rPr>
              <w:t>14</w:t>
            </w:r>
          </w:p>
        </w:tc>
        <w:tc>
          <w:tcPr>
            <w:tcW w:w="569" w:type="dxa"/>
            <w:tcBorders>
              <w:left w:val="single" w:sz="3" w:space="0" w:color="000000"/>
            </w:tcBorders>
            <w:shd w:val="clear" w:color="auto" w:fill="C6D8F0"/>
          </w:tcPr>
          <w:p>
            <w:pPr>
              <w:pStyle w:val="TableParagraph"/>
              <w:spacing w:before="88"/>
              <w:ind w:left="168"/>
              <w:rPr>
                <w:sz w:val="20"/>
              </w:rPr>
            </w:pPr>
            <w:r>
              <w:rPr>
                <w:sz w:val="20"/>
              </w:rPr>
              <w:t>15</w:t>
            </w:r>
          </w:p>
        </w:tc>
      </w:tr>
      <w:tr>
        <w:trPr>
          <w:trHeight w:val="734" w:hRule="exact"/>
        </w:trPr>
        <w:tc>
          <w:tcPr>
            <w:tcW w:w="994" w:type="dxa"/>
            <w:tcBorders>
              <w:bottom w:val="single" w:sz="3" w:space="0" w:color="000000"/>
              <w:right w:val="single" w:sz="3" w:space="0" w:color="000000"/>
            </w:tcBorders>
          </w:tcPr>
          <w:p>
            <w:pPr>
              <w:pStyle w:val="TableParagraph"/>
              <w:spacing w:before="92"/>
              <w:ind w:left="11" w:right="15"/>
              <w:jc w:val="center"/>
              <w:rPr>
                <w:sz w:val="20"/>
              </w:rPr>
            </w:pPr>
            <w:r>
              <w:rPr>
                <w:sz w:val="20"/>
              </w:rPr>
              <w:t>Traslados</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1157</w:t>
            </w:r>
          </w:p>
        </w:tc>
        <w:tc>
          <w:tcPr>
            <w:tcW w:w="566"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1273</w:t>
            </w:r>
          </w:p>
        </w:tc>
        <w:tc>
          <w:tcPr>
            <w:tcW w:w="569"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1400</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1540</w:t>
            </w:r>
          </w:p>
        </w:tc>
        <w:tc>
          <w:tcPr>
            <w:tcW w:w="566"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1694</w:t>
            </w:r>
          </w:p>
        </w:tc>
        <w:tc>
          <w:tcPr>
            <w:tcW w:w="566"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1863</w:t>
            </w:r>
          </w:p>
        </w:tc>
        <w:tc>
          <w:tcPr>
            <w:tcW w:w="569"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2050</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2255</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2480</w:t>
            </w:r>
          </w:p>
        </w:tc>
        <w:tc>
          <w:tcPr>
            <w:tcW w:w="566" w:type="dxa"/>
            <w:tcBorders>
              <w:left w:val="single" w:sz="3" w:space="0" w:color="000000"/>
              <w:bottom w:val="single" w:sz="3" w:space="0" w:color="000000"/>
              <w:right w:val="single" w:sz="3" w:space="0" w:color="000000"/>
            </w:tcBorders>
          </w:tcPr>
          <w:p>
            <w:pPr>
              <w:pStyle w:val="TableParagraph"/>
              <w:spacing w:before="92"/>
              <w:ind w:right="91"/>
              <w:jc w:val="center"/>
              <w:rPr>
                <w:sz w:val="20"/>
              </w:rPr>
            </w:pPr>
            <w:r>
              <w:rPr>
                <w:sz w:val="20"/>
              </w:rPr>
              <w:t>2728</w:t>
            </w:r>
          </w:p>
        </w:tc>
        <w:tc>
          <w:tcPr>
            <w:tcW w:w="569"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3001</w:t>
            </w:r>
          </w:p>
        </w:tc>
        <w:tc>
          <w:tcPr>
            <w:tcW w:w="566" w:type="dxa"/>
            <w:tcBorders>
              <w:left w:val="single" w:sz="3" w:space="0" w:color="000000"/>
              <w:bottom w:val="single" w:sz="3" w:space="0" w:color="000000"/>
              <w:right w:val="single" w:sz="3" w:space="0" w:color="000000"/>
            </w:tcBorders>
          </w:tcPr>
          <w:p>
            <w:pPr>
              <w:pStyle w:val="TableParagraph"/>
              <w:spacing w:before="92"/>
              <w:ind w:left="11"/>
              <w:rPr>
                <w:sz w:val="20"/>
              </w:rPr>
            </w:pPr>
            <w:r>
              <w:rPr>
                <w:sz w:val="20"/>
              </w:rPr>
              <w:t>3301</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3631</w:t>
            </w:r>
          </w:p>
        </w:tc>
        <w:tc>
          <w:tcPr>
            <w:tcW w:w="566" w:type="dxa"/>
            <w:tcBorders>
              <w:left w:val="single" w:sz="3" w:space="0" w:color="000000"/>
              <w:bottom w:val="single" w:sz="3" w:space="0" w:color="000000"/>
              <w:right w:val="single" w:sz="3" w:space="0" w:color="000000"/>
            </w:tcBorders>
          </w:tcPr>
          <w:p>
            <w:pPr>
              <w:pStyle w:val="TableParagraph"/>
              <w:spacing w:before="92"/>
              <w:ind w:left="12"/>
              <w:rPr>
                <w:sz w:val="20"/>
              </w:rPr>
            </w:pPr>
            <w:r>
              <w:rPr>
                <w:sz w:val="20"/>
              </w:rPr>
              <w:t>3994</w:t>
            </w:r>
          </w:p>
        </w:tc>
        <w:tc>
          <w:tcPr>
            <w:tcW w:w="569" w:type="dxa"/>
            <w:tcBorders>
              <w:left w:val="single" w:sz="3" w:space="0" w:color="000000"/>
              <w:bottom w:val="single" w:sz="3" w:space="0" w:color="000000"/>
            </w:tcBorders>
          </w:tcPr>
          <w:p>
            <w:pPr>
              <w:pStyle w:val="TableParagraph"/>
              <w:spacing w:before="92"/>
              <w:ind w:left="12"/>
              <w:rPr>
                <w:sz w:val="20"/>
              </w:rPr>
            </w:pPr>
            <w:r>
              <w:rPr>
                <w:sz w:val="20"/>
              </w:rPr>
              <w:t>4394</w:t>
            </w:r>
          </w:p>
        </w:tc>
      </w:tr>
      <w:tr>
        <w:trPr>
          <w:trHeight w:val="1260" w:hRule="exact"/>
        </w:trPr>
        <w:tc>
          <w:tcPr>
            <w:tcW w:w="994" w:type="dxa"/>
            <w:tcBorders>
              <w:top w:val="single" w:sz="3" w:space="0" w:color="000000"/>
              <w:bottom w:val="single" w:sz="3" w:space="0" w:color="000000"/>
              <w:right w:val="single" w:sz="3" w:space="0" w:color="000000"/>
            </w:tcBorders>
          </w:tcPr>
          <w:p>
            <w:pPr>
              <w:pStyle w:val="TableParagraph"/>
              <w:spacing w:line="360" w:lineRule="auto" w:before="16"/>
              <w:ind w:left="15" w:right="15"/>
              <w:jc w:val="center"/>
              <w:rPr>
                <w:sz w:val="20"/>
              </w:rPr>
            </w:pPr>
            <w:r>
              <w:rPr>
                <w:w w:val="95"/>
                <w:sz w:val="20"/>
              </w:rPr>
              <w:t>Reducción </w:t>
            </w:r>
            <w:r>
              <w:rPr>
                <w:sz w:val="20"/>
              </w:rPr>
              <w:t>de   Traslados</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9"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9"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right="201"/>
              <w:jc w:val="center"/>
              <w:rPr>
                <w:sz w:val="20"/>
              </w:rPr>
            </w:pPr>
            <w:r>
              <w:rPr>
                <w:sz w:val="20"/>
              </w:rPr>
              <w:t>300</w:t>
            </w:r>
          </w:p>
        </w:tc>
        <w:tc>
          <w:tcPr>
            <w:tcW w:w="569"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1"/>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6" w:type="dxa"/>
            <w:tcBorders>
              <w:top w:val="single" w:sz="3" w:space="0" w:color="000000"/>
              <w:left w:val="single" w:sz="3" w:space="0" w:color="000000"/>
              <w:bottom w:val="single" w:sz="3" w:space="0" w:color="000000"/>
              <w:right w:val="single" w:sz="3" w:space="0" w:color="000000"/>
            </w:tcBorders>
          </w:tcPr>
          <w:p>
            <w:pPr>
              <w:pStyle w:val="TableParagraph"/>
              <w:rPr>
                <w:sz w:val="20"/>
              </w:rPr>
            </w:pPr>
          </w:p>
          <w:p>
            <w:pPr>
              <w:pStyle w:val="TableParagraph"/>
              <w:spacing w:before="132"/>
              <w:ind w:left="12"/>
              <w:rPr>
                <w:sz w:val="20"/>
              </w:rPr>
            </w:pPr>
            <w:r>
              <w:rPr>
                <w:sz w:val="20"/>
              </w:rPr>
              <w:t>300</w:t>
            </w:r>
          </w:p>
        </w:tc>
        <w:tc>
          <w:tcPr>
            <w:tcW w:w="569" w:type="dxa"/>
            <w:tcBorders>
              <w:top w:val="single" w:sz="3" w:space="0" w:color="000000"/>
              <w:left w:val="single" w:sz="3" w:space="0" w:color="000000"/>
              <w:bottom w:val="single" w:sz="3" w:space="0" w:color="000000"/>
            </w:tcBorders>
          </w:tcPr>
          <w:p>
            <w:pPr>
              <w:pStyle w:val="TableParagraph"/>
              <w:rPr>
                <w:sz w:val="20"/>
              </w:rPr>
            </w:pPr>
          </w:p>
          <w:p>
            <w:pPr>
              <w:pStyle w:val="TableParagraph"/>
              <w:spacing w:before="132"/>
              <w:ind w:left="12"/>
              <w:rPr>
                <w:sz w:val="20"/>
              </w:rPr>
            </w:pPr>
            <w:r>
              <w:rPr>
                <w:sz w:val="20"/>
              </w:rPr>
              <w:t>300</w:t>
            </w:r>
          </w:p>
        </w:tc>
      </w:tr>
      <w:tr>
        <w:trPr>
          <w:trHeight w:val="934" w:hRule="exact"/>
        </w:trPr>
        <w:tc>
          <w:tcPr>
            <w:tcW w:w="994" w:type="dxa"/>
            <w:tcBorders>
              <w:top w:val="single" w:sz="3" w:space="0" w:color="000000"/>
              <w:right w:val="single" w:sz="3" w:space="0" w:color="000000"/>
            </w:tcBorders>
          </w:tcPr>
          <w:p>
            <w:pPr>
              <w:pStyle w:val="TableParagraph"/>
              <w:spacing w:line="360" w:lineRule="auto" w:before="16"/>
              <w:ind w:left="43" w:right="28" w:firstLine="79"/>
              <w:rPr>
                <w:sz w:val="20"/>
              </w:rPr>
            </w:pPr>
            <w:r>
              <w:rPr>
                <w:sz w:val="20"/>
              </w:rPr>
              <w:t>Total de Traslados</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857</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973</w:t>
            </w:r>
          </w:p>
        </w:tc>
        <w:tc>
          <w:tcPr>
            <w:tcW w:w="569"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1100</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1240</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1394</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1563</w:t>
            </w:r>
          </w:p>
        </w:tc>
        <w:tc>
          <w:tcPr>
            <w:tcW w:w="569"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1750</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1955</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2180</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right="91"/>
              <w:jc w:val="center"/>
              <w:rPr>
                <w:sz w:val="20"/>
              </w:rPr>
            </w:pPr>
            <w:r>
              <w:rPr>
                <w:sz w:val="20"/>
              </w:rPr>
              <w:t>2428</w:t>
            </w:r>
          </w:p>
        </w:tc>
        <w:tc>
          <w:tcPr>
            <w:tcW w:w="569"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2701</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1"/>
              <w:rPr>
                <w:sz w:val="20"/>
              </w:rPr>
            </w:pPr>
            <w:r>
              <w:rPr>
                <w:sz w:val="20"/>
              </w:rPr>
              <w:t>3001</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3331</w:t>
            </w:r>
          </w:p>
        </w:tc>
        <w:tc>
          <w:tcPr>
            <w:tcW w:w="566" w:type="dxa"/>
            <w:tcBorders>
              <w:top w:val="single" w:sz="3" w:space="0" w:color="000000"/>
              <w:left w:val="single" w:sz="3" w:space="0" w:color="000000"/>
              <w:right w:val="single" w:sz="3" w:space="0" w:color="000000"/>
            </w:tcBorders>
          </w:tcPr>
          <w:p>
            <w:pPr>
              <w:pStyle w:val="TableParagraph"/>
              <w:spacing w:before="5"/>
              <w:rPr>
                <w:sz w:val="16"/>
              </w:rPr>
            </w:pPr>
          </w:p>
          <w:p>
            <w:pPr>
              <w:pStyle w:val="TableParagraph"/>
              <w:ind w:left="12"/>
              <w:rPr>
                <w:sz w:val="20"/>
              </w:rPr>
            </w:pPr>
            <w:r>
              <w:rPr>
                <w:sz w:val="20"/>
              </w:rPr>
              <w:t>3694</w:t>
            </w:r>
          </w:p>
        </w:tc>
        <w:tc>
          <w:tcPr>
            <w:tcW w:w="569" w:type="dxa"/>
            <w:tcBorders>
              <w:top w:val="single" w:sz="3" w:space="0" w:color="000000"/>
              <w:left w:val="single" w:sz="3" w:space="0" w:color="000000"/>
            </w:tcBorders>
          </w:tcPr>
          <w:p>
            <w:pPr>
              <w:pStyle w:val="TableParagraph"/>
              <w:spacing w:before="5"/>
              <w:rPr>
                <w:sz w:val="16"/>
              </w:rPr>
            </w:pPr>
          </w:p>
          <w:p>
            <w:pPr>
              <w:pStyle w:val="TableParagraph"/>
              <w:ind w:left="12"/>
              <w:rPr>
                <w:sz w:val="20"/>
              </w:rPr>
            </w:pPr>
            <w:r>
              <w:rPr>
                <w:sz w:val="20"/>
              </w:rPr>
              <w:t>4094</w:t>
            </w:r>
          </w:p>
        </w:tc>
      </w:tr>
    </w:tbl>
    <w:p>
      <w:pPr>
        <w:pStyle w:val="BodyText"/>
        <w:rPr>
          <w:sz w:val="20"/>
        </w:rPr>
      </w:pPr>
    </w:p>
    <w:p>
      <w:pPr>
        <w:pStyle w:val="Heading1"/>
        <w:numPr>
          <w:ilvl w:val="1"/>
          <w:numId w:val="24"/>
        </w:numPr>
        <w:tabs>
          <w:tab w:pos="997" w:val="left" w:leader="none"/>
        </w:tabs>
        <w:spacing w:line="240" w:lineRule="auto" w:before="185" w:after="0"/>
        <w:ind w:left="996" w:right="0" w:hanging="535"/>
        <w:jc w:val="left"/>
      </w:pPr>
      <w:r>
        <w:rPr/>
        <w:t>Vida</w:t>
      </w:r>
      <w:r>
        <w:rPr>
          <w:spacing w:val="-6"/>
        </w:rPr>
        <w:t> </w:t>
      </w:r>
      <w:r>
        <w:rPr/>
        <w:t>útil</w:t>
      </w:r>
    </w:p>
    <w:p>
      <w:pPr>
        <w:pStyle w:val="BodyText"/>
        <w:spacing w:before="137"/>
        <w:ind w:left="461" w:right="120"/>
      </w:pPr>
      <w:r>
        <w:rPr/>
        <w:t>El horizonte de evaluación del proyecto es a 15 años.</w:t>
      </w:r>
    </w:p>
    <w:p>
      <w:pPr>
        <w:spacing w:after="0"/>
        <w:sectPr>
          <w:footerReference w:type="default" r:id="rId38"/>
          <w:pgSz w:w="12240" w:h="15840"/>
          <w:pgMar w:footer="1005" w:header="0" w:top="1380" w:bottom="1200" w:left="1240" w:right="1220"/>
          <w:pgNumType w:start="38"/>
        </w:sectPr>
      </w:pPr>
    </w:p>
    <w:p>
      <w:pPr>
        <w:pStyle w:val="BodyText"/>
        <w:spacing w:before="7"/>
        <w:rPr>
          <w:sz w:val="23"/>
        </w:rPr>
      </w:pPr>
    </w:p>
    <w:p>
      <w:pPr>
        <w:pStyle w:val="Heading1"/>
        <w:numPr>
          <w:ilvl w:val="1"/>
          <w:numId w:val="24"/>
        </w:numPr>
        <w:tabs>
          <w:tab w:pos="637" w:val="left" w:leader="none"/>
        </w:tabs>
        <w:spacing w:line="240" w:lineRule="auto" w:before="70" w:after="0"/>
        <w:ind w:left="636" w:right="0" w:hanging="535"/>
        <w:jc w:val="both"/>
      </w:pPr>
      <w:r>
        <w:rPr/>
        <w:t>Descripción de los aspectos más</w:t>
      </w:r>
      <w:r>
        <w:rPr>
          <w:spacing w:val="-29"/>
        </w:rPr>
        <w:t> </w:t>
      </w:r>
      <w:r>
        <w:rPr/>
        <w:t>relevantes</w:t>
      </w:r>
    </w:p>
    <w:p>
      <w:pPr>
        <w:pStyle w:val="BodyText"/>
        <w:spacing w:line="360" w:lineRule="auto" w:before="137" w:after="9"/>
        <w:ind w:left="101" w:right="108"/>
        <w:jc w:val="both"/>
      </w:pPr>
      <w:r>
        <w:rPr/>
        <w:t>El presente proyecto es de uso exclusivo para desastres ya que es único en su ramo por lo cual no hay proyectos similares en desarrollo y técnicamente el vehículo cubre con las regulaciones legales y ambientales.</w:t>
      </w:r>
    </w:p>
    <w:tbl>
      <w:tblPr>
        <w:tblW w:w="0" w:type="auto"/>
        <w:jc w:val="left"/>
        <w:tblInd w:w="811" w:type="dxa"/>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2695"/>
        <w:gridCol w:w="4680"/>
      </w:tblGrid>
      <w:tr>
        <w:trPr>
          <w:trHeight w:val="654" w:hRule="exact"/>
        </w:trPr>
        <w:tc>
          <w:tcPr>
            <w:tcW w:w="2695" w:type="dxa"/>
            <w:tcBorders>
              <w:right w:val="single" w:sz="3" w:space="0" w:color="000000"/>
            </w:tcBorders>
            <w:shd w:val="clear" w:color="auto" w:fill="C6D8F0"/>
          </w:tcPr>
          <w:p>
            <w:pPr>
              <w:pStyle w:val="TableParagraph"/>
              <w:ind w:left="134" w:right="148"/>
              <w:jc w:val="center"/>
              <w:rPr>
                <w:b/>
                <w:sz w:val="24"/>
              </w:rPr>
            </w:pPr>
            <w:r>
              <w:rPr>
                <w:b/>
                <w:sz w:val="24"/>
              </w:rPr>
              <w:t>Norma</w:t>
            </w:r>
          </w:p>
        </w:tc>
        <w:tc>
          <w:tcPr>
            <w:tcW w:w="4680" w:type="dxa"/>
            <w:tcBorders>
              <w:left w:val="single" w:sz="3" w:space="0" w:color="000000"/>
            </w:tcBorders>
            <w:shd w:val="clear" w:color="auto" w:fill="C6D8F0"/>
          </w:tcPr>
          <w:p>
            <w:pPr>
              <w:pStyle w:val="TableParagraph"/>
              <w:ind w:left="2003" w:right="1986"/>
              <w:jc w:val="center"/>
              <w:rPr>
                <w:b/>
                <w:sz w:val="24"/>
              </w:rPr>
            </w:pPr>
            <w:r>
              <w:rPr>
                <w:b/>
                <w:sz w:val="24"/>
              </w:rPr>
              <w:t>Tema</w:t>
            </w:r>
          </w:p>
        </w:tc>
      </w:tr>
      <w:tr>
        <w:trPr>
          <w:trHeight w:val="644" w:hRule="exact"/>
        </w:trPr>
        <w:tc>
          <w:tcPr>
            <w:tcW w:w="2695" w:type="dxa"/>
            <w:tcBorders>
              <w:bottom w:val="single" w:sz="3" w:space="0" w:color="000000"/>
              <w:right w:val="single" w:sz="3" w:space="0" w:color="000000"/>
            </w:tcBorders>
          </w:tcPr>
          <w:p>
            <w:pPr>
              <w:pStyle w:val="TableParagraph"/>
              <w:spacing w:before="4"/>
              <w:ind w:left="134" w:right="146"/>
              <w:jc w:val="center"/>
              <w:rPr>
                <w:sz w:val="24"/>
              </w:rPr>
            </w:pPr>
            <w:r>
              <w:rPr>
                <w:sz w:val="24"/>
              </w:rPr>
              <w:t>ISO 783</w:t>
            </w:r>
          </w:p>
        </w:tc>
        <w:tc>
          <w:tcPr>
            <w:tcW w:w="4680" w:type="dxa"/>
            <w:tcBorders>
              <w:left w:val="single" w:sz="3" w:space="0" w:color="000000"/>
              <w:bottom w:val="single" w:sz="3" w:space="0" w:color="000000"/>
            </w:tcBorders>
          </w:tcPr>
          <w:p>
            <w:pPr>
              <w:pStyle w:val="TableParagraph"/>
              <w:spacing w:before="4"/>
              <w:ind w:left="105" w:right="89"/>
              <w:rPr>
                <w:sz w:val="24"/>
              </w:rPr>
            </w:pPr>
            <w:r>
              <w:rPr>
                <w:sz w:val="24"/>
              </w:rPr>
              <w:t>Materiales metálicos</w:t>
            </w:r>
          </w:p>
        </w:tc>
      </w:tr>
      <w:tr>
        <w:trPr>
          <w:trHeight w:val="624" w:hRule="exact"/>
        </w:trPr>
        <w:tc>
          <w:tcPr>
            <w:tcW w:w="2695" w:type="dxa"/>
            <w:tcBorders>
              <w:top w:val="single" w:sz="3" w:space="0" w:color="000000"/>
              <w:bottom w:val="single" w:sz="3" w:space="0" w:color="000000"/>
              <w:right w:val="single" w:sz="3" w:space="0" w:color="000000"/>
            </w:tcBorders>
          </w:tcPr>
          <w:p>
            <w:pPr>
              <w:pStyle w:val="TableParagraph"/>
              <w:ind w:left="134" w:right="147"/>
              <w:jc w:val="center"/>
              <w:rPr>
                <w:sz w:val="24"/>
              </w:rPr>
            </w:pPr>
            <w:r>
              <w:rPr>
                <w:sz w:val="24"/>
              </w:rPr>
              <w:t>ISO 4957</w:t>
            </w:r>
          </w:p>
        </w:tc>
        <w:tc>
          <w:tcPr>
            <w:tcW w:w="4680" w:type="dxa"/>
            <w:tcBorders>
              <w:top w:val="single" w:sz="3" w:space="0" w:color="000000"/>
              <w:left w:val="single" w:sz="3" w:space="0" w:color="000000"/>
              <w:bottom w:val="single" w:sz="3" w:space="0" w:color="000000"/>
            </w:tcBorders>
          </w:tcPr>
          <w:p>
            <w:pPr>
              <w:pStyle w:val="TableParagraph"/>
              <w:ind w:left="105" w:right="89"/>
              <w:rPr>
                <w:sz w:val="24"/>
              </w:rPr>
            </w:pPr>
            <w:r>
              <w:rPr>
                <w:sz w:val="24"/>
              </w:rPr>
              <w:t>Aceros para herramientas</w:t>
            </w:r>
          </w:p>
        </w:tc>
      </w:tr>
      <w:tr>
        <w:trPr>
          <w:trHeight w:val="1037" w:hRule="exact"/>
        </w:trPr>
        <w:tc>
          <w:tcPr>
            <w:tcW w:w="2695" w:type="dxa"/>
            <w:tcBorders>
              <w:top w:val="single" w:sz="3" w:space="0" w:color="000000"/>
              <w:bottom w:val="single" w:sz="3" w:space="0" w:color="000000"/>
              <w:right w:val="single" w:sz="3" w:space="0" w:color="000000"/>
            </w:tcBorders>
          </w:tcPr>
          <w:p>
            <w:pPr>
              <w:pStyle w:val="TableParagraph"/>
              <w:spacing w:before="207"/>
              <w:ind w:left="134" w:right="147"/>
              <w:jc w:val="center"/>
              <w:rPr>
                <w:sz w:val="24"/>
              </w:rPr>
            </w:pPr>
            <w:r>
              <w:rPr>
                <w:sz w:val="24"/>
              </w:rPr>
              <w:t>ISO 7153</w:t>
            </w:r>
          </w:p>
        </w:tc>
        <w:tc>
          <w:tcPr>
            <w:tcW w:w="4680" w:type="dxa"/>
            <w:tcBorders>
              <w:top w:val="single" w:sz="3" w:space="0" w:color="000000"/>
              <w:left w:val="single" w:sz="3" w:space="0" w:color="000000"/>
              <w:bottom w:val="single" w:sz="3" w:space="0" w:color="000000"/>
            </w:tcBorders>
          </w:tcPr>
          <w:p>
            <w:pPr>
              <w:pStyle w:val="TableParagraph"/>
              <w:tabs>
                <w:tab w:pos="1854" w:val="left" w:leader="none"/>
                <w:tab w:pos="3454" w:val="left" w:leader="none"/>
              </w:tabs>
              <w:spacing w:line="360" w:lineRule="auto"/>
              <w:ind w:left="105" w:right="89"/>
              <w:rPr>
                <w:sz w:val="24"/>
              </w:rPr>
            </w:pPr>
            <w:r>
              <w:rPr>
                <w:sz w:val="24"/>
              </w:rPr>
              <w:t>Instrumentos</w:t>
              <w:tab/>
              <w:t>quirúrgicos,</w:t>
              <w:tab/>
              <w:t>materiales metálicos</w:t>
            </w:r>
          </w:p>
        </w:tc>
      </w:tr>
      <w:tr>
        <w:trPr>
          <w:trHeight w:val="1039" w:hRule="exact"/>
        </w:trPr>
        <w:tc>
          <w:tcPr>
            <w:tcW w:w="2695" w:type="dxa"/>
            <w:tcBorders>
              <w:top w:val="single" w:sz="3" w:space="0" w:color="000000"/>
              <w:bottom w:val="single" w:sz="3" w:space="0" w:color="000000"/>
              <w:right w:val="single" w:sz="3" w:space="0" w:color="000000"/>
            </w:tcBorders>
          </w:tcPr>
          <w:p>
            <w:pPr>
              <w:pStyle w:val="TableParagraph"/>
              <w:spacing w:line="360" w:lineRule="auto" w:before="3"/>
              <w:ind w:left="712" w:right="403" w:hanging="327"/>
              <w:rPr>
                <w:sz w:val="24"/>
              </w:rPr>
            </w:pPr>
            <w:r>
              <w:rPr>
                <w:w w:val="95"/>
                <w:sz w:val="24"/>
              </w:rPr>
              <w:t>PROY-NOM-237- </w:t>
            </w:r>
            <w:r>
              <w:rPr>
                <w:sz w:val="24"/>
              </w:rPr>
              <w:t>SSA1-2004</w:t>
            </w:r>
          </w:p>
        </w:tc>
        <w:tc>
          <w:tcPr>
            <w:tcW w:w="4680" w:type="dxa"/>
            <w:tcBorders>
              <w:top w:val="single" w:sz="3" w:space="0" w:color="000000"/>
              <w:left w:val="single" w:sz="3" w:space="0" w:color="000000"/>
              <w:bottom w:val="single" w:sz="3" w:space="0" w:color="000000"/>
            </w:tcBorders>
          </w:tcPr>
          <w:p>
            <w:pPr>
              <w:pStyle w:val="TableParagraph"/>
              <w:spacing w:before="3"/>
              <w:ind w:left="105" w:right="89"/>
              <w:rPr>
                <w:sz w:val="24"/>
              </w:rPr>
            </w:pPr>
            <w:r>
              <w:rPr>
                <w:sz w:val="24"/>
              </w:rPr>
              <w:t>Atención pre-hospitalaria de urgencias</w:t>
            </w:r>
          </w:p>
        </w:tc>
      </w:tr>
      <w:tr>
        <w:trPr>
          <w:trHeight w:val="1452" w:hRule="exact"/>
        </w:trPr>
        <w:tc>
          <w:tcPr>
            <w:tcW w:w="2695" w:type="dxa"/>
            <w:tcBorders>
              <w:top w:val="single" w:sz="3" w:space="0" w:color="000000"/>
              <w:bottom w:val="single" w:sz="3" w:space="0" w:color="000000"/>
              <w:right w:val="single" w:sz="3" w:space="0" w:color="000000"/>
            </w:tcBorders>
          </w:tcPr>
          <w:p>
            <w:pPr>
              <w:pStyle w:val="TableParagraph"/>
              <w:rPr>
                <w:sz w:val="24"/>
              </w:rPr>
            </w:pPr>
          </w:p>
          <w:p>
            <w:pPr>
              <w:pStyle w:val="TableParagraph"/>
              <w:spacing w:before="139"/>
              <w:ind w:left="134" w:right="148"/>
              <w:jc w:val="center"/>
              <w:rPr>
                <w:sz w:val="24"/>
              </w:rPr>
            </w:pPr>
            <w:r>
              <w:rPr>
                <w:sz w:val="24"/>
              </w:rPr>
              <w:t>NOM-068-SSA1-1993</w:t>
            </w:r>
          </w:p>
        </w:tc>
        <w:tc>
          <w:tcPr>
            <w:tcW w:w="4680" w:type="dxa"/>
            <w:tcBorders>
              <w:top w:val="single" w:sz="3" w:space="0" w:color="000000"/>
              <w:left w:val="single" w:sz="3" w:space="0" w:color="000000"/>
              <w:bottom w:val="single" w:sz="3" w:space="0" w:color="000000"/>
            </w:tcBorders>
          </w:tcPr>
          <w:p>
            <w:pPr>
              <w:pStyle w:val="TableParagraph"/>
              <w:spacing w:line="360" w:lineRule="auto"/>
              <w:ind w:left="105" w:right="90"/>
              <w:jc w:val="both"/>
              <w:rPr>
                <w:sz w:val="24"/>
              </w:rPr>
            </w:pPr>
            <w:r>
              <w:rPr>
                <w:sz w:val="24"/>
              </w:rPr>
              <w:t>Especificaciones sanitarias de los instrumentos quirúrgicos metálicos de acero inoxidable</w:t>
            </w:r>
          </w:p>
        </w:tc>
      </w:tr>
      <w:tr>
        <w:trPr>
          <w:trHeight w:val="624" w:hRule="exact"/>
        </w:trPr>
        <w:tc>
          <w:tcPr>
            <w:tcW w:w="2695" w:type="dxa"/>
            <w:tcBorders>
              <w:top w:val="single" w:sz="3" w:space="0" w:color="000000"/>
              <w:bottom w:val="single" w:sz="3" w:space="0" w:color="000000"/>
              <w:right w:val="single" w:sz="3" w:space="0" w:color="000000"/>
            </w:tcBorders>
          </w:tcPr>
          <w:p>
            <w:pPr>
              <w:pStyle w:val="TableParagraph"/>
              <w:ind w:left="134" w:right="148"/>
              <w:jc w:val="center"/>
              <w:rPr>
                <w:sz w:val="24"/>
              </w:rPr>
            </w:pPr>
            <w:r>
              <w:rPr>
                <w:sz w:val="24"/>
              </w:rPr>
              <w:t>DIN-1774-1985</w:t>
            </w:r>
          </w:p>
        </w:tc>
        <w:tc>
          <w:tcPr>
            <w:tcW w:w="4680" w:type="dxa"/>
            <w:tcBorders>
              <w:top w:val="single" w:sz="3" w:space="0" w:color="000000"/>
              <w:left w:val="single" w:sz="3" w:space="0" w:color="000000"/>
              <w:bottom w:val="single" w:sz="3" w:space="0" w:color="000000"/>
            </w:tcBorders>
          </w:tcPr>
          <w:p>
            <w:pPr>
              <w:pStyle w:val="TableParagraph"/>
              <w:ind w:left="105" w:right="89"/>
              <w:rPr>
                <w:sz w:val="24"/>
              </w:rPr>
            </w:pPr>
            <w:r>
              <w:rPr>
                <w:sz w:val="24"/>
              </w:rPr>
              <w:t>Aplicaciones del níquel</w:t>
            </w:r>
          </w:p>
        </w:tc>
      </w:tr>
      <w:tr>
        <w:trPr>
          <w:trHeight w:val="1452" w:hRule="exact"/>
        </w:trPr>
        <w:tc>
          <w:tcPr>
            <w:tcW w:w="2695" w:type="dxa"/>
            <w:tcBorders>
              <w:top w:val="single" w:sz="3" w:space="0" w:color="000000"/>
              <w:bottom w:val="single" w:sz="3" w:space="0" w:color="000000"/>
              <w:right w:val="single" w:sz="3" w:space="0" w:color="000000"/>
            </w:tcBorders>
          </w:tcPr>
          <w:p>
            <w:pPr>
              <w:pStyle w:val="TableParagraph"/>
              <w:rPr>
                <w:sz w:val="24"/>
              </w:rPr>
            </w:pPr>
          </w:p>
          <w:p>
            <w:pPr>
              <w:pStyle w:val="TableParagraph"/>
              <w:spacing w:before="139"/>
              <w:ind w:left="134" w:right="148"/>
              <w:jc w:val="center"/>
              <w:rPr>
                <w:sz w:val="24"/>
              </w:rPr>
            </w:pPr>
            <w:r>
              <w:rPr>
                <w:sz w:val="24"/>
              </w:rPr>
              <w:t>DIN17442-1977</w:t>
            </w:r>
          </w:p>
        </w:tc>
        <w:tc>
          <w:tcPr>
            <w:tcW w:w="4680" w:type="dxa"/>
            <w:tcBorders>
              <w:top w:val="single" w:sz="3" w:space="0" w:color="000000"/>
              <w:left w:val="single" w:sz="3" w:space="0" w:color="000000"/>
              <w:bottom w:val="single" w:sz="3" w:space="0" w:color="000000"/>
            </w:tcBorders>
          </w:tcPr>
          <w:p>
            <w:pPr>
              <w:pStyle w:val="TableParagraph"/>
              <w:spacing w:line="360" w:lineRule="auto"/>
              <w:ind w:left="105" w:right="91"/>
              <w:jc w:val="both"/>
              <w:rPr>
                <w:sz w:val="24"/>
              </w:rPr>
            </w:pPr>
            <w:r>
              <w:rPr>
                <w:sz w:val="24"/>
              </w:rPr>
              <w:t>Laminado, forjado del molde para los productos de acero inoxidable de instrumental médico</w:t>
            </w:r>
          </w:p>
        </w:tc>
      </w:tr>
      <w:tr>
        <w:trPr>
          <w:trHeight w:val="1469" w:hRule="exact"/>
        </w:trPr>
        <w:tc>
          <w:tcPr>
            <w:tcW w:w="2695" w:type="dxa"/>
            <w:tcBorders>
              <w:top w:val="single" w:sz="3" w:space="0" w:color="000000"/>
              <w:right w:val="single" w:sz="3" w:space="0" w:color="000000"/>
            </w:tcBorders>
          </w:tcPr>
          <w:p>
            <w:pPr>
              <w:pStyle w:val="TableParagraph"/>
              <w:spacing w:before="10"/>
              <w:rPr>
                <w:sz w:val="35"/>
              </w:rPr>
            </w:pPr>
          </w:p>
          <w:p>
            <w:pPr>
              <w:pStyle w:val="TableParagraph"/>
              <w:spacing w:before="1"/>
              <w:ind w:left="132" w:right="148"/>
              <w:jc w:val="center"/>
              <w:rPr>
                <w:sz w:val="24"/>
              </w:rPr>
            </w:pPr>
            <w:r>
              <w:rPr>
                <w:sz w:val="24"/>
              </w:rPr>
              <w:t>FDA</w:t>
            </w:r>
          </w:p>
        </w:tc>
        <w:tc>
          <w:tcPr>
            <w:tcW w:w="4680" w:type="dxa"/>
            <w:tcBorders>
              <w:top w:val="single" w:sz="3" w:space="0" w:color="000000"/>
              <w:left w:val="single" w:sz="3" w:space="0" w:color="000000"/>
            </w:tcBorders>
          </w:tcPr>
          <w:p>
            <w:pPr>
              <w:pStyle w:val="TableParagraph"/>
              <w:spacing w:line="360" w:lineRule="auto"/>
              <w:ind w:left="105" w:right="83"/>
              <w:jc w:val="both"/>
              <w:rPr>
                <w:sz w:val="24"/>
              </w:rPr>
            </w:pPr>
            <w:r>
              <w:rPr>
                <w:sz w:val="24"/>
              </w:rPr>
              <w:t>Requisitos y características mínimas que se deben observar en la atención pre- hospitalaria de las urgencias médicas</w:t>
            </w:r>
          </w:p>
        </w:tc>
      </w:tr>
    </w:tbl>
    <w:p>
      <w:pPr>
        <w:pStyle w:val="BodyText"/>
        <w:rPr>
          <w:sz w:val="20"/>
        </w:rPr>
      </w:pPr>
    </w:p>
    <w:p>
      <w:pPr>
        <w:pStyle w:val="BodyText"/>
        <w:rPr>
          <w:sz w:val="20"/>
        </w:rPr>
      </w:pPr>
    </w:p>
    <w:p>
      <w:pPr>
        <w:pStyle w:val="BodyText"/>
        <w:rPr>
          <w:sz w:val="26"/>
        </w:rPr>
      </w:pPr>
    </w:p>
    <w:p>
      <w:pPr>
        <w:pStyle w:val="BodyText"/>
        <w:spacing w:line="360" w:lineRule="auto" w:before="69"/>
        <w:ind w:left="101" w:right="109"/>
        <w:jc w:val="both"/>
      </w:pPr>
      <w:r>
        <w:rPr/>
        <w:t>Las normas antes mencionadas aplican para todos los prestadores de servicios médicos, de los sectores público, social y privado, que brinden traslado y atención pre-hospitalaria  de  urgencias  médicas,  en  el  Campo  de  aplicación  es        de</w:t>
      </w:r>
    </w:p>
    <w:p>
      <w:pPr>
        <w:spacing w:after="0" w:line="360" w:lineRule="auto"/>
        <w:jc w:val="both"/>
        <w:sectPr>
          <w:pgSz w:w="12240" w:h="15840"/>
          <w:pgMar w:header="0" w:footer="1005" w:top="1500" w:bottom="1200" w:left="1600" w:right="1600"/>
        </w:sectPr>
      </w:pPr>
    </w:p>
    <w:p>
      <w:pPr>
        <w:pStyle w:val="BodyText"/>
        <w:spacing w:line="360" w:lineRule="auto" w:before="46"/>
        <w:ind w:left="101" w:right="109"/>
        <w:jc w:val="both"/>
      </w:pPr>
      <w:r>
        <w:rPr/>
        <w:t>observancia obligatoria en todas las industrias, laboratorios y establecimientos dedicados a la fabricación, importación y en todo el territorio nacional.</w:t>
      </w:r>
    </w:p>
    <w:p>
      <w:pPr>
        <w:pStyle w:val="Heading1"/>
        <w:numPr>
          <w:ilvl w:val="1"/>
          <w:numId w:val="24"/>
        </w:numPr>
        <w:tabs>
          <w:tab w:pos="695" w:val="left" w:leader="none"/>
        </w:tabs>
        <w:spacing w:line="360" w:lineRule="auto" w:before="2" w:after="0"/>
        <w:ind w:left="101" w:right="112" w:firstLine="0"/>
        <w:jc w:val="both"/>
      </w:pPr>
      <w:r>
        <w:rPr/>
        <w:t>Interacción entre la oferta y la demanda a lo largo del horizonte de evaluación</w:t>
      </w:r>
    </w:p>
    <w:p>
      <w:pPr>
        <w:pStyle w:val="BodyText"/>
        <w:spacing w:line="360" w:lineRule="auto" w:before="2"/>
        <w:ind w:left="101" w:right="102"/>
        <w:jc w:val="both"/>
      </w:pPr>
      <w:r>
        <w:rPr/>
        <w:t>Actualmente en el Estado México no hay forma de saber cuándo o cómo se presentará una emergencia grande, lo que sí se puede hacer es estudiar la zona con el fin de conocer los riesgos y las zonas más vulnerables y así  poder tomar  las medidas necesarias para prevenirlas, en la medida de lo posible, pero sobre todo, para poder responder en la forma más adecuada y oportuna. Es por eso que actualmente buscan transformar el Sistema de Salud para modernizarlo y hacerlo más eficiente lo que debe reflejarse en una oferta de servicios de máxima calidad, especialmente en situaciones de emergencias donde se ve afectado un elevado número de</w:t>
      </w:r>
      <w:r>
        <w:rPr>
          <w:spacing w:val="-13"/>
        </w:rPr>
        <w:t> </w:t>
      </w:r>
      <w:r>
        <w:rPr/>
        <w:t>personas</w:t>
      </w:r>
    </w:p>
    <w:p>
      <w:pPr>
        <w:pStyle w:val="BodyText"/>
        <w:spacing w:line="360" w:lineRule="auto" w:before="5"/>
        <w:ind w:left="101" w:right="99"/>
        <w:jc w:val="both"/>
      </w:pPr>
      <w:r>
        <w:rPr/>
        <w:t>La vulnerabilidad de la población es un proceso dinámico asociado a componentes como la pobreza, riesgos naturales y cambios climáticos, entre otros. Hay quien define la vulnerabilidad social como “Susceptibilidad de los sistemas naturales, económicos y sociales al impacto de un peligro de origen natural o inducido por el hombre. La vulnerabilidad siempre estará determinada por el origen y tipo de evento, la geografía de la zona afectada, las características técnico – constructiva de las estructuras existentes, la salud del ecosistema, el grado de  preparación para el enfrentamiento de la situación por la población, la comunidad y los gobiernos locales, así como por la capacidad de recuperación en el más breve tiempo posible (Beck.U.2008:7)</w:t>
      </w:r>
    </w:p>
    <w:p>
      <w:pPr>
        <w:pStyle w:val="BodyText"/>
        <w:spacing w:line="360" w:lineRule="auto" w:before="5"/>
        <w:ind w:left="101" w:right="105"/>
        <w:jc w:val="both"/>
      </w:pPr>
      <w:r>
        <w:rPr/>
        <w:t>En el Estado de México, tanto la elevada densidad poblacional, como la vulnerabilidad prevalente, hacen altamente factible el que acontezca una emergencia del tipo de un incidente mayor o desastre. En estos casos, el traslado de pacientes puede verse dificultado por numerosas circunstancias, como por ejemplo, que las vialidades, habitualmente congestionadas, se encuentren bloqueadas o inhabilitadas y que la infraestructura en materia de salud se encuentre saturada o incapacitada (por daño).</w:t>
      </w:r>
    </w:p>
    <w:p>
      <w:pPr>
        <w:pStyle w:val="BodyText"/>
        <w:spacing w:before="5"/>
        <w:ind w:left="101"/>
        <w:jc w:val="both"/>
      </w:pPr>
      <w:r>
        <w:rPr/>
        <w:t>La  expansión  demográfica  del  Estado se  ha  caracterizado  por  asentamientos</w:t>
      </w:r>
    </w:p>
    <w:p>
      <w:pPr>
        <w:pStyle w:val="BodyText"/>
        <w:spacing w:before="137"/>
        <w:ind w:left="101"/>
        <w:jc w:val="both"/>
      </w:pPr>
      <w:r>
        <w:rPr/>
        <w:t>irregulares,  particularmente  en  laderas,  colinas,  ríos,  áreas  lacustres,     áreas</w:t>
      </w:r>
    </w:p>
    <w:p>
      <w:pPr>
        <w:spacing w:after="0"/>
        <w:jc w:val="both"/>
        <w:sectPr>
          <w:footerReference w:type="default" r:id="rId39"/>
          <w:pgSz w:w="12240" w:h="15840"/>
          <w:pgMar w:footer="1005" w:header="0" w:top="1380" w:bottom="1200" w:left="1600" w:right="1600"/>
          <w:pgNumType w:start="40"/>
        </w:sectPr>
      </w:pPr>
    </w:p>
    <w:p>
      <w:pPr>
        <w:pStyle w:val="BodyText"/>
        <w:spacing w:line="360" w:lineRule="auto" w:before="46"/>
        <w:ind w:left="101" w:right="105"/>
        <w:jc w:val="both"/>
      </w:pPr>
      <w:r>
        <w:rPr/>
        <w:t>minadas e industriales. Evidentemente, los grupos de bajo ingreso son los más susceptibles a todo tipo de riesgos debido a que su condición los fuerza a ubicarse en áreas más vulnerables y peligrosas ya que son más baratas, es así como su precaria condición de vida los hace más propensos a sufrir los efectos de deslaves, inundaciones, colapso estructural, pérdida de vivienda, desempleo y problemas de salud</w:t>
      </w:r>
      <w:r>
        <w:rPr>
          <w:spacing w:val="-16"/>
        </w:rPr>
        <w:t> </w:t>
      </w:r>
      <w:r>
        <w:rPr/>
        <w:t>(SUEM).</w:t>
      </w:r>
    </w:p>
    <w:p>
      <w:pPr>
        <w:pStyle w:val="BodyText"/>
        <w:spacing w:line="360" w:lineRule="auto" w:before="2"/>
        <w:ind w:left="101" w:right="106"/>
        <w:jc w:val="both"/>
      </w:pPr>
      <w:r>
        <w:rPr/>
        <w:t>De acuerdo a lo mencionado anteriormente, al tener la Unidad de Atención Médica se disminuirá el número de traslados de pacientes en estado crítico ya que se busca atender a 300 personas al año, lo cual ayudará a proporcionar una mejor atención a las víctimas de un desastre.</w:t>
      </w:r>
    </w:p>
    <w:p>
      <w:pPr>
        <w:pStyle w:val="BodyText"/>
      </w:pPr>
    </w:p>
    <w:p>
      <w:pPr>
        <w:pStyle w:val="Heading1"/>
      </w:pPr>
      <w:r>
        <w:rPr/>
        <w:t>Evaluación del Proyecto</w:t>
      </w:r>
    </w:p>
    <w:p>
      <w:pPr>
        <w:pStyle w:val="BodyText"/>
        <w:rPr>
          <w:b/>
        </w:rPr>
      </w:pPr>
    </w:p>
    <w:p>
      <w:pPr>
        <w:pStyle w:val="BodyText"/>
        <w:rPr>
          <w:b/>
        </w:rPr>
      </w:pPr>
    </w:p>
    <w:p>
      <w:pPr>
        <w:pStyle w:val="ListParagraph"/>
        <w:numPr>
          <w:ilvl w:val="1"/>
          <w:numId w:val="24"/>
        </w:numPr>
        <w:tabs>
          <w:tab w:pos="637" w:val="left" w:leader="none"/>
        </w:tabs>
        <w:spacing w:line="360" w:lineRule="auto" w:before="0" w:after="0"/>
        <w:ind w:left="236" w:right="3384" w:hanging="135"/>
        <w:jc w:val="left"/>
        <w:rPr>
          <w:b/>
          <w:sz w:val="24"/>
        </w:rPr>
      </w:pPr>
      <w:r>
        <w:rPr>
          <w:b/>
          <w:sz w:val="24"/>
        </w:rPr>
        <w:t>Identificación y cuantificación de los</w:t>
      </w:r>
      <w:r>
        <w:rPr>
          <w:b/>
          <w:spacing w:val="-29"/>
          <w:sz w:val="24"/>
        </w:rPr>
        <w:t> </w:t>
      </w:r>
      <w:r>
        <w:rPr>
          <w:b/>
          <w:sz w:val="24"/>
        </w:rPr>
        <w:t>costos Fuente de</w:t>
      </w:r>
      <w:r>
        <w:rPr>
          <w:b/>
          <w:spacing w:val="-8"/>
          <w:sz w:val="24"/>
        </w:rPr>
        <w:t> </w:t>
      </w:r>
      <w:r>
        <w:rPr>
          <w:b/>
          <w:sz w:val="24"/>
        </w:rPr>
        <w:t>Recursos</w:t>
      </w:r>
    </w:p>
    <w:p>
      <w:pPr>
        <w:spacing w:before="5"/>
        <w:ind w:left="2431" w:right="165" w:firstLine="0"/>
        <w:jc w:val="left"/>
        <w:rPr>
          <w:b/>
          <w:sz w:val="24"/>
        </w:rPr>
      </w:pPr>
      <w:r>
        <w:rPr>
          <w:b/>
          <w:sz w:val="24"/>
        </w:rPr>
        <w:t>Principales Conceptos Del Presupuesto</w:t>
      </w:r>
    </w:p>
    <w:p>
      <w:pPr>
        <w:pStyle w:val="BodyText"/>
        <w:spacing w:before="1" w:after="1"/>
        <w:rPr>
          <w:b/>
          <w:sz w:val="12"/>
        </w:rPr>
      </w:pPr>
    </w:p>
    <w:tbl>
      <w:tblPr>
        <w:tblW w:w="0" w:type="auto"/>
        <w:jc w:val="left"/>
        <w:tblInd w:w="175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5"/>
        <w:gridCol w:w="1301"/>
        <w:gridCol w:w="785"/>
        <w:gridCol w:w="2042"/>
      </w:tblGrid>
      <w:tr>
        <w:trPr>
          <w:trHeight w:val="622" w:hRule="exact"/>
        </w:trPr>
        <w:tc>
          <w:tcPr>
            <w:tcW w:w="1385" w:type="dxa"/>
            <w:shd w:val="clear" w:color="auto" w:fill="001F60"/>
          </w:tcPr>
          <w:p>
            <w:pPr>
              <w:pStyle w:val="TableParagraph"/>
              <w:spacing w:line="275" w:lineRule="exact"/>
              <w:ind w:left="587"/>
              <w:rPr>
                <w:sz w:val="24"/>
              </w:rPr>
            </w:pPr>
            <w:r>
              <w:rPr>
                <w:color w:val="FFFFFF"/>
                <w:sz w:val="24"/>
              </w:rPr>
              <w:t>ITEM</w:t>
            </w:r>
          </w:p>
        </w:tc>
        <w:tc>
          <w:tcPr>
            <w:tcW w:w="1301" w:type="dxa"/>
            <w:shd w:val="clear" w:color="auto" w:fill="001F60"/>
          </w:tcPr>
          <w:p>
            <w:pPr>
              <w:pStyle w:val="TableParagraph"/>
              <w:spacing w:line="275" w:lineRule="exact"/>
              <w:ind w:left="13" w:right="5"/>
              <w:jc w:val="center"/>
              <w:rPr>
                <w:sz w:val="24"/>
              </w:rPr>
            </w:pPr>
            <w:r>
              <w:rPr>
                <w:color w:val="FFFFFF"/>
                <w:sz w:val="24"/>
              </w:rPr>
              <w:t>($)</w:t>
            </w:r>
          </w:p>
        </w:tc>
        <w:tc>
          <w:tcPr>
            <w:tcW w:w="785" w:type="dxa"/>
            <w:shd w:val="clear" w:color="auto" w:fill="001F60"/>
          </w:tcPr>
          <w:p>
            <w:pPr>
              <w:pStyle w:val="TableParagraph"/>
              <w:spacing w:line="275" w:lineRule="exact"/>
              <w:ind w:left="206"/>
              <w:rPr>
                <w:sz w:val="24"/>
              </w:rPr>
            </w:pPr>
            <w:r>
              <w:rPr>
                <w:color w:val="FFFFFF"/>
                <w:sz w:val="24"/>
              </w:rPr>
              <w:t>(%)</w:t>
            </w:r>
          </w:p>
        </w:tc>
        <w:tc>
          <w:tcPr>
            <w:tcW w:w="2042" w:type="dxa"/>
            <w:shd w:val="clear" w:color="auto" w:fill="001F60"/>
          </w:tcPr>
          <w:p>
            <w:pPr>
              <w:pStyle w:val="TableParagraph"/>
              <w:spacing w:line="275" w:lineRule="exact"/>
              <w:ind w:left="-17"/>
              <w:rPr>
                <w:sz w:val="24"/>
              </w:rPr>
            </w:pPr>
            <w:r>
              <w:rPr>
                <w:color w:val="FFFFFF"/>
                <w:w w:val="95"/>
                <w:sz w:val="24"/>
              </w:rPr>
              <w:t>OBSERVACIONES</w:t>
            </w:r>
          </w:p>
        </w:tc>
      </w:tr>
      <w:tr>
        <w:trPr>
          <w:trHeight w:val="625" w:hRule="exact"/>
        </w:trPr>
        <w:tc>
          <w:tcPr>
            <w:tcW w:w="1385" w:type="dxa"/>
          </w:tcPr>
          <w:p>
            <w:pPr>
              <w:pStyle w:val="TableParagraph"/>
              <w:spacing w:before="1"/>
              <w:ind w:left="64"/>
              <w:rPr>
                <w:sz w:val="24"/>
              </w:rPr>
            </w:pPr>
            <w:r>
              <w:rPr>
                <w:sz w:val="24"/>
              </w:rPr>
              <w:t>Federal</w:t>
            </w:r>
          </w:p>
        </w:tc>
        <w:tc>
          <w:tcPr>
            <w:tcW w:w="1301" w:type="dxa"/>
          </w:tcPr>
          <w:p>
            <w:pPr>
              <w:pStyle w:val="TableParagraph"/>
              <w:spacing w:before="1"/>
              <w:ind w:left="47" w:right="5"/>
              <w:jc w:val="center"/>
              <w:rPr>
                <w:sz w:val="24"/>
              </w:rPr>
            </w:pPr>
            <w:r>
              <w:rPr>
                <w:sz w:val="24"/>
              </w:rPr>
              <w:t>$34961096</w:t>
            </w:r>
          </w:p>
        </w:tc>
        <w:tc>
          <w:tcPr>
            <w:tcW w:w="785" w:type="dxa"/>
            <w:tcBorders>
              <w:right w:val="thickThinMediumGap" w:sz="15" w:space="0" w:color="FFFFFF"/>
            </w:tcBorders>
          </w:tcPr>
          <w:p>
            <w:pPr>
              <w:pStyle w:val="TableParagraph"/>
              <w:spacing w:before="1"/>
              <w:ind w:left="201"/>
              <w:rPr>
                <w:sz w:val="24"/>
              </w:rPr>
            </w:pPr>
            <w:r>
              <w:rPr>
                <w:sz w:val="24"/>
              </w:rPr>
              <w:t>100</w:t>
            </w:r>
          </w:p>
        </w:tc>
        <w:tc>
          <w:tcPr>
            <w:tcW w:w="2042" w:type="dxa"/>
            <w:tcBorders>
              <w:left w:val="thinThickMediumGap" w:sz="15" w:space="0" w:color="FFFFFF"/>
            </w:tcBorders>
          </w:tcPr>
          <w:p>
            <w:pPr>
              <w:pStyle w:val="TableParagraph"/>
              <w:tabs>
                <w:tab w:pos="289" w:val="left" w:leader="none"/>
              </w:tabs>
              <w:spacing w:before="1"/>
              <w:ind w:left="-218"/>
              <w:rPr>
                <w:sz w:val="24"/>
              </w:rPr>
            </w:pPr>
            <w:r>
              <w:rPr>
                <w:sz w:val="24"/>
              </w:rPr>
              <w:t>%</w:t>
              <w:tab/>
              <w:t>Fideicomiso</w:t>
            </w:r>
          </w:p>
        </w:tc>
      </w:tr>
      <w:tr>
        <w:trPr>
          <w:trHeight w:val="624" w:hRule="exact"/>
        </w:trPr>
        <w:tc>
          <w:tcPr>
            <w:tcW w:w="1385" w:type="dxa"/>
          </w:tcPr>
          <w:p>
            <w:pPr>
              <w:pStyle w:val="TableParagraph"/>
              <w:ind w:left="64"/>
              <w:rPr>
                <w:sz w:val="24"/>
              </w:rPr>
            </w:pPr>
            <w:r>
              <w:rPr>
                <w:sz w:val="24"/>
              </w:rPr>
              <w:t>Estatal</w:t>
            </w:r>
          </w:p>
        </w:tc>
        <w:tc>
          <w:tcPr>
            <w:tcW w:w="1301" w:type="dxa"/>
          </w:tcPr>
          <w:p>
            <w:pPr/>
          </w:p>
        </w:tc>
        <w:tc>
          <w:tcPr>
            <w:tcW w:w="785" w:type="dxa"/>
          </w:tcPr>
          <w:p>
            <w:pPr>
              <w:pStyle w:val="TableParagraph"/>
              <w:ind w:right="121"/>
              <w:jc w:val="right"/>
              <w:rPr>
                <w:sz w:val="24"/>
              </w:rPr>
            </w:pPr>
            <w:r>
              <w:rPr>
                <w:w w:val="95"/>
                <w:sz w:val="24"/>
              </w:rPr>
              <w:t>0%</w:t>
            </w:r>
          </w:p>
        </w:tc>
        <w:tc>
          <w:tcPr>
            <w:tcW w:w="2042" w:type="dxa"/>
          </w:tcPr>
          <w:p>
            <w:pPr/>
          </w:p>
        </w:tc>
      </w:tr>
      <w:tr>
        <w:trPr>
          <w:trHeight w:val="624" w:hRule="exact"/>
        </w:trPr>
        <w:tc>
          <w:tcPr>
            <w:tcW w:w="1385" w:type="dxa"/>
          </w:tcPr>
          <w:p>
            <w:pPr>
              <w:pStyle w:val="TableParagraph"/>
              <w:ind w:left="64"/>
              <w:rPr>
                <w:sz w:val="24"/>
              </w:rPr>
            </w:pPr>
            <w:r>
              <w:rPr>
                <w:sz w:val="24"/>
              </w:rPr>
              <w:t>Municipal</w:t>
            </w:r>
          </w:p>
        </w:tc>
        <w:tc>
          <w:tcPr>
            <w:tcW w:w="1301" w:type="dxa"/>
          </w:tcPr>
          <w:p>
            <w:pPr/>
          </w:p>
        </w:tc>
        <w:tc>
          <w:tcPr>
            <w:tcW w:w="785" w:type="dxa"/>
          </w:tcPr>
          <w:p>
            <w:pPr>
              <w:pStyle w:val="TableParagraph"/>
              <w:ind w:right="121"/>
              <w:jc w:val="right"/>
              <w:rPr>
                <w:sz w:val="24"/>
              </w:rPr>
            </w:pPr>
            <w:r>
              <w:rPr>
                <w:w w:val="95"/>
                <w:sz w:val="24"/>
              </w:rPr>
              <w:t>0%</w:t>
            </w:r>
          </w:p>
        </w:tc>
        <w:tc>
          <w:tcPr>
            <w:tcW w:w="2042" w:type="dxa"/>
          </w:tcPr>
          <w:p>
            <w:pPr/>
          </w:p>
        </w:tc>
      </w:tr>
      <w:tr>
        <w:trPr>
          <w:trHeight w:val="624" w:hRule="exact"/>
        </w:trPr>
        <w:tc>
          <w:tcPr>
            <w:tcW w:w="1385" w:type="dxa"/>
          </w:tcPr>
          <w:p>
            <w:pPr>
              <w:pStyle w:val="TableParagraph"/>
              <w:ind w:left="64"/>
              <w:rPr>
                <w:sz w:val="24"/>
              </w:rPr>
            </w:pPr>
            <w:r>
              <w:rPr>
                <w:sz w:val="24"/>
              </w:rPr>
              <w:t>Otros</w:t>
            </w:r>
          </w:p>
        </w:tc>
        <w:tc>
          <w:tcPr>
            <w:tcW w:w="1301" w:type="dxa"/>
          </w:tcPr>
          <w:p>
            <w:pPr/>
          </w:p>
        </w:tc>
        <w:tc>
          <w:tcPr>
            <w:tcW w:w="785" w:type="dxa"/>
          </w:tcPr>
          <w:p>
            <w:pPr>
              <w:pStyle w:val="TableParagraph"/>
              <w:ind w:right="121"/>
              <w:jc w:val="right"/>
              <w:rPr>
                <w:sz w:val="24"/>
              </w:rPr>
            </w:pPr>
            <w:r>
              <w:rPr>
                <w:w w:val="95"/>
                <w:sz w:val="24"/>
              </w:rPr>
              <w:t>0%</w:t>
            </w:r>
          </w:p>
        </w:tc>
        <w:tc>
          <w:tcPr>
            <w:tcW w:w="2042" w:type="dxa"/>
          </w:tcPr>
          <w:p>
            <w:pPr/>
          </w:p>
        </w:tc>
      </w:tr>
      <w:tr>
        <w:trPr>
          <w:trHeight w:val="624" w:hRule="exact"/>
        </w:trPr>
        <w:tc>
          <w:tcPr>
            <w:tcW w:w="1385" w:type="dxa"/>
          </w:tcPr>
          <w:p>
            <w:pPr>
              <w:pStyle w:val="TableParagraph"/>
              <w:ind w:left="64"/>
              <w:rPr>
                <w:sz w:val="24"/>
              </w:rPr>
            </w:pPr>
            <w:r>
              <w:rPr>
                <w:sz w:val="24"/>
              </w:rPr>
              <w:t>Total</w:t>
            </w:r>
          </w:p>
        </w:tc>
        <w:tc>
          <w:tcPr>
            <w:tcW w:w="1301" w:type="dxa"/>
          </w:tcPr>
          <w:p>
            <w:pPr>
              <w:pStyle w:val="TableParagraph"/>
              <w:ind w:left="47" w:right="5"/>
              <w:jc w:val="center"/>
              <w:rPr>
                <w:sz w:val="24"/>
              </w:rPr>
            </w:pPr>
            <w:r>
              <w:rPr>
                <w:sz w:val="24"/>
              </w:rPr>
              <w:t>$34961096</w:t>
            </w:r>
          </w:p>
        </w:tc>
        <w:tc>
          <w:tcPr>
            <w:tcW w:w="785" w:type="dxa"/>
          </w:tcPr>
          <w:p>
            <w:pPr>
              <w:pStyle w:val="TableParagraph"/>
              <w:ind w:right="93"/>
              <w:jc w:val="right"/>
              <w:rPr>
                <w:sz w:val="24"/>
              </w:rPr>
            </w:pPr>
            <w:r>
              <w:rPr>
                <w:sz w:val="24"/>
              </w:rPr>
              <w:t>100%</w:t>
            </w:r>
          </w:p>
        </w:tc>
        <w:tc>
          <w:tcPr>
            <w:tcW w:w="2042" w:type="dxa"/>
          </w:tcPr>
          <w:p>
            <w:pPr/>
          </w:p>
        </w:tc>
      </w:tr>
    </w:tbl>
    <w:p>
      <w:pPr>
        <w:spacing w:after="0"/>
        <w:sectPr>
          <w:pgSz w:w="12240" w:h="15840"/>
          <w:pgMar w:header="0" w:footer="1005" w:top="1380" w:bottom="1200" w:left="1600" w:right="1600"/>
        </w:sectPr>
      </w:pPr>
    </w:p>
    <w:p>
      <w:pPr>
        <w:pStyle w:val="BodyText"/>
        <w:rPr>
          <w:b/>
          <w:sz w:val="20"/>
        </w:rPr>
      </w:pPr>
    </w:p>
    <w:p>
      <w:pPr>
        <w:pStyle w:val="BodyText"/>
        <w:rPr>
          <w:b/>
          <w:sz w:val="20"/>
        </w:rPr>
      </w:pPr>
    </w:p>
    <w:p>
      <w:pPr>
        <w:spacing w:before="201"/>
        <w:ind w:left="108" w:right="165" w:firstLine="0"/>
        <w:jc w:val="left"/>
        <w:rPr>
          <w:b/>
          <w:sz w:val="24"/>
        </w:rPr>
      </w:pPr>
      <w:r>
        <w:rPr/>
        <w:pict>
          <v:shape style="position:absolute;margin-left:156.959991pt;margin-top:-23.034149pt;width:298.05pt;height:218.7pt;mso-position-horizontal-relative:page;mso-position-vertical-relative:paragraph;z-index:2104"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74"/>
                    <w:gridCol w:w="2930"/>
                    <w:gridCol w:w="1745"/>
                  </w:tblGrid>
                  <w:tr>
                    <w:trPr>
                      <w:trHeight w:val="622" w:hRule="exact"/>
                    </w:trPr>
                    <w:tc>
                      <w:tcPr>
                        <w:tcW w:w="1274" w:type="dxa"/>
                        <w:shd w:val="clear" w:color="auto" w:fill="001F60"/>
                      </w:tcPr>
                      <w:p>
                        <w:pPr>
                          <w:pStyle w:val="TableParagraph"/>
                          <w:spacing w:line="275" w:lineRule="exact"/>
                          <w:ind w:left="775"/>
                          <w:rPr>
                            <w:sz w:val="24"/>
                          </w:rPr>
                        </w:pPr>
                        <w:r>
                          <w:rPr>
                            <w:color w:val="FFFFFF"/>
                            <w:sz w:val="24"/>
                          </w:rPr>
                          <w:t>NO.</w:t>
                        </w:r>
                      </w:p>
                    </w:tc>
                    <w:tc>
                      <w:tcPr>
                        <w:tcW w:w="2930" w:type="dxa"/>
                        <w:shd w:val="clear" w:color="auto" w:fill="001F60"/>
                      </w:tcPr>
                      <w:p>
                        <w:pPr>
                          <w:pStyle w:val="TableParagraph"/>
                          <w:spacing w:line="275" w:lineRule="exact"/>
                          <w:ind w:left="69"/>
                          <w:rPr>
                            <w:sz w:val="24"/>
                          </w:rPr>
                        </w:pPr>
                        <w:r>
                          <w:rPr>
                            <w:color w:val="FFFFFF"/>
                            <w:sz w:val="24"/>
                          </w:rPr>
                          <w:t>CONCEPTO</w:t>
                        </w:r>
                      </w:p>
                    </w:tc>
                    <w:tc>
                      <w:tcPr>
                        <w:tcW w:w="1745" w:type="dxa"/>
                        <w:shd w:val="clear" w:color="auto" w:fill="001F60"/>
                      </w:tcPr>
                      <w:p>
                        <w:pPr>
                          <w:pStyle w:val="TableParagraph"/>
                          <w:spacing w:line="275" w:lineRule="exact"/>
                          <w:ind w:left="67"/>
                          <w:rPr>
                            <w:sz w:val="24"/>
                          </w:rPr>
                        </w:pPr>
                        <w:r>
                          <w:rPr>
                            <w:color w:val="FFFFFF"/>
                            <w:sz w:val="24"/>
                          </w:rPr>
                          <w:t>MONTO ($)</w:t>
                        </w:r>
                      </w:p>
                    </w:tc>
                  </w:tr>
                  <w:tr>
                    <w:trPr>
                      <w:trHeight w:val="625" w:hRule="exact"/>
                    </w:trPr>
                    <w:tc>
                      <w:tcPr>
                        <w:tcW w:w="1274" w:type="dxa"/>
                      </w:tcPr>
                      <w:p>
                        <w:pPr>
                          <w:pStyle w:val="TableParagraph"/>
                          <w:spacing w:before="1"/>
                          <w:ind w:left="566"/>
                          <w:rPr>
                            <w:sz w:val="24"/>
                          </w:rPr>
                        </w:pPr>
                        <w:r>
                          <w:rPr>
                            <w:w w:val="99"/>
                            <w:sz w:val="24"/>
                          </w:rPr>
                          <w:t>1</w:t>
                        </w:r>
                      </w:p>
                    </w:tc>
                    <w:tc>
                      <w:tcPr>
                        <w:tcW w:w="2930" w:type="dxa"/>
                      </w:tcPr>
                      <w:p>
                        <w:pPr>
                          <w:pStyle w:val="TableParagraph"/>
                          <w:spacing w:before="1"/>
                          <w:ind w:left="69"/>
                          <w:rPr>
                            <w:sz w:val="24"/>
                          </w:rPr>
                        </w:pPr>
                        <w:r>
                          <w:rPr>
                            <w:sz w:val="24"/>
                          </w:rPr>
                          <w:t>Unidad Móvil de Cirugia</w:t>
                        </w:r>
                      </w:p>
                    </w:tc>
                    <w:tc>
                      <w:tcPr>
                        <w:tcW w:w="1745" w:type="dxa"/>
                      </w:tcPr>
                      <w:p>
                        <w:pPr>
                          <w:pStyle w:val="TableParagraph"/>
                          <w:spacing w:before="1"/>
                          <w:ind w:right="61"/>
                          <w:jc w:val="right"/>
                          <w:rPr>
                            <w:sz w:val="24"/>
                          </w:rPr>
                        </w:pPr>
                        <w:r>
                          <w:rPr>
                            <w:sz w:val="24"/>
                          </w:rPr>
                          <w:t>32,337,747.55</w:t>
                        </w:r>
                      </w:p>
                    </w:tc>
                  </w:tr>
                  <w:tr>
                    <w:trPr>
                      <w:trHeight w:val="624" w:hRule="exact"/>
                    </w:trPr>
                    <w:tc>
                      <w:tcPr>
                        <w:tcW w:w="1274" w:type="dxa"/>
                      </w:tcPr>
                      <w:p>
                        <w:pPr>
                          <w:pStyle w:val="TableParagraph"/>
                          <w:ind w:left="566"/>
                          <w:rPr>
                            <w:sz w:val="24"/>
                          </w:rPr>
                        </w:pPr>
                        <w:r>
                          <w:rPr>
                            <w:w w:val="99"/>
                            <w:sz w:val="24"/>
                          </w:rPr>
                          <w:t>2</w:t>
                        </w:r>
                      </w:p>
                    </w:tc>
                    <w:tc>
                      <w:tcPr>
                        <w:tcW w:w="2930" w:type="dxa"/>
                      </w:tcPr>
                      <w:p>
                        <w:pPr>
                          <w:pStyle w:val="TableParagraph"/>
                          <w:ind w:left="69"/>
                          <w:rPr>
                            <w:sz w:val="24"/>
                          </w:rPr>
                        </w:pPr>
                        <w:r>
                          <w:rPr>
                            <w:sz w:val="24"/>
                          </w:rPr>
                          <w:t>Equipo básico de MSU</w:t>
                        </w:r>
                      </w:p>
                    </w:tc>
                    <w:tc>
                      <w:tcPr>
                        <w:tcW w:w="1745" w:type="dxa"/>
                      </w:tcPr>
                      <w:p>
                        <w:pPr>
                          <w:pStyle w:val="TableParagraph"/>
                          <w:ind w:right="61"/>
                          <w:jc w:val="right"/>
                          <w:rPr>
                            <w:sz w:val="24"/>
                          </w:rPr>
                        </w:pPr>
                        <w:r>
                          <w:rPr>
                            <w:sz w:val="24"/>
                          </w:rPr>
                          <w:t>2,435,643.58</w:t>
                        </w:r>
                      </w:p>
                    </w:tc>
                  </w:tr>
                  <w:tr>
                    <w:trPr>
                      <w:trHeight w:val="624" w:hRule="exact"/>
                    </w:trPr>
                    <w:tc>
                      <w:tcPr>
                        <w:tcW w:w="1274" w:type="dxa"/>
                      </w:tcPr>
                      <w:p>
                        <w:pPr>
                          <w:pStyle w:val="TableParagraph"/>
                          <w:ind w:left="566"/>
                          <w:rPr>
                            <w:sz w:val="24"/>
                          </w:rPr>
                        </w:pPr>
                        <w:r>
                          <w:rPr>
                            <w:w w:val="99"/>
                            <w:sz w:val="24"/>
                          </w:rPr>
                          <w:t>3</w:t>
                        </w:r>
                      </w:p>
                    </w:tc>
                    <w:tc>
                      <w:tcPr>
                        <w:tcW w:w="2930" w:type="dxa"/>
                      </w:tcPr>
                      <w:p>
                        <w:pPr>
                          <w:pStyle w:val="TableParagraph"/>
                          <w:ind w:left="69"/>
                          <w:rPr>
                            <w:sz w:val="24"/>
                          </w:rPr>
                        </w:pPr>
                        <w:r>
                          <w:rPr>
                            <w:sz w:val="24"/>
                          </w:rPr>
                          <w:t>Equipo avanzado de MSU</w:t>
                        </w:r>
                      </w:p>
                    </w:tc>
                    <w:tc>
                      <w:tcPr>
                        <w:tcW w:w="1745" w:type="dxa"/>
                      </w:tcPr>
                      <w:p>
                        <w:pPr>
                          <w:pStyle w:val="TableParagraph"/>
                          <w:ind w:right="61"/>
                          <w:jc w:val="right"/>
                          <w:rPr>
                            <w:sz w:val="24"/>
                          </w:rPr>
                        </w:pPr>
                        <w:r>
                          <w:rPr>
                            <w:sz w:val="24"/>
                          </w:rPr>
                          <w:t>2,788,810.54</w:t>
                        </w:r>
                      </w:p>
                    </w:tc>
                  </w:tr>
                  <w:tr>
                    <w:trPr>
                      <w:trHeight w:val="624" w:hRule="exact"/>
                    </w:trPr>
                    <w:tc>
                      <w:tcPr>
                        <w:tcW w:w="1274" w:type="dxa"/>
                        <w:vMerge w:val="restart"/>
                      </w:tcPr>
                      <w:p>
                        <w:pPr/>
                      </w:p>
                    </w:tc>
                    <w:tc>
                      <w:tcPr>
                        <w:tcW w:w="2930" w:type="dxa"/>
                      </w:tcPr>
                      <w:p>
                        <w:pPr>
                          <w:pStyle w:val="TableParagraph"/>
                          <w:ind w:left="69"/>
                          <w:rPr>
                            <w:sz w:val="24"/>
                          </w:rPr>
                        </w:pPr>
                        <w:r>
                          <w:rPr>
                            <w:sz w:val="24"/>
                          </w:rPr>
                          <w:t>Total  sin IVA</w:t>
                        </w:r>
                      </w:p>
                    </w:tc>
                    <w:tc>
                      <w:tcPr>
                        <w:tcW w:w="1745" w:type="dxa"/>
                      </w:tcPr>
                      <w:p>
                        <w:pPr>
                          <w:pStyle w:val="TableParagraph"/>
                          <w:ind w:right="61"/>
                          <w:jc w:val="right"/>
                          <w:rPr>
                            <w:sz w:val="24"/>
                          </w:rPr>
                        </w:pPr>
                        <w:r>
                          <w:rPr>
                            <w:sz w:val="24"/>
                          </w:rPr>
                          <w:t>37,562,201.68</w:t>
                        </w:r>
                      </w:p>
                    </w:tc>
                  </w:tr>
                  <w:tr>
                    <w:trPr>
                      <w:trHeight w:val="624" w:hRule="exact"/>
                    </w:trPr>
                    <w:tc>
                      <w:tcPr>
                        <w:tcW w:w="1274" w:type="dxa"/>
                        <w:vMerge/>
                      </w:tcPr>
                      <w:p>
                        <w:pPr/>
                      </w:p>
                    </w:tc>
                    <w:tc>
                      <w:tcPr>
                        <w:tcW w:w="2930" w:type="dxa"/>
                      </w:tcPr>
                      <w:p>
                        <w:pPr>
                          <w:pStyle w:val="TableParagraph"/>
                          <w:ind w:left="69"/>
                          <w:rPr>
                            <w:sz w:val="24"/>
                          </w:rPr>
                        </w:pPr>
                        <w:r>
                          <w:rPr>
                            <w:sz w:val="24"/>
                          </w:rPr>
                          <w:t>IVA</w:t>
                        </w:r>
                      </w:p>
                    </w:tc>
                    <w:tc>
                      <w:tcPr>
                        <w:tcW w:w="1745" w:type="dxa"/>
                      </w:tcPr>
                      <w:p>
                        <w:pPr>
                          <w:pStyle w:val="TableParagraph"/>
                          <w:ind w:left="201"/>
                          <w:rPr>
                            <w:sz w:val="24"/>
                          </w:rPr>
                        </w:pPr>
                        <w:r>
                          <w:rPr>
                            <w:sz w:val="24"/>
                          </w:rPr>
                          <w:t>6,009,952.27</w:t>
                        </w:r>
                      </w:p>
                    </w:tc>
                  </w:tr>
                  <w:tr>
                    <w:trPr>
                      <w:trHeight w:val="624" w:hRule="exact"/>
                    </w:trPr>
                    <w:tc>
                      <w:tcPr>
                        <w:tcW w:w="1274" w:type="dxa"/>
                        <w:vMerge/>
                      </w:tcPr>
                      <w:p>
                        <w:pPr/>
                      </w:p>
                    </w:tc>
                    <w:tc>
                      <w:tcPr>
                        <w:tcW w:w="2930" w:type="dxa"/>
                      </w:tcPr>
                      <w:p>
                        <w:pPr>
                          <w:pStyle w:val="TableParagraph"/>
                          <w:ind w:left="69"/>
                          <w:rPr>
                            <w:sz w:val="24"/>
                          </w:rPr>
                        </w:pPr>
                        <w:r>
                          <w:rPr>
                            <w:sz w:val="24"/>
                          </w:rPr>
                          <w:t>Total con</w:t>
                        </w:r>
                        <w:r>
                          <w:rPr>
                            <w:spacing w:val="60"/>
                            <w:sz w:val="24"/>
                          </w:rPr>
                          <w:t> </w:t>
                        </w:r>
                        <w:r>
                          <w:rPr>
                            <w:sz w:val="24"/>
                          </w:rPr>
                          <w:t>IVA</w:t>
                        </w:r>
                      </w:p>
                    </w:tc>
                    <w:tc>
                      <w:tcPr>
                        <w:tcW w:w="1745" w:type="dxa"/>
                      </w:tcPr>
                      <w:p>
                        <w:pPr>
                          <w:pStyle w:val="TableParagraph"/>
                          <w:ind w:left="67"/>
                          <w:rPr>
                            <w:sz w:val="24"/>
                          </w:rPr>
                        </w:pPr>
                        <w:r>
                          <w:rPr>
                            <w:sz w:val="24"/>
                          </w:rPr>
                          <w:t>43,572,153.94</w:t>
                        </w:r>
                      </w:p>
                    </w:tc>
                  </w:tr>
                </w:tbl>
                <w:p>
                  <w:pPr>
                    <w:pStyle w:val="BodyText"/>
                  </w:pPr>
                </w:p>
              </w:txbxContent>
            </v:textbox>
            <w10:wrap type="none"/>
          </v:shape>
        </w:pict>
      </w:r>
      <w:r>
        <w:rPr>
          <w:b/>
          <w:sz w:val="24"/>
        </w:rPr>
        <w:t>Principales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69"/>
        <w:ind w:left="3846" w:right="3474" w:firstLine="0"/>
        <w:jc w:val="center"/>
        <w:rPr>
          <w:b/>
          <w:sz w:val="24"/>
        </w:rPr>
      </w:pPr>
      <w:r>
        <w:rPr>
          <w:b/>
          <w:sz w:val="24"/>
        </w:rPr>
        <w:t>Componentes:</w:t>
      </w:r>
    </w:p>
    <w:p>
      <w:pPr>
        <w:pStyle w:val="BodyText"/>
        <w:spacing w:before="10"/>
        <w:rPr>
          <w:b/>
          <w:sz w:val="19"/>
        </w:rPr>
      </w:pPr>
    </w:p>
    <w:tbl>
      <w:tblPr>
        <w:tblW w:w="0" w:type="auto"/>
        <w:jc w:val="left"/>
        <w:tblInd w:w="153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77"/>
        <w:gridCol w:w="2928"/>
        <w:gridCol w:w="1747"/>
      </w:tblGrid>
      <w:tr>
        <w:trPr>
          <w:trHeight w:val="622" w:hRule="exact"/>
        </w:trPr>
        <w:tc>
          <w:tcPr>
            <w:tcW w:w="1277" w:type="dxa"/>
            <w:shd w:val="clear" w:color="auto" w:fill="001F60"/>
          </w:tcPr>
          <w:p>
            <w:pPr>
              <w:pStyle w:val="TableParagraph"/>
              <w:spacing w:line="275" w:lineRule="exact"/>
              <w:ind w:left="775"/>
              <w:rPr>
                <w:sz w:val="24"/>
              </w:rPr>
            </w:pPr>
            <w:r>
              <w:rPr>
                <w:color w:val="FFFFFF"/>
                <w:sz w:val="24"/>
              </w:rPr>
              <w:t>NO.</w:t>
            </w:r>
          </w:p>
        </w:tc>
        <w:tc>
          <w:tcPr>
            <w:tcW w:w="2928" w:type="dxa"/>
            <w:shd w:val="clear" w:color="auto" w:fill="001F60"/>
          </w:tcPr>
          <w:p>
            <w:pPr>
              <w:pStyle w:val="TableParagraph"/>
              <w:spacing w:line="275" w:lineRule="exact"/>
              <w:ind w:left="777"/>
              <w:rPr>
                <w:sz w:val="24"/>
              </w:rPr>
            </w:pPr>
            <w:r>
              <w:rPr>
                <w:color w:val="FFFFFF"/>
                <w:sz w:val="24"/>
              </w:rPr>
              <w:t>CONCEPTO</w:t>
            </w:r>
          </w:p>
        </w:tc>
        <w:tc>
          <w:tcPr>
            <w:tcW w:w="1747" w:type="dxa"/>
            <w:shd w:val="clear" w:color="auto" w:fill="001F60"/>
          </w:tcPr>
          <w:p>
            <w:pPr>
              <w:pStyle w:val="TableParagraph"/>
              <w:spacing w:line="275" w:lineRule="exact"/>
              <w:ind w:left="244"/>
              <w:rPr>
                <w:sz w:val="24"/>
              </w:rPr>
            </w:pPr>
            <w:r>
              <w:rPr>
                <w:color w:val="FFFFFF"/>
                <w:sz w:val="24"/>
              </w:rPr>
              <w:t>MONTO ($)</w:t>
            </w:r>
          </w:p>
        </w:tc>
      </w:tr>
      <w:tr>
        <w:trPr>
          <w:trHeight w:val="625" w:hRule="exact"/>
        </w:trPr>
        <w:tc>
          <w:tcPr>
            <w:tcW w:w="1277" w:type="dxa"/>
          </w:tcPr>
          <w:p>
            <w:pPr>
              <w:pStyle w:val="TableParagraph"/>
              <w:spacing w:before="1"/>
              <w:ind w:left="566"/>
              <w:rPr>
                <w:sz w:val="24"/>
              </w:rPr>
            </w:pPr>
            <w:r>
              <w:rPr>
                <w:w w:val="99"/>
                <w:sz w:val="24"/>
              </w:rPr>
              <w:t>1</w:t>
            </w:r>
          </w:p>
        </w:tc>
        <w:tc>
          <w:tcPr>
            <w:tcW w:w="2928" w:type="dxa"/>
          </w:tcPr>
          <w:p>
            <w:pPr>
              <w:pStyle w:val="TableParagraph"/>
              <w:spacing w:before="1"/>
              <w:ind w:left="64"/>
              <w:rPr>
                <w:sz w:val="24"/>
              </w:rPr>
            </w:pPr>
            <w:r>
              <w:rPr>
                <w:sz w:val="24"/>
              </w:rPr>
              <w:t>Unidad Móvil de Cirugía</w:t>
            </w:r>
          </w:p>
        </w:tc>
        <w:tc>
          <w:tcPr>
            <w:tcW w:w="1747" w:type="dxa"/>
          </w:tcPr>
          <w:p>
            <w:pPr>
              <w:pStyle w:val="TableParagraph"/>
              <w:spacing w:before="1"/>
              <w:ind w:right="64"/>
              <w:jc w:val="right"/>
              <w:rPr>
                <w:sz w:val="24"/>
              </w:rPr>
            </w:pPr>
            <w:r>
              <w:rPr>
                <w:sz w:val="24"/>
              </w:rPr>
              <w:t>32,337,747.55</w:t>
            </w:r>
          </w:p>
        </w:tc>
      </w:tr>
      <w:tr>
        <w:trPr>
          <w:trHeight w:val="624" w:hRule="exact"/>
        </w:trPr>
        <w:tc>
          <w:tcPr>
            <w:tcW w:w="1277" w:type="dxa"/>
          </w:tcPr>
          <w:p>
            <w:pPr>
              <w:pStyle w:val="TableParagraph"/>
              <w:ind w:left="566"/>
              <w:rPr>
                <w:sz w:val="24"/>
              </w:rPr>
            </w:pPr>
            <w:r>
              <w:rPr>
                <w:w w:val="99"/>
                <w:sz w:val="24"/>
              </w:rPr>
              <w:t>2</w:t>
            </w:r>
          </w:p>
        </w:tc>
        <w:tc>
          <w:tcPr>
            <w:tcW w:w="2928" w:type="dxa"/>
          </w:tcPr>
          <w:p>
            <w:pPr>
              <w:pStyle w:val="TableParagraph"/>
              <w:ind w:left="64"/>
              <w:rPr>
                <w:sz w:val="24"/>
              </w:rPr>
            </w:pPr>
            <w:r>
              <w:rPr>
                <w:sz w:val="24"/>
              </w:rPr>
              <w:t>Equipo básico de MSU</w:t>
            </w:r>
          </w:p>
        </w:tc>
        <w:tc>
          <w:tcPr>
            <w:tcW w:w="1747" w:type="dxa"/>
          </w:tcPr>
          <w:p>
            <w:pPr>
              <w:pStyle w:val="TableParagraph"/>
              <w:ind w:right="64"/>
              <w:jc w:val="right"/>
              <w:rPr>
                <w:sz w:val="24"/>
              </w:rPr>
            </w:pPr>
            <w:r>
              <w:rPr>
                <w:sz w:val="24"/>
              </w:rPr>
              <w:t>2,435,643.58</w:t>
            </w:r>
          </w:p>
        </w:tc>
      </w:tr>
      <w:tr>
        <w:trPr>
          <w:trHeight w:val="624" w:hRule="exact"/>
        </w:trPr>
        <w:tc>
          <w:tcPr>
            <w:tcW w:w="1277" w:type="dxa"/>
          </w:tcPr>
          <w:p>
            <w:pPr>
              <w:pStyle w:val="TableParagraph"/>
              <w:ind w:left="566"/>
              <w:rPr>
                <w:sz w:val="24"/>
              </w:rPr>
            </w:pPr>
            <w:r>
              <w:rPr>
                <w:w w:val="99"/>
                <w:sz w:val="24"/>
              </w:rPr>
              <w:t>3</w:t>
            </w:r>
          </w:p>
        </w:tc>
        <w:tc>
          <w:tcPr>
            <w:tcW w:w="2928" w:type="dxa"/>
          </w:tcPr>
          <w:p>
            <w:pPr>
              <w:pStyle w:val="TableParagraph"/>
              <w:ind w:left="64"/>
              <w:rPr>
                <w:sz w:val="24"/>
              </w:rPr>
            </w:pPr>
            <w:r>
              <w:rPr>
                <w:sz w:val="24"/>
              </w:rPr>
              <w:t>Equipo avanzado de MSU</w:t>
            </w:r>
          </w:p>
        </w:tc>
        <w:tc>
          <w:tcPr>
            <w:tcW w:w="1747" w:type="dxa"/>
          </w:tcPr>
          <w:p>
            <w:pPr>
              <w:pStyle w:val="TableParagraph"/>
              <w:ind w:right="64"/>
              <w:jc w:val="right"/>
              <w:rPr>
                <w:sz w:val="24"/>
              </w:rPr>
            </w:pPr>
            <w:r>
              <w:rPr>
                <w:sz w:val="24"/>
              </w:rPr>
              <w:t>2,788,810.54</w:t>
            </w:r>
          </w:p>
        </w:tc>
      </w:tr>
      <w:tr>
        <w:trPr>
          <w:trHeight w:val="624" w:hRule="exact"/>
        </w:trPr>
        <w:tc>
          <w:tcPr>
            <w:tcW w:w="1277" w:type="dxa"/>
            <w:vMerge w:val="restart"/>
          </w:tcPr>
          <w:p>
            <w:pPr/>
          </w:p>
        </w:tc>
        <w:tc>
          <w:tcPr>
            <w:tcW w:w="2928" w:type="dxa"/>
          </w:tcPr>
          <w:p>
            <w:pPr>
              <w:pStyle w:val="TableParagraph"/>
              <w:ind w:left="64"/>
              <w:rPr>
                <w:sz w:val="24"/>
              </w:rPr>
            </w:pPr>
            <w:r>
              <w:rPr>
                <w:sz w:val="24"/>
              </w:rPr>
              <w:t>Total  sin IVA</w:t>
            </w:r>
          </w:p>
        </w:tc>
        <w:tc>
          <w:tcPr>
            <w:tcW w:w="1747" w:type="dxa"/>
          </w:tcPr>
          <w:p>
            <w:pPr>
              <w:pStyle w:val="TableParagraph"/>
              <w:ind w:right="64"/>
              <w:jc w:val="right"/>
              <w:rPr>
                <w:sz w:val="24"/>
              </w:rPr>
            </w:pPr>
            <w:r>
              <w:rPr>
                <w:sz w:val="24"/>
              </w:rPr>
              <w:t>37,562,201.68</w:t>
            </w:r>
          </w:p>
        </w:tc>
      </w:tr>
      <w:tr>
        <w:trPr>
          <w:trHeight w:val="622" w:hRule="exact"/>
        </w:trPr>
        <w:tc>
          <w:tcPr>
            <w:tcW w:w="1277" w:type="dxa"/>
            <w:vMerge/>
          </w:tcPr>
          <w:p>
            <w:pPr/>
          </w:p>
        </w:tc>
        <w:tc>
          <w:tcPr>
            <w:tcW w:w="2928" w:type="dxa"/>
          </w:tcPr>
          <w:p>
            <w:pPr>
              <w:pStyle w:val="TableParagraph"/>
              <w:ind w:left="64"/>
              <w:rPr>
                <w:sz w:val="24"/>
              </w:rPr>
            </w:pPr>
            <w:r>
              <w:rPr>
                <w:sz w:val="24"/>
              </w:rPr>
              <w:t>IVA</w:t>
            </w:r>
          </w:p>
        </w:tc>
        <w:tc>
          <w:tcPr>
            <w:tcW w:w="1747" w:type="dxa"/>
          </w:tcPr>
          <w:p>
            <w:pPr>
              <w:pStyle w:val="TableParagraph"/>
              <w:ind w:left="201"/>
              <w:rPr>
                <w:sz w:val="24"/>
              </w:rPr>
            </w:pPr>
            <w:r>
              <w:rPr>
                <w:sz w:val="24"/>
              </w:rPr>
              <w:t>6,009,952.27</w:t>
            </w:r>
          </w:p>
        </w:tc>
      </w:tr>
      <w:tr>
        <w:trPr>
          <w:trHeight w:val="626" w:hRule="exact"/>
        </w:trPr>
        <w:tc>
          <w:tcPr>
            <w:tcW w:w="1277" w:type="dxa"/>
            <w:vMerge/>
          </w:tcPr>
          <w:p>
            <w:pPr/>
          </w:p>
        </w:tc>
        <w:tc>
          <w:tcPr>
            <w:tcW w:w="2928" w:type="dxa"/>
          </w:tcPr>
          <w:p>
            <w:pPr>
              <w:pStyle w:val="TableParagraph"/>
              <w:spacing w:before="3"/>
              <w:ind w:left="64"/>
              <w:rPr>
                <w:sz w:val="24"/>
              </w:rPr>
            </w:pPr>
            <w:r>
              <w:rPr>
                <w:sz w:val="24"/>
              </w:rPr>
              <w:t>Total con</w:t>
            </w:r>
            <w:r>
              <w:rPr>
                <w:spacing w:val="60"/>
                <w:sz w:val="24"/>
              </w:rPr>
              <w:t> </w:t>
            </w:r>
            <w:r>
              <w:rPr>
                <w:sz w:val="24"/>
              </w:rPr>
              <w:t>IVA</w:t>
            </w:r>
          </w:p>
        </w:tc>
        <w:tc>
          <w:tcPr>
            <w:tcW w:w="1747" w:type="dxa"/>
          </w:tcPr>
          <w:p>
            <w:pPr>
              <w:pStyle w:val="TableParagraph"/>
              <w:spacing w:before="3"/>
              <w:ind w:left="67"/>
              <w:rPr>
                <w:sz w:val="24"/>
              </w:rPr>
            </w:pPr>
            <w:r>
              <w:rPr>
                <w:sz w:val="24"/>
              </w:rPr>
              <w:t>43,572,153.94</w:t>
            </w:r>
          </w:p>
        </w:tc>
      </w:tr>
    </w:tbl>
    <w:p>
      <w:pPr>
        <w:pStyle w:val="BodyText"/>
        <w:spacing w:before="10"/>
        <w:rPr>
          <w:b/>
          <w:sz w:val="29"/>
        </w:rPr>
      </w:pPr>
    </w:p>
    <w:p>
      <w:pPr>
        <w:pStyle w:val="ListParagraph"/>
        <w:numPr>
          <w:ilvl w:val="1"/>
          <w:numId w:val="24"/>
        </w:numPr>
        <w:tabs>
          <w:tab w:pos="637" w:val="left" w:leader="none"/>
        </w:tabs>
        <w:spacing w:line="240" w:lineRule="auto" w:before="70" w:after="0"/>
        <w:ind w:left="636" w:right="0" w:hanging="535"/>
        <w:jc w:val="left"/>
        <w:rPr>
          <w:b/>
          <w:sz w:val="24"/>
        </w:rPr>
      </w:pPr>
      <w:r>
        <w:rPr>
          <w:b/>
          <w:sz w:val="24"/>
        </w:rPr>
        <w:t>Identificación y cuantificación de los</w:t>
      </w:r>
      <w:r>
        <w:rPr>
          <w:b/>
          <w:spacing w:val="-32"/>
          <w:sz w:val="24"/>
        </w:rPr>
        <w:t> </w:t>
      </w:r>
      <w:r>
        <w:rPr>
          <w:b/>
          <w:sz w:val="24"/>
        </w:rPr>
        <w:t>beneficios</w:t>
      </w:r>
    </w:p>
    <w:p>
      <w:pPr>
        <w:pStyle w:val="BodyText"/>
        <w:spacing w:before="4"/>
        <w:rPr>
          <w:b/>
          <w:sz w:val="12"/>
        </w:rPr>
      </w:pPr>
    </w:p>
    <w:tbl>
      <w:tblPr>
        <w:tblW w:w="0" w:type="auto"/>
        <w:jc w:val="left"/>
        <w:tblInd w:w="1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845"/>
        <w:gridCol w:w="1608"/>
      </w:tblGrid>
      <w:tr>
        <w:trPr>
          <w:trHeight w:val="420" w:hRule="exact"/>
        </w:trPr>
        <w:tc>
          <w:tcPr>
            <w:tcW w:w="3845" w:type="dxa"/>
            <w:shd w:val="clear" w:color="auto" w:fill="BFBFBF"/>
          </w:tcPr>
          <w:p>
            <w:pPr>
              <w:pStyle w:val="TableParagraph"/>
              <w:spacing w:line="275" w:lineRule="exact"/>
              <w:ind w:left="67"/>
              <w:rPr>
                <w:sz w:val="24"/>
              </w:rPr>
            </w:pPr>
            <w:r>
              <w:rPr>
                <w:sz w:val="24"/>
              </w:rPr>
              <w:t>Beneficios con proyecto</w:t>
            </w:r>
          </w:p>
        </w:tc>
        <w:tc>
          <w:tcPr>
            <w:tcW w:w="1608" w:type="dxa"/>
            <w:shd w:val="clear" w:color="auto" w:fill="BFBFBF"/>
          </w:tcPr>
          <w:p>
            <w:pPr>
              <w:pStyle w:val="TableParagraph"/>
              <w:spacing w:line="275" w:lineRule="exact"/>
              <w:ind w:left="134"/>
              <w:rPr>
                <w:sz w:val="24"/>
              </w:rPr>
            </w:pPr>
            <w:r>
              <w:rPr>
                <w:sz w:val="24"/>
              </w:rPr>
              <w:t>Cantidad</w:t>
            </w:r>
          </w:p>
        </w:tc>
      </w:tr>
      <w:tr>
        <w:trPr>
          <w:trHeight w:val="426" w:hRule="exact"/>
        </w:trPr>
        <w:tc>
          <w:tcPr>
            <w:tcW w:w="3845" w:type="dxa"/>
          </w:tcPr>
          <w:p>
            <w:pPr>
              <w:pStyle w:val="TableParagraph"/>
              <w:spacing w:before="1"/>
              <w:ind w:left="67"/>
              <w:rPr>
                <w:sz w:val="24"/>
              </w:rPr>
            </w:pPr>
            <w:r>
              <w:rPr>
                <w:sz w:val="24"/>
              </w:rPr>
              <w:t>Atención inmediata especializada</w:t>
            </w:r>
          </w:p>
        </w:tc>
        <w:tc>
          <w:tcPr>
            <w:tcW w:w="1608" w:type="dxa"/>
          </w:tcPr>
          <w:p>
            <w:pPr>
              <w:pStyle w:val="TableParagraph"/>
              <w:spacing w:before="1"/>
              <w:ind w:left="134"/>
              <w:rPr>
                <w:sz w:val="24"/>
              </w:rPr>
            </w:pPr>
            <w:r>
              <w:rPr>
                <w:sz w:val="24"/>
              </w:rPr>
              <w:t>23,093.78</w:t>
            </w:r>
          </w:p>
        </w:tc>
      </w:tr>
      <w:tr>
        <w:trPr>
          <w:trHeight w:val="838" w:hRule="exact"/>
        </w:trPr>
        <w:tc>
          <w:tcPr>
            <w:tcW w:w="3845" w:type="dxa"/>
          </w:tcPr>
          <w:p>
            <w:pPr>
              <w:pStyle w:val="TableParagraph"/>
              <w:spacing w:line="360" w:lineRule="auto"/>
              <w:ind w:left="67"/>
              <w:rPr>
                <w:sz w:val="24"/>
              </w:rPr>
            </w:pPr>
            <w:r>
              <w:rPr>
                <w:sz w:val="24"/>
              </w:rPr>
              <w:t>Ahorro en tiempo de traslados y Reducción de traslados</w:t>
            </w:r>
          </w:p>
        </w:tc>
        <w:tc>
          <w:tcPr>
            <w:tcW w:w="1608" w:type="dxa"/>
          </w:tcPr>
          <w:p>
            <w:pPr>
              <w:pStyle w:val="TableParagraph"/>
              <w:rPr>
                <w:b/>
                <w:sz w:val="24"/>
              </w:rPr>
            </w:pPr>
          </w:p>
          <w:p>
            <w:pPr>
              <w:pStyle w:val="TableParagraph"/>
              <w:spacing w:before="139"/>
              <w:ind w:left="134"/>
              <w:rPr>
                <w:sz w:val="24"/>
              </w:rPr>
            </w:pPr>
            <w:r>
              <w:rPr>
                <w:sz w:val="24"/>
              </w:rPr>
              <w:t>1,318,594.85</w:t>
            </w:r>
          </w:p>
        </w:tc>
      </w:tr>
    </w:tbl>
    <w:p>
      <w:pPr>
        <w:spacing w:after="0"/>
        <w:rPr>
          <w:sz w:val="24"/>
        </w:rPr>
        <w:sectPr>
          <w:pgSz w:w="12240" w:h="15840"/>
          <w:pgMar w:header="0" w:footer="1005" w:top="1180" w:bottom="1200" w:left="1600" w:right="1600"/>
        </w:sectPr>
      </w:pPr>
    </w:p>
    <w:tbl>
      <w:tblPr>
        <w:tblW w:w="0" w:type="auto"/>
        <w:jc w:val="left"/>
        <w:tblInd w:w="262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35"/>
        <w:gridCol w:w="1742"/>
      </w:tblGrid>
      <w:tr>
        <w:trPr>
          <w:trHeight w:val="837" w:hRule="exact"/>
        </w:trPr>
        <w:tc>
          <w:tcPr>
            <w:tcW w:w="2035" w:type="dxa"/>
            <w:shd w:val="clear" w:color="auto" w:fill="BFBFBF"/>
          </w:tcPr>
          <w:p>
            <w:pPr>
              <w:pStyle w:val="TableParagraph"/>
              <w:tabs>
                <w:tab w:pos="1577" w:val="left" w:leader="none"/>
              </w:tabs>
              <w:spacing w:line="360" w:lineRule="auto" w:before="1"/>
              <w:ind w:left="67" w:right="63"/>
              <w:rPr>
                <w:sz w:val="24"/>
              </w:rPr>
            </w:pPr>
            <w:r>
              <w:rPr>
                <w:sz w:val="24"/>
              </w:rPr>
              <w:t>Costos</w:t>
              <w:tab/>
            </w:r>
            <w:r>
              <w:rPr>
                <w:w w:val="95"/>
                <w:sz w:val="24"/>
              </w:rPr>
              <w:t>con </w:t>
            </w:r>
            <w:r>
              <w:rPr>
                <w:sz w:val="24"/>
              </w:rPr>
              <w:t>proyecto</w:t>
            </w:r>
          </w:p>
        </w:tc>
        <w:tc>
          <w:tcPr>
            <w:tcW w:w="1742" w:type="dxa"/>
            <w:shd w:val="clear" w:color="auto" w:fill="BFBFBF"/>
          </w:tcPr>
          <w:p>
            <w:pPr>
              <w:pStyle w:val="TableParagraph"/>
              <w:spacing w:before="11"/>
              <w:rPr>
                <w:b/>
                <w:sz w:val="35"/>
              </w:rPr>
            </w:pPr>
          </w:p>
          <w:p>
            <w:pPr>
              <w:pStyle w:val="TableParagraph"/>
              <w:ind w:left="134"/>
              <w:rPr>
                <w:sz w:val="24"/>
              </w:rPr>
            </w:pPr>
            <w:r>
              <w:rPr>
                <w:sz w:val="24"/>
              </w:rPr>
              <w:t>Cantidad</w:t>
            </w:r>
          </w:p>
        </w:tc>
      </w:tr>
      <w:tr>
        <w:trPr>
          <w:trHeight w:val="424" w:hRule="exact"/>
        </w:trPr>
        <w:tc>
          <w:tcPr>
            <w:tcW w:w="2035" w:type="dxa"/>
          </w:tcPr>
          <w:p>
            <w:pPr>
              <w:pStyle w:val="TableParagraph"/>
              <w:spacing w:before="1"/>
              <w:ind w:left="67"/>
              <w:rPr>
                <w:sz w:val="24"/>
              </w:rPr>
            </w:pPr>
            <w:r>
              <w:rPr>
                <w:sz w:val="24"/>
              </w:rPr>
              <w:t>Unidad</w:t>
            </w:r>
          </w:p>
        </w:tc>
        <w:tc>
          <w:tcPr>
            <w:tcW w:w="1742" w:type="dxa"/>
          </w:tcPr>
          <w:p>
            <w:pPr>
              <w:pStyle w:val="TableParagraph"/>
              <w:spacing w:before="1"/>
              <w:ind w:left="134"/>
              <w:rPr>
                <w:sz w:val="24"/>
              </w:rPr>
            </w:pPr>
            <w:r>
              <w:rPr>
                <w:sz w:val="24"/>
              </w:rPr>
              <w:t>37,562,201.68</w:t>
            </w:r>
          </w:p>
        </w:tc>
      </w:tr>
      <w:tr>
        <w:trPr>
          <w:trHeight w:val="425" w:hRule="exact"/>
        </w:trPr>
        <w:tc>
          <w:tcPr>
            <w:tcW w:w="2035" w:type="dxa"/>
          </w:tcPr>
          <w:p>
            <w:pPr>
              <w:pStyle w:val="TableParagraph"/>
              <w:ind w:left="67"/>
              <w:rPr>
                <w:sz w:val="24"/>
              </w:rPr>
            </w:pPr>
            <w:r>
              <w:rPr>
                <w:sz w:val="24"/>
              </w:rPr>
              <w:t>Personal</w:t>
            </w:r>
          </w:p>
        </w:tc>
        <w:tc>
          <w:tcPr>
            <w:tcW w:w="1742" w:type="dxa"/>
          </w:tcPr>
          <w:p>
            <w:pPr>
              <w:pStyle w:val="TableParagraph"/>
              <w:ind w:left="134"/>
              <w:rPr>
                <w:sz w:val="24"/>
              </w:rPr>
            </w:pPr>
            <w:r>
              <w:rPr>
                <w:sz w:val="24"/>
              </w:rPr>
              <w:t>675,710.40</w:t>
            </w:r>
          </w:p>
        </w:tc>
      </w:tr>
      <w:tr>
        <w:trPr>
          <w:trHeight w:val="838" w:hRule="exact"/>
        </w:trPr>
        <w:tc>
          <w:tcPr>
            <w:tcW w:w="2035" w:type="dxa"/>
          </w:tcPr>
          <w:p>
            <w:pPr>
              <w:pStyle w:val="TableParagraph"/>
              <w:tabs>
                <w:tab w:pos="1843" w:val="left" w:leader="none"/>
              </w:tabs>
              <w:spacing w:line="360" w:lineRule="auto"/>
              <w:ind w:left="67" w:right="63"/>
              <w:rPr>
                <w:sz w:val="24"/>
              </w:rPr>
            </w:pPr>
            <w:r>
              <w:rPr>
                <w:sz w:val="24"/>
              </w:rPr>
              <w:t>Mantenimiento</w:t>
              <w:tab/>
              <w:t>y</w:t>
            </w:r>
            <w:r>
              <w:rPr>
                <w:w w:val="99"/>
                <w:sz w:val="24"/>
              </w:rPr>
              <w:t> </w:t>
            </w:r>
            <w:r>
              <w:rPr>
                <w:sz w:val="24"/>
              </w:rPr>
              <w:t>operación</w:t>
            </w:r>
          </w:p>
        </w:tc>
        <w:tc>
          <w:tcPr>
            <w:tcW w:w="1742" w:type="dxa"/>
          </w:tcPr>
          <w:p>
            <w:pPr>
              <w:pStyle w:val="TableParagraph"/>
              <w:rPr>
                <w:b/>
                <w:sz w:val="24"/>
              </w:rPr>
            </w:pPr>
          </w:p>
          <w:p>
            <w:pPr>
              <w:pStyle w:val="TableParagraph"/>
              <w:spacing w:before="139"/>
              <w:ind w:left="134"/>
              <w:rPr>
                <w:sz w:val="24"/>
              </w:rPr>
            </w:pPr>
            <w:r>
              <w:rPr>
                <w:sz w:val="24"/>
              </w:rPr>
              <w:t>4,357,215.39</w:t>
            </w:r>
          </w:p>
        </w:tc>
      </w:tr>
    </w:tbl>
    <w:p>
      <w:pPr>
        <w:pStyle w:val="BodyText"/>
        <w:spacing w:before="1"/>
        <w:rPr>
          <w:b/>
          <w:sz w:val="18"/>
        </w:rPr>
      </w:pPr>
    </w:p>
    <w:tbl>
      <w:tblPr>
        <w:tblW w:w="0" w:type="auto"/>
        <w:jc w:val="left"/>
        <w:tblInd w:w="234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28"/>
        <w:gridCol w:w="1406"/>
      </w:tblGrid>
      <w:tr>
        <w:trPr>
          <w:trHeight w:val="420" w:hRule="exact"/>
        </w:trPr>
        <w:tc>
          <w:tcPr>
            <w:tcW w:w="2928" w:type="dxa"/>
            <w:shd w:val="clear" w:color="auto" w:fill="BFBFBF"/>
          </w:tcPr>
          <w:p>
            <w:pPr>
              <w:pStyle w:val="TableParagraph"/>
              <w:spacing w:line="275" w:lineRule="exact"/>
              <w:ind w:left="67"/>
              <w:rPr>
                <w:sz w:val="24"/>
              </w:rPr>
            </w:pPr>
            <w:r>
              <w:rPr>
                <w:sz w:val="24"/>
              </w:rPr>
              <w:t>Beneficios sin proyecto</w:t>
            </w:r>
          </w:p>
        </w:tc>
        <w:tc>
          <w:tcPr>
            <w:tcW w:w="1406" w:type="dxa"/>
            <w:shd w:val="clear" w:color="auto" w:fill="BFBFBF"/>
          </w:tcPr>
          <w:p>
            <w:pPr>
              <w:pStyle w:val="TableParagraph"/>
              <w:spacing w:line="275" w:lineRule="exact"/>
              <w:ind w:left="131"/>
              <w:rPr>
                <w:sz w:val="24"/>
              </w:rPr>
            </w:pPr>
            <w:r>
              <w:rPr>
                <w:sz w:val="24"/>
              </w:rPr>
              <w:t>Cantidad</w:t>
            </w:r>
          </w:p>
        </w:tc>
      </w:tr>
      <w:tr>
        <w:trPr>
          <w:trHeight w:val="839" w:hRule="exact"/>
        </w:trPr>
        <w:tc>
          <w:tcPr>
            <w:tcW w:w="2928" w:type="dxa"/>
          </w:tcPr>
          <w:p>
            <w:pPr>
              <w:pStyle w:val="TableParagraph"/>
              <w:spacing w:line="360" w:lineRule="auto" w:before="1"/>
              <w:ind w:left="67"/>
              <w:rPr>
                <w:sz w:val="24"/>
              </w:rPr>
            </w:pPr>
            <w:r>
              <w:rPr>
                <w:sz w:val="24"/>
              </w:rPr>
              <w:t>Garantía de traslados en tiempo y forma</w:t>
            </w:r>
          </w:p>
        </w:tc>
        <w:tc>
          <w:tcPr>
            <w:tcW w:w="1406" w:type="dxa"/>
          </w:tcPr>
          <w:p>
            <w:pPr>
              <w:pStyle w:val="TableParagraph"/>
              <w:rPr>
                <w:b/>
                <w:sz w:val="24"/>
              </w:rPr>
            </w:pPr>
          </w:p>
          <w:p>
            <w:pPr>
              <w:pStyle w:val="TableParagraph"/>
              <w:spacing w:before="141"/>
              <w:ind w:left="131"/>
              <w:rPr>
                <w:sz w:val="24"/>
              </w:rPr>
            </w:pPr>
            <w:r>
              <w:rPr>
                <w:sz w:val="24"/>
              </w:rPr>
              <w:t>395,547.52</w:t>
            </w:r>
          </w:p>
        </w:tc>
      </w:tr>
      <w:tr>
        <w:trPr>
          <w:trHeight w:val="840" w:hRule="exact"/>
        </w:trPr>
        <w:tc>
          <w:tcPr>
            <w:tcW w:w="2928" w:type="dxa"/>
          </w:tcPr>
          <w:p>
            <w:pPr>
              <w:pStyle w:val="TableParagraph"/>
              <w:tabs>
                <w:tab w:pos="1507" w:val="left" w:leader="none"/>
                <w:tab w:pos="2133" w:val="left" w:leader="none"/>
              </w:tabs>
              <w:spacing w:line="360" w:lineRule="auto" w:before="3"/>
              <w:ind w:left="67" w:right="66"/>
              <w:rPr>
                <w:sz w:val="24"/>
              </w:rPr>
            </w:pPr>
            <w:r>
              <w:rPr>
                <w:sz w:val="24"/>
              </w:rPr>
              <w:t>Reducción</w:t>
              <w:tab/>
              <w:t>del</w:t>
              <w:tab/>
            </w:r>
            <w:r>
              <w:rPr>
                <w:w w:val="95"/>
                <w:sz w:val="24"/>
              </w:rPr>
              <w:t>tiempo </w:t>
            </w:r>
            <w:r>
              <w:rPr>
                <w:sz w:val="24"/>
              </w:rPr>
              <w:t>(diagnóstico</w:t>
            </w:r>
            <w:r>
              <w:rPr>
                <w:spacing w:val="-12"/>
                <w:sz w:val="24"/>
              </w:rPr>
              <w:t> </w:t>
            </w:r>
            <w:r>
              <w:rPr>
                <w:sz w:val="24"/>
              </w:rPr>
              <w:t>triage)</w:t>
            </w:r>
          </w:p>
        </w:tc>
        <w:tc>
          <w:tcPr>
            <w:tcW w:w="1406" w:type="dxa"/>
          </w:tcPr>
          <w:p>
            <w:pPr>
              <w:pStyle w:val="TableParagraph"/>
              <w:rPr>
                <w:b/>
                <w:sz w:val="24"/>
              </w:rPr>
            </w:pPr>
          </w:p>
          <w:p>
            <w:pPr>
              <w:pStyle w:val="TableParagraph"/>
              <w:spacing w:before="139"/>
              <w:ind w:left="131"/>
              <w:rPr>
                <w:sz w:val="24"/>
              </w:rPr>
            </w:pPr>
            <w:r>
              <w:rPr>
                <w:sz w:val="24"/>
              </w:rPr>
              <w:t>11,503.94</w:t>
            </w:r>
          </w:p>
        </w:tc>
      </w:tr>
    </w:tbl>
    <w:p>
      <w:pPr>
        <w:pStyle w:val="BodyText"/>
        <w:spacing w:after="1"/>
        <w:rPr>
          <w:b/>
          <w:sz w:val="28"/>
        </w:rPr>
      </w:pPr>
    </w:p>
    <w:tbl>
      <w:tblPr>
        <w:tblW w:w="0" w:type="auto"/>
        <w:jc w:val="left"/>
        <w:tblInd w:w="271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14"/>
        <w:gridCol w:w="1886"/>
      </w:tblGrid>
      <w:tr>
        <w:trPr>
          <w:trHeight w:val="835" w:hRule="exact"/>
        </w:trPr>
        <w:tc>
          <w:tcPr>
            <w:tcW w:w="1714" w:type="dxa"/>
            <w:shd w:val="clear" w:color="auto" w:fill="BFBFBF"/>
          </w:tcPr>
          <w:p>
            <w:pPr>
              <w:pStyle w:val="TableParagraph"/>
              <w:tabs>
                <w:tab w:pos="1335" w:val="left" w:leader="none"/>
              </w:tabs>
              <w:spacing w:line="360" w:lineRule="auto"/>
              <w:ind w:left="67" w:right="63"/>
              <w:rPr>
                <w:sz w:val="24"/>
              </w:rPr>
            </w:pPr>
            <w:r>
              <w:rPr>
                <w:sz w:val="24"/>
              </w:rPr>
              <w:t>Costos</w:t>
              <w:tab/>
              <w:t>sin</w:t>
            </w:r>
            <w:r>
              <w:rPr>
                <w:w w:val="99"/>
                <w:sz w:val="24"/>
              </w:rPr>
              <w:t> </w:t>
            </w:r>
            <w:r>
              <w:rPr>
                <w:sz w:val="24"/>
              </w:rPr>
              <w:t>proyecto</w:t>
            </w:r>
          </w:p>
        </w:tc>
        <w:tc>
          <w:tcPr>
            <w:tcW w:w="1886" w:type="dxa"/>
            <w:shd w:val="clear" w:color="auto" w:fill="BFBFBF"/>
          </w:tcPr>
          <w:p>
            <w:pPr>
              <w:pStyle w:val="TableParagraph"/>
              <w:rPr>
                <w:b/>
                <w:sz w:val="24"/>
              </w:rPr>
            </w:pPr>
          </w:p>
          <w:p>
            <w:pPr>
              <w:pStyle w:val="TableParagraph"/>
              <w:spacing w:before="138"/>
              <w:ind w:left="136"/>
              <w:rPr>
                <w:sz w:val="24"/>
              </w:rPr>
            </w:pPr>
            <w:r>
              <w:rPr>
                <w:sz w:val="24"/>
              </w:rPr>
              <w:t>Cantidad</w:t>
            </w:r>
          </w:p>
        </w:tc>
      </w:tr>
      <w:tr>
        <w:trPr>
          <w:trHeight w:val="426" w:hRule="exact"/>
        </w:trPr>
        <w:tc>
          <w:tcPr>
            <w:tcW w:w="1714" w:type="dxa"/>
          </w:tcPr>
          <w:p>
            <w:pPr>
              <w:pStyle w:val="TableParagraph"/>
              <w:spacing w:before="1"/>
              <w:ind w:left="67"/>
              <w:rPr>
                <w:sz w:val="24"/>
              </w:rPr>
            </w:pPr>
            <w:r>
              <w:rPr>
                <w:sz w:val="24"/>
              </w:rPr>
              <w:t>Curso</w:t>
            </w:r>
          </w:p>
        </w:tc>
        <w:tc>
          <w:tcPr>
            <w:tcW w:w="1886" w:type="dxa"/>
          </w:tcPr>
          <w:p>
            <w:pPr>
              <w:pStyle w:val="TableParagraph"/>
              <w:spacing w:before="1"/>
              <w:ind w:left="136"/>
              <w:rPr>
                <w:sz w:val="24"/>
              </w:rPr>
            </w:pPr>
            <w:r>
              <w:rPr>
                <w:sz w:val="24"/>
              </w:rPr>
              <w:t>1,200</w:t>
            </w:r>
          </w:p>
        </w:tc>
      </w:tr>
      <w:tr>
        <w:trPr>
          <w:trHeight w:val="425" w:hRule="exact"/>
        </w:trPr>
        <w:tc>
          <w:tcPr>
            <w:tcW w:w="1714" w:type="dxa"/>
          </w:tcPr>
          <w:p>
            <w:pPr>
              <w:pStyle w:val="TableParagraph"/>
              <w:ind w:left="67"/>
              <w:rPr>
                <w:sz w:val="24"/>
              </w:rPr>
            </w:pPr>
            <w:r>
              <w:rPr>
                <w:sz w:val="24"/>
              </w:rPr>
              <w:t>Mantenimiento</w:t>
            </w:r>
          </w:p>
        </w:tc>
        <w:tc>
          <w:tcPr>
            <w:tcW w:w="1886" w:type="dxa"/>
          </w:tcPr>
          <w:p>
            <w:pPr>
              <w:pStyle w:val="TableParagraph"/>
              <w:ind w:left="136"/>
              <w:rPr>
                <w:sz w:val="24"/>
              </w:rPr>
            </w:pPr>
            <w:r>
              <w:rPr>
                <w:sz w:val="24"/>
              </w:rPr>
              <w:t>4,357,215.39</w:t>
            </w:r>
          </w:p>
        </w:tc>
      </w:tr>
    </w:tbl>
    <w:p>
      <w:pPr>
        <w:pStyle w:val="BodyText"/>
        <w:rPr>
          <w:b/>
          <w:sz w:val="20"/>
        </w:rPr>
      </w:pPr>
    </w:p>
    <w:p>
      <w:pPr>
        <w:pStyle w:val="BodyText"/>
        <w:spacing w:before="8"/>
        <w:rPr>
          <w:b/>
          <w:sz w:val="20"/>
        </w:rPr>
      </w:pPr>
    </w:p>
    <w:p>
      <w:pPr>
        <w:spacing w:before="0"/>
        <w:ind w:left="101" w:right="165" w:firstLine="0"/>
        <w:jc w:val="left"/>
        <w:rPr>
          <w:b/>
          <w:sz w:val="24"/>
        </w:rPr>
      </w:pPr>
      <w:r>
        <w:rPr>
          <w:b/>
          <w:sz w:val="24"/>
        </w:rPr>
        <w:t>Costos en el Horizonte de Evaluación</w:t>
      </w:r>
    </w:p>
    <w:p>
      <w:pPr>
        <w:pStyle w:val="BodyText"/>
        <w:spacing w:before="1" w:after="1"/>
        <w:rPr>
          <w:b/>
          <w:sz w:val="12"/>
        </w:rPr>
      </w:pPr>
    </w:p>
    <w:tbl>
      <w:tblPr>
        <w:tblW w:w="0" w:type="auto"/>
        <w:jc w:val="left"/>
        <w:tblInd w:w="1171"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564"/>
        <w:gridCol w:w="3115"/>
      </w:tblGrid>
      <w:tr>
        <w:trPr>
          <w:trHeight w:val="433" w:hRule="exact"/>
        </w:trPr>
        <w:tc>
          <w:tcPr>
            <w:tcW w:w="6679" w:type="dxa"/>
            <w:gridSpan w:val="2"/>
            <w:shd w:val="clear" w:color="auto" w:fill="4F80BC"/>
          </w:tcPr>
          <w:p>
            <w:pPr>
              <w:pStyle w:val="TableParagraph"/>
              <w:spacing w:line="275" w:lineRule="exact"/>
              <w:ind w:left="2116"/>
              <w:rPr>
                <w:sz w:val="24"/>
              </w:rPr>
            </w:pPr>
            <w:r>
              <w:rPr>
                <w:sz w:val="24"/>
              </w:rPr>
              <w:t>Horizonte del Proyecto</w:t>
            </w:r>
          </w:p>
        </w:tc>
      </w:tr>
      <w:tr>
        <w:trPr>
          <w:trHeight w:val="433" w:hRule="exact"/>
        </w:trPr>
        <w:tc>
          <w:tcPr>
            <w:tcW w:w="3564" w:type="dxa"/>
            <w:tcBorders>
              <w:right w:val="single" w:sz="3" w:space="0" w:color="000000"/>
            </w:tcBorders>
            <w:shd w:val="clear" w:color="auto" w:fill="C3BC97"/>
          </w:tcPr>
          <w:p>
            <w:pPr>
              <w:pStyle w:val="TableParagraph"/>
              <w:ind w:left="62"/>
              <w:rPr>
                <w:sz w:val="24"/>
              </w:rPr>
            </w:pPr>
            <w:r>
              <w:rPr>
                <w:sz w:val="24"/>
              </w:rPr>
              <w:t>Concepto</w:t>
            </w:r>
          </w:p>
        </w:tc>
        <w:tc>
          <w:tcPr>
            <w:tcW w:w="3115" w:type="dxa"/>
            <w:tcBorders>
              <w:left w:val="single" w:sz="3" w:space="0" w:color="000000"/>
            </w:tcBorders>
            <w:shd w:val="clear" w:color="auto" w:fill="C3BC97"/>
          </w:tcPr>
          <w:p>
            <w:pPr>
              <w:pStyle w:val="TableParagraph"/>
              <w:ind w:left="1"/>
              <w:jc w:val="center"/>
              <w:rPr>
                <w:sz w:val="24"/>
              </w:rPr>
            </w:pPr>
            <w:r>
              <w:rPr>
                <w:w w:val="99"/>
                <w:sz w:val="24"/>
              </w:rPr>
              <w:t>$</w:t>
            </w:r>
          </w:p>
        </w:tc>
      </w:tr>
      <w:tr>
        <w:trPr>
          <w:trHeight w:val="431" w:hRule="exact"/>
        </w:trPr>
        <w:tc>
          <w:tcPr>
            <w:tcW w:w="3564" w:type="dxa"/>
            <w:tcBorders>
              <w:bottom w:val="single" w:sz="3" w:space="0" w:color="000000"/>
              <w:right w:val="single" w:sz="3" w:space="0" w:color="000000"/>
            </w:tcBorders>
          </w:tcPr>
          <w:p>
            <w:pPr>
              <w:pStyle w:val="TableParagraph"/>
              <w:spacing w:before="1"/>
              <w:ind w:left="62"/>
              <w:rPr>
                <w:sz w:val="24"/>
              </w:rPr>
            </w:pPr>
            <w:r>
              <w:rPr>
                <w:sz w:val="24"/>
              </w:rPr>
              <w:t>Costos de Operación</w:t>
            </w:r>
          </w:p>
        </w:tc>
        <w:tc>
          <w:tcPr>
            <w:tcW w:w="3115" w:type="dxa"/>
            <w:tcBorders>
              <w:left w:val="single" w:sz="3" w:space="0" w:color="000000"/>
              <w:bottom w:val="single" w:sz="3" w:space="0" w:color="000000"/>
            </w:tcBorders>
          </w:tcPr>
          <w:p>
            <w:pPr>
              <w:pStyle w:val="TableParagraph"/>
              <w:tabs>
                <w:tab w:pos="863" w:val="left" w:leader="none"/>
              </w:tabs>
              <w:spacing w:before="1"/>
              <w:ind w:left="132"/>
              <w:rPr>
                <w:sz w:val="24"/>
              </w:rPr>
            </w:pPr>
            <w:r>
              <w:rPr>
                <w:sz w:val="24"/>
              </w:rPr>
              <w:t>$</w:t>
              <w:tab/>
              <w:t>4,512,066,738.66</w:t>
            </w:r>
          </w:p>
        </w:tc>
      </w:tr>
      <w:tr>
        <w:trPr>
          <w:trHeight w:val="422" w:hRule="exact"/>
        </w:trPr>
        <w:tc>
          <w:tcPr>
            <w:tcW w:w="3564" w:type="dxa"/>
            <w:tcBorders>
              <w:top w:val="single" w:sz="3" w:space="0" w:color="000000"/>
              <w:bottom w:val="single" w:sz="3" w:space="0" w:color="000000"/>
              <w:right w:val="single" w:sz="3" w:space="0" w:color="000000"/>
            </w:tcBorders>
          </w:tcPr>
          <w:p>
            <w:pPr>
              <w:pStyle w:val="TableParagraph"/>
              <w:ind w:left="62"/>
              <w:rPr>
                <w:sz w:val="24"/>
              </w:rPr>
            </w:pPr>
            <w:r>
              <w:rPr>
                <w:sz w:val="24"/>
              </w:rPr>
              <w:t>Costos de Mantenimiento</w:t>
            </w:r>
          </w:p>
        </w:tc>
        <w:tc>
          <w:tcPr>
            <w:tcW w:w="3115" w:type="dxa"/>
            <w:tcBorders>
              <w:top w:val="single" w:sz="3" w:space="0" w:color="000000"/>
              <w:left w:val="single" w:sz="3" w:space="0" w:color="000000"/>
              <w:bottom w:val="single" w:sz="3" w:space="0" w:color="000000"/>
            </w:tcBorders>
          </w:tcPr>
          <w:p>
            <w:pPr>
              <w:pStyle w:val="TableParagraph"/>
              <w:tabs>
                <w:tab w:pos="1262" w:val="left" w:leader="none"/>
              </w:tabs>
              <w:ind w:left="132"/>
              <w:rPr>
                <w:sz w:val="24"/>
              </w:rPr>
            </w:pPr>
            <w:r>
              <w:rPr>
                <w:sz w:val="24"/>
              </w:rPr>
              <w:t>$</w:t>
              <w:tab/>
              <w:t>61,001,015.52</w:t>
            </w:r>
          </w:p>
        </w:tc>
      </w:tr>
      <w:tr>
        <w:trPr>
          <w:trHeight w:val="430" w:hRule="exact"/>
        </w:trPr>
        <w:tc>
          <w:tcPr>
            <w:tcW w:w="3564" w:type="dxa"/>
            <w:tcBorders>
              <w:top w:val="single" w:sz="3" w:space="0" w:color="000000"/>
              <w:right w:val="single" w:sz="3" w:space="0" w:color="000000"/>
            </w:tcBorders>
          </w:tcPr>
          <w:p>
            <w:pPr>
              <w:pStyle w:val="TableParagraph"/>
              <w:ind w:left="62"/>
              <w:rPr>
                <w:sz w:val="24"/>
              </w:rPr>
            </w:pPr>
            <w:r>
              <w:rPr>
                <w:sz w:val="24"/>
              </w:rPr>
              <w:t>Remuneración del Personal</w:t>
            </w:r>
          </w:p>
        </w:tc>
        <w:tc>
          <w:tcPr>
            <w:tcW w:w="3115" w:type="dxa"/>
            <w:tcBorders>
              <w:top w:val="single" w:sz="3" w:space="0" w:color="000000"/>
              <w:left w:val="single" w:sz="3" w:space="0" w:color="000000"/>
            </w:tcBorders>
          </w:tcPr>
          <w:p>
            <w:pPr>
              <w:pStyle w:val="TableParagraph"/>
              <w:tabs>
                <w:tab w:pos="1262" w:val="left" w:leader="none"/>
              </w:tabs>
              <w:ind w:left="132"/>
              <w:rPr>
                <w:sz w:val="24"/>
              </w:rPr>
            </w:pPr>
            <w:r>
              <w:rPr>
                <w:sz w:val="24"/>
              </w:rPr>
              <w:t>$</w:t>
              <w:tab/>
              <w:t>13,814,136.00</w:t>
            </w:r>
          </w:p>
        </w:tc>
      </w:tr>
    </w:tbl>
    <w:p>
      <w:pPr>
        <w:pStyle w:val="BodyText"/>
        <w:rPr>
          <w:b/>
          <w:sz w:val="20"/>
        </w:rPr>
      </w:pPr>
    </w:p>
    <w:p>
      <w:pPr>
        <w:pStyle w:val="ListParagraph"/>
        <w:numPr>
          <w:ilvl w:val="1"/>
          <w:numId w:val="24"/>
        </w:numPr>
        <w:tabs>
          <w:tab w:pos="637" w:val="left" w:leader="none"/>
        </w:tabs>
        <w:spacing w:line="240" w:lineRule="auto" w:before="185" w:after="0"/>
        <w:ind w:left="636" w:right="0" w:hanging="535"/>
        <w:jc w:val="left"/>
        <w:rPr>
          <w:b/>
          <w:sz w:val="24"/>
        </w:rPr>
      </w:pPr>
      <w:r>
        <w:rPr>
          <w:b/>
          <w:sz w:val="24"/>
        </w:rPr>
        <w:t>Calculo de los indicadores de</w:t>
      </w:r>
      <w:r>
        <w:rPr>
          <w:b/>
          <w:spacing w:val="-25"/>
          <w:sz w:val="24"/>
        </w:rPr>
        <w:t> </w:t>
      </w:r>
      <w:r>
        <w:rPr>
          <w:b/>
          <w:sz w:val="24"/>
        </w:rPr>
        <w:t>rentabilidad</w:t>
      </w:r>
    </w:p>
    <w:p>
      <w:pPr>
        <w:pStyle w:val="BodyText"/>
        <w:rPr>
          <w:b/>
          <w:sz w:val="12"/>
        </w:rPr>
      </w:pPr>
    </w:p>
    <w:tbl>
      <w:tblPr>
        <w:tblW w:w="0" w:type="auto"/>
        <w:jc w:val="left"/>
        <w:tblInd w:w="183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540"/>
        <w:gridCol w:w="1807"/>
      </w:tblGrid>
      <w:tr>
        <w:trPr>
          <w:trHeight w:val="430" w:hRule="exact"/>
        </w:trPr>
        <w:tc>
          <w:tcPr>
            <w:tcW w:w="3540" w:type="dxa"/>
            <w:tcBorders>
              <w:bottom w:val="single" w:sz="3" w:space="0" w:color="000000"/>
              <w:right w:val="single" w:sz="3" w:space="0" w:color="000000"/>
            </w:tcBorders>
          </w:tcPr>
          <w:p>
            <w:pPr>
              <w:pStyle w:val="TableParagraph"/>
              <w:ind w:left="62"/>
              <w:rPr>
                <w:sz w:val="24"/>
              </w:rPr>
            </w:pPr>
            <w:r>
              <w:rPr>
                <w:sz w:val="24"/>
              </w:rPr>
              <w:t>VAN</w:t>
            </w:r>
          </w:p>
        </w:tc>
        <w:tc>
          <w:tcPr>
            <w:tcW w:w="1807" w:type="dxa"/>
            <w:tcBorders>
              <w:left w:val="single" w:sz="3" w:space="0" w:color="000000"/>
              <w:bottom w:val="single" w:sz="3" w:space="0" w:color="000000"/>
            </w:tcBorders>
          </w:tcPr>
          <w:p>
            <w:pPr>
              <w:pStyle w:val="TableParagraph"/>
              <w:ind w:right="59"/>
              <w:jc w:val="right"/>
              <w:rPr>
                <w:sz w:val="24"/>
              </w:rPr>
            </w:pPr>
            <w:r>
              <w:rPr>
                <w:sz w:val="24"/>
              </w:rPr>
              <w:t>$65,165,950.42</w:t>
            </w:r>
          </w:p>
        </w:tc>
      </w:tr>
      <w:tr>
        <w:trPr>
          <w:trHeight w:val="430" w:hRule="exact"/>
        </w:trPr>
        <w:tc>
          <w:tcPr>
            <w:tcW w:w="3540" w:type="dxa"/>
            <w:tcBorders>
              <w:top w:val="single" w:sz="3" w:space="0" w:color="000000"/>
              <w:right w:val="single" w:sz="3" w:space="0" w:color="000000"/>
            </w:tcBorders>
          </w:tcPr>
          <w:p>
            <w:pPr>
              <w:pStyle w:val="TableParagraph"/>
              <w:ind w:left="62"/>
              <w:rPr>
                <w:sz w:val="24"/>
              </w:rPr>
            </w:pPr>
            <w:r>
              <w:rPr>
                <w:sz w:val="24"/>
              </w:rPr>
              <w:t>TIR</w:t>
            </w:r>
          </w:p>
        </w:tc>
        <w:tc>
          <w:tcPr>
            <w:tcW w:w="1807" w:type="dxa"/>
            <w:tcBorders>
              <w:top w:val="single" w:sz="3" w:space="0" w:color="000000"/>
              <w:left w:val="single" w:sz="3" w:space="0" w:color="000000"/>
            </w:tcBorders>
          </w:tcPr>
          <w:p>
            <w:pPr>
              <w:pStyle w:val="TableParagraph"/>
              <w:ind w:left="559"/>
              <w:rPr>
                <w:sz w:val="24"/>
              </w:rPr>
            </w:pPr>
            <w:r>
              <w:rPr>
                <w:sz w:val="24"/>
              </w:rPr>
              <w:t>456 %</w:t>
            </w:r>
          </w:p>
        </w:tc>
      </w:tr>
      <w:tr>
        <w:trPr>
          <w:trHeight w:val="434" w:hRule="exact"/>
        </w:trPr>
        <w:tc>
          <w:tcPr>
            <w:tcW w:w="3540" w:type="dxa"/>
          </w:tcPr>
          <w:p>
            <w:pPr>
              <w:pStyle w:val="TableParagraph"/>
              <w:ind w:left="62"/>
              <w:rPr>
                <w:sz w:val="24"/>
              </w:rPr>
            </w:pPr>
            <w:r>
              <w:rPr>
                <w:sz w:val="24"/>
              </w:rPr>
              <w:t>TRI</w:t>
            </w:r>
          </w:p>
        </w:tc>
        <w:tc>
          <w:tcPr>
            <w:tcW w:w="1807" w:type="dxa"/>
            <w:tcBorders>
              <w:right w:val="single" w:sz="3" w:space="0" w:color="000000"/>
            </w:tcBorders>
          </w:tcPr>
          <w:p>
            <w:pPr>
              <w:pStyle w:val="TableParagraph"/>
              <w:ind w:right="63"/>
              <w:jc w:val="right"/>
              <w:rPr>
                <w:sz w:val="24"/>
              </w:rPr>
            </w:pPr>
            <w:r>
              <w:rPr>
                <w:sz w:val="24"/>
              </w:rPr>
              <w:t>4.860347673</w:t>
            </w:r>
          </w:p>
        </w:tc>
      </w:tr>
    </w:tbl>
    <w:p>
      <w:pPr>
        <w:spacing w:after="0"/>
        <w:jc w:val="right"/>
        <w:rPr>
          <w:sz w:val="24"/>
        </w:rPr>
        <w:sectPr>
          <w:pgSz w:w="12240" w:h="15840"/>
          <w:pgMar w:header="0" w:footer="1005" w:top="1360" w:bottom="1200" w:left="1600" w:right="1600"/>
        </w:sectPr>
      </w:pPr>
    </w:p>
    <w:p>
      <w:pPr>
        <w:pStyle w:val="ListParagraph"/>
        <w:numPr>
          <w:ilvl w:val="1"/>
          <w:numId w:val="24"/>
        </w:numPr>
        <w:tabs>
          <w:tab w:pos="640" w:val="left" w:leader="none"/>
        </w:tabs>
        <w:spacing w:line="240" w:lineRule="auto" w:before="46" w:after="0"/>
        <w:ind w:left="639" w:right="0" w:hanging="538"/>
        <w:jc w:val="both"/>
        <w:rPr>
          <w:b/>
          <w:sz w:val="24"/>
        </w:rPr>
      </w:pPr>
      <w:r>
        <w:rPr>
          <w:b/>
          <w:sz w:val="24"/>
        </w:rPr>
        <w:t>Análisis de</w:t>
      </w:r>
      <w:r>
        <w:rPr>
          <w:b/>
          <w:spacing w:val="-18"/>
          <w:sz w:val="24"/>
        </w:rPr>
        <w:t> </w:t>
      </w:r>
      <w:r>
        <w:rPr>
          <w:b/>
          <w:sz w:val="24"/>
        </w:rPr>
        <w:t>sensibilidad</w:t>
      </w:r>
    </w:p>
    <w:p>
      <w:pPr>
        <w:pStyle w:val="BodyText"/>
        <w:spacing w:line="360" w:lineRule="auto" w:before="139"/>
        <w:ind w:left="101" w:right="104"/>
        <w:jc w:val="both"/>
      </w:pPr>
      <w:r>
        <w:rPr/>
        <w:t>Como complemento a la evaluación económica, se efectuó un análisis de sensibilidad con respecto al monto de la inversión, tomando valores del 140 al 100%, respecto del monto programado. Este análisis de sensibilidad muestra que aún aumentando en un 40% el monto de la inversión el proyecto sería rentable económicamente.</w:t>
      </w:r>
    </w:p>
    <w:p>
      <w:pPr>
        <w:pStyle w:val="BodyText"/>
        <w:spacing w:before="2"/>
        <w:ind w:left="1623" w:right="165"/>
      </w:pPr>
      <w:r>
        <w:rPr/>
        <w:t>Análisis de sensibilidad a los costos de Mantenimiento</w:t>
      </w:r>
    </w:p>
    <w:p>
      <w:pPr>
        <w:pStyle w:val="BodyText"/>
        <w:spacing w:before="3"/>
        <w:rPr>
          <w:sz w:val="12"/>
        </w:rPr>
      </w:pPr>
    </w:p>
    <w:tbl>
      <w:tblPr>
        <w:tblW w:w="0" w:type="auto"/>
        <w:jc w:val="left"/>
        <w:tblInd w:w="1171"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639"/>
        <w:gridCol w:w="1464"/>
        <w:gridCol w:w="2038"/>
        <w:gridCol w:w="1536"/>
      </w:tblGrid>
      <w:tr>
        <w:trPr>
          <w:trHeight w:val="1262" w:hRule="exact"/>
        </w:trPr>
        <w:tc>
          <w:tcPr>
            <w:tcW w:w="1639" w:type="dxa"/>
          </w:tcPr>
          <w:p>
            <w:pPr>
              <w:pStyle w:val="TableParagraph"/>
              <w:spacing w:line="360" w:lineRule="auto"/>
              <w:ind w:left="331" w:right="331" w:hanging="1"/>
              <w:jc w:val="center"/>
              <w:rPr>
                <w:sz w:val="24"/>
              </w:rPr>
            </w:pPr>
            <w:r>
              <w:rPr>
                <w:sz w:val="24"/>
              </w:rPr>
              <w:t>Tasa de </w:t>
            </w:r>
            <w:r>
              <w:rPr>
                <w:spacing w:val="-1"/>
                <w:sz w:val="24"/>
              </w:rPr>
              <w:t>variación </w:t>
            </w:r>
            <w:r>
              <w:rPr>
                <w:sz w:val="24"/>
              </w:rPr>
              <w:t>(%)</w:t>
            </w:r>
          </w:p>
        </w:tc>
        <w:tc>
          <w:tcPr>
            <w:tcW w:w="1464" w:type="dxa"/>
          </w:tcPr>
          <w:p>
            <w:pPr>
              <w:pStyle w:val="TableParagraph"/>
              <w:spacing w:before="207"/>
              <w:ind w:left="396" w:right="396"/>
              <w:jc w:val="center"/>
              <w:rPr>
                <w:sz w:val="24"/>
              </w:rPr>
            </w:pPr>
            <w:r>
              <w:rPr>
                <w:sz w:val="24"/>
              </w:rPr>
              <w:t>TIR</w:t>
            </w:r>
          </w:p>
          <w:p>
            <w:pPr>
              <w:pStyle w:val="TableParagraph"/>
              <w:rPr>
                <w:sz w:val="30"/>
              </w:rPr>
            </w:pPr>
          </w:p>
          <w:p>
            <w:pPr>
              <w:pStyle w:val="TableParagraph"/>
              <w:ind w:left="396" w:right="397"/>
              <w:jc w:val="center"/>
              <w:rPr>
                <w:sz w:val="24"/>
              </w:rPr>
            </w:pPr>
            <w:r>
              <w:rPr>
                <w:sz w:val="24"/>
              </w:rPr>
              <w:t>(%)</w:t>
            </w:r>
          </w:p>
        </w:tc>
        <w:tc>
          <w:tcPr>
            <w:tcW w:w="2038" w:type="dxa"/>
          </w:tcPr>
          <w:p>
            <w:pPr>
              <w:pStyle w:val="TableParagraph"/>
              <w:spacing w:before="207"/>
              <w:ind w:left="107" w:right="110"/>
              <w:jc w:val="center"/>
              <w:rPr>
                <w:sz w:val="24"/>
              </w:rPr>
            </w:pPr>
            <w:r>
              <w:rPr>
                <w:sz w:val="24"/>
              </w:rPr>
              <w:t>VPN</w:t>
            </w:r>
          </w:p>
          <w:p>
            <w:pPr>
              <w:pStyle w:val="TableParagraph"/>
              <w:rPr>
                <w:sz w:val="30"/>
              </w:rPr>
            </w:pPr>
          </w:p>
          <w:p>
            <w:pPr>
              <w:pStyle w:val="TableParagraph"/>
              <w:ind w:left="107" w:right="112"/>
              <w:jc w:val="center"/>
              <w:rPr>
                <w:sz w:val="24"/>
              </w:rPr>
            </w:pPr>
            <w:r>
              <w:rPr>
                <w:sz w:val="24"/>
              </w:rPr>
              <w:t>(miles de pesos)</w:t>
            </w:r>
          </w:p>
        </w:tc>
        <w:tc>
          <w:tcPr>
            <w:tcW w:w="1536" w:type="dxa"/>
          </w:tcPr>
          <w:p>
            <w:pPr>
              <w:pStyle w:val="TableParagraph"/>
              <w:spacing w:before="207"/>
              <w:ind w:left="546" w:right="545"/>
              <w:jc w:val="center"/>
              <w:rPr>
                <w:sz w:val="24"/>
              </w:rPr>
            </w:pPr>
            <w:r>
              <w:rPr>
                <w:sz w:val="24"/>
              </w:rPr>
              <w:t>TRI</w:t>
            </w:r>
          </w:p>
          <w:p>
            <w:pPr>
              <w:pStyle w:val="TableParagraph"/>
              <w:rPr>
                <w:sz w:val="30"/>
              </w:rPr>
            </w:pPr>
          </w:p>
          <w:p>
            <w:pPr>
              <w:pStyle w:val="TableParagraph"/>
              <w:ind w:left="545" w:right="545"/>
              <w:jc w:val="center"/>
              <w:rPr>
                <w:sz w:val="24"/>
              </w:rPr>
            </w:pPr>
            <w:r>
              <w:rPr>
                <w:sz w:val="24"/>
              </w:rPr>
              <w:t>(%)</w:t>
            </w:r>
          </w:p>
        </w:tc>
      </w:tr>
      <w:tr>
        <w:trPr>
          <w:trHeight w:val="432" w:hRule="exact"/>
        </w:trPr>
        <w:tc>
          <w:tcPr>
            <w:tcW w:w="1639" w:type="dxa"/>
          </w:tcPr>
          <w:p>
            <w:pPr>
              <w:pStyle w:val="TableParagraph"/>
              <w:ind w:left="623" w:right="624"/>
              <w:jc w:val="center"/>
              <w:rPr>
                <w:sz w:val="24"/>
              </w:rPr>
            </w:pPr>
            <w:r>
              <w:rPr>
                <w:sz w:val="24"/>
              </w:rPr>
              <w:t>1.4</w:t>
            </w:r>
          </w:p>
        </w:tc>
        <w:tc>
          <w:tcPr>
            <w:tcW w:w="1464" w:type="dxa"/>
          </w:tcPr>
          <w:p>
            <w:pPr>
              <w:pStyle w:val="TableParagraph"/>
              <w:ind w:left="396" w:right="397"/>
              <w:jc w:val="center"/>
              <w:rPr>
                <w:sz w:val="24"/>
              </w:rPr>
            </w:pPr>
            <w:r>
              <w:rPr>
                <w:sz w:val="24"/>
              </w:rPr>
              <w:t>46%</w:t>
            </w:r>
          </w:p>
        </w:tc>
        <w:tc>
          <w:tcPr>
            <w:tcW w:w="2038" w:type="dxa"/>
          </w:tcPr>
          <w:p>
            <w:pPr>
              <w:pStyle w:val="TableParagraph"/>
              <w:ind w:left="107" w:right="108"/>
              <w:jc w:val="center"/>
              <w:rPr>
                <w:sz w:val="24"/>
              </w:rPr>
            </w:pPr>
            <w:r>
              <w:rPr>
                <w:sz w:val="24"/>
              </w:rPr>
              <w:t>$57,350,525.69</w:t>
            </w:r>
          </w:p>
        </w:tc>
        <w:tc>
          <w:tcPr>
            <w:tcW w:w="1536" w:type="dxa"/>
            <w:tcBorders>
              <w:right w:val="single" w:sz="3" w:space="0" w:color="000000"/>
            </w:tcBorders>
          </w:tcPr>
          <w:p>
            <w:pPr>
              <w:pStyle w:val="TableParagraph"/>
              <w:ind w:left="374" w:right="374"/>
              <w:jc w:val="center"/>
              <w:rPr>
                <w:sz w:val="24"/>
              </w:rPr>
            </w:pPr>
            <w:r>
              <w:rPr>
                <w:sz w:val="24"/>
              </w:rPr>
              <w:t>4.8603</w:t>
            </w:r>
          </w:p>
        </w:tc>
      </w:tr>
      <w:tr>
        <w:trPr>
          <w:trHeight w:val="434" w:hRule="exact"/>
        </w:trPr>
        <w:tc>
          <w:tcPr>
            <w:tcW w:w="1639" w:type="dxa"/>
          </w:tcPr>
          <w:p>
            <w:pPr>
              <w:pStyle w:val="TableParagraph"/>
              <w:spacing w:before="3"/>
              <w:ind w:left="623" w:right="624"/>
              <w:jc w:val="center"/>
              <w:rPr>
                <w:sz w:val="24"/>
              </w:rPr>
            </w:pPr>
            <w:r>
              <w:rPr>
                <w:sz w:val="24"/>
              </w:rPr>
              <w:t>1.3</w:t>
            </w:r>
          </w:p>
        </w:tc>
        <w:tc>
          <w:tcPr>
            <w:tcW w:w="1464" w:type="dxa"/>
          </w:tcPr>
          <w:p>
            <w:pPr>
              <w:pStyle w:val="TableParagraph"/>
              <w:spacing w:before="3"/>
              <w:ind w:left="396" w:right="397"/>
              <w:jc w:val="center"/>
              <w:rPr>
                <w:sz w:val="24"/>
              </w:rPr>
            </w:pPr>
            <w:r>
              <w:rPr>
                <w:sz w:val="24"/>
              </w:rPr>
              <w:t>65%</w:t>
            </w:r>
          </w:p>
        </w:tc>
        <w:tc>
          <w:tcPr>
            <w:tcW w:w="2038" w:type="dxa"/>
          </w:tcPr>
          <w:p>
            <w:pPr>
              <w:pStyle w:val="TableParagraph"/>
              <w:spacing w:before="3"/>
              <w:ind w:left="107" w:right="108"/>
              <w:jc w:val="center"/>
              <w:rPr>
                <w:sz w:val="24"/>
              </w:rPr>
            </w:pPr>
            <w:r>
              <w:rPr>
                <w:sz w:val="24"/>
              </w:rPr>
              <w:t>$68,110,245.97</w:t>
            </w:r>
          </w:p>
        </w:tc>
        <w:tc>
          <w:tcPr>
            <w:tcW w:w="1536" w:type="dxa"/>
            <w:tcBorders>
              <w:right w:val="single" w:sz="3" w:space="0" w:color="000000"/>
            </w:tcBorders>
          </w:tcPr>
          <w:p>
            <w:pPr>
              <w:pStyle w:val="TableParagraph"/>
              <w:spacing w:before="3"/>
              <w:ind w:left="374" w:right="374"/>
              <w:jc w:val="center"/>
              <w:rPr>
                <w:sz w:val="24"/>
              </w:rPr>
            </w:pPr>
            <w:r>
              <w:rPr>
                <w:sz w:val="24"/>
              </w:rPr>
              <w:t>4.7505</w:t>
            </w:r>
          </w:p>
        </w:tc>
      </w:tr>
      <w:tr>
        <w:trPr>
          <w:trHeight w:val="434" w:hRule="exact"/>
        </w:trPr>
        <w:tc>
          <w:tcPr>
            <w:tcW w:w="1639" w:type="dxa"/>
          </w:tcPr>
          <w:p>
            <w:pPr>
              <w:pStyle w:val="TableParagraph"/>
              <w:spacing w:before="3"/>
              <w:ind w:left="623" w:right="624"/>
              <w:jc w:val="center"/>
              <w:rPr>
                <w:sz w:val="24"/>
              </w:rPr>
            </w:pPr>
            <w:r>
              <w:rPr>
                <w:sz w:val="24"/>
              </w:rPr>
              <w:t>1.2</w:t>
            </w:r>
          </w:p>
        </w:tc>
        <w:tc>
          <w:tcPr>
            <w:tcW w:w="1464" w:type="dxa"/>
          </w:tcPr>
          <w:p>
            <w:pPr>
              <w:pStyle w:val="TableParagraph"/>
              <w:spacing w:before="3"/>
              <w:ind w:left="396" w:right="397"/>
              <w:jc w:val="center"/>
              <w:rPr>
                <w:sz w:val="24"/>
              </w:rPr>
            </w:pPr>
            <w:r>
              <w:rPr>
                <w:sz w:val="24"/>
              </w:rPr>
              <w:t>119%</w:t>
            </w:r>
          </w:p>
        </w:tc>
        <w:tc>
          <w:tcPr>
            <w:tcW w:w="2038" w:type="dxa"/>
          </w:tcPr>
          <w:p>
            <w:pPr>
              <w:pStyle w:val="TableParagraph"/>
              <w:spacing w:before="3"/>
              <w:ind w:left="107" w:right="108"/>
              <w:jc w:val="center"/>
              <w:rPr>
                <w:sz w:val="24"/>
              </w:rPr>
            </w:pPr>
            <w:r>
              <w:rPr>
                <w:sz w:val="24"/>
              </w:rPr>
              <w:t>$68,110,245.97</w:t>
            </w:r>
          </w:p>
        </w:tc>
        <w:tc>
          <w:tcPr>
            <w:tcW w:w="1536" w:type="dxa"/>
            <w:tcBorders>
              <w:right w:val="single" w:sz="3" w:space="0" w:color="000000"/>
            </w:tcBorders>
          </w:tcPr>
          <w:p>
            <w:pPr>
              <w:pStyle w:val="TableParagraph"/>
              <w:spacing w:before="3"/>
              <w:ind w:left="374" w:right="374"/>
              <w:jc w:val="center"/>
              <w:rPr>
                <w:sz w:val="24"/>
              </w:rPr>
            </w:pPr>
            <w:r>
              <w:rPr>
                <w:sz w:val="24"/>
              </w:rPr>
              <w:t>5.3024</w:t>
            </w:r>
          </w:p>
        </w:tc>
      </w:tr>
      <w:tr>
        <w:trPr>
          <w:trHeight w:val="434" w:hRule="exact"/>
        </w:trPr>
        <w:tc>
          <w:tcPr>
            <w:tcW w:w="1639" w:type="dxa"/>
          </w:tcPr>
          <w:p>
            <w:pPr>
              <w:pStyle w:val="TableParagraph"/>
              <w:ind w:left="623" w:right="624"/>
              <w:jc w:val="center"/>
              <w:rPr>
                <w:sz w:val="24"/>
              </w:rPr>
            </w:pPr>
            <w:r>
              <w:rPr>
                <w:sz w:val="24"/>
              </w:rPr>
              <w:t>1.1</w:t>
            </w:r>
          </w:p>
        </w:tc>
        <w:tc>
          <w:tcPr>
            <w:tcW w:w="1464" w:type="dxa"/>
          </w:tcPr>
          <w:p>
            <w:pPr>
              <w:pStyle w:val="TableParagraph"/>
              <w:ind w:left="396" w:right="397"/>
              <w:jc w:val="center"/>
              <w:rPr>
                <w:sz w:val="24"/>
              </w:rPr>
            </w:pPr>
            <w:r>
              <w:rPr>
                <w:sz w:val="24"/>
              </w:rPr>
              <w:t>225%</w:t>
            </w:r>
          </w:p>
        </w:tc>
        <w:tc>
          <w:tcPr>
            <w:tcW w:w="2038" w:type="dxa"/>
          </w:tcPr>
          <w:p>
            <w:pPr>
              <w:pStyle w:val="TableParagraph"/>
              <w:ind w:left="107" w:right="108"/>
              <w:jc w:val="center"/>
              <w:rPr>
                <w:sz w:val="24"/>
              </w:rPr>
            </w:pPr>
            <w:r>
              <w:rPr>
                <w:sz w:val="24"/>
              </w:rPr>
              <w:t>$74,303,280.86</w:t>
            </w:r>
          </w:p>
        </w:tc>
        <w:tc>
          <w:tcPr>
            <w:tcW w:w="1536" w:type="dxa"/>
            <w:tcBorders>
              <w:right w:val="single" w:sz="3" w:space="0" w:color="000000"/>
            </w:tcBorders>
          </w:tcPr>
          <w:p>
            <w:pPr>
              <w:pStyle w:val="TableParagraph"/>
              <w:ind w:left="374" w:right="374"/>
              <w:jc w:val="center"/>
              <w:rPr>
                <w:sz w:val="24"/>
              </w:rPr>
            </w:pPr>
            <w:r>
              <w:rPr>
                <w:sz w:val="24"/>
              </w:rPr>
              <w:t>4.7130</w:t>
            </w:r>
          </w:p>
        </w:tc>
      </w:tr>
      <w:tr>
        <w:trPr>
          <w:trHeight w:val="434" w:hRule="exact"/>
        </w:trPr>
        <w:tc>
          <w:tcPr>
            <w:tcW w:w="1639" w:type="dxa"/>
          </w:tcPr>
          <w:p>
            <w:pPr>
              <w:pStyle w:val="TableParagraph"/>
              <w:ind w:right="1"/>
              <w:jc w:val="center"/>
              <w:rPr>
                <w:sz w:val="24"/>
              </w:rPr>
            </w:pPr>
            <w:r>
              <w:rPr>
                <w:w w:val="99"/>
                <w:sz w:val="24"/>
              </w:rPr>
              <w:t>1</w:t>
            </w:r>
          </w:p>
        </w:tc>
        <w:tc>
          <w:tcPr>
            <w:tcW w:w="1464" w:type="dxa"/>
          </w:tcPr>
          <w:p>
            <w:pPr>
              <w:pStyle w:val="TableParagraph"/>
              <w:ind w:left="396" w:right="397"/>
              <w:jc w:val="center"/>
              <w:rPr>
                <w:sz w:val="24"/>
              </w:rPr>
            </w:pPr>
            <w:r>
              <w:rPr>
                <w:sz w:val="24"/>
              </w:rPr>
              <w:t>460%</w:t>
            </w:r>
          </w:p>
        </w:tc>
        <w:tc>
          <w:tcPr>
            <w:tcW w:w="2038" w:type="dxa"/>
            <w:tcBorders>
              <w:bottom w:val="single" w:sz="3" w:space="0" w:color="000000"/>
            </w:tcBorders>
          </w:tcPr>
          <w:p>
            <w:pPr>
              <w:pStyle w:val="TableParagraph"/>
              <w:ind w:left="107" w:right="108"/>
              <w:jc w:val="center"/>
              <w:rPr>
                <w:sz w:val="24"/>
              </w:rPr>
            </w:pPr>
            <w:r>
              <w:rPr>
                <w:sz w:val="24"/>
              </w:rPr>
              <w:t>$81,128,441.87</w:t>
            </w:r>
          </w:p>
        </w:tc>
        <w:tc>
          <w:tcPr>
            <w:tcW w:w="1536" w:type="dxa"/>
            <w:tcBorders>
              <w:right w:val="single" w:sz="3" w:space="0" w:color="000000"/>
            </w:tcBorders>
          </w:tcPr>
          <w:p>
            <w:pPr>
              <w:pStyle w:val="TableParagraph"/>
              <w:ind w:left="374" w:right="374"/>
              <w:jc w:val="center"/>
              <w:rPr>
                <w:sz w:val="24"/>
              </w:rPr>
            </w:pPr>
            <w:r>
              <w:rPr>
                <w:sz w:val="24"/>
              </w:rPr>
              <w:t>5.0759</w:t>
            </w:r>
          </w:p>
        </w:tc>
      </w:tr>
    </w:tbl>
    <w:p>
      <w:pPr>
        <w:pStyle w:val="BodyText"/>
        <w:ind w:left="2590" w:right="165"/>
      </w:pPr>
      <w:r>
        <w:rPr/>
        <w:t>Análisis de sensibilidad de Inversión</w:t>
      </w:r>
    </w:p>
    <w:p>
      <w:pPr>
        <w:pStyle w:val="BodyText"/>
        <w:spacing w:before="3"/>
        <w:rPr>
          <w:sz w:val="12"/>
        </w:rPr>
      </w:pPr>
    </w:p>
    <w:tbl>
      <w:tblPr>
        <w:tblW w:w="0" w:type="auto"/>
        <w:jc w:val="left"/>
        <w:tblInd w:w="13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32"/>
        <w:gridCol w:w="1620"/>
        <w:gridCol w:w="1807"/>
        <w:gridCol w:w="1620"/>
      </w:tblGrid>
      <w:tr>
        <w:trPr>
          <w:trHeight w:val="838" w:hRule="exact"/>
        </w:trPr>
        <w:tc>
          <w:tcPr>
            <w:tcW w:w="1332" w:type="dxa"/>
          </w:tcPr>
          <w:p>
            <w:pPr>
              <w:pStyle w:val="TableParagraph"/>
              <w:spacing w:before="207"/>
              <w:ind w:left="455" w:right="456"/>
              <w:jc w:val="center"/>
              <w:rPr>
                <w:sz w:val="24"/>
              </w:rPr>
            </w:pPr>
            <w:r>
              <w:rPr>
                <w:sz w:val="24"/>
              </w:rPr>
              <w:t>(%)</w:t>
            </w:r>
          </w:p>
        </w:tc>
        <w:tc>
          <w:tcPr>
            <w:tcW w:w="1620" w:type="dxa"/>
          </w:tcPr>
          <w:p>
            <w:pPr>
              <w:pStyle w:val="TableParagraph"/>
              <w:spacing w:before="207"/>
              <w:ind w:right="618"/>
              <w:jc w:val="right"/>
              <w:rPr>
                <w:sz w:val="24"/>
              </w:rPr>
            </w:pPr>
            <w:r>
              <w:rPr>
                <w:w w:val="95"/>
                <w:sz w:val="24"/>
              </w:rPr>
              <w:t>(%)</w:t>
            </w:r>
          </w:p>
        </w:tc>
        <w:tc>
          <w:tcPr>
            <w:tcW w:w="1807" w:type="dxa"/>
          </w:tcPr>
          <w:p>
            <w:pPr>
              <w:pStyle w:val="TableParagraph"/>
              <w:spacing w:line="360" w:lineRule="auto"/>
              <w:ind w:left="539" w:right="395" w:hanging="128"/>
              <w:rPr>
                <w:sz w:val="24"/>
              </w:rPr>
            </w:pPr>
            <w:r>
              <w:rPr>
                <w:sz w:val="24"/>
              </w:rPr>
              <w:t>(miles de pesos)</w:t>
            </w:r>
          </w:p>
        </w:tc>
        <w:tc>
          <w:tcPr>
            <w:tcW w:w="1620" w:type="dxa"/>
          </w:tcPr>
          <w:p>
            <w:pPr>
              <w:pStyle w:val="TableParagraph"/>
              <w:spacing w:before="207"/>
              <w:ind w:left="418" w:right="419"/>
              <w:jc w:val="center"/>
              <w:rPr>
                <w:sz w:val="24"/>
              </w:rPr>
            </w:pPr>
            <w:r>
              <w:rPr>
                <w:sz w:val="24"/>
              </w:rPr>
              <w:t>(%)</w:t>
            </w:r>
          </w:p>
        </w:tc>
      </w:tr>
      <w:tr>
        <w:trPr>
          <w:trHeight w:val="422" w:hRule="exact"/>
        </w:trPr>
        <w:tc>
          <w:tcPr>
            <w:tcW w:w="1332" w:type="dxa"/>
          </w:tcPr>
          <w:p>
            <w:pPr>
              <w:pStyle w:val="TableParagraph"/>
              <w:ind w:left="455" w:right="456"/>
              <w:jc w:val="center"/>
              <w:rPr>
                <w:sz w:val="24"/>
              </w:rPr>
            </w:pPr>
            <w:r>
              <w:rPr>
                <w:sz w:val="24"/>
              </w:rPr>
              <w:t>1.4</w:t>
            </w:r>
          </w:p>
        </w:tc>
        <w:tc>
          <w:tcPr>
            <w:tcW w:w="1620" w:type="dxa"/>
          </w:tcPr>
          <w:p>
            <w:pPr>
              <w:pStyle w:val="TableParagraph"/>
              <w:ind w:right="563"/>
              <w:jc w:val="right"/>
              <w:rPr>
                <w:sz w:val="24"/>
              </w:rPr>
            </w:pPr>
            <w:r>
              <w:rPr>
                <w:w w:val="95"/>
                <w:sz w:val="24"/>
              </w:rPr>
              <w:t>46%</w:t>
            </w:r>
          </w:p>
        </w:tc>
        <w:tc>
          <w:tcPr>
            <w:tcW w:w="1807" w:type="dxa"/>
          </w:tcPr>
          <w:p>
            <w:pPr>
              <w:pStyle w:val="TableParagraph"/>
              <w:ind w:left="67"/>
              <w:rPr>
                <w:sz w:val="24"/>
              </w:rPr>
            </w:pPr>
            <w:r>
              <w:rPr>
                <w:sz w:val="24"/>
              </w:rPr>
              <w:t>$35,544,902.01</w:t>
            </w:r>
          </w:p>
        </w:tc>
        <w:tc>
          <w:tcPr>
            <w:tcW w:w="1620" w:type="dxa"/>
          </w:tcPr>
          <w:p>
            <w:pPr>
              <w:pStyle w:val="TableParagraph"/>
              <w:ind w:left="419" w:right="419"/>
              <w:jc w:val="center"/>
              <w:rPr>
                <w:sz w:val="24"/>
              </w:rPr>
            </w:pPr>
            <w:r>
              <w:rPr>
                <w:sz w:val="24"/>
              </w:rPr>
              <w:t>4.8603</w:t>
            </w:r>
          </w:p>
        </w:tc>
      </w:tr>
      <w:tr>
        <w:trPr>
          <w:trHeight w:val="425" w:hRule="exact"/>
        </w:trPr>
        <w:tc>
          <w:tcPr>
            <w:tcW w:w="1332" w:type="dxa"/>
          </w:tcPr>
          <w:p>
            <w:pPr>
              <w:pStyle w:val="TableParagraph"/>
              <w:ind w:left="455" w:right="456"/>
              <w:jc w:val="center"/>
              <w:rPr>
                <w:sz w:val="24"/>
              </w:rPr>
            </w:pPr>
            <w:r>
              <w:rPr>
                <w:sz w:val="24"/>
              </w:rPr>
              <w:t>1.3</w:t>
            </w:r>
          </w:p>
        </w:tc>
        <w:tc>
          <w:tcPr>
            <w:tcW w:w="1620" w:type="dxa"/>
          </w:tcPr>
          <w:p>
            <w:pPr>
              <w:pStyle w:val="TableParagraph"/>
              <w:ind w:right="563"/>
              <w:jc w:val="right"/>
              <w:rPr>
                <w:sz w:val="24"/>
              </w:rPr>
            </w:pPr>
            <w:r>
              <w:rPr>
                <w:w w:val="95"/>
                <w:sz w:val="24"/>
              </w:rPr>
              <w:t>48%</w:t>
            </w:r>
          </w:p>
        </w:tc>
        <w:tc>
          <w:tcPr>
            <w:tcW w:w="1807" w:type="dxa"/>
          </w:tcPr>
          <w:p>
            <w:pPr>
              <w:pStyle w:val="TableParagraph"/>
              <w:ind w:left="67"/>
              <w:rPr>
                <w:sz w:val="24"/>
              </w:rPr>
            </w:pPr>
            <w:r>
              <w:rPr>
                <w:sz w:val="24"/>
              </w:rPr>
              <w:t>$43,162,315.34</w:t>
            </w:r>
          </w:p>
        </w:tc>
        <w:tc>
          <w:tcPr>
            <w:tcW w:w="1620" w:type="dxa"/>
          </w:tcPr>
          <w:p>
            <w:pPr>
              <w:pStyle w:val="TableParagraph"/>
              <w:ind w:left="419" w:right="419"/>
              <w:jc w:val="center"/>
              <w:rPr>
                <w:sz w:val="24"/>
              </w:rPr>
            </w:pPr>
            <w:r>
              <w:rPr>
                <w:sz w:val="24"/>
              </w:rPr>
              <w:t>4.7505</w:t>
            </w:r>
          </w:p>
        </w:tc>
      </w:tr>
      <w:tr>
        <w:trPr>
          <w:trHeight w:val="425" w:hRule="exact"/>
        </w:trPr>
        <w:tc>
          <w:tcPr>
            <w:tcW w:w="1332" w:type="dxa"/>
          </w:tcPr>
          <w:p>
            <w:pPr>
              <w:pStyle w:val="TableParagraph"/>
              <w:ind w:left="455" w:right="456"/>
              <w:jc w:val="center"/>
              <w:rPr>
                <w:sz w:val="24"/>
              </w:rPr>
            </w:pPr>
            <w:r>
              <w:rPr>
                <w:sz w:val="24"/>
              </w:rPr>
              <w:t>1.2</w:t>
            </w:r>
          </w:p>
        </w:tc>
        <w:tc>
          <w:tcPr>
            <w:tcW w:w="1620" w:type="dxa"/>
          </w:tcPr>
          <w:p>
            <w:pPr>
              <w:pStyle w:val="TableParagraph"/>
              <w:ind w:right="563"/>
              <w:jc w:val="right"/>
              <w:rPr>
                <w:sz w:val="24"/>
              </w:rPr>
            </w:pPr>
            <w:r>
              <w:rPr>
                <w:w w:val="95"/>
                <w:sz w:val="24"/>
              </w:rPr>
              <w:t>45%</w:t>
            </w:r>
          </w:p>
        </w:tc>
        <w:tc>
          <w:tcPr>
            <w:tcW w:w="1807" w:type="dxa"/>
          </w:tcPr>
          <w:p>
            <w:pPr>
              <w:pStyle w:val="TableParagraph"/>
              <w:ind w:left="67"/>
              <w:rPr>
                <w:sz w:val="24"/>
              </w:rPr>
            </w:pPr>
            <w:r>
              <w:rPr>
                <w:sz w:val="24"/>
              </w:rPr>
              <w:t>$43,162,315.34</w:t>
            </w:r>
          </w:p>
        </w:tc>
        <w:tc>
          <w:tcPr>
            <w:tcW w:w="1620" w:type="dxa"/>
          </w:tcPr>
          <w:p>
            <w:pPr>
              <w:pStyle w:val="TableParagraph"/>
              <w:ind w:left="419" w:right="419"/>
              <w:jc w:val="center"/>
              <w:rPr>
                <w:sz w:val="24"/>
              </w:rPr>
            </w:pPr>
            <w:r>
              <w:rPr>
                <w:sz w:val="24"/>
              </w:rPr>
              <w:t>5.3024</w:t>
            </w:r>
          </w:p>
        </w:tc>
      </w:tr>
      <w:tr>
        <w:trPr>
          <w:trHeight w:val="422" w:hRule="exact"/>
        </w:trPr>
        <w:tc>
          <w:tcPr>
            <w:tcW w:w="1332" w:type="dxa"/>
          </w:tcPr>
          <w:p>
            <w:pPr>
              <w:pStyle w:val="TableParagraph"/>
              <w:ind w:left="455" w:right="456"/>
              <w:jc w:val="center"/>
              <w:rPr>
                <w:sz w:val="24"/>
              </w:rPr>
            </w:pPr>
            <w:r>
              <w:rPr>
                <w:sz w:val="24"/>
              </w:rPr>
              <w:t>1.1</w:t>
            </w:r>
          </w:p>
        </w:tc>
        <w:tc>
          <w:tcPr>
            <w:tcW w:w="1620" w:type="dxa"/>
          </w:tcPr>
          <w:p>
            <w:pPr>
              <w:pStyle w:val="TableParagraph"/>
              <w:ind w:right="563"/>
              <w:jc w:val="right"/>
              <w:rPr>
                <w:sz w:val="24"/>
              </w:rPr>
            </w:pPr>
            <w:r>
              <w:rPr>
                <w:w w:val="95"/>
                <w:sz w:val="24"/>
              </w:rPr>
              <w:t>40%</w:t>
            </w:r>
          </w:p>
        </w:tc>
        <w:tc>
          <w:tcPr>
            <w:tcW w:w="1807" w:type="dxa"/>
          </w:tcPr>
          <w:p>
            <w:pPr>
              <w:pStyle w:val="TableParagraph"/>
              <w:ind w:left="67"/>
              <w:rPr>
                <w:sz w:val="24"/>
              </w:rPr>
            </w:pPr>
            <w:r>
              <w:rPr>
                <w:sz w:val="24"/>
              </w:rPr>
              <w:t>$47,548,428.77</w:t>
            </w:r>
          </w:p>
        </w:tc>
        <w:tc>
          <w:tcPr>
            <w:tcW w:w="1620" w:type="dxa"/>
          </w:tcPr>
          <w:p>
            <w:pPr>
              <w:pStyle w:val="TableParagraph"/>
              <w:ind w:left="419" w:right="419"/>
              <w:jc w:val="center"/>
              <w:rPr>
                <w:sz w:val="24"/>
              </w:rPr>
            </w:pPr>
            <w:r>
              <w:rPr>
                <w:sz w:val="24"/>
              </w:rPr>
              <w:t>4.7130</w:t>
            </w:r>
          </w:p>
        </w:tc>
      </w:tr>
      <w:tr>
        <w:trPr>
          <w:trHeight w:val="425" w:hRule="exact"/>
        </w:trPr>
        <w:tc>
          <w:tcPr>
            <w:tcW w:w="1332" w:type="dxa"/>
          </w:tcPr>
          <w:p>
            <w:pPr>
              <w:pStyle w:val="TableParagraph"/>
              <w:ind w:right="1"/>
              <w:jc w:val="center"/>
              <w:rPr>
                <w:sz w:val="24"/>
              </w:rPr>
            </w:pPr>
            <w:r>
              <w:rPr>
                <w:w w:val="99"/>
                <w:sz w:val="24"/>
              </w:rPr>
              <w:t>1</w:t>
            </w:r>
          </w:p>
        </w:tc>
        <w:tc>
          <w:tcPr>
            <w:tcW w:w="1620" w:type="dxa"/>
          </w:tcPr>
          <w:p>
            <w:pPr>
              <w:pStyle w:val="TableParagraph"/>
              <w:ind w:right="563"/>
              <w:jc w:val="right"/>
              <w:rPr>
                <w:sz w:val="24"/>
              </w:rPr>
            </w:pPr>
            <w:r>
              <w:rPr>
                <w:w w:val="95"/>
                <w:sz w:val="24"/>
              </w:rPr>
              <w:t>36%</w:t>
            </w:r>
          </w:p>
        </w:tc>
        <w:tc>
          <w:tcPr>
            <w:tcW w:w="1807" w:type="dxa"/>
          </w:tcPr>
          <w:p>
            <w:pPr>
              <w:pStyle w:val="TableParagraph"/>
              <w:ind w:left="67"/>
              <w:rPr>
                <w:sz w:val="24"/>
              </w:rPr>
            </w:pPr>
            <w:r>
              <w:rPr>
                <w:sz w:val="24"/>
              </w:rPr>
              <w:t>$52,383,335.18</w:t>
            </w:r>
          </w:p>
        </w:tc>
        <w:tc>
          <w:tcPr>
            <w:tcW w:w="1620" w:type="dxa"/>
          </w:tcPr>
          <w:p>
            <w:pPr>
              <w:pStyle w:val="TableParagraph"/>
              <w:ind w:left="419" w:right="419"/>
              <w:jc w:val="center"/>
              <w:rPr>
                <w:sz w:val="24"/>
              </w:rPr>
            </w:pPr>
            <w:r>
              <w:rPr>
                <w:sz w:val="24"/>
              </w:rPr>
              <w:t>5.0759</w:t>
            </w:r>
          </w:p>
        </w:tc>
      </w:tr>
    </w:tbl>
    <w:p>
      <w:pPr>
        <w:pStyle w:val="BodyText"/>
        <w:rPr>
          <w:sz w:val="20"/>
        </w:rPr>
      </w:pPr>
    </w:p>
    <w:p>
      <w:pPr>
        <w:pStyle w:val="Heading1"/>
        <w:numPr>
          <w:ilvl w:val="1"/>
          <w:numId w:val="24"/>
        </w:numPr>
        <w:tabs>
          <w:tab w:pos="640" w:val="left" w:leader="none"/>
        </w:tabs>
        <w:spacing w:line="240" w:lineRule="auto" w:before="185" w:after="0"/>
        <w:ind w:left="639" w:right="0" w:hanging="538"/>
        <w:jc w:val="both"/>
      </w:pPr>
      <w:r>
        <w:rPr/>
        <w:t>Análisis de</w:t>
      </w:r>
      <w:r>
        <w:rPr>
          <w:spacing w:val="-17"/>
        </w:rPr>
        <w:t> </w:t>
      </w:r>
      <w:r>
        <w:rPr/>
        <w:t>riesgos</w:t>
      </w:r>
    </w:p>
    <w:p>
      <w:pPr>
        <w:pStyle w:val="BodyText"/>
        <w:spacing w:line="360" w:lineRule="auto" w:before="137"/>
        <w:ind w:left="101" w:right="104"/>
        <w:jc w:val="both"/>
      </w:pPr>
      <w:r>
        <w:rPr/>
        <w:t>El principal riesgo que presenta este proyecto es la disponibilidad de la totalidad de recursos presupuestales para adquirir el vehículo en el tiempo previsto, ya que la autorización de recursos es únicamente para el ejercicio fiscal 2013 y esta situación generaría retrasos y sobrecostos por el tipo de cambio y gastos aduanales.</w:t>
      </w:r>
    </w:p>
    <w:p>
      <w:pPr>
        <w:spacing w:after="0" w:line="360" w:lineRule="auto"/>
        <w:jc w:val="both"/>
        <w:sectPr>
          <w:pgSz w:w="12240" w:h="15840"/>
          <w:pgMar w:header="0" w:footer="1005" w:top="1380" w:bottom="1200" w:left="1600" w:right="1600"/>
        </w:sectPr>
      </w:pPr>
    </w:p>
    <w:p>
      <w:pPr>
        <w:pStyle w:val="Heading1"/>
        <w:spacing w:before="46"/>
        <w:rPr>
          <w:b w:val="0"/>
        </w:rPr>
      </w:pPr>
      <w:r>
        <w:rPr/>
        <w:t>Conclusiones</w:t>
      </w:r>
      <w:r>
        <w:rPr>
          <w:b w:val="0"/>
        </w:rPr>
        <w:t>.</w:t>
      </w:r>
    </w:p>
    <w:p>
      <w:pPr>
        <w:pStyle w:val="BodyText"/>
      </w:pPr>
    </w:p>
    <w:p>
      <w:pPr>
        <w:pStyle w:val="BodyText"/>
        <w:spacing w:before="8"/>
        <w:rPr>
          <w:sz w:val="26"/>
        </w:rPr>
      </w:pPr>
    </w:p>
    <w:p>
      <w:pPr>
        <w:pStyle w:val="BodyText"/>
        <w:spacing w:line="312" w:lineRule="auto"/>
        <w:ind w:left="101" w:right="108"/>
        <w:jc w:val="both"/>
      </w:pPr>
      <w:r>
        <w:rPr/>
        <w:t>Después de realizar la evaluación de la Unidad de Atención Médica a Pacientes Críticos en Situación de Desastre se puede concluir lo siguiente:</w:t>
      </w:r>
    </w:p>
    <w:p>
      <w:pPr>
        <w:pStyle w:val="BodyText"/>
        <w:spacing w:line="312" w:lineRule="auto" w:before="3"/>
        <w:ind w:left="101" w:right="105"/>
        <w:jc w:val="both"/>
      </w:pPr>
      <w:r>
        <w:rPr/>
        <w:t>1.-La Unidad de Atención Médica a Pacientes Críticos en Situación de Desastre atenderá a la población total del Estado de México, siendo ésta de 15,175, 862 de habitantes (INEGI 2010) y cuenta con beneficios tales como evitar los traslados y agilizar los procesos de rehabilitación de la comunidad que se encuentra en zona de desastre.</w:t>
      </w:r>
    </w:p>
    <w:p>
      <w:pPr>
        <w:pStyle w:val="BodyText"/>
        <w:spacing w:line="312" w:lineRule="auto" w:before="3"/>
        <w:ind w:left="101" w:right="105"/>
        <w:jc w:val="both"/>
      </w:pPr>
      <w:r>
        <w:rPr/>
        <w:t>2.-El proyecto tiene un gran impacto social al atender a personas que han sido víctimas de un desastre y que se encuentran en estado crítico, lo que evita que durante el traslado a alguna unidad de atención médica puedan sufrir un mayor daño.</w:t>
      </w:r>
    </w:p>
    <w:p>
      <w:pPr>
        <w:pStyle w:val="BodyText"/>
        <w:spacing w:line="312" w:lineRule="auto" w:before="3"/>
        <w:ind w:left="101" w:right="98"/>
        <w:jc w:val="both"/>
      </w:pPr>
      <w:r>
        <w:rPr/>
        <w:t>3.-Al adquirir ésta Unidad la disponibilidad de especialidades médicas con las que se cuenta en una zona en la que ocurrió un desastre será mayor, razón por la  cual, se garantiza que la atención a las personas que se encuentran en estado crítico será eficiente, así mismo, como los pacientes graves son atendidos en el lugar de la catástrofe el total de traslados reducirá, lo cual ayudará a disminuir el número de defunciones y las secuelas médicas que se puedan llegar a presentar a consecuencia de éste tipo de</w:t>
      </w:r>
      <w:r>
        <w:rPr>
          <w:spacing w:val="-26"/>
        </w:rPr>
        <w:t> </w:t>
      </w:r>
      <w:r>
        <w:rPr/>
        <w:t>eventos.</w:t>
      </w:r>
    </w:p>
    <w:p>
      <w:pPr>
        <w:pStyle w:val="BodyText"/>
        <w:spacing w:line="312" w:lineRule="auto" w:before="3"/>
        <w:ind w:left="101" w:right="104"/>
        <w:jc w:val="both"/>
      </w:pPr>
      <w:r>
        <w:rPr/>
        <w:t>4.-Al adquirir una Unidad de Atención Médica a Pacientes Críticos en Situación de Desastre se contará con los suficientes recursos tecnológicos de vanguardia para proporcionar una atención médica acorde a las necesidades de la población víctima de un desastre.</w:t>
      </w:r>
    </w:p>
    <w:p>
      <w:pPr>
        <w:pStyle w:val="BodyText"/>
        <w:spacing w:line="312" w:lineRule="auto" w:before="3"/>
        <w:ind w:left="101" w:right="101"/>
        <w:jc w:val="both"/>
      </w:pPr>
      <w:r>
        <w:rPr/>
        <w:t>5.- El personal que estará adscrito a ésta unidad, al ser capacitado para realizar  un triage eficiente evitará los retrasos en la atención de pacientes que requieren atención inmediata debido a su estado crítico para evitar que empeore su diagnóstico por la demora que puede llegar a haber durante el traslado a unidades médicas que puedan resolver éstos</w:t>
      </w:r>
      <w:r>
        <w:rPr>
          <w:spacing w:val="-29"/>
        </w:rPr>
        <w:t> </w:t>
      </w:r>
      <w:r>
        <w:rPr/>
        <w:t>casos.</w:t>
      </w:r>
    </w:p>
    <w:p>
      <w:pPr>
        <w:pStyle w:val="BodyText"/>
        <w:spacing w:line="312" w:lineRule="auto" w:before="3"/>
        <w:ind w:left="101" w:right="102"/>
        <w:jc w:val="both"/>
      </w:pPr>
      <w:r>
        <w:rPr/>
        <w:t>6.-La Unidad de Atención Médica a Pacientes Críticos en Situación de Desastre se instala rápidamente garantizado la oportuna atención a personas que se encuentren en estado grave de acuerdo al triage, ayudando así a disminuir el estado de emergencia causado por los heridos que pueda haber  durante  un evento catastrófico.</w:t>
      </w:r>
    </w:p>
    <w:p>
      <w:pPr>
        <w:pStyle w:val="BodyText"/>
        <w:spacing w:line="312" w:lineRule="auto" w:before="3"/>
        <w:ind w:left="101" w:right="105"/>
        <w:jc w:val="both"/>
      </w:pPr>
      <w:r>
        <w:rPr/>
        <w:t>7.-El costo de atención de un paciente en estado grave por un traslado y la atención en una unidad hospitalaria se encuentra en un rango de 20,093 a</w:t>
      </w:r>
      <w:r>
        <w:rPr>
          <w:spacing w:val="60"/>
        </w:rPr>
        <w:t> </w:t>
      </w:r>
      <w:r>
        <w:rPr/>
        <w:t>37,000</w:t>
      </w:r>
    </w:p>
    <w:p>
      <w:pPr>
        <w:spacing w:after="0" w:line="312" w:lineRule="auto"/>
        <w:jc w:val="both"/>
        <w:sectPr>
          <w:footerReference w:type="default" r:id="rId40"/>
          <w:pgSz w:w="12240" w:h="15840"/>
          <w:pgMar w:footer="0" w:header="0" w:top="1380" w:bottom="280" w:left="1600" w:right="1600"/>
        </w:sectPr>
      </w:pPr>
    </w:p>
    <w:p>
      <w:pPr>
        <w:pStyle w:val="BodyText"/>
        <w:spacing w:before="50"/>
        <w:ind w:left="101"/>
        <w:jc w:val="both"/>
      </w:pPr>
      <w:r>
        <w:rPr/>
        <w:t>pesos, al llevar a cabo éste proyecto el beneficio es de 1.16.</w:t>
      </w:r>
    </w:p>
    <w:p>
      <w:pPr>
        <w:pStyle w:val="BodyText"/>
        <w:spacing w:line="312" w:lineRule="auto" w:before="84"/>
        <w:ind w:left="101" w:right="109"/>
        <w:jc w:val="both"/>
      </w:pPr>
      <w:r>
        <w:rPr/>
        <w:t>8.-En base al total de atenciones, el proyecto es rentable, debido a que en promedio deben de ser 228 pacientes anuales, y actualmente en situaciones de desastres los números oscilan alrededor de las 20, 757 personas atendidas en éste tipo de eventos.</w:t>
      </w:r>
    </w:p>
    <w:p>
      <w:pPr>
        <w:pStyle w:val="BodyText"/>
        <w:spacing w:line="312" w:lineRule="auto" w:before="3"/>
        <w:ind w:left="101" w:right="103" w:firstLine="67"/>
        <w:jc w:val="both"/>
      </w:pPr>
      <w:r>
        <w:rPr/>
        <w:t>9.-De acuerdo al Valor Presente Neto (VPN) y a la Tasa Interna de Retorno (TIR), se observa que el proyecto es viable y socialmente rentable.</w:t>
      </w:r>
    </w:p>
    <w:p>
      <w:pPr>
        <w:pStyle w:val="BodyText"/>
        <w:spacing w:line="312" w:lineRule="auto" w:before="3"/>
        <w:ind w:left="101" w:right="106"/>
        <w:jc w:val="both"/>
      </w:pPr>
      <w:r>
        <w:rPr/>
        <w:t>10.- El Costo Anual Equivalente (CAE) es de 307, 249, 122.4 y el Valor Presente de los Costos (VPC) 2,092,632,137.27 timando en cuenta el personal mínimo de operación, el mantenimiento preventivo y correctivo, así como la garantía de todas las piezas del equipo; debido a lo cual se puede observar que el proyecto es viable comparado con otras alternativas.</w:t>
      </w:r>
    </w:p>
    <w:p>
      <w:pPr>
        <w:spacing w:after="0" w:line="312" w:lineRule="auto"/>
        <w:jc w:val="both"/>
        <w:sectPr>
          <w:footerReference w:type="default" r:id="rId41"/>
          <w:pgSz w:w="12240" w:h="15840"/>
          <w:pgMar w:footer="0" w:header="0" w:top="1460" w:bottom="280" w:left="1600" w:right="1600"/>
        </w:sectPr>
      </w:pPr>
    </w:p>
    <w:p>
      <w:pPr>
        <w:pStyle w:val="Heading1"/>
        <w:spacing w:before="50"/>
      </w:pPr>
      <w:r>
        <w:rPr/>
        <w:t>Recomendaciones.</w:t>
      </w:r>
    </w:p>
    <w:p>
      <w:pPr>
        <w:pStyle w:val="BodyText"/>
        <w:spacing w:before="3"/>
        <w:rPr>
          <w:b/>
          <w:sz w:val="31"/>
        </w:rPr>
      </w:pPr>
    </w:p>
    <w:p>
      <w:pPr>
        <w:pStyle w:val="BodyText"/>
        <w:spacing w:line="360" w:lineRule="auto"/>
        <w:ind w:left="101" w:right="99"/>
        <w:jc w:val="both"/>
      </w:pPr>
      <w:r>
        <w:rPr/>
        <w:t>En general, las recomendaciones que se pueden realizar en base a la Unidad de Atención Médica a Pacientes Críticos en Situación de Desastre son:</w:t>
      </w:r>
    </w:p>
    <w:p>
      <w:pPr>
        <w:pStyle w:val="BodyText"/>
        <w:spacing w:line="360" w:lineRule="auto" w:before="2"/>
        <w:ind w:left="101" w:right="111"/>
        <w:jc w:val="both"/>
      </w:pPr>
      <w:r>
        <w:rPr/>
        <w:t>La adquisición inmediata de la unidad con la finalidad de tener el respaldo médico especializado durante un desastre.</w:t>
      </w:r>
    </w:p>
    <w:p>
      <w:pPr>
        <w:pStyle w:val="BodyText"/>
        <w:spacing w:line="360" w:lineRule="auto" w:before="2"/>
        <w:ind w:left="101" w:right="100"/>
        <w:jc w:val="both"/>
      </w:pPr>
      <w:r>
        <w:rPr/>
        <w:t>Así mismo, se recomienda la adquisición de más unidades para ampliar la cobertura de atención crítica a la población en situación de desastre.</w:t>
      </w:r>
    </w:p>
    <w:p>
      <w:pPr>
        <w:pStyle w:val="BodyText"/>
        <w:spacing w:line="360" w:lineRule="auto" w:before="2"/>
        <w:ind w:left="101" w:right="108"/>
        <w:jc w:val="both"/>
      </w:pPr>
      <w:r>
        <w:rPr/>
        <w:t>Por último, la ampliación de especialidades médicas dentro de las unidades ayudaría a cubrir completamente las necesidades de atención a población en situación de desastre.</w:t>
      </w:r>
    </w:p>
    <w:p>
      <w:pPr>
        <w:pStyle w:val="Heading1"/>
        <w:spacing w:before="89"/>
      </w:pPr>
      <w:r>
        <w:rPr/>
        <w:t>Limitaciones.</w:t>
      </w:r>
    </w:p>
    <w:p>
      <w:pPr>
        <w:pStyle w:val="BodyText"/>
        <w:spacing w:before="3"/>
        <w:rPr>
          <w:b/>
          <w:sz w:val="31"/>
        </w:rPr>
      </w:pPr>
    </w:p>
    <w:p>
      <w:pPr>
        <w:pStyle w:val="BodyText"/>
        <w:ind w:left="101"/>
        <w:jc w:val="both"/>
      </w:pPr>
      <w:r>
        <w:rPr/>
        <w:t>Para la adquisición de la unidad, las principales limitaciones podrían ser:</w:t>
      </w:r>
    </w:p>
    <w:p>
      <w:pPr>
        <w:pStyle w:val="BodyText"/>
        <w:spacing w:line="360" w:lineRule="auto" w:before="137"/>
        <w:ind w:left="101" w:right="111"/>
        <w:jc w:val="both"/>
      </w:pPr>
      <w:r>
        <w:rPr/>
        <w:t>Escaso personal médico especializado, lo cual se puede reforzar con el programa de Telemedicina.</w:t>
      </w:r>
    </w:p>
    <w:p>
      <w:pPr>
        <w:pStyle w:val="BodyText"/>
        <w:spacing w:line="360" w:lineRule="auto" w:before="2"/>
        <w:ind w:left="101" w:right="99"/>
        <w:jc w:val="both"/>
      </w:pPr>
      <w:r>
        <w:rPr/>
        <w:t>Escasa información referente a la estadística en desastre, principalmente por las condiciones en que se llega a atender a la población que se encuentra en ésta situación.</w:t>
      </w:r>
    </w:p>
    <w:p>
      <w:pPr>
        <w:pStyle w:val="BodyText"/>
        <w:spacing w:line="312" w:lineRule="auto" w:before="89"/>
        <w:ind w:left="101" w:right="110"/>
        <w:jc w:val="both"/>
      </w:pPr>
      <w:r>
        <w:rPr/>
        <w:t>La disponibilidad de helicópteros en caso de ser necesario el traslado aéreo de la unidad, en caso de que sea necesario asistir a comunidades totalmente incomunicadas.</w:t>
      </w:r>
    </w:p>
    <w:p>
      <w:pPr>
        <w:spacing w:after="0" w:line="312" w:lineRule="auto"/>
        <w:jc w:val="both"/>
        <w:sectPr>
          <w:footerReference w:type="default" r:id="rId42"/>
          <w:pgSz w:w="12240" w:h="15840"/>
          <w:pgMar w:footer="0" w:header="0" w:top="1460" w:bottom="280" w:left="1600" w:right="1600"/>
        </w:sectPr>
      </w:pPr>
    </w:p>
    <w:p>
      <w:pPr>
        <w:pStyle w:val="Heading1"/>
        <w:spacing w:before="50"/>
        <w:ind w:left="4085" w:right="4747"/>
        <w:jc w:val="center"/>
      </w:pPr>
      <w:r>
        <w:rPr/>
        <w:t>Anexos</w:t>
      </w:r>
    </w:p>
    <w:p>
      <w:pPr>
        <w:spacing w:before="84"/>
        <w:ind w:left="121" w:right="0" w:firstLine="0"/>
        <w:jc w:val="left"/>
        <w:rPr>
          <w:b/>
          <w:sz w:val="24"/>
        </w:rPr>
      </w:pPr>
      <w:r>
        <w:rPr>
          <w:b/>
          <w:sz w:val="24"/>
        </w:rPr>
        <w:t>A.1 Matriz del Marco Lógico</w:t>
      </w:r>
    </w:p>
    <w:p>
      <w:pPr>
        <w:pStyle w:val="BodyText"/>
        <w:rPr>
          <w:b/>
          <w:sz w:val="20"/>
        </w:rPr>
      </w:pPr>
    </w:p>
    <w:p>
      <w:pPr>
        <w:pStyle w:val="BodyText"/>
        <w:spacing w:before="7" w:after="1"/>
        <w:rPr>
          <w:b/>
          <w:sz w:val="11"/>
        </w:rPr>
      </w:pPr>
    </w:p>
    <w:tbl>
      <w:tblPr>
        <w:tblW w:w="0" w:type="auto"/>
        <w:jc w:val="left"/>
        <w:tblInd w:w="10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38"/>
        <w:gridCol w:w="880"/>
        <w:gridCol w:w="376"/>
        <w:gridCol w:w="839"/>
        <w:gridCol w:w="298"/>
        <w:gridCol w:w="1036"/>
        <w:gridCol w:w="552"/>
        <w:gridCol w:w="1699"/>
        <w:gridCol w:w="1702"/>
        <w:gridCol w:w="690"/>
        <w:gridCol w:w="303"/>
      </w:tblGrid>
      <w:tr>
        <w:trPr>
          <w:trHeight w:val="609" w:hRule="exact"/>
        </w:trPr>
        <w:tc>
          <w:tcPr>
            <w:tcW w:w="1138" w:type="dxa"/>
            <w:shd w:val="clear" w:color="auto" w:fill="FF0000"/>
          </w:tcPr>
          <w:p>
            <w:pPr>
              <w:pStyle w:val="TableParagraph"/>
              <w:spacing w:before="9"/>
              <w:rPr>
                <w:b/>
                <w:sz w:val="17"/>
              </w:rPr>
            </w:pPr>
          </w:p>
          <w:p>
            <w:pPr>
              <w:pStyle w:val="TableParagraph"/>
              <w:ind w:left="45" w:right="46"/>
              <w:jc w:val="center"/>
              <w:rPr>
                <w:sz w:val="16"/>
              </w:rPr>
            </w:pPr>
            <w:r>
              <w:rPr>
                <w:sz w:val="16"/>
              </w:rPr>
              <w:t>ITEM</w:t>
            </w:r>
          </w:p>
        </w:tc>
        <w:tc>
          <w:tcPr>
            <w:tcW w:w="2393" w:type="dxa"/>
            <w:gridSpan w:val="4"/>
            <w:shd w:val="clear" w:color="auto" w:fill="FF0000"/>
          </w:tcPr>
          <w:p>
            <w:pPr>
              <w:pStyle w:val="TableParagraph"/>
              <w:spacing w:before="9"/>
              <w:rPr>
                <w:b/>
                <w:sz w:val="17"/>
              </w:rPr>
            </w:pPr>
          </w:p>
          <w:p>
            <w:pPr>
              <w:pStyle w:val="TableParagraph"/>
              <w:ind w:left="516"/>
              <w:rPr>
                <w:sz w:val="16"/>
              </w:rPr>
            </w:pPr>
            <w:r>
              <w:rPr>
                <w:sz w:val="16"/>
              </w:rPr>
              <w:t>Resumen narrativo</w:t>
            </w:r>
          </w:p>
        </w:tc>
        <w:tc>
          <w:tcPr>
            <w:tcW w:w="1589" w:type="dxa"/>
            <w:gridSpan w:val="2"/>
            <w:shd w:val="clear" w:color="auto" w:fill="FF0000"/>
          </w:tcPr>
          <w:p>
            <w:pPr>
              <w:pStyle w:val="TableParagraph"/>
              <w:spacing w:before="9"/>
              <w:rPr>
                <w:b/>
                <w:sz w:val="17"/>
              </w:rPr>
            </w:pPr>
          </w:p>
          <w:p>
            <w:pPr>
              <w:pStyle w:val="TableParagraph"/>
              <w:ind w:left="376"/>
              <w:rPr>
                <w:sz w:val="16"/>
              </w:rPr>
            </w:pPr>
            <w:r>
              <w:rPr>
                <w:sz w:val="16"/>
              </w:rPr>
              <w:t>Indicadores</w:t>
            </w:r>
          </w:p>
        </w:tc>
        <w:tc>
          <w:tcPr>
            <w:tcW w:w="1699" w:type="dxa"/>
            <w:shd w:val="clear" w:color="auto" w:fill="FF0000"/>
          </w:tcPr>
          <w:p>
            <w:pPr>
              <w:pStyle w:val="TableParagraph"/>
              <w:spacing w:before="114"/>
              <w:ind w:left="446" w:right="425" w:firstLine="31"/>
              <w:rPr>
                <w:sz w:val="16"/>
              </w:rPr>
            </w:pPr>
            <w:r>
              <w:rPr>
                <w:sz w:val="16"/>
              </w:rPr>
              <w:t>Medios de verificación</w:t>
            </w:r>
          </w:p>
        </w:tc>
        <w:tc>
          <w:tcPr>
            <w:tcW w:w="2695" w:type="dxa"/>
            <w:gridSpan w:val="3"/>
            <w:shd w:val="clear" w:color="auto" w:fill="FF0000"/>
          </w:tcPr>
          <w:p>
            <w:pPr>
              <w:pStyle w:val="TableParagraph"/>
              <w:spacing w:before="9"/>
              <w:rPr>
                <w:b/>
                <w:sz w:val="17"/>
              </w:rPr>
            </w:pPr>
          </w:p>
          <w:p>
            <w:pPr>
              <w:pStyle w:val="TableParagraph"/>
              <w:ind w:left="945" w:right="946"/>
              <w:jc w:val="center"/>
              <w:rPr>
                <w:sz w:val="16"/>
              </w:rPr>
            </w:pPr>
            <w:r>
              <w:rPr>
                <w:sz w:val="16"/>
              </w:rPr>
              <w:t>Supuestos</w:t>
            </w:r>
          </w:p>
        </w:tc>
      </w:tr>
      <w:tr>
        <w:trPr>
          <w:trHeight w:val="1268" w:hRule="exact"/>
        </w:trPr>
        <w:tc>
          <w:tcPr>
            <w:tcW w:w="1138" w:type="dxa"/>
          </w:tcPr>
          <w:p>
            <w:pPr>
              <w:pStyle w:val="TableParagraph"/>
              <w:rPr>
                <w:b/>
                <w:sz w:val="16"/>
              </w:rPr>
            </w:pPr>
          </w:p>
          <w:p>
            <w:pPr>
              <w:pStyle w:val="TableParagraph"/>
              <w:spacing w:before="10"/>
              <w:rPr>
                <w:b/>
                <w:sz w:val="20"/>
              </w:rPr>
            </w:pPr>
          </w:p>
          <w:p>
            <w:pPr>
              <w:pStyle w:val="TableParagraph"/>
              <w:ind w:left="46" w:right="46"/>
              <w:jc w:val="center"/>
              <w:rPr>
                <w:sz w:val="16"/>
              </w:rPr>
            </w:pPr>
            <w:r>
              <w:rPr>
                <w:sz w:val="16"/>
              </w:rPr>
              <w:t>Fin</w:t>
            </w:r>
          </w:p>
        </w:tc>
        <w:tc>
          <w:tcPr>
            <w:tcW w:w="2393" w:type="dxa"/>
            <w:gridSpan w:val="4"/>
          </w:tcPr>
          <w:p>
            <w:pPr>
              <w:pStyle w:val="TableParagraph"/>
              <w:spacing w:line="276" w:lineRule="auto" w:before="2"/>
              <w:ind w:left="112" w:right="109" w:hanging="1"/>
              <w:jc w:val="center"/>
              <w:rPr>
                <w:sz w:val="16"/>
              </w:rPr>
            </w:pPr>
            <w:r>
              <w:rPr>
                <w:sz w:val="16"/>
              </w:rPr>
              <w:t>Disminuir las secuelas y complicaciones por falta de atención especializada oportuna a personas en situación crítica por desastres.</w:t>
            </w:r>
          </w:p>
        </w:tc>
        <w:tc>
          <w:tcPr>
            <w:tcW w:w="1589" w:type="dxa"/>
            <w:gridSpan w:val="2"/>
          </w:tcPr>
          <w:p>
            <w:pPr>
              <w:pStyle w:val="TableParagraph"/>
              <w:rPr>
                <w:b/>
                <w:sz w:val="16"/>
              </w:rPr>
            </w:pPr>
          </w:p>
          <w:p>
            <w:pPr>
              <w:pStyle w:val="TableParagraph"/>
              <w:spacing w:before="10"/>
              <w:rPr>
                <w:b/>
                <w:sz w:val="20"/>
              </w:rPr>
            </w:pPr>
          </w:p>
          <w:p>
            <w:pPr>
              <w:pStyle w:val="TableParagraph"/>
              <w:ind w:left="67"/>
              <w:rPr>
                <w:sz w:val="16"/>
              </w:rPr>
            </w:pPr>
            <w:r>
              <w:rPr>
                <w:sz w:val="16"/>
              </w:rPr>
              <w:t>Tasa de mortalidad.</w:t>
            </w:r>
          </w:p>
        </w:tc>
        <w:tc>
          <w:tcPr>
            <w:tcW w:w="1699" w:type="dxa"/>
          </w:tcPr>
          <w:p>
            <w:pPr>
              <w:pStyle w:val="TableParagraph"/>
              <w:spacing w:before="6"/>
              <w:rPr>
                <w:b/>
                <w:sz w:val="18"/>
              </w:rPr>
            </w:pPr>
          </w:p>
          <w:p>
            <w:pPr>
              <w:pStyle w:val="TableParagraph"/>
              <w:spacing w:line="276" w:lineRule="auto"/>
              <w:ind w:left="379" w:right="376" w:hanging="2"/>
              <w:jc w:val="center"/>
              <w:rPr>
                <w:sz w:val="16"/>
              </w:rPr>
            </w:pPr>
            <w:r>
              <w:rPr>
                <w:sz w:val="16"/>
              </w:rPr>
              <w:t>INEGI. CENAPRED. SUEM.</w:t>
            </w:r>
          </w:p>
        </w:tc>
        <w:tc>
          <w:tcPr>
            <w:tcW w:w="2695" w:type="dxa"/>
            <w:gridSpan w:val="3"/>
          </w:tcPr>
          <w:p>
            <w:pPr>
              <w:pStyle w:val="TableParagraph"/>
              <w:spacing w:before="6"/>
              <w:rPr>
                <w:b/>
                <w:sz w:val="18"/>
              </w:rPr>
            </w:pPr>
          </w:p>
          <w:p>
            <w:pPr>
              <w:pStyle w:val="TableParagraph"/>
              <w:spacing w:line="276" w:lineRule="auto"/>
              <w:ind w:left="67" w:right="64"/>
              <w:jc w:val="both"/>
              <w:rPr>
                <w:sz w:val="16"/>
              </w:rPr>
            </w:pPr>
            <w:r>
              <w:rPr>
                <w:sz w:val="16"/>
              </w:rPr>
              <w:t>Disminuye la situación de emergencia en salud dentro de la comunidad afectada.</w:t>
            </w:r>
          </w:p>
        </w:tc>
      </w:tr>
      <w:tr>
        <w:trPr>
          <w:trHeight w:val="910" w:hRule="exact"/>
        </w:trPr>
        <w:tc>
          <w:tcPr>
            <w:tcW w:w="1138" w:type="dxa"/>
          </w:tcPr>
          <w:p>
            <w:pPr>
              <w:pStyle w:val="TableParagraph"/>
              <w:rPr>
                <w:b/>
                <w:sz w:val="16"/>
              </w:rPr>
            </w:pPr>
          </w:p>
          <w:p>
            <w:pPr>
              <w:pStyle w:val="TableParagraph"/>
              <w:spacing w:before="11"/>
              <w:rPr>
                <w:b/>
                <w:sz w:val="14"/>
              </w:rPr>
            </w:pPr>
          </w:p>
          <w:p>
            <w:pPr>
              <w:pStyle w:val="TableParagraph"/>
              <w:ind w:left="46" w:right="46"/>
              <w:jc w:val="center"/>
              <w:rPr>
                <w:sz w:val="16"/>
              </w:rPr>
            </w:pPr>
            <w:r>
              <w:rPr>
                <w:sz w:val="16"/>
              </w:rPr>
              <w:t>Propósito</w:t>
            </w:r>
          </w:p>
        </w:tc>
        <w:tc>
          <w:tcPr>
            <w:tcW w:w="2393" w:type="dxa"/>
            <w:gridSpan w:val="4"/>
          </w:tcPr>
          <w:p>
            <w:pPr>
              <w:pStyle w:val="TableParagraph"/>
              <w:spacing w:before="1"/>
              <w:rPr>
                <w:b/>
                <w:sz w:val="15"/>
              </w:rPr>
            </w:pPr>
          </w:p>
          <w:p>
            <w:pPr>
              <w:pStyle w:val="TableParagraph"/>
              <w:tabs>
                <w:tab w:pos="1350" w:val="left" w:leader="none"/>
              </w:tabs>
              <w:ind w:left="64" w:right="62"/>
              <w:jc w:val="both"/>
              <w:rPr>
                <w:sz w:val="16"/>
              </w:rPr>
            </w:pPr>
            <w:r>
              <w:rPr>
                <w:sz w:val="16"/>
              </w:rPr>
              <w:t>Atención</w:t>
              <w:tab/>
            </w:r>
            <w:r>
              <w:rPr>
                <w:spacing w:val="-1"/>
                <w:sz w:val="16"/>
              </w:rPr>
              <w:t>especializada </w:t>
            </w:r>
            <w:r>
              <w:rPr>
                <w:sz w:val="16"/>
              </w:rPr>
              <w:t>oportuna en el lugar en una situación de</w:t>
            </w:r>
            <w:r>
              <w:rPr>
                <w:spacing w:val="-7"/>
                <w:sz w:val="16"/>
              </w:rPr>
              <w:t> </w:t>
            </w:r>
            <w:r>
              <w:rPr>
                <w:sz w:val="16"/>
              </w:rPr>
              <w:t>desastre.</w:t>
            </w:r>
          </w:p>
        </w:tc>
        <w:tc>
          <w:tcPr>
            <w:tcW w:w="1589" w:type="dxa"/>
            <w:gridSpan w:val="2"/>
          </w:tcPr>
          <w:p>
            <w:pPr>
              <w:pStyle w:val="TableParagraph"/>
              <w:tabs>
                <w:tab w:pos="1338" w:val="left" w:leader="none"/>
              </w:tabs>
              <w:spacing w:before="80"/>
              <w:ind w:left="67" w:right="62"/>
              <w:jc w:val="both"/>
              <w:rPr>
                <w:sz w:val="16"/>
              </w:rPr>
            </w:pPr>
            <w:r>
              <w:rPr>
                <w:sz w:val="16"/>
              </w:rPr>
              <w:t>Personas atendidas en comunidades en situación</w:t>
              <w:tab/>
              <w:t>de desastre.</w:t>
            </w:r>
          </w:p>
        </w:tc>
        <w:tc>
          <w:tcPr>
            <w:tcW w:w="1699" w:type="dxa"/>
          </w:tcPr>
          <w:p>
            <w:pPr>
              <w:pStyle w:val="TableParagraph"/>
              <w:rPr>
                <w:b/>
                <w:sz w:val="16"/>
              </w:rPr>
            </w:pPr>
          </w:p>
          <w:p>
            <w:pPr>
              <w:pStyle w:val="TableParagraph"/>
              <w:spacing w:before="11"/>
              <w:rPr>
                <w:b/>
                <w:sz w:val="14"/>
              </w:rPr>
            </w:pPr>
          </w:p>
          <w:p>
            <w:pPr>
              <w:pStyle w:val="TableParagraph"/>
              <w:ind w:left="428" w:right="428"/>
              <w:jc w:val="center"/>
              <w:rPr>
                <w:sz w:val="16"/>
              </w:rPr>
            </w:pPr>
            <w:r>
              <w:rPr>
                <w:sz w:val="16"/>
              </w:rPr>
              <w:t>SUEM.</w:t>
            </w:r>
          </w:p>
        </w:tc>
        <w:tc>
          <w:tcPr>
            <w:tcW w:w="1702" w:type="dxa"/>
            <w:tcBorders>
              <w:right w:val="nil"/>
            </w:tcBorders>
          </w:tcPr>
          <w:p>
            <w:pPr>
              <w:pStyle w:val="TableParagraph"/>
              <w:rPr>
                <w:b/>
                <w:sz w:val="23"/>
              </w:rPr>
            </w:pPr>
          </w:p>
          <w:p>
            <w:pPr>
              <w:pStyle w:val="TableParagraph"/>
              <w:ind w:left="67"/>
              <w:rPr>
                <w:sz w:val="16"/>
              </w:rPr>
            </w:pPr>
            <w:r>
              <w:rPr>
                <w:sz w:val="16"/>
              </w:rPr>
              <w:t>La atención médica adecuada y oportuna.</w:t>
            </w:r>
          </w:p>
        </w:tc>
        <w:tc>
          <w:tcPr>
            <w:tcW w:w="690" w:type="dxa"/>
            <w:tcBorders>
              <w:left w:val="nil"/>
              <w:right w:val="nil"/>
            </w:tcBorders>
          </w:tcPr>
          <w:p>
            <w:pPr>
              <w:pStyle w:val="TableParagraph"/>
              <w:rPr>
                <w:b/>
                <w:sz w:val="23"/>
              </w:rPr>
            </w:pPr>
          </w:p>
          <w:p>
            <w:pPr>
              <w:pStyle w:val="TableParagraph"/>
              <w:ind w:left="65"/>
              <w:rPr>
                <w:sz w:val="16"/>
              </w:rPr>
            </w:pPr>
            <w:r>
              <w:rPr>
                <w:sz w:val="16"/>
              </w:rPr>
              <w:t>recibida</w:t>
            </w:r>
          </w:p>
        </w:tc>
        <w:tc>
          <w:tcPr>
            <w:tcW w:w="303" w:type="dxa"/>
            <w:tcBorders>
              <w:left w:val="nil"/>
            </w:tcBorders>
          </w:tcPr>
          <w:p>
            <w:pPr>
              <w:pStyle w:val="TableParagraph"/>
              <w:rPr>
                <w:b/>
                <w:sz w:val="23"/>
              </w:rPr>
            </w:pPr>
          </w:p>
          <w:p>
            <w:pPr>
              <w:pStyle w:val="TableParagraph"/>
              <w:ind w:left="64"/>
              <w:rPr>
                <w:sz w:val="16"/>
              </w:rPr>
            </w:pPr>
            <w:r>
              <w:rPr>
                <w:sz w:val="16"/>
              </w:rPr>
              <w:t>es</w:t>
            </w:r>
          </w:p>
        </w:tc>
      </w:tr>
      <w:tr>
        <w:trPr>
          <w:trHeight w:val="1810" w:hRule="exact"/>
        </w:trPr>
        <w:tc>
          <w:tcPr>
            <w:tcW w:w="1138"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2"/>
              </w:rPr>
            </w:pPr>
          </w:p>
          <w:p>
            <w:pPr>
              <w:pStyle w:val="TableParagraph"/>
              <w:ind w:left="46" w:right="45"/>
              <w:jc w:val="center"/>
              <w:rPr>
                <w:sz w:val="16"/>
              </w:rPr>
            </w:pPr>
            <w:r>
              <w:rPr>
                <w:sz w:val="16"/>
              </w:rPr>
              <w:t>Componentes</w:t>
            </w:r>
          </w:p>
        </w:tc>
        <w:tc>
          <w:tcPr>
            <w:tcW w:w="880" w:type="dxa"/>
            <w:tcBorders>
              <w:right w:val="nil"/>
            </w:tcBorders>
          </w:tcPr>
          <w:p>
            <w:pPr>
              <w:pStyle w:val="TableParagraph"/>
              <w:rPr>
                <w:b/>
                <w:sz w:val="16"/>
              </w:rPr>
            </w:pPr>
          </w:p>
          <w:p>
            <w:pPr>
              <w:pStyle w:val="TableParagraph"/>
              <w:rPr>
                <w:b/>
                <w:sz w:val="16"/>
              </w:rPr>
            </w:pPr>
          </w:p>
          <w:p>
            <w:pPr>
              <w:pStyle w:val="TableParagraph"/>
              <w:spacing w:before="1"/>
              <w:rPr>
                <w:b/>
                <w:sz w:val="22"/>
              </w:rPr>
            </w:pPr>
          </w:p>
          <w:p>
            <w:pPr>
              <w:pStyle w:val="TableParagraph"/>
              <w:ind w:left="64" w:right="36"/>
              <w:rPr>
                <w:sz w:val="16"/>
              </w:rPr>
            </w:pPr>
            <w:r>
              <w:rPr>
                <w:sz w:val="16"/>
              </w:rPr>
              <w:t>Reducción personas desastre.</w:t>
            </w:r>
          </w:p>
        </w:tc>
        <w:tc>
          <w:tcPr>
            <w:tcW w:w="376" w:type="dxa"/>
            <w:tcBorders>
              <w:left w:val="nil"/>
              <w:right w:val="nil"/>
            </w:tcBorders>
          </w:tcPr>
          <w:p>
            <w:pPr>
              <w:pStyle w:val="TableParagraph"/>
              <w:rPr>
                <w:b/>
                <w:sz w:val="16"/>
              </w:rPr>
            </w:pPr>
          </w:p>
          <w:p>
            <w:pPr>
              <w:pStyle w:val="TableParagraph"/>
              <w:rPr>
                <w:b/>
                <w:sz w:val="16"/>
              </w:rPr>
            </w:pPr>
          </w:p>
          <w:p>
            <w:pPr>
              <w:pStyle w:val="TableParagraph"/>
              <w:spacing w:before="1"/>
              <w:rPr>
                <w:b/>
                <w:sz w:val="22"/>
              </w:rPr>
            </w:pPr>
          </w:p>
          <w:p>
            <w:pPr>
              <w:pStyle w:val="TableParagraph"/>
              <w:ind w:left="52" w:right="37" w:firstLine="88"/>
              <w:rPr>
                <w:sz w:val="16"/>
              </w:rPr>
            </w:pPr>
            <w:r>
              <w:rPr>
                <w:sz w:val="16"/>
              </w:rPr>
              <w:t>de en</w:t>
            </w:r>
          </w:p>
        </w:tc>
        <w:tc>
          <w:tcPr>
            <w:tcW w:w="839" w:type="dxa"/>
            <w:tcBorders>
              <w:left w:val="nil"/>
              <w:right w:val="nil"/>
            </w:tcBorders>
          </w:tcPr>
          <w:p>
            <w:pPr>
              <w:pStyle w:val="TableParagraph"/>
              <w:rPr>
                <w:b/>
                <w:sz w:val="16"/>
              </w:rPr>
            </w:pPr>
          </w:p>
          <w:p>
            <w:pPr>
              <w:pStyle w:val="TableParagraph"/>
              <w:rPr>
                <w:b/>
                <w:sz w:val="16"/>
              </w:rPr>
            </w:pPr>
          </w:p>
          <w:p>
            <w:pPr>
              <w:pStyle w:val="TableParagraph"/>
              <w:spacing w:before="1"/>
              <w:rPr>
                <w:b/>
                <w:sz w:val="22"/>
              </w:rPr>
            </w:pPr>
          </w:p>
          <w:p>
            <w:pPr>
              <w:pStyle w:val="TableParagraph"/>
              <w:ind w:left="56" w:right="32" w:firstLine="81"/>
              <w:rPr>
                <w:sz w:val="16"/>
              </w:rPr>
            </w:pPr>
            <w:r>
              <w:rPr>
                <w:sz w:val="16"/>
              </w:rPr>
              <w:t>traslados situación</w:t>
            </w:r>
          </w:p>
        </w:tc>
        <w:tc>
          <w:tcPr>
            <w:tcW w:w="298" w:type="dxa"/>
            <w:tcBorders>
              <w:left w:val="nil"/>
            </w:tcBorders>
          </w:tcPr>
          <w:p>
            <w:pPr>
              <w:pStyle w:val="TableParagraph"/>
              <w:rPr>
                <w:b/>
                <w:sz w:val="16"/>
              </w:rPr>
            </w:pPr>
          </w:p>
          <w:p>
            <w:pPr>
              <w:pStyle w:val="TableParagraph"/>
              <w:rPr>
                <w:b/>
                <w:sz w:val="16"/>
              </w:rPr>
            </w:pPr>
          </w:p>
          <w:p>
            <w:pPr>
              <w:pStyle w:val="TableParagraph"/>
              <w:spacing w:before="1"/>
              <w:rPr>
                <w:b/>
                <w:sz w:val="22"/>
              </w:rPr>
            </w:pPr>
          </w:p>
          <w:p>
            <w:pPr>
              <w:pStyle w:val="TableParagraph"/>
              <w:ind w:left="52" w:right="42" w:firstLine="91"/>
              <w:rPr>
                <w:sz w:val="16"/>
              </w:rPr>
            </w:pPr>
            <w:r>
              <w:rPr>
                <w:sz w:val="16"/>
              </w:rPr>
              <w:t>a de</w:t>
            </w:r>
          </w:p>
        </w:tc>
        <w:tc>
          <w:tcPr>
            <w:tcW w:w="1036" w:type="dxa"/>
            <w:tcBorders>
              <w:right w:val="nil"/>
            </w:tcBorders>
          </w:tcPr>
          <w:p>
            <w:pPr>
              <w:pStyle w:val="TableParagraph"/>
              <w:rPr>
                <w:b/>
                <w:sz w:val="16"/>
              </w:rPr>
            </w:pPr>
          </w:p>
          <w:p>
            <w:pPr>
              <w:pStyle w:val="TableParagraph"/>
              <w:spacing w:before="3"/>
              <w:rPr>
                <w:b/>
                <w:sz w:val="22"/>
              </w:rPr>
            </w:pPr>
          </w:p>
          <w:p>
            <w:pPr>
              <w:pStyle w:val="TableParagraph"/>
              <w:ind w:left="67" w:right="287"/>
              <w:rPr>
                <w:sz w:val="16"/>
              </w:rPr>
            </w:pPr>
            <w:r>
              <w:rPr>
                <w:sz w:val="16"/>
              </w:rPr>
              <w:t>Número traslados personas situación desastre.</w:t>
            </w:r>
          </w:p>
        </w:tc>
        <w:tc>
          <w:tcPr>
            <w:tcW w:w="552" w:type="dxa"/>
            <w:tcBorders>
              <w:left w:val="nil"/>
            </w:tcBorders>
          </w:tcPr>
          <w:p>
            <w:pPr>
              <w:pStyle w:val="TableParagraph"/>
              <w:rPr>
                <w:b/>
                <w:sz w:val="16"/>
              </w:rPr>
            </w:pPr>
          </w:p>
          <w:p>
            <w:pPr>
              <w:pStyle w:val="TableParagraph"/>
              <w:spacing w:before="3"/>
              <w:rPr>
                <w:b/>
                <w:sz w:val="22"/>
              </w:rPr>
            </w:pPr>
          </w:p>
          <w:p>
            <w:pPr>
              <w:pStyle w:val="TableParagraph"/>
              <w:ind w:left="306" w:right="62"/>
              <w:jc w:val="both"/>
              <w:rPr>
                <w:sz w:val="16"/>
              </w:rPr>
            </w:pPr>
            <w:r>
              <w:rPr>
                <w:sz w:val="16"/>
              </w:rPr>
              <w:t>de a en de</w:t>
            </w:r>
          </w:p>
        </w:tc>
        <w:tc>
          <w:tcPr>
            <w:tcW w:w="1699"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2"/>
              </w:rPr>
            </w:pPr>
          </w:p>
          <w:p>
            <w:pPr>
              <w:pStyle w:val="TableParagraph"/>
              <w:ind w:left="428" w:right="428"/>
              <w:jc w:val="center"/>
              <w:rPr>
                <w:sz w:val="16"/>
              </w:rPr>
            </w:pPr>
            <w:r>
              <w:rPr>
                <w:sz w:val="16"/>
              </w:rPr>
              <w:t>SUEM.</w:t>
            </w:r>
          </w:p>
        </w:tc>
        <w:tc>
          <w:tcPr>
            <w:tcW w:w="2695" w:type="dxa"/>
            <w:gridSpan w:val="3"/>
          </w:tcPr>
          <w:p>
            <w:pPr>
              <w:pStyle w:val="TableParagraph"/>
              <w:rPr>
                <w:b/>
                <w:sz w:val="16"/>
              </w:rPr>
            </w:pPr>
          </w:p>
          <w:p>
            <w:pPr>
              <w:pStyle w:val="TableParagraph"/>
              <w:rPr>
                <w:b/>
                <w:sz w:val="16"/>
              </w:rPr>
            </w:pPr>
          </w:p>
          <w:p>
            <w:pPr>
              <w:pStyle w:val="TableParagraph"/>
              <w:spacing w:before="2"/>
              <w:rPr>
                <w:b/>
                <w:sz w:val="14"/>
              </w:rPr>
            </w:pPr>
          </w:p>
          <w:p>
            <w:pPr>
              <w:pStyle w:val="TableParagraph"/>
              <w:ind w:left="67" w:right="62"/>
              <w:jc w:val="both"/>
              <w:rPr>
                <w:sz w:val="16"/>
              </w:rPr>
            </w:pPr>
            <w:r>
              <w:rPr>
                <w:sz w:val="16"/>
              </w:rPr>
              <w:t>Las personas atendidas en la Unidad Móvil Especializada son enviadas a los hospitales para su recuperación.</w:t>
            </w:r>
          </w:p>
        </w:tc>
      </w:tr>
      <w:tr>
        <w:trPr>
          <w:trHeight w:val="1812" w:hRule="exact"/>
        </w:trPr>
        <w:tc>
          <w:tcPr>
            <w:tcW w:w="1138"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2"/>
              </w:rPr>
            </w:pPr>
          </w:p>
          <w:p>
            <w:pPr>
              <w:pStyle w:val="TableParagraph"/>
              <w:ind w:left="46" w:right="45"/>
              <w:jc w:val="center"/>
              <w:rPr>
                <w:sz w:val="16"/>
              </w:rPr>
            </w:pPr>
            <w:r>
              <w:rPr>
                <w:sz w:val="16"/>
              </w:rPr>
              <w:t>Actividades</w:t>
            </w:r>
          </w:p>
        </w:tc>
        <w:tc>
          <w:tcPr>
            <w:tcW w:w="2393" w:type="dxa"/>
            <w:gridSpan w:val="4"/>
          </w:tcPr>
          <w:p>
            <w:pPr>
              <w:pStyle w:val="TableParagraph"/>
              <w:rPr>
                <w:b/>
                <w:sz w:val="16"/>
              </w:rPr>
            </w:pPr>
          </w:p>
          <w:p>
            <w:pPr>
              <w:pStyle w:val="TableParagraph"/>
              <w:rPr>
                <w:b/>
                <w:sz w:val="16"/>
              </w:rPr>
            </w:pPr>
          </w:p>
          <w:p>
            <w:pPr>
              <w:pStyle w:val="TableParagraph"/>
              <w:rPr>
                <w:b/>
                <w:sz w:val="16"/>
              </w:rPr>
            </w:pPr>
          </w:p>
          <w:p>
            <w:pPr>
              <w:pStyle w:val="TableParagraph"/>
              <w:spacing w:before="3"/>
              <w:rPr>
                <w:b/>
                <w:sz w:val="14"/>
              </w:rPr>
            </w:pPr>
          </w:p>
          <w:p>
            <w:pPr>
              <w:pStyle w:val="TableParagraph"/>
              <w:ind w:left="64"/>
              <w:rPr>
                <w:sz w:val="16"/>
              </w:rPr>
            </w:pPr>
            <w:r>
              <w:rPr>
                <w:sz w:val="16"/>
              </w:rPr>
              <w:t>Adquisición de una Unidad Médica Móvil Especializada.</w:t>
            </w:r>
          </w:p>
        </w:tc>
        <w:tc>
          <w:tcPr>
            <w:tcW w:w="1589" w:type="dxa"/>
            <w:gridSpan w:val="2"/>
          </w:tcPr>
          <w:p>
            <w:pPr>
              <w:pStyle w:val="TableParagraph"/>
              <w:rPr>
                <w:b/>
                <w:sz w:val="16"/>
              </w:rPr>
            </w:pPr>
          </w:p>
          <w:p>
            <w:pPr>
              <w:pStyle w:val="TableParagraph"/>
              <w:rPr>
                <w:b/>
                <w:sz w:val="16"/>
              </w:rPr>
            </w:pPr>
          </w:p>
          <w:p>
            <w:pPr>
              <w:pStyle w:val="TableParagraph"/>
              <w:rPr>
                <w:b/>
                <w:sz w:val="16"/>
              </w:rPr>
            </w:pPr>
          </w:p>
          <w:p>
            <w:pPr>
              <w:pStyle w:val="TableParagraph"/>
              <w:spacing w:before="2"/>
              <w:rPr>
                <w:b/>
                <w:sz w:val="22"/>
              </w:rPr>
            </w:pPr>
          </w:p>
          <w:p>
            <w:pPr>
              <w:pStyle w:val="TableParagraph"/>
              <w:ind w:left="67"/>
              <w:rPr>
                <w:sz w:val="16"/>
              </w:rPr>
            </w:pPr>
            <w:r>
              <w:rPr>
                <w:sz w:val="16"/>
              </w:rPr>
              <w:t>Presupuesto</w:t>
            </w:r>
          </w:p>
        </w:tc>
        <w:tc>
          <w:tcPr>
            <w:tcW w:w="1699" w:type="dxa"/>
          </w:tcPr>
          <w:p>
            <w:pPr>
              <w:pStyle w:val="TableParagraph"/>
              <w:rPr>
                <w:b/>
                <w:sz w:val="16"/>
              </w:rPr>
            </w:pPr>
          </w:p>
          <w:p>
            <w:pPr>
              <w:pStyle w:val="TableParagraph"/>
              <w:rPr>
                <w:b/>
                <w:sz w:val="16"/>
              </w:rPr>
            </w:pPr>
          </w:p>
          <w:p>
            <w:pPr>
              <w:pStyle w:val="TableParagraph"/>
              <w:rPr>
                <w:b/>
                <w:sz w:val="16"/>
              </w:rPr>
            </w:pPr>
          </w:p>
          <w:p>
            <w:pPr>
              <w:pStyle w:val="TableParagraph"/>
              <w:spacing w:before="2"/>
              <w:rPr>
                <w:b/>
                <w:sz w:val="22"/>
              </w:rPr>
            </w:pPr>
          </w:p>
          <w:p>
            <w:pPr>
              <w:pStyle w:val="TableParagraph"/>
              <w:ind w:left="432" w:right="428"/>
              <w:jc w:val="center"/>
              <w:rPr>
                <w:sz w:val="16"/>
              </w:rPr>
            </w:pPr>
            <w:r>
              <w:rPr>
                <w:sz w:val="16"/>
              </w:rPr>
              <w:t>Sría. Salud</w:t>
            </w:r>
          </w:p>
        </w:tc>
        <w:tc>
          <w:tcPr>
            <w:tcW w:w="2695" w:type="dxa"/>
            <w:gridSpan w:val="3"/>
          </w:tcPr>
          <w:p>
            <w:pPr>
              <w:pStyle w:val="TableParagraph"/>
              <w:rPr>
                <w:b/>
                <w:sz w:val="16"/>
              </w:rPr>
            </w:pPr>
          </w:p>
          <w:p>
            <w:pPr>
              <w:pStyle w:val="TableParagraph"/>
              <w:rPr>
                <w:b/>
                <w:sz w:val="16"/>
              </w:rPr>
            </w:pPr>
          </w:p>
          <w:p>
            <w:pPr>
              <w:pStyle w:val="TableParagraph"/>
              <w:spacing w:before="2"/>
              <w:rPr>
                <w:b/>
                <w:sz w:val="14"/>
              </w:rPr>
            </w:pPr>
          </w:p>
          <w:p>
            <w:pPr>
              <w:pStyle w:val="TableParagraph"/>
              <w:tabs>
                <w:tab w:pos="1152" w:val="left" w:leader="none"/>
                <w:tab w:pos="2246" w:val="left" w:leader="none"/>
              </w:tabs>
              <w:ind w:left="67" w:right="62"/>
              <w:jc w:val="both"/>
              <w:rPr>
                <w:sz w:val="16"/>
              </w:rPr>
            </w:pPr>
            <w:r>
              <w:rPr>
                <w:sz w:val="16"/>
              </w:rPr>
              <w:t>Se cuenta con el presupuesto autorizado para la compra de la Unidad</w:t>
              <w:tab/>
              <w:t>Médica</w:t>
              <w:tab/>
              <w:t>Móvil Especializada.</w:t>
            </w:r>
          </w:p>
        </w:tc>
      </w:tr>
    </w:tbl>
    <w:p>
      <w:pPr>
        <w:spacing w:after="0"/>
        <w:jc w:val="both"/>
        <w:rPr>
          <w:sz w:val="16"/>
        </w:rPr>
        <w:sectPr>
          <w:footerReference w:type="default" r:id="rId43"/>
          <w:pgSz w:w="12240" w:h="15840"/>
          <w:pgMar w:footer="0" w:header="0" w:top="1460" w:bottom="280" w:left="1580" w:right="920"/>
        </w:sectPr>
      </w:pPr>
    </w:p>
    <w:p>
      <w:pPr>
        <w:pStyle w:val="BodyText"/>
        <w:spacing w:before="1"/>
        <w:rPr>
          <w:b/>
          <w:sz w:val="26"/>
        </w:rPr>
      </w:pPr>
    </w:p>
    <w:p>
      <w:pPr>
        <w:spacing w:before="70"/>
        <w:ind w:left="2470" w:right="3272" w:firstLine="0"/>
        <w:jc w:val="center"/>
        <w:rPr>
          <w:b/>
          <w:sz w:val="24"/>
        </w:rPr>
      </w:pPr>
      <w:r>
        <w:rPr>
          <w:b/>
          <w:sz w:val="24"/>
        </w:rPr>
        <w:t>Anexo 2</w:t>
      </w:r>
    </w:p>
    <w:p>
      <w:pPr>
        <w:spacing w:before="84" w:after="5"/>
        <w:ind w:left="2470" w:right="3275" w:firstLine="0"/>
        <w:jc w:val="center"/>
        <w:rPr>
          <w:b/>
          <w:sz w:val="24"/>
        </w:rPr>
      </w:pPr>
      <w:r>
        <w:rPr>
          <w:b/>
          <w:sz w:val="24"/>
        </w:rPr>
        <w:t>COSTO ANUAL EQUIVALENTE DEL PROYECTO</w:t>
      </w:r>
    </w:p>
    <w:tbl>
      <w:tblPr>
        <w:tblW w:w="0" w:type="auto"/>
        <w:jc w:val="left"/>
        <w:tblInd w:w="425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465"/>
        <w:gridCol w:w="496"/>
      </w:tblGrid>
      <w:tr>
        <w:trPr>
          <w:trHeight w:val="389" w:hRule="exact"/>
        </w:trPr>
        <w:tc>
          <w:tcPr>
            <w:tcW w:w="1465" w:type="dxa"/>
            <w:tcBorders>
              <w:bottom w:val="single" w:sz="3" w:space="0" w:color="000000"/>
              <w:right w:val="single" w:sz="3" w:space="0" w:color="000000"/>
            </w:tcBorders>
            <w:shd w:val="clear" w:color="auto" w:fill="003399"/>
          </w:tcPr>
          <w:p>
            <w:pPr>
              <w:pStyle w:val="TableParagraph"/>
              <w:spacing w:before="8"/>
              <w:rPr>
                <w:b/>
                <w:sz w:val="15"/>
              </w:rPr>
            </w:pPr>
          </w:p>
          <w:p>
            <w:pPr>
              <w:pStyle w:val="TableParagraph"/>
              <w:ind w:left="61"/>
              <w:rPr>
                <w:rFonts w:ascii="Calibri"/>
                <w:b/>
                <w:sz w:val="16"/>
              </w:rPr>
            </w:pPr>
            <w:r>
              <w:rPr>
                <w:rFonts w:ascii="Calibri"/>
                <w:b/>
                <w:color w:val="FFFFFF"/>
                <w:sz w:val="16"/>
              </w:rPr>
              <w:t>Tasa de Descuento</w:t>
            </w:r>
          </w:p>
        </w:tc>
        <w:tc>
          <w:tcPr>
            <w:tcW w:w="496" w:type="dxa"/>
            <w:tcBorders>
              <w:left w:val="single" w:sz="3" w:space="0" w:color="000000"/>
              <w:bottom w:val="single" w:sz="3" w:space="0" w:color="000000"/>
            </w:tcBorders>
            <w:shd w:val="clear" w:color="auto" w:fill="003399"/>
          </w:tcPr>
          <w:p>
            <w:pPr>
              <w:pStyle w:val="TableParagraph"/>
              <w:spacing w:before="8"/>
              <w:rPr>
                <w:b/>
                <w:sz w:val="15"/>
              </w:rPr>
            </w:pPr>
          </w:p>
          <w:p>
            <w:pPr>
              <w:pStyle w:val="TableParagraph"/>
              <w:ind w:left="125" w:right="37"/>
              <w:jc w:val="center"/>
              <w:rPr>
                <w:rFonts w:ascii="Calibri"/>
                <w:b/>
                <w:sz w:val="16"/>
              </w:rPr>
            </w:pPr>
            <w:r>
              <w:rPr>
                <w:rFonts w:ascii="Calibri"/>
                <w:b/>
                <w:color w:val="FFFFFF"/>
                <w:sz w:val="16"/>
              </w:rPr>
              <w:t>12%</w:t>
            </w:r>
          </w:p>
        </w:tc>
      </w:tr>
      <w:tr>
        <w:trPr>
          <w:trHeight w:val="385" w:hRule="exact"/>
        </w:trPr>
        <w:tc>
          <w:tcPr>
            <w:tcW w:w="1465" w:type="dxa"/>
            <w:tcBorders>
              <w:top w:val="single" w:sz="3" w:space="0" w:color="000000"/>
              <w:bottom w:val="single" w:sz="6" w:space="0" w:color="FFFFFF"/>
              <w:right w:val="single" w:sz="3" w:space="0" w:color="000000"/>
            </w:tcBorders>
            <w:shd w:val="clear" w:color="auto" w:fill="003399"/>
          </w:tcPr>
          <w:p>
            <w:pPr>
              <w:pStyle w:val="TableParagraph"/>
              <w:spacing w:before="8"/>
              <w:rPr>
                <w:b/>
                <w:sz w:val="15"/>
              </w:rPr>
            </w:pPr>
          </w:p>
          <w:p>
            <w:pPr>
              <w:pStyle w:val="TableParagraph"/>
              <w:ind w:left="61"/>
              <w:rPr>
                <w:rFonts w:ascii="Calibri"/>
                <w:b/>
                <w:sz w:val="16"/>
              </w:rPr>
            </w:pPr>
            <w:r>
              <w:rPr>
                <w:rFonts w:ascii="Calibri"/>
                <w:b/>
                <w:color w:val="FFFFFF"/>
                <w:sz w:val="16"/>
              </w:rPr>
              <w:t>Vida Util</w:t>
            </w:r>
          </w:p>
        </w:tc>
        <w:tc>
          <w:tcPr>
            <w:tcW w:w="496" w:type="dxa"/>
            <w:tcBorders>
              <w:top w:val="single" w:sz="3" w:space="0" w:color="000000"/>
              <w:left w:val="single" w:sz="3" w:space="0" w:color="000000"/>
              <w:bottom w:val="single" w:sz="6" w:space="0" w:color="FFFFFF"/>
            </w:tcBorders>
            <w:shd w:val="clear" w:color="auto" w:fill="003399"/>
          </w:tcPr>
          <w:p>
            <w:pPr>
              <w:pStyle w:val="TableParagraph"/>
              <w:spacing w:before="8"/>
              <w:rPr>
                <w:b/>
                <w:sz w:val="15"/>
              </w:rPr>
            </w:pPr>
          </w:p>
          <w:p>
            <w:pPr>
              <w:pStyle w:val="TableParagraph"/>
              <w:ind w:left="207" w:right="5"/>
              <w:jc w:val="center"/>
              <w:rPr>
                <w:rFonts w:ascii="Calibri"/>
                <w:b/>
                <w:sz w:val="16"/>
              </w:rPr>
            </w:pPr>
            <w:r>
              <w:rPr>
                <w:rFonts w:ascii="Calibri"/>
                <w:b/>
                <w:color w:val="FFFFFF"/>
                <w:sz w:val="16"/>
              </w:rPr>
              <w:t>15</w:t>
            </w:r>
          </w:p>
        </w:tc>
      </w:tr>
      <w:tr>
        <w:trPr>
          <w:trHeight w:val="403" w:hRule="exact"/>
        </w:trPr>
        <w:tc>
          <w:tcPr>
            <w:tcW w:w="1465" w:type="dxa"/>
            <w:tcBorders>
              <w:top w:val="single" w:sz="6" w:space="0" w:color="FFFFFF"/>
              <w:right w:val="single" w:sz="3" w:space="0" w:color="000000"/>
            </w:tcBorders>
            <w:shd w:val="clear" w:color="auto" w:fill="003399"/>
          </w:tcPr>
          <w:p>
            <w:pPr>
              <w:pStyle w:val="TableParagraph"/>
              <w:spacing w:before="9"/>
              <w:rPr>
                <w:b/>
                <w:sz w:val="16"/>
              </w:rPr>
            </w:pPr>
          </w:p>
          <w:p>
            <w:pPr>
              <w:pStyle w:val="TableParagraph"/>
              <w:ind w:left="61"/>
              <w:rPr>
                <w:rFonts w:ascii="Calibri" w:hAnsi="Calibri"/>
                <w:b/>
                <w:sz w:val="16"/>
              </w:rPr>
            </w:pPr>
            <w:r>
              <w:rPr>
                <w:rFonts w:ascii="Calibri" w:hAnsi="Calibri"/>
                <w:b/>
                <w:color w:val="FFFFFF"/>
                <w:sz w:val="16"/>
              </w:rPr>
              <w:t>Inflación</w:t>
            </w:r>
          </w:p>
        </w:tc>
        <w:tc>
          <w:tcPr>
            <w:tcW w:w="496" w:type="dxa"/>
            <w:tcBorders>
              <w:top w:val="single" w:sz="6" w:space="0" w:color="FFFFFF"/>
              <w:left w:val="single" w:sz="3" w:space="0" w:color="000000"/>
            </w:tcBorders>
            <w:shd w:val="clear" w:color="auto" w:fill="003399"/>
          </w:tcPr>
          <w:p>
            <w:pPr>
              <w:pStyle w:val="TableParagraph"/>
              <w:spacing w:before="9"/>
              <w:rPr>
                <w:b/>
                <w:sz w:val="16"/>
              </w:rPr>
            </w:pPr>
          </w:p>
          <w:p>
            <w:pPr>
              <w:pStyle w:val="TableParagraph"/>
              <w:ind w:left="207" w:right="37"/>
              <w:jc w:val="center"/>
              <w:rPr>
                <w:rFonts w:ascii="Calibri"/>
                <w:b/>
                <w:sz w:val="16"/>
              </w:rPr>
            </w:pPr>
            <w:r>
              <w:rPr>
                <w:rFonts w:ascii="Calibri"/>
                <w:b/>
                <w:color w:val="FFFFFF"/>
                <w:sz w:val="16"/>
              </w:rPr>
              <w:t>0%</w:t>
            </w:r>
          </w:p>
        </w:tc>
      </w:tr>
    </w:tbl>
    <w:p>
      <w:pPr>
        <w:pStyle w:val="BodyText"/>
        <w:rPr>
          <w:b/>
          <w:sz w:val="20"/>
        </w:rPr>
      </w:pPr>
    </w:p>
    <w:p>
      <w:pPr>
        <w:pStyle w:val="BodyText"/>
        <w:spacing w:before="9"/>
        <w:rPr>
          <w:b/>
          <w:sz w:val="11"/>
        </w:rPr>
      </w:pPr>
    </w:p>
    <w:tbl>
      <w:tblPr>
        <w:tblW w:w="0" w:type="auto"/>
        <w:jc w:val="left"/>
        <w:tblInd w:w="10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985"/>
        <w:gridCol w:w="991"/>
        <w:gridCol w:w="1135"/>
        <w:gridCol w:w="1133"/>
        <w:gridCol w:w="1207"/>
        <w:gridCol w:w="1210"/>
        <w:gridCol w:w="1207"/>
        <w:gridCol w:w="1207"/>
        <w:gridCol w:w="982"/>
      </w:tblGrid>
      <w:tr>
        <w:trPr>
          <w:trHeight w:val="378" w:hRule="exact"/>
        </w:trPr>
        <w:tc>
          <w:tcPr>
            <w:tcW w:w="1985" w:type="dxa"/>
            <w:tcBorders>
              <w:right w:val="single" w:sz="3" w:space="0" w:color="000000"/>
            </w:tcBorders>
            <w:shd w:val="clear" w:color="auto" w:fill="D4CFB5"/>
          </w:tcPr>
          <w:p>
            <w:pPr>
              <w:pStyle w:val="TableParagraph"/>
              <w:rPr>
                <w:b/>
                <w:sz w:val="12"/>
              </w:rPr>
            </w:pPr>
          </w:p>
          <w:p>
            <w:pPr>
              <w:pStyle w:val="TableParagraph"/>
              <w:spacing w:before="78"/>
              <w:ind w:left="62"/>
              <w:rPr>
                <w:rFonts w:ascii="Calibri"/>
                <w:b/>
                <w:sz w:val="12"/>
              </w:rPr>
            </w:pPr>
            <w:r>
              <w:rPr>
                <w:rFonts w:ascii="Calibri"/>
                <w:b/>
                <w:sz w:val="12"/>
              </w:rPr>
              <w:t>Periodo</w:t>
            </w:r>
          </w:p>
        </w:tc>
        <w:tc>
          <w:tcPr>
            <w:tcW w:w="99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3"/>
              <w:jc w:val="center"/>
              <w:rPr>
                <w:rFonts w:ascii="Calibri"/>
                <w:b/>
                <w:sz w:val="12"/>
              </w:rPr>
            </w:pPr>
            <w:r>
              <w:rPr>
                <w:rFonts w:ascii="Calibri"/>
                <w:b/>
                <w:w w:val="99"/>
                <w:sz w:val="12"/>
              </w:rPr>
              <w:t>0</w:t>
            </w:r>
          </w:p>
        </w:tc>
        <w:tc>
          <w:tcPr>
            <w:tcW w:w="1135"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right="1"/>
              <w:jc w:val="center"/>
              <w:rPr>
                <w:rFonts w:ascii="Calibri"/>
                <w:b/>
                <w:sz w:val="12"/>
              </w:rPr>
            </w:pPr>
            <w:r>
              <w:rPr>
                <w:rFonts w:ascii="Calibri"/>
                <w:b/>
                <w:w w:val="99"/>
                <w:sz w:val="12"/>
              </w:rPr>
              <w:t>1</w:t>
            </w:r>
          </w:p>
        </w:tc>
        <w:tc>
          <w:tcPr>
            <w:tcW w:w="1133"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right="2"/>
              <w:jc w:val="center"/>
              <w:rPr>
                <w:rFonts w:ascii="Calibri"/>
                <w:b/>
                <w:sz w:val="12"/>
              </w:rPr>
            </w:pPr>
            <w:r>
              <w:rPr>
                <w:rFonts w:ascii="Calibri"/>
                <w:b/>
                <w:w w:val="99"/>
                <w:sz w:val="12"/>
              </w:rPr>
              <w:t>2</w:t>
            </w:r>
          </w:p>
        </w:tc>
        <w:tc>
          <w:tcPr>
            <w:tcW w:w="1207"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3"/>
              <w:jc w:val="center"/>
              <w:rPr>
                <w:rFonts w:ascii="Calibri"/>
                <w:b/>
                <w:sz w:val="12"/>
              </w:rPr>
            </w:pPr>
            <w:r>
              <w:rPr>
                <w:rFonts w:ascii="Calibri"/>
                <w:b/>
                <w:w w:val="99"/>
                <w:sz w:val="12"/>
              </w:rPr>
              <w:t>3</w:t>
            </w:r>
          </w:p>
        </w:tc>
        <w:tc>
          <w:tcPr>
            <w:tcW w:w="1210"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jc w:val="center"/>
              <w:rPr>
                <w:rFonts w:ascii="Calibri"/>
                <w:b/>
                <w:sz w:val="12"/>
              </w:rPr>
            </w:pPr>
            <w:r>
              <w:rPr>
                <w:rFonts w:ascii="Calibri"/>
                <w:b/>
                <w:w w:val="99"/>
                <w:sz w:val="12"/>
              </w:rPr>
              <w:t>4</w:t>
            </w:r>
          </w:p>
        </w:tc>
        <w:tc>
          <w:tcPr>
            <w:tcW w:w="1207"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3"/>
              <w:jc w:val="center"/>
              <w:rPr>
                <w:rFonts w:ascii="Calibri"/>
                <w:b/>
                <w:sz w:val="12"/>
              </w:rPr>
            </w:pPr>
            <w:r>
              <w:rPr>
                <w:rFonts w:ascii="Calibri"/>
                <w:b/>
                <w:w w:val="99"/>
                <w:sz w:val="12"/>
              </w:rPr>
              <w:t>5</w:t>
            </w:r>
          </w:p>
        </w:tc>
        <w:tc>
          <w:tcPr>
            <w:tcW w:w="1207"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3"/>
              <w:jc w:val="center"/>
              <w:rPr>
                <w:rFonts w:ascii="Calibri"/>
                <w:b/>
                <w:sz w:val="12"/>
              </w:rPr>
            </w:pPr>
            <w:r>
              <w:rPr>
                <w:rFonts w:ascii="Calibri"/>
                <w:b/>
                <w:w w:val="99"/>
                <w:sz w:val="12"/>
              </w:rPr>
              <w:t>6</w:t>
            </w:r>
          </w:p>
        </w:tc>
        <w:tc>
          <w:tcPr>
            <w:tcW w:w="982"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right="1"/>
              <w:jc w:val="center"/>
              <w:rPr>
                <w:rFonts w:ascii="Calibri"/>
                <w:b/>
                <w:sz w:val="12"/>
              </w:rPr>
            </w:pPr>
            <w:r>
              <w:rPr>
                <w:rFonts w:ascii="Calibri"/>
                <w:b/>
                <w:w w:val="99"/>
                <w:sz w:val="12"/>
              </w:rPr>
              <w:t>7</w:t>
            </w:r>
          </w:p>
        </w:tc>
      </w:tr>
      <w:tr>
        <w:trPr>
          <w:trHeight w:val="376" w:hRule="exact"/>
        </w:trPr>
        <w:tc>
          <w:tcPr>
            <w:tcW w:w="1985" w:type="dxa"/>
            <w:tcBorders>
              <w:bottom w:val="single" w:sz="3" w:space="0" w:color="000000"/>
              <w:right w:val="single" w:sz="3" w:space="0" w:color="000000"/>
            </w:tcBorders>
          </w:tcPr>
          <w:p>
            <w:pPr>
              <w:pStyle w:val="TableParagraph"/>
              <w:rPr>
                <w:b/>
                <w:sz w:val="12"/>
              </w:rPr>
            </w:pPr>
          </w:p>
          <w:p>
            <w:pPr>
              <w:pStyle w:val="TableParagraph"/>
              <w:spacing w:before="80"/>
              <w:ind w:left="62"/>
              <w:rPr>
                <w:rFonts w:ascii="Calibri" w:hAnsi="Calibri"/>
                <w:sz w:val="12"/>
              </w:rPr>
            </w:pPr>
            <w:r>
              <w:rPr>
                <w:rFonts w:ascii="Calibri" w:hAnsi="Calibri"/>
                <w:sz w:val="12"/>
              </w:rPr>
              <w:t>Inversión</w:t>
            </w:r>
          </w:p>
        </w:tc>
        <w:tc>
          <w:tcPr>
            <w:tcW w:w="991" w:type="dxa"/>
            <w:tcBorders>
              <w:left w:val="single" w:sz="3" w:space="0" w:color="000000"/>
              <w:bottom w:val="single" w:sz="3" w:space="0" w:color="000000"/>
              <w:right w:val="single" w:sz="3" w:space="0" w:color="000000"/>
            </w:tcBorders>
          </w:tcPr>
          <w:p>
            <w:pPr>
              <w:pStyle w:val="TableParagraph"/>
              <w:rPr>
                <w:b/>
                <w:sz w:val="12"/>
              </w:rPr>
            </w:pPr>
          </w:p>
          <w:p>
            <w:pPr>
              <w:pStyle w:val="TableParagraph"/>
              <w:spacing w:before="80"/>
              <w:ind w:left="85" w:right="71"/>
              <w:jc w:val="center"/>
              <w:rPr>
                <w:rFonts w:ascii="Calibri"/>
                <w:sz w:val="12"/>
              </w:rPr>
            </w:pPr>
            <w:r>
              <w:rPr>
                <w:rFonts w:ascii="Calibri"/>
                <w:sz w:val="12"/>
              </w:rPr>
              <w:t>$ 37,562,201.68</w:t>
            </w:r>
          </w:p>
        </w:tc>
        <w:tc>
          <w:tcPr>
            <w:tcW w:w="1135" w:type="dxa"/>
            <w:tcBorders>
              <w:left w:val="single" w:sz="3" w:space="0" w:color="000000"/>
              <w:bottom w:val="single" w:sz="3" w:space="0" w:color="000000"/>
              <w:right w:val="single" w:sz="3" w:space="0" w:color="000000"/>
            </w:tcBorders>
          </w:tcPr>
          <w:p>
            <w:pPr/>
          </w:p>
        </w:tc>
        <w:tc>
          <w:tcPr>
            <w:tcW w:w="1133" w:type="dxa"/>
            <w:tcBorders>
              <w:left w:val="single" w:sz="3" w:space="0" w:color="000000"/>
              <w:bottom w:val="single" w:sz="3" w:space="0" w:color="000000"/>
              <w:right w:val="single" w:sz="3" w:space="0" w:color="000000"/>
            </w:tcBorders>
          </w:tcPr>
          <w:p>
            <w:pPr/>
          </w:p>
        </w:tc>
        <w:tc>
          <w:tcPr>
            <w:tcW w:w="1207" w:type="dxa"/>
            <w:tcBorders>
              <w:left w:val="single" w:sz="3" w:space="0" w:color="000000"/>
              <w:bottom w:val="single" w:sz="3" w:space="0" w:color="000000"/>
              <w:right w:val="single" w:sz="3" w:space="0" w:color="000000"/>
            </w:tcBorders>
          </w:tcPr>
          <w:p>
            <w:pPr/>
          </w:p>
        </w:tc>
        <w:tc>
          <w:tcPr>
            <w:tcW w:w="1210" w:type="dxa"/>
            <w:tcBorders>
              <w:left w:val="single" w:sz="3" w:space="0" w:color="000000"/>
              <w:bottom w:val="single" w:sz="3" w:space="0" w:color="000000"/>
              <w:right w:val="single" w:sz="3" w:space="0" w:color="000000"/>
            </w:tcBorders>
          </w:tcPr>
          <w:p>
            <w:pPr/>
          </w:p>
        </w:tc>
        <w:tc>
          <w:tcPr>
            <w:tcW w:w="1207" w:type="dxa"/>
            <w:tcBorders>
              <w:left w:val="single" w:sz="3" w:space="0" w:color="000000"/>
              <w:bottom w:val="single" w:sz="3" w:space="0" w:color="000000"/>
              <w:right w:val="single" w:sz="3" w:space="0" w:color="000000"/>
            </w:tcBorders>
          </w:tcPr>
          <w:p>
            <w:pPr/>
          </w:p>
        </w:tc>
        <w:tc>
          <w:tcPr>
            <w:tcW w:w="1207" w:type="dxa"/>
            <w:tcBorders>
              <w:left w:val="single" w:sz="3" w:space="0" w:color="000000"/>
              <w:bottom w:val="single" w:sz="3" w:space="0" w:color="000000"/>
              <w:right w:val="single" w:sz="3" w:space="0" w:color="000000"/>
            </w:tcBorders>
          </w:tcPr>
          <w:p>
            <w:pPr/>
          </w:p>
        </w:tc>
        <w:tc>
          <w:tcPr>
            <w:tcW w:w="982" w:type="dxa"/>
            <w:tcBorders>
              <w:left w:val="single" w:sz="3" w:space="0" w:color="000000"/>
              <w:bottom w:val="single" w:sz="3" w:space="0" w:color="000000"/>
              <w:right w:val="single" w:sz="3" w:space="0" w:color="000000"/>
            </w:tcBorders>
          </w:tcPr>
          <w:p>
            <w:pPr/>
          </w:p>
        </w:tc>
      </w:tr>
      <w:tr>
        <w:trPr>
          <w:trHeight w:val="370" w:hRule="exact"/>
        </w:trPr>
        <w:tc>
          <w:tcPr>
            <w:tcW w:w="1985"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9"/>
              <w:ind w:left="62"/>
              <w:rPr>
                <w:rFonts w:ascii="Calibri" w:hAnsi="Calibri"/>
                <w:sz w:val="12"/>
              </w:rPr>
            </w:pPr>
            <w:r>
              <w:rPr>
                <w:rFonts w:ascii="Calibri" w:hAnsi="Calibri"/>
                <w:sz w:val="12"/>
              </w:rPr>
              <w:t>Costos de Operación</w:t>
            </w:r>
          </w:p>
        </w:tc>
        <w:tc>
          <w:tcPr>
            <w:tcW w:w="991" w:type="dxa"/>
            <w:vMerge w:val="restart"/>
            <w:tcBorders>
              <w:top w:val="single" w:sz="3" w:space="0" w:color="000000"/>
              <w:left w:val="single" w:sz="3" w:space="0" w:color="000000"/>
              <w:right w:val="single" w:sz="3" w:space="0" w:color="000000"/>
            </w:tcBorders>
          </w:tcPr>
          <w:p>
            <w:pPr/>
          </w:p>
        </w:tc>
        <w:tc>
          <w:tcPr>
            <w:tcW w:w="1135"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4"/>
              <w:jc w:val="center"/>
              <w:rPr>
                <w:rFonts w:ascii="Calibri"/>
                <w:sz w:val="12"/>
              </w:rPr>
            </w:pPr>
            <w:r>
              <w:rPr>
                <w:rFonts w:ascii="Calibri"/>
                <w:sz w:val="12"/>
              </w:rPr>
              <w:t>$ 300,804,449.24</w:t>
            </w:r>
          </w:p>
        </w:tc>
        <w:tc>
          <w:tcPr>
            <w:tcW w:w="113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right="2"/>
              <w:jc w:val="center"/>
              <w:rPr>
                <w:rFonts w:ascii="Calibri"/>
                <w:sz w:val="12"/>
              </w:rPr>
            </w:pPr>
            <w:r>
              <w:rPr>
                <w:rFonts w:ascii="Calibri"/>
                <w:sz w:val="12"/>
              </w:rPr>
              <w:t>$ 300,804,449.24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9"/>
              <w:jc w:val="center"/>
              <w:rPr>
                <w:rFonts w:ascii="Calibri"/>
                <w:sz w:val="12"/>
              </w:rPr>
            </w:pPr>
            <w:r>
              <w:rPr>
                <w:rFonts w:ascii="Calibri"/>
                <w:sz w:val="12"/>
              </w:rPr>
              <w:t>$ 300,804,449.24</w:t>
            </w:r>
          </w:p>
        </w:tc>
        <w:tc>
          <w:tcPr>
            <w:tcW w:w="1210"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6"/>
              <w:jc w:val="center"/>
              <w:rPr>
                <w:rFonts w:ascii="Calibri"/>
                <w:sz w:val="12"/>
              </w:rPr>
            </w:pPr>
            <w:r>
              <w:rPr>
                <w:rFonts w:ascii="Calibri"/>
                <w:sz w:val="12"/>
              </w:rPr>
              <w:t>$ 300,804,449.24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982" w:type="dxa"/>
            <w:tcBorders>
              <w:top w:val="single" w:sz="3" w:space="0" w:color="000000"/>
              <w:left w:val="single" w:sz="3" w:space="0" w:color="000000"/>
              <w:bottom w:val="single" w:sz="3" w:space="0" w:color="000000"/>
              <w:right w:val="single" w:sz="3" w:space="0" w:color="000000"/>
            </w:tcBorders>
          </w:tcPr>
          <w:p>
            <w:pPr>
              <w:pStyle w:val="TableParagraph"/>
              <w:spacing w:before="70"/>
              <w:ind w:left="107" w:right="88" w:firstLine="362"/>
              <w:rPr>
                <w:rFonts w:ascii="Calibri"/>
                <w:sz w:val="12"/>
              </w:rPr>
            </w:pPr>
            <w:r>
              <w:rPr>
                <w:rFonts w:ascii="Calibri"/>
                <w:sz w:val="12"/>
              </w:rPr>
              <w:t>$ 300,804,449.24</w:t>
            </w:r>
          </w:p>
        </w:tc>
      </w:tr>
      <w:tr>
        <w:trPr>
          <w:trHeight w:val="370" w:hRule="exact"/>
        </w:trPr>
        <w:tc>
          <w:tcPr>
            <w:tcW w:w="1985"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9"/>
              <w:ind w:left="62"/>
              <w:rPr>
                <w:rFonts w:ascii="Calibri"/>
                <w:sz w:val="12"/>
              </w:rPr>
            </w:pPr>
            <w:r>
              <w:rPr>
                <w:rFonts w:ascii="Calibri"/>
                <w:sz w:val="12"/>
              </w:rPr>
              <w:t>Costos de Mantenimiento**</w:t>
            </w:r>
          </w:p>
        </w:tc>
        <w:tc>
          <w:tcPr>
            <w:tcW w:w="991" w:type="dxa"/>
            <w:vMerge/>
            <w:tcBorders>
              <w:left w:val="single" w:sz="3" w:space="0" w:color="000000"/>
              <w:right w:val="single" w:sz="3" w:space="0" w:color="000000"/>
            </w:tcBorders>
          </w:tcPr>
          <w:p>
            <w:pPr/>
          </w:p>
        </w:tc>
        <w:tc>
          <w:tcPr>
            <w:tcW w:w="1135" w:type="dxa"/>
            <w:tcBorders>
              <w:top w:val="single" w:sz="3" w:space="0" w:color="000000"/>
              <w:left w:val="single" w:sz="3" w:space="0" w:color="000000"/>
              <w:bottom w:val="single" w:sz="3" w:space="0" w:color="000000"/>
              <w:right w:val="single" w:sz="3" w:space="0" w:color="000000"/>
            </w:tcBorders>
          </w:tcPr>
          <w:p>
            <w:pPr>
              <w:pStyle w:val="TableParagraph"/>
              <w:spacing w:before="70"/>
              <w:ind w:left="27"/>
              <w:jc w:val="center"/>
              <w:rPr>
                <w:rFonts w:ascii="Calibri"/>
                <w:sz w:val="12"/>
              </w:rPr>
            </w:pPr>
            <w:r>
              <w:rPr>
                <w:rFonts w:ascii="Calibri"/>
                <w:w w:val="99"/>
                <w:sz w:val="12"/>
              </w:rPr>
              <w:t>$</w:t>
            </w:r>
          </w:p>
          <w:p>
            <w:pPr>
              <w:pStyle w:val="TableParagraph"/>
              <w:ind w:right="1"/>
              <w:jc w:val="center"/>
              <w:rPr>
                <w:rFonts w:ascii="Calibri"/>
                <w:sz w:val="12"/>
              </w:rPr>
            </w:pPr>
            <w:r>
              <w:rPr>
                <w:rFonts w:ascii="Calibri"/>
                <w:w w:val="99"/>
                <w:sz w:val="12"/>
              </w:rPr>
              <w:t>-</w:t>
            </w:r>
          </w:p>
        </w:tc>
        <w:tc>
          <w:tcPr>
            <w:tcW w:w="113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66" w:val="left" w:leader="none"/>
              </w:tabs>
              <w:spacing w:before="79"/>
              <w:ind w:right="4"/>
              <w:jc w:val="center"/>
              <w:rPr>
                <w:rFonts w:ascii="Calibri"/>
                <w:sz w:val="12"/>
              </w:rPr>
            </w:pPr>
            <w:r>
              <w:rPr>
                <w:rFonts w:ascii="Calibri"/>
                <w:sz w:val="12"/>
              </w:rPr>
              <w:t>$</w:t>
              <w:tab/>
              <w:t>10,000.00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210"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3" w:val="left" w:leader="none"/>
              </w:tabs>
              <w:spacing w:before="79"/>
              <w:ind w:left="24"/>
              <w:jc w:val="center"/>
              <w:rPr>
                <w:rFonts w:ascii="Calibri"/>
                <w:sz w:val="12"/>
              </w:rPr>
            </w:pPr>
            <w:r>
              <w:rPr>
                <w:rFonts w:ascii="Calibri"/>
                <w:sz w:val="12"/>
              </w:rPr>
              <w:t>$</w:t>
              <w:tab/>
              <w:t>10,000.00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4" w:val="left" w:leader="none"/>
              </w:tabs>
              <w:spacing w:before="79"/>
              <w:ind w:left="26"/>
              <w:jc w:val="center"/>
              <w:rPr>
                <w:rFonts w:ascii="Calibri"/>
                <w:sz w:val="12"/>
              </w:rPr>
            </w:pPr>
            <w:r>
              <w:rPr>
                <w:rFonts w:ascii="Calibri"/>
                <w:sz w:val="12"/>
              </w:rPr>
              <w:t>$</w:t>
              <w:tab/>
              <w:t>10,000.00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982" w:type="dxa"/>
            <w:tcBorders>
              <w:top w:val="single" w:sz="3" w:space="0" w:color="000000"/>
              <w:left w:val="single" w:sz="3" w:space="0" w:color="000000"/>
              <w:bottom w:val="single" w:sz="3" w:space="0" w:color="000000"/>
              <w:right w:val="single" w:sz="3" w:space="0" w:color="000000"/>
            </w:tcBorders>
          </w:tcPr>
          <w:p>
            <w:pPr>
              <w:pStyle w:val="TableParagraph"/>
              <w:spacing w:before="70"/>
              <w:ind w:left="244" w:right="224" w:firstLine="225"/>
              <w:rPr>
                <w:rFonts w:ascii="Calibri"/>
                <w:sz w:val="12"/>
              </w:rPr>
            </w:pPr>
            <w:r>
              <w:rPr>
                <w:rFonts w:ascii="Calibri"/>
                <w:sz w:val="12"/>
              </w:rPr>
              <w:t>$ 10,000.00</w:t>
            </w:r>
          </w:p>
        </w:tc>
      </w:tr>
      <w:tr>
        <w:trPr>
          <w:trHeight w:val="372" w:hRule="exact"/>
        </w:trPr>
        <w:tc>
          <w:tcPr>
            <w:tcW w:w="1985"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81"/>
              <w:ind w:left="62"/>
              <w:rPr>
                <w:rFonts w:ascii="Calibri" w:hAnsi="Calibri"/>
                <w:sz w:val="12"/>
              </w:rPr>
            </w:pPr>
            <w:r>
              <w:rPr>
                <w:rFonts w:ascii="Calibri" w:hAnsi="Calibri"/>
                <w:sz w:val="12"/>
              </w:rPr>
              <w:t>Costos de remuneración al Personal*</w:t>
            </w:r>
          </w:p>
        </w:tc>
        <w:tc>
          <w:tcPr>
            <w:tcW w:w="991" w:type="dxa"/>
            <w:vMerge/>
            <w:tcBorders>
              <w:left w:val="single" w:sz="3" w:space="0" w:color="000000"/>
              <w:bottom w:val="single" w:sz="3" w:space="0" w:color="000000"/>
              <w:right w:val="single" w:sz="3" w:space="0" w:color="000000"/>
            </w:tcBorders>
          </w:tcPr>
          <w:p>
            <w:pPr/>
          </w:p>
        </w:tc>
        <w:tc>
          <w:tcPr>
            <w:tcW w:w="1135"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1" w:val="left" w:leader="none"/>
              </w:tabs>
              <w:spacing w:before="81"/>
              <w:ind w:left="24"/>
              <w:jc w:val="center"/>
              <w:rPr>
                <w:rFonts w:ascii="Calibri"/>
                <w:sz w:val="12"/>
              </w:rPr>
            </w:pPr>
            <w:r>
              <w:rPr>
                <w:rFonts w:ascii="Calibri"/>
                <w:sz w:val="12"/>
              </w:rPr>
              <w:t>$</w:t>
              <w:tab/>
              <w:t>920,942.40</w:t>
            </w:r>
          </w:p>
        </w:tc>
        <w:tc>
          <w:tcPr>
            <w:tcW w:w="113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384" w:val="left" w:leader="none"/>
              </w:tabs>
              <w:spacing w:before="81"/>
              <w:ind w:right="4"/>
              <w:jc w:val="center"/>
              <w:rPr>
                <w:rFonts w:ascii="Calibri"/>
                <w:sz w:val="12"/>
              </w:rPr>
            </w:pPr>
            <w:r>
              <w:rPr>
                <w:rFonts w:ascii="Calibri"/>
                <w:sz w:val="12"/>
              </w:rPr>
              <w:t>$</w:t>
              <w:tab/>
              <w:t>920,942.40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210"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3" w:val="left" w:leader="none"/>
              </w:tabs>
              <w:spacing w:before="81"/>
              <w:ind w:left="27"/>
              <w:jc w:val="center"/>
              <w:rPr>
                <w:rFonts w:ascii="Calibri"/>
                <w:sz w:val="12"/>
              </w:rPr>
            </w:pPr>
            <w:r>
              <w:rPr>
                <w:rFonts w:ascii="Calibri"/>
                <w:sz w:val="12"/>
              </w:rPr>
              <w:t>$</w:t>
              <w:tab/>
              <w:t>920,942.40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5" w:val="left" w:leader="none"/>
              </w:tabs>
              <w:spacing w:before="81"/>
              <w:ind w:left="29"/>
              <w:jc w:val="center"/>
              <w:rPr>
                <w:rFonts w:ascii="Calibri"/>
                <w:sz w:val="12"/>
              </w:rPr>
            </w:pPr>
            <w:r>
              <w:rPr>
                <w:rFonts w:ascii="Calibri"/>
                <w:sz w:val="12"/>
              </w:rPr>
              <w:t>$</w:t>
              <w:tab/>
              <w:t>920,942.40</w:t>
            </w:r>
          </w:p>
        </w:tc>
        <w:tc>
          <w:tcPr>
            <w:tcW w:w="982" w:type="dxa"/>
            <w:tcBorders>
              <w:top w:val="single" w:sz="3" w:space="0" w:color="000000"/>
              <w:left w:val="single" w:sz="3" w:space="0" w:color="000000"/>
              <w:bottom w:val="single" w:sz="3" w:space="0" w:color="000000"/>
              <w:right w:val="single" w:sz="3" w:space="0" w:color="000000"/>
            </w:tcBorders>
          </w:tcPr>
          <w:p>
            <w:pPr>
              <w:pStyle w:val="TableParagraph"/>
              <w:spacing w:before="73"/>
              <w:ind w:left="213" w:right="88" w:firstLine="256"/>
              <w:rPr>
                <w:rFonts w:ascii="Calibri"/>
                <w:sz w:val="12"/>
              </w:rPr>
            </w:pPr>
            <w:r>
              <w:rPr>
                <w:rFonts w:ascii="Calibri"/>
                <w:sz w:val="12"/>
              </w:rPr>
              <w:t>$ </w:t>
            </w:r>
            <w:r>
              <w:rPr>
                <w:rFonts w:ascii="Calibri"/>
                <w:w w:val="95"/>
                <w:sz w:val="12"/>
              </w:rPr>
              <w:t>920,942.40</w:t>
            </w:r>
          </w:p>
        </w:tc>
      </w:tr>
      <w:tr>
        <w:trPr>
          <w:trHeight w:val="413" w:hRule="exact"/>
        </w:trPr>
        <w:tc>
          <w:tcPr>
            <w:tcW w:w="1985"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62"/>
              <w:rPr>
                <w:rFonts w:ascii="Calibri"/>
                <w:sz w:val="12"/>
              </w:rPr>
            </w:pPr>
            <w:r>
              <w:rPr>
                <w:rFonts w:ascii="Calibri"/>
                <w:sz w:val="12"/>
              </w:rPr>
              <w:t>Flujo Anual</w:t>
            </w:r>
          </w:p>
        </w:tc>
        <w:tc>
          <w:tcPr>
            <w:tcW w:w="99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85" w:right="71"/>
              <w:jc w:val="center"/>
              <w:rPr>
                <w:rFonts w:ascii="Calibri"/>
                <w:sz w:val="12"/>
              </w:rPr>
            </w:pPr>
            <w:r>
              <w:rPr>
                <w:rFonts w:ascii="Calibri"/>
                <w:sz w:val="12"/>
              </w:rPr>
              <w:t>$ 37,562,201.68</w:t>
            </w:r>
          </w:p>
        </w:tc>
        <w:tc>
          <w:tcPr>
            <w:tcW w:w="1135"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4"/>
              <w:jc w:val="center"/>
              <w:rPr>
                <w:rFonts w:ascii="Calibri"/>
                <w:sz w:val="12"/>
              </w:rPr>
            </w:pPr>
            <w:r>
              <w:rPr>
                <w:rFonts w:ascii="Calibri"/>
                <w:sz w:val="12"/>
              </w:rPr>
              <w:t>$ 301,725,391.64</w:t>
            </w:r>
          </w:p>
        </w:tc>
        <w:tc>
          <w:tcPr>
            <w:tcW w:w="113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right="2"/>
              <w:jc w:val="center"/>
              <w:rPr>
                <w:rFonts w:ascii="Calibri"/>
                <w:sz w:val="12"/>
              </w:rPr>
            </w:pPr>
            <w:r>
              <w:rPr>
                <w:rFonts w:ascii="Calibri"/>
                <w:sz w:val="12"/>
              </w:rPr>
              <w:t>$ 301,735,391.64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210"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6"/>
              <w:jc w:val="center"/>
              <w:rPr>
                <w:rFonts w:ascii="Calibri"/>
                <w:sz w:val="12"/>
              </w:rPr>
            </w:pPr>
            <w:r>
              <w:rPr>
                <w:rFonts w:ascii="Calibri"/>
                <w:sz w:val="12"/>
              </w:rPr>
              <w:t>$ 301,735,391.64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982" w:type="dxa"/>
            <w:tcBorders>
              <w:top w:val="single" w:sz="3" w:space="0" w:color="000000"/>
              <w:left w:val="single" w:sz="3" w:space="0" w:color="000000"/>
              <w:bottom w:val="single" w:sz="3" w:space="0" w:color="000000"/>
              <w:right w:val="single" w:sz="3" w:space="0" w:color="000000"/>
            </w:tcBorders>
          </w:tcPr>
          <w:p>
            <w:pPr>
              <w:pStyle w:val="TableParagraph"/>
              <w:spacing w:before="10"/>
              <w:rPr>
                <w:b/>
                <w:sz w:val="9"/>
              </w:rPr>
            </w:pPr>
          </w:p>
          <w:p>
            <w:pPr>
              <w:pStyle w:val="TableParagraph"/>
              <w:ind w:left="107" w:right="88" w:firstLine="362"/>
              <w:rPr>
                <w:rFonts w:ascii="Calibri"/>
                <w:sz w:val="12"/>
              </w:rPr>
            </w:pPr>
            <w:r>
              <w:rPr>
                <w:rFonts w:ascii="Calibri"/>
                <w:sz w:val="12"/>
              </w:rPr>
              <w:t>$ 301,735,391.64</w:t>
            </w:r>
          </w:p>
        </w:tc>
      </w:tr>
      <w:tr>
        <w:trPr>
          <w:trHeight w:val="312" w:hRule="exact"/>
        </w:trPr>
        <w:tc>
          <w:tcPr>
            <w:tcW w:w="2976" w:type="dxa"/>
            <w:gridSpan w:val="2"/>
            <w:vMerge w:val="restart"/>
            <w:tcBorders>
              <w:top w:val="single" w:sz="3" w:space="0" w:color="000000"/>
              <w:right w:val="single" w:sz="3" w:space="0" w:color="000000"/>
            </w:tcBorders>
          </w:tcPr>
          <w:p>
            <w:pPr/>
          </w:p>
        </w:tc>
        <w:tc>
          <w:tcPr>
            <w:tcW w:w="1135"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132" w:right="134"/>
              <w:jc w:val="center"/>
              <w:rPr>
                <w:rFonts w:ascii="Calibri"/>
                <w:sz w:val="12"/>
              </w:rPr>
            </w:pPr>
            <w:r>
              <w:rPr>
                <w:rFonts w:ascii="Calibri"/>
                <w:sz w:val="12"/>
              </w:rPr>
              <w:t>1.12</w:t>
            </w:r>
          </w:p>
        </w:tc>
        <w:tc>
          <w:tcPr>
            <w:tcW w:w="1133"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right="4"/>
              <w:jc w:val="center"/>
              <w:rPr>
                <w:rFonts w:ascii="Calibri"/>
                <w:sz w:val="12"/>
              </w:rPr>
            </w:pPr>
            <w:r>
              <w:rPr>
                <w:rFonts w:ascii="Calibri"/>
                <w:sz w:val="12"/>
              </w:rPr>
              <w:t>1.2544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29" w:right="30"/>
              <w:jc w:val="center"/>
              <w:rPr>
                <w:rFonts w:ascii="Calibri"/>
                <w:sz w:val="12"/>
              </w:rPr>
            </w:pPr>
            <w:r>
              <w:rPr>
                <w:rFonts w:ascii="Calibri"/>
                <w:sz w:val="12"/>
              </w:rPr>
              <w:t>1.404928</w:t>
            </w:r>
          </w:p>
        </w:tc>
        <w:tc>
          <w:tcPr>
            <w:tcW w:w="1210"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1.57351936</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1.762341683</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29" w:right="30"/>
              <w:jc w:val="center"/>
              <w:rPr>
                <w:rFonts w:ascii="Calibri"/>
                <w:sz w:val="12"/>
              </w:rPr>
            </w:pPr>
            <w:r>
              <w:rPr>
                <w:rFonts w:ascii="Calibri"/>
                <w:sz w:val="12"/>
              </w:rPr>
              <w:t>1.973822685</w:t>
            </w:r>
          </w:p>
        </w:tc>
        <w:tc>
          <w:tcPr>
            <w:tcW w:w="982"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147" w:right="147"/>
              <w:jc w:val="center"/>
              <w:rPr>
                <w:rFonts w:ascii="Calibri"/>
                <w:sz w:val="12"/>
              </w:rPr>
            </w:pPr>
            <w:r>
              <w:rPr>
                <w:rFonts w:ascii="Calibri"/>
                <w:sz w:val="12"/>
              </w:rPr>
              <w:t>2.210681407</w:t>
            </w:r>
          </w:p>
        </w:tc>
      </w:tr>
      <w:tr>
        <w:trPr>
          <w:trHeight w:val="317" w:hRule="exact"/>
        </w:trPr>
        <w:tc>
          <w:tcPr>
            <w:tcW w:w="2976" w:type="dxa"/>
            <w:gridSpan w:val="2"/>
            <w:vMerge/>
            <w:tcBorders>
              <w:right w:val="single" w:sz="3" w:space="0" w:color="000000"/>
            </w:tcBorders>
          </w:tcPr>
          <w:p>
            <w:pPr/>
          </w:p>
        </w:tc>
        <w:tc>
          <w:tcPr>
            <w:tcW w:w="1135"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left="24"/>
              <w:jc w:val="center"/>
              <w:rPr>
                <w:rFonts w:ascii="Calibri"/>
                <w:sz w:val="12"/>
              </w:rPr>
            </w:pPr>
            <w:r>
              <w:rPr>
                <w:rFonts w:ascii="Calibri"/>
                <w:sz w:val="12"/>
              </w:rPr>
              <w:t>$ 269,397,671.11</w:t>
            </w:r>
          </w:p>
        </w:tc>
        <w:tc>
          <w:tcPr>
            <w:tcW w:w="1133"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right="2"/>
              <w:jc w:val="center"/>
              <w:rPr>
                <w:rFonts w:ascii="Calibri"/>
                <w:sz w:val="12"/>
              </w:rPr>
            </w:pPr>
            <w:r>
              <w:rPr>
                <w:rFonts w:ascii="Calibri"/>
                <w:sz w:val="12"/>
              </w:rPr>
              <w:t>$ 240,541,606.86</w:t>
            </w:r>
          </w:p>
        </w:tc>
        <w:tc>
          <w:tcPr>
            <w:tcW w:w="1207"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left="28"/>
              <w:jc w:val="center"/>
              <w:rPr>
                <w:rFonts w:ascii="Calibri"/>
                <w:sz w:val="12"/>
              </w:rPr>
            </w:pPr>
            <w:r>
              <w:rPr>
                <w:rFonts w:ascii="Calibri"/>
                <w:sz w:val="12"/>
              </w:rPr>
              <w:t>$ 214,769,291.84</w:t>
            </w:r>
          </w:p>
        </w:tc>
        <w:tc>
          <w:tcPr>
            <w:tcW w:w="1210"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left="26"/>
              <w:jc w:val="center"/>
              <w:rPr>
                <w:rFonts w:ascii="Calibri"/>
                <w:sz w:val="12"/>
              </w:rPr>
            </w:pPr>
            <w:r>
              <w:rPr>
                <w:rFonts w:ascii="Calibri"/>
                <w:sz w:val="12"/>
              </w:rPr>
              <w:t>$ 191,758,296.28</w:t>
            </w:r>
          </w:p>
        </w:tc>
        <w:tc>
          <w:tcPr>
            <w:tcW w:w="1207"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left="28"/>
              <w:jc w:val="center"/>
              <w:rPr>
                <w:rFonts w:ascii="Calibri"/>
                <w:sz w:val="12"/>
              </w:rPr>
            </w:pPr>
            <w:r>
              <w:rPr>
                <w:rFonts w:ascii="Calibri"/>
                <w:sz w:val="12"/>
              </w:rPr>
              <w:t>$ 171,212,764.54</w:t>
            </w:r>
          </w:p>
        </w:tc>
        <w:tc>
          <w:tcPr>
            <w:tcW w:w="1207" w:type="dxa"/>
            <w:tcBorders>
              <w:top w:val="single" w:sz="3" w:space="0" w:color="000000"/>
              <w:left w:val="single" w:sz="3" w:space="0" w:color="000000"/>
              <w:right w:val="single" w:sz="3" w:space="0" w:color="000000"/>
            </w:tcBorders>
          </w:tcPr>
          <w:p>
            <w:pPr>
              <w:pStyle w:val="TableParagraph"/>
              <w:spacing w:before="9"/>
              <w:rPr>
                <w:b/>
                <w:sz w:val="13"/>
              </w:rPr>
            </w:pPr>
          </w:p>
          <w:p>
            <w:pPr>
              <w:pStyle w:val="TableParagraph"/>
              <w:spacing w:before="1"/>
              <w:ind w:left="28"/>
              <w:jc w:val="center"/>
              <w:rPr>
                <w:rFonts w:ascii="Calibri"/>
                <w:sz w:val="12"/>
              </w:rPr>
            </w:pPr>
            <w:r>
              <w:rPr>
                <w:rFonts w:ascii="Calibri"/>
                <w:sz w:val="12"/>
              </w:rPr>
              <w:t>$ 152,868,539.77</w:t>
            </w:r>
          </w:p>
        </w:tc>
        <w:tc>
          <w:tcPr>
            <w:tcW w:w="982" w:type="dxa"/>
            <w:tcBorders>
              <w:top w:val="single" w:sz="3" w:space="0" w:color="000000"/>
              <w:left w:val="single" w:sz="3" w:space="0" w:color="000000"/>
              <w:right w:val="single" w:sz="3" w:space="0" w:color="000000"/>
            </w:tcBorders>
          </w:tcPr>
          <w:p>
            <w:pPr>
              <w:pStyle w:val="TableParagraph"/>
              <w:spacing w:before="13"/>
              <w:ind w:left="107" w:right="88" w:firstLine="362"/>
              <w:rPr>
                <w:rFonts w:ascii="Calibri"/>
                <w:sz w:val="12"/>
              </w:rPr>
            </w:pPr>
            <w:r>
              <w:rPr>
                <w:rFonts w:ascii="Calibri"/>
                <w:sz w:val="12"/>
              </w:rPr>
              <w:t>$ 136,489,767.65</w:t>
            </w:r>
          </w:p>
        </w:tc>
      </w:tr>
    </w:tbl>
    <w:p>
      <w:pPr>
        <w:pStyle w:val="BodyText"/>
        <w:rPr>
          <w:b/>
          <w:sz w:val="20"/>
        </w:rPr>
      </w:pPr>
    </w:p>
    <w:p>
      <w:pPr>
        <w:pStyle w:val="BodyText"/>
        <w:spacing w:before="8"/>
        <w:rPr>
          <w:b/>
          <w:sz w:val="11"/>
        </w:rPr>
      </w:pPr>
    </w:p>
    <w:tbl>
      <w:tblPr>
        <w:tblW w:w="0" w:type="auto"/>
        <w:jc w:val="left"/>
        <w:tblInd w:w="27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978"/>
        <w:gridCol w:w="1121"/>
        <w:gridCol w:w="1121"/>
        <w:gridCol w:w="1121"/>
        <w:gridCol w:w="1121"/>
        <w:gridCol w:w="1121"/>
        <w:gridCol w:w="1123"/>
        <w:gridCol w:w="1207"/>
      </w:tblGrid>
      <w:tr>
        <w:trPr>
          <w:trHeight w:val="378" w:hRule="exact"/>
        </w:trPr>
        <w:tc>
          <w:tcPr>
            <w:tcW w:w="1978" w:type="dxa"/>
            <w:tcBorders>
              <w:right w:val="single" w:sz="3" w:space="0" w:color="000000"/>
            </w:tcBorders>
            <w:shd w:val="clear" w:color="auto" w:fill="D4CFB5"/>
          </w:tcPr>
          <w:p>
            <w:pPr>
              <w:pStyle w:val="TableParagraph"/>
              <w:rPr>
                <w:b/>
                <w:sz w:val="12"/>
              </w:rPr>
            </w:pPr>
          </w:p>
          <w:p>
            <w:pPr>
              <w:pStyle w:val="TableParagraph"/>
              <w:spacing w:before="78"/>
              <w:ind w:left="62"/>
              <w:rPr>
                <w:rFonts w:ascii="Calibri"/>
                <w:b/>
                <w:sz w:val="12"/>
              </w:rPr>
            </w:pPr>
            <w:r>
              <w:rPr>
                <w:rFonts w:ascii="Calibri"/>
                <w:b/>
                <w:sz w:val="12"/>
              </w:rPr>
              <w:t>Periodo</w:t>
            </w:r>
          </w:p>
        </w:tc>
        <w:tc>
          <w:tcPr>
            <w:tcW w:w="112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3"/>
              <w:jc w:val="center"/>
              <w:rPr>
                <w:rFonts w:ascii="Calibri"/>
                <w:b/>
                <w:sz w:val="12"/>
              </w:rPr>
            </w:pPr>
            <w:r>
              <w:rPr>
                <w:rFonts w:ascii="Calibri"/>
                <w:b/>
                <w:w w:val="99"/>
                <w:sz w:val="12"/>
              </w:rPr>
              <w:t>9</w:t>
            </w:r>
          </w:p>
        </w:tc>
        <w:tc>
          <w:tcPr>
            <w:tcW w:w="112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jc w:val="center"/>
              <w:rPr>
                <w:rFonts w:ascii="Calibri"/>
                <w:b/>
                <w:sz w:val="12"/>
              </w:rPr>
            </w:pPr>
            <w:r>
              <w:rPr>
                <w:rFonts w:ascii="Calibri"/>
                <w:b/>
                <w:sz w:val="12"/>
              </w:rPr>
              <w:t>10</w:t>
            </w:r>
          </w:p>
        </w:tc>
        <w:tc>
          <w:tcPr>
            <w:tcW w:w="112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jc w:val="center"/>
              <w:rPr>
                <w:rFonts w:ascii="Calibri"/>
                <w:b/>
                <w:sz w:val="12"/>
              </w:rPr>
            </w:pPr>
            <w:r>
              <w:rPr>
                <w:rFonts w:ascii="Calibri"/>
                <w:b/>
                <w:sz w:val="12"/>
              </w:rPr>
              <w:t>11</w:t>
            </w:r>
          </w:p>
        </w:tc>
        <w:tc>
          <w:tcPr>
            <w:tcW w:w="112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jc w:val="center"/>
              <w:rPr>
                <w:rFonts w:ascii="Calibri"/>
                <w:b/>
                <w:sz w:val="12"/>
              </w:rPr>
            </w:pPr>
            <w:r>
              <w:rPr>
                <w:rFonts w:ascii="Calibri"/>
                <w:b/>
                <w:sz w:val="12"/>
              </w:rPr>
              <w:t>12</w:t>
            </w:r>
          </w:p>
        </w:tc>
        <w:tc>
          <w:tcPr>
            <w:tcW w:w="1121"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jc w:val="center"/>
              <w:rPr>
                <w:rFonts w:ascii="Calibri"/>
                <w:b/>
                <w:sz w:val="12"/>
              </w:rPr>
            </w:pPr>
            <w:r>
              <w:rPr>
                <w:rFonts w:ascii="Calibri"/>
                <w:b/>
                <w:sz w:val="12"/>
              </w:rPr>
              <w:t>13</w:t>
            </w:r>
          </w:p>
        </w:tc>
        <w:tc>
          <w:tcPr>
            <w:tcW w:w="1123"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26" w:right="27"/>
              <w:jc w:val="center"/>
              <w:rPr>
                <w:rFonts w:ascii="Calibri"/>
                <w:b/>
                <w:sz w:val="12"/>
              </w:rPr>
            </w:pPr>
            <w:r>
              <w:rPr>
                <w:rFonts w:ascii="Calibri"/>
                <w:b/>
                <w:sz w:val="12"/>
              </w:rPr>
              <w:t>14</w:t>
            </w:r>
          </w:p>
        </w:tc>
        <w:tc>
          <w:tcPr>
            <w:tcW w:w="1207" w:type="dxa"/>
            <w:tcBorders>
              <w:left w:val="single" w:sz="3" w:space="0" w:color="000000"/>
              <w:right w:val="single" w:sz="3" w:space="0" w:color="000000"/>
            </w:tcBorders>
            <w:shd w:val="clear" w:color="auto" w:fill="D4CFB5"/>
          </w:tcPr>
          <w:p>
            <w:pPr>
              <w:pStyle w:val="TableParagraph"/>
              <w:rPr>
                <w:b/>
                <w:sz w:val="12"/>
              </w:rPr>
            </w:pPr>
          </w:p>
          <w:p>
            <w:pPr>
              <w:pStyle w:val="TableParagraph"/>
              <w:spacing w:before="78"/>
              <w:ind w:left="29" w:right="31"/>
              <w:jc w:val="center"/>
              <w:rPr>
                <w:rFonts w:ascii="Calibri"/>
                <w:b/>
                <w:sz w:val="12"/>
              </w:rPr>
            </w:pPr>
            <w:r>
              <w:rPr>
                <w:rFonts w:ascii="Calibri"/>
                <w:b/>
                <w:sz w:val="12"/>
              </w:rPr>
              <w:t>15</w:t>
            </w:r>
          </w:p>
        </w:tc>
      </w:tr>
      <w:tr>
        <w:trPr>
          <w:trHeight w:val="376" w:hRule="exact"/>
        </w:trPr>
        <w:tc>
          <w:tcPr>
            <w:tcW w:w="1978" w:type="dxa"/>
            <w:tcBorders>
              <w:bottom w:val="single" w:sz="3" w:space="0" w:color="000000"/>
              <w:right w:val="single" w:sz="3" w:space="0" w:color="000000"/>
            </w:tcBorders>
          </w:tcPr>
          <w:p>
            <w:pPr>
              <w:pStyle w:val="TableParagraph"/>
              <w:rPr>
                <w:b/>
                <w:sz w:val="12"/>
              </w:rPr>
            </w:pPr>
          </w:p>
          <w:p>
            <w:pPr>
              <w:pStyle w:val="TableParagraph"/>
              <w:spacing w:before="80"/>
              <w:ind w:left="62"/>
              <w:rPr>
                <w:rFonts w:ascii="Calibri" w:hAnsi="Calibri"/>
                <w:sz w:val="12"/>
              </w:rPr>
            </w:pPr>
            <w:r>
              <w:rPr>
                <w:rFonts w:ascii="Calibri" w:hAnsi="Calibri"/>
                <w:sz w:val="12"/>
              </w:rPr>
              <w:t>Inversión</w:t>
            </w:r>
          </w:p>
        </w:tc>
        <w:tc>
          <w:tcPr>
            <w:tcW w:w="1121" w:type="dxa"/>
            <w:tcBorders>
              <w:left w:val="single" w:sz="3" w:space="0" w:color="000000"/>
              <w:bottom w:val="single" w:sz="3" w:space="0" w:color="000000"/>
              <w:right w:val="single" w:sz="3" w:space="0" w:color="000000"/>
            </w:tcBorders>
          </w:tcPr>
          <w:p>
            <w:pPr/>
          </w:p>
        </w:tc>
        <w:tc>
          <w:tcPr>
            <w:tcW w:w="1121" w:type="dxa"/>
            <w:tcBorders>
              <w:left w:val="single" w:sz="3" w:space="0" w:color="000000"/>
              <w:bottom w:val="single" w:sz="3" w:space="0" w:color="000000"/>
              <w:right w:val="single" w:sz="3" w:space="0" w:color="000000"/>
            </w:tcBorders>
          </w:tcPr>
          <w:p>
            <w:pPr/>
          </w:p>
        </w:tc>
        <w:tc>
          <w:tcPr>
            <w:tcW w:w="1121" w:type="dxa"/>
            <w:tcBorders>
              <w:left w:val="single" w:sz="3" w:space="0" w:color="000000"/>
              <w:bottom w:val="single" w:sz="3" w:space="0" w:color="000000"/>
              <w:right w:val="single" w:sz="3" w:space="0" w:color="000000"/>
            </w:tcBorders>
          </w:tcPr>
          <w:p>
            <w:pPr/>
          </w:p>
        </w:tc>
        <w:tc>
          <w:tcPr>
            <w:tcW w:w="1121" w:type="dxa"/>
            <w:tcBorders>
              <w:left w:val="single" w:sz="3" w:space="0" w:color="000000"/>
              <w:bottom w:val="single" w:sz="3" w:space="0" w:color="000000"/>
              <w:right w:val="single" w:sz="3" w:space="0" w:color="000000"/>
            </w:tcBorders>
          </w:tcPr>
          <w:p>
            <w:pPr/>
          </w:p>
        </w:tc>
        <w:tc>
          <w:tcPr>
            <w:tcW w:w="1121" w:type="dxa"/>
            <w:tcBorders>
              <w:left w:val="single" w:sz="3" w:space="0" w:color="000000"/>
              <w:bottom w:val="single" w:sz="3" w:space="0" w:color="000000"/>
              <w:right w:val="single" w:sz="3" w:space="0" w:color="000000"/>
            </w:tcBorders>
          </w:tcPr>
          <w:p>
            <w:pPr/>
          </w:p>
        </w:tc>
        <w:tc>
          <w:tcPr>
            <w:tcW w:w="1123" w:type="dxa"/>
            <w:tcBorders>
              <w:left w:val="single" w:sz="3" w:space="0" w:color="000000"/>
              <w:bottom w:val="single" w:sz="3" w:space="0" w:color="000000"/>
              <w:right w:val="single" w:sz="3" w:space="0" w:color="000000"/>
            </w:tcBorders>
          </w:tcPr>
          <w:p>
            <w:pPr/>
          </w:p>
        </w:tc>
        <w:tc>
          <w:tcPr>
            <w:tcW w:w="1207" w:type="dxa"/>
            <w:tcBorders>
              <w:left w:val="single" w:sz="3" w:space="0" w:color="000000"/>
              <w:bottom w:val="single" w:sz="3" w:space="0" w:color="000000"/>
              <w:right w:val="single" w:sz="3" w:space="0" w:color="000000"/>
            </w:tcBorders>
          </w:tcPr>
          <w:p>
            <w:pPr/>
          </w:p>
        </w:tc>
      </w:tr>
      <w:tr>
        <w:trPr>
          <w:trHeight w:val="370" w:hRule="exact"/>
        </w:trPr>
        <w:tc>
          <w:tcPr>
            <w:tcW w:w="1978"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9"/>
              <w:ind w:left="62"/>
              <w:rPr>
                <w:rFonts w:ascii="Calibri" w:hAnsi="Calibri"/>
                <w:sz w:val="12"/>
              </w:rPr>
            </w:pPr>
            <w:r>
              <w:rPr>
                <w:rFonts w:ascii="Calibri" w:hAnsi="Calibri"/>
                <w:sz w:val="12"/>
              </w:rPr>
              <w:t>Costos de Operación</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8"/>
              <w:jc w:val="center"/>
              <w:rPr>
                <w:rFonts w:ascii="Calibri"/>
                <w:sz w:val="12"/>
              </w:rPr>
            </w:pPr>
            <w:r>
              <w:rPr>
                <w:rFonts w:ascii="Calibri"/>
                <w:sz w:val="12"/>
              </w:rPr>
              <w:t>$ 300,804,449.24</w:t>
            </w:r>
          </w:p>
        </w:tc>
        <w:tc>
          <w:tcPr>
            <w:tcW w:w="112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6"/>
              <w:jc w:val="center"/>
              <w:rPr>
                <w:rFonts w:ascii="Calibri"/>
                <w:sz w:val="12"/>
              </w:rPr>
            </w:pPr>
            <w:r>
              <w:rPr>
                <w:rFonts w:ascii="Calibri"/>
                <w:sz w:val="12"/>
              </w:rPr>
              <w:t>$ 300,804,449.24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9"/>
              <w:ind w:left="24"/>
              <w:jc w:val="center"/>
              <w:rPr>
                <w:rFonts w:ascii="Calibri"/>
                <w:sz w:val="12"/>
              </w:rPr>
            </w:pPr>
            <w:r>
              <w:rPr>
                <w:rFonts w:ascii="Calibri"/>
                <w:sz w:val="12"/>
              </w:rPr>
              <w:t>$ 300,804,449.24</w:t>
            </w:r>
          </w:p>
        </w:tc>
      </w:tr>
      <w:tr>
        <w:trPr>
          <w:trHeight w:val="370" w:hRule="exact"/>
        </w:trPr>
        <w:tc>
          <w:tcPr>
            <w:tcW w:w="1978"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9"/>
              <w:ind w:left="62"/>
              <w:rPr>
                <w:rFonts w:ascii="Calibri"/>
                <w:sz w:val="12"/>
              </w:rPr>
            </w:pPr>
            <w:r>
              <w:rPr>
                <w:rFonts w:ascii="Calibri"/>
                <w:sz w:val="12"/>
              </w:rPr>
              <w:t>Costos de Mantenimiento**</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5" w:val="left" w:leader="none"/>
              </w:tabs>
              <w:spacing w:before="79"/>
              <w:ind w:left="27"/>
              <w:jc w:val="center"/>
              <w:rPr>
                <w:rFonts w:ascii="Calibri"/>
                <w:sz w:val="12"/>
              </w:rPr>
            </w:pPr>
            <w:r>
              <w:rPr>
                <w:rFonts w:ascii="Calibri"/>
                <w:sz w:val="12"/>
              </w:rPr>
              <w:t>$</w:t>
              <w:tab/>
              <w:t>10,000.00</w:t>
            </w:r>
          </w:p>
        </w:tc>
        <w:tc>
          <w:tcPr>
            <w:tcW w:w="112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3" w:val="left" w:leader="none"/>
              </w:tabs>
              <w:spacing w:before="79"/>
              <w:ind w:left="24"/>
              <w:jc w:val="center"/>
              <w:rPr>
                <w:rFonts w:ascii="Calibri"/>
                <w:sz w:val="12"/>
              </w:rPr>
            </w:pPr>
            <w:r>
              <w:rPr>
                <w:rFonts w:ascii="Calibri"/>
                <w:sz w:val="12"/>
              </w:rPr>
              <w:t>$</w:t>
              <w:tab/>
              <w:t>10,000.00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90" w:val="left" w:leader="none"/>
              </w:tabs>
              <w:spacing w:before="79"/>
              <w:ind w:left="22"/>
              <w:jc w:val="center"/>
              <w:rPr>
                <w:rFonts w:ascii="Calibri"/>
                <w:sz w:val="12"/>
              </w:rPr>
            </w:pPr>
            <w:r>
              <w:rPr>
                <w:rFonts w:ascii="Calibri"/>
                <w:sz w:val="12"/>
              </w:rPr>
              <w:t>$</w:t>
              <w:tab/>
              <w:t>10,000.00</w:t>
            </w:r>
          </w:p>
        </w:tc>
      </w:tr>
      <w:tr>
        <w:trPr>
          <w:trHeight w:val="372" w:hRule="exact"/>
        </w:trPr>
        <w:tc>
          <w:tcPr>
            <w:tcW w:w="1978"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81"/>
              <w:ind w:left="62"/>
              <w:rPr>
                <w:rFonts w:ascii="Calibri"/>
                <w:sz w:val="12"/>
              </w:rPr>
            </w:pPr>
            <w:r>
              <w:rPr>
                <w:rFonts w:ascii="Calibri"/>
                <w:sz w:val="12"/>
              </w:rPr>
              <w:t>Costos de remuneracion al Personal*</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6" w:val="left" w:leader="none"/>
              </w:tabs>
              <w:spacing w:before="81"/>
              <w:ind w:left="29"/>
              <w:jc w:val="center"/>
              <w:rPr>
                <w:rFonts w:ascii="Calibri"/>
                <w:sz w:val="12"/>
              </w:rPr>
            </w:pPr>
            <w:r>
              <w:rPr>
                <w:rFonts w:ascii="Calibri"/>
                <w:sz w:val="12"/>
              </w:rPr>
              <w:t>$</w:t>
              <w:tab/>
              <w:t>920,942.40</w:t>
            </w:r>
          </w:p>
        </w:tc>
        <w:tc>
          <w:tcPr>
            <w:tcW w:w="112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3" w:val="left" w:leader="none"/>
              </w:tabs>
              <w:spacing w:before="81"/>
              <w:ind w:left="26"/>
              <w:jc w:val="center"/>
              <w:rPr>
                <w:rFonts w:ascii="Calibri"/>
                <w:sz w:val="12"/>
              </w:rPr>
            </w:pPr>
            <w:r>
              <w:rPr>
                <w:rFonts w:ascii="Calibri"/>
                <w:sz w:val="12"/>
              </w:rPr>
              <w:t>$</w:t>
              <w:tab/>
              <w:t>920,942.40</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tabs>
                <w:tab w:pos="411" w:val="left" w:leader="none"/>
              </w:tabs>
              <w:spacing w:before="81"/>
              <w:ind w:left="24"/>
              <w:jc w:val="center"/>
              <w:rPr>
                <w:rFonts w:ascii="Calibri"/>
                <w:sz w:val="12"/>
              </w:rPr>
            </w:pPr>
            <w:r>
              <w:rPr>
                <w:rFonts w:ascii="Calibri"/>
                <w:sz w:val="12"/>
              </w:rPr>
              <w:t>$</w:t>
              <w:tab/>
              <w:t>920,942.40</w:t>
            </w:r>
          </w:p>
        </w:tc>
      </w:tr>
      <w:tr>
        <w:trPr>
          <w:trHeight w:val="413" w:hRule="exact"/>
        </w:trPr>
        <w:tc>
          <w:tcPr>
            <w:tcW w:w="1978" w:type="dxa"/>
            <w:tcBorders>
              <w:top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62"/>
              <w:rPr>
                <w:rFonts w:ascii="Calibri"/>
                <w:sz w:val="12"/>
              </w:rPr>
            </w:pPr>
            <w:r>
              <w:rPr>
                <w:rFonts w:ascii="Calibri"/>
                <w:sz w:val="12"/>
              </w:rPr>
              <w:t>Flujo Anual</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8"/>
              <w:jc w:val="center"/>
              <w:rPr>
                <w:rFonts w:ascii="Calibri"/>
                <w:sz w:val="12"/>
              </w:rPr>
            </w:pPr>
            <w:r>
              <w:rPr>
                <w:rFonts w:ascii="Calibri"/>
                <w:sz w:val="12"/>
              </w:rPr>
              <w:t>$ 301,735,391.64</w:t>
            </w:r>
          </w:p>
        </w:tc>
        <w:tc>
          <w:tcPr>
            <w:tcW w:w="1123"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6"/>
              <w:jc w:val="center"/>
              <w:rPr>
                <w:rFonts w:ascii="Calibri"/>
                <w:sz w:val="12"/>
              </w:rPr>
            </w:pPr>
            <w:r>
              <w:rPr>
                <w:rFonts w:ascii="Calibri"/>
                <w:sz w:val="12"/>
              </w:rPr>
              <w:t>$ 301,735,391.64</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rPr>
                <w:b/>
                <w:sz w:val="12"/>
              </w:rPr>
            </w:pPr>
          </w:p>
          <w:p>
            <w:pPr>
              <w:pStyle w:val="TableParagraph"/>
              <w:spacing w:before="7"/>
              <w:rPr>
                <w:b/>
                <w:sz w:val="10"/>
              </w:rPr>
            </w:pPr>
          </w:p>
          <w:p>
            <w:pPr>
              <w:pStyle w:val="TableParagraph"/>
              <w:ind w:left="24"/>
              <w:jc w:val="center"/>
              <w:rPr>
                <w:rFonts w:ascii="Calibri"/>
                <w:sz w:val="12"/>
              </w:rPr>
            </w:pPr>
            <w:r>
              <w:rPr>
                <w:rFonts w:ascii="Calibri"/>
                <w:sz w:val="12"/>
              </w:rPr>
              <w:t>$ 301,735,391.64</w:t>
            </w:r>
          </w:p>
        </w:tc>
      </w:tr>
      <w:tr>
        <w:trPr>
          <w:trHeight w:val="312" w:hRule="exact"/>
        </w:trPr>
        <w:tc>
          <w:tcPr>
            <w:tcW w:w="1978" w:type="dxa"/>
            <w:vMerge w:val="restart"/>
            <w:tcBorders>
              <w:top w:val="single" w:sz="3" w:space="0" w:color="000000"/>
              <w:left w:val="single" w:sz="3" w:space="0" w:color="000000"/>
              <w:right w:val="single" w:sz="3" w:space="0" w:color="000000"/>
            </w:tcBorders>
          </w:tcPr>
          <w:p>
            <w:pP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2.773078757</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3.105848208</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3.478549993</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jc w:val="center"/>
              <w:rPr>
                <w:rFonts w:ascii="Calibri"/>
                <w:sz w:val="12"/>
              </w:rPr>
            </w:pPr>
            <w:r>
              <w:rPr>
                <w:rFonts w:ascii="Calibri"/>
                <w:sz w:val="12"/>
              </w:rPr>
              <w:t>3.895975993</w:t>
            </w: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29" w:right="30"/>
              <w:jc w:val="center"/>
              <w:rPr>
                <w:rFonts w:ascii="Calibri"/>
                <w:sz w:val="12"/>
              </w:rPr>
            </w:pPr>
            <w:r>
              <w:rPr>
                <w:rFonts w:ascii="Calibri"/>
                <w:sz w:val="12"/>
              </w:rPr>
              <w:t>4.363493112</w:t>
            </w:r>
          </w:p>
        </w:tc>
        <w:tc>
          <w:tcPr>
            <w:tcW w:w="1123"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26" w:right="28"/>
              <w:jc w:val="center"/>
              <w:rPr>
                <w:rFonts w:ascii="Calibri"/>
                <w:sz w:val="12"/>
              </w:rPr>
            </w:pPr>
            <w:r>
              <w:rPr>
                <w:rFonts w:ascii="Calibri"/>
                <w:sz w:val="12"/>
              </w:rPr>
              <w:t>4.887112285</w:t>
            </w:r>
          </w:p>
        </w:tc>
        <w:tc>
          <w:tcPr>
            <w:tcW w:w="1207" w:type="dxa"/>
            <w:tcBorders>
              <w:top w:val="single" w:sz="3" w:space="0" w:color="000000"/>
              <w:left w:val="single" w:sz="3" w:space="0" w:color="000000"/>
              <w:bottom w:val="single" w:sz="3" w:space="0" w:color="000000"/>
              <w:right w:val="single" w:sz="3" w:space="0" w:color="000000"/>
            </w:tcBorders>
          </w:tcPr>
          <w:p>
            <w:pPr>
              <w:pStyle w:val="TableParagraph"/>
              <w:spacing w:before="9"/>
              <w:rPr>
                <w:b/>
                <w:sz w:val="13"/>
              </w:rPr>
            </w:pPr>
          </w:p>
          <w:p>
            <w:pPr>
              <w:pStyle w:val="TableParagraph"/>
              <w:spacing w:before="1"/>
              <w:ind w:left="29" w:right="33"/>
              <w:jc w:val="center"/>
              <w:rPr>
                <w:rFonts w:ascii="Calibri"/>
                <w:sz w:val="12"/>
              </w:rPr>
            </w:pPr>
            <w:r>
              <w:rPr>
                <w:rFonts w:ascii="Calibri"/>
                <w:sz w:val="12"/>
              </w:rPr>
              <w:t>5.473565759</w:t>
            </w:r>
          </w:p>
        </w:tc>
      </w:tr>
      <w:tr>
        <w:trPr>
          <w:trHeight w:val="281" w:hRule="exact"/>
        </w:trPr>
        <w:tc>
          <w:tcPr>
            <w:tcW w:w="1978" w:type="dxa"/>
            <w:vMerge/>
            <w:tcBorders>
              <w:left w:val="single" w:sz="3" w:space="0" w:color="000000"/>
              <w:bottom w:val="single" w:sz="3" w:space="0" w:color="000000"/>
              <w:right w:val="single" w:sz="3" w:space="0" w:color="000000"/>
            </w:tcBorders>
          </w:tcPr>
          <w:p>
            <w:pPr/>
          </w:p>
        </w:tc>
        <w:tc>
          <w:tcPr>
            <w:tcW w:w="1121" w:type="dxa"/>
            <w:tcBorders>
              <w:top w:val="single" w:sz="3" w:space="0" w:color="000000"/>
              <w:left w:val="single" w:sz="3" w:space="0" w:color="000000"/>
              <w:bottom w:val="single" w:sz="3" w:space="0" w:color="000000"/>
              <w:right w:val="single" w:sz="3" w:space="0" w:color="000000"/>
            </w:tcBorders>
          </w:tcPr>
          <w:p>
            <w:pPr>
              <w:pStyle w:val="TableParagraph"/>
              <w:spacing w:before="10"/>
              <w:rPr>
                <w:b/>
                <w:sz w:val="10"/>
              </w:rPr>
            </w:pPr>
          </w:p>
          <w:p>
            <w:pPr>
              <w:pStyle w:val="TableParagraph"/>
              <w:ind w:left="28"/>
              <w:jc w:val="center"/>
              <w:rPr>
                <w:rFonts w:ascii="Calibri"/>
                <w:sz w:val="12"/>
              </w:rPr>
            </w:pPr>
            <w:r>
              <w:rPr>
                <w:rFonts w:ascii="Calibri"/>
                <w:sz w:val="12"/>
              </w:rPr>
              <w:t>$ 108,808,807.12</w:t>
            </w:r>
          </w:p>
        </w:tc>
        <w:tc>
          <w:tcPr>
            <w:tcW w:w="1121"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9"/>
              <w:jc w:val="center"/>
              <w:rPr>
                <w:rFonts w:ascii="Calibri"/>
                <w:sz w:val="12"/>
              </w:rPr>
            </w:pPr>
            <w:r>
              <w:rPr>
                <w:rFonts w:ascii="Calibri"/>
                <w:sz w:val="12"/>
              </w:rPr>
              <w:t>$    97,150,720.64</w:t>
            </w:r>
          </w:p>
        </w:tc>
        <w:tc>
          <w:tcPr>
            <w:tcW w:w="1121"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9"/>
              <w:jc w:val="center"/>
              <w:rPr>
                <w:rFonts w:ascii="Calibri"/>
                <w:sz w:val="12"/>
              </w:rPr>
            </w:pPr>
            <w:r>
              <w:rPr>
                <w:rFonts w:ascii="Calibri"/>
                <w:sz w:val="12"/>
              </w:rPr>
              <w:t>$    86,741,714.86</w:t>
            </w:r>
          </w:p>
        </w:tc>
        <w:tc>
          <w:tcPr>
            <w:tcW w:w="1121"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9"/>
              <w:jc w:val="center"/>
              <w:rPr>
                <w:rFonts w:ascii="Calibri"/>
                <w:sz w:val="12"/>
              </w:rPr>
            </w:pPr>
            <w:r>
              <w:rPr>
                <w:rFonts w:ascii="Calibri"/>
                <w:sz w:val="12"/>
              </w:rPr>
              <w:t>$    77,447,959.70</w:t>
            </w:r>
          </w:p>
        </w:tc>
        <w:tc>
          <w:tcPr>
            <w:tcW w:w="1121"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9"/>
              <w:jc w:val="center"/>
              <w:rPr>
                <w:rFonts w:ascii="Calibri"/>
                <w:sz w:val="12"/>
              </w:rPr>
            </w:pPr>
            <w:r>
              <w:rPr>
                <w:rFonts w:ascii="Calibri"/>
                <w:sz w:val="12"/>
              </w:rPr>
              <w:t>$    69,149,964.01</w:t>
            </w:r>
          </w:p>
        </w:tc>
        <w:tc>
          <w:tcPr>
            <w:tcW w:w="1123"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6"/>
              <w:jc w:val="center"/>
              <w:rPr>
                <w:rFonts w:ascii="Calibri"/>
                <w:sz w:val="12"/>
              </w:rPr>
            </w:pPr>
            <w:r>
              <w:rPr>
                <w:rFonts w:ascii="Calibri"/>
                <w:sz w:val="12"/>
              </w:rPr>
              <w:t>$    61,741,039.30</w:t>
            </w:r>
          </w:p>
        </w:tc>
        <w:tc>
          <w:tcPr>
            <w:tcW w:w="1207" w:type="dxa"/>
            <w:tcBorders>
              <w:top w:val="single" w:sz="3" w:space="0" w:color="000000"/>
              <w:left w:val="single" w:sz="3" w:space="0" w:color="000000"/>
              <w:right w:val="single" w:sz="3" w:space="0" w:color="000000"/>
            </w:tcBorders>
          </w:tcPr>
          <w:p>
            <w:pPr>
              <w:pStyle w:val="TableParagraph"/>
              <w:spacing w:before="10"/>
              <w:rPr>
                <w:b/>
                <w:sz w:val="10"/>
              </w:rPr>
            </w:pPr>
          </w:p>
          <w:p>
            <w:pPr>
              <w:pStyle w:val="TableParagraph"/>
              <w:ind w:left="24"/>
              <w:jc w:val="center"/>
              <w:rPr>
                <w:rFonts w:ascii="Calibri"/>
                <w:sz w:val="12"/>
              </w:rPr>
            </w:pPr>
            <w:r>
              <w:rPr>
                <w:rFonts w:ascii="Calibri"/>
                <w:sz w:val="12"/>
              </w:rPr>
              <w:t>$    55,125,927.94</w:t>
            </w:r>
          </w:p>
        </w:tc>
      </w:tr>
    </w:tbl>
    <w:p>
      <w:pPr>
        <w:pStyle w:val="BodyText"/>
        <w:spacing w:before="10"/>
        <w:rPr>
          <w:b/>
          <w:sz w:val="25"/>
        </w:rPr>
      </w:pPr>
    </w:p>
    <w:p>
      <w:pPr>
        <w:spacing w:before="68"/>
        <w:ind w:left="2936" w:right="5106" w:firstLine="0"/>
        <w:jc w:val="left"/>
        <w:rPr>
          <w:rFonts w:ascii="Calibri" w:hAnsi="Calibri"/>
          <w:sz w:val="16"/>
        </w:rPr>
      </w:pPr>
      <w:r>
        <w:rPr>
          <w:rFonts w:ascii="Calibri" w:hAnsi="Calibri"/>
          <w:sz w:val="16"/>
        </w:rPr>
        <w:t>* Incluye el costo del personal mínimo para operar el proyecto</w:t>
      </w:r>
    </w:p>
    <w:p>
      <w:pPr>
        <w:spacing w:before="59"/>
        <w:ind w:left="2936" w:right="3667" w:firstLine="0"/>
        <w:jc w:val="left"/>
        <w:rPr>
          <w:rFonts w:ascii="Calibri" w:hAnsi="Calibri"/>
          <w:sz w:val="16"/>
        </w:rPr>
      </w:pPr>
      <w:r>
        <w:rPr>
          <w:rFonts w:ascii="Calibri" w:hAnsi="Calibri"/>
          <w:sz w:val="16"/>
        </w:rPr>
        <w:t>** Incluye el mantenimiento preventivo y correctivo así como la garantía de todas las piezas del equipo</w:t>
      </w:r>
    </w:p>
    <w:p>
      <w:pPr>
        <w:pStyle w:val="BodyText"/>
        <w:rPr>
          <w:rFonts w:ascii="Calibri"/>
          <w:sz w:val="20"/>
        </w:rPr>
      </w:pPr>
    </w:p>
    <w:p>
      <w:pPr>
        <w:pStyle w:val="BodyText"/>
        <w:spacing w:before="6"/>
        <w:rPr>
          <w:rFonts w:ascii="Calibri"/>
          <w:sz w:val="14"/>
        </w:rPr>
      </w:pPr>
    </w:p>
    <w:tbl>
      <w:tblPr>
        <w:tblW w:w="0" w:type="auto"/>
        <w:jc w:val="left"/>
        <w:tblInd w:w="4218"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484"/>
        <w:gridCol w:w="1541"/>
      </w:tblGrid>
      <w:tr>
        <w:trPr>
          <w:trHeight w:val="454" w:hRule="exact"/>
        </w:trPr>
        <w:tc>
          <w:tcPr>
            <w:tcW w:w="484" w:type="dxa"/>
            <w:shd w:val="clear" w:color="auto" w:fill="003399"/>
          </w:tcPr>
          <w:p>
            <w:pPr>
              <w:pStyle w:val="TableParagraph"/>
              <w:spacing w:before="8"/>
              <w:rPr>
                <w:rFonts w:ascii="Calibri"/>
                <w:sz w:val="19"/>
              </w:rPr>
            </w:pPr>
          </w:p>
          <w:p>
            <w:pPr>
              <w:pStyle w:val="TableParagraph"/>
              <w:ind w:left="61"/>
              <w:rPr>
                <w:rFonts w:ascii="Calibri"/>
                <w:b/>
                <w:sz w:val="16"/>
              </w:rPr>
            </w:pPr>
            <w:r>
              <w:rPr>
                <w:rFonts w:ascii="Calibri"/>
                <w:b/>
                <w:color w:val="FFFFFF"/>
                <w:sz w:val="16"/>
              </w:rPr>
              <w:t>VPC</w:t>
            </w:r>
          </w:p>
        </w:tc>
        <w:tc>
          <w:tcPr>
            <w:tcW w:w="1541" w:type="dxa"/>
            <w:shd w:val="clear" w:color="auto" w:fill="003399"/>
          </w:tcPr>
          <w:p>
            <w:pPr>
              <w:pStyle w:val="TableParagraph"/>
              <w:spacing w:before="8"/>
              <w:rPr>
                <w:rFonts w:ascii="Calibri"/>
                <w:sz w:val="19"/>
              </w:rPr>
            </w:pPr>
          </w:p>
          <w:p>
            <w:pPr>
              <w:pStyle w:val="TableParagraph"/>
              <w:ind w:left="98"/>
              <w:rPr>
                <w:rFonts w:ascii="Calibri"/>
                <w:sz w:val="16"/>
              </w:rPr>
            </w:pPr>
            <w:r>
              <w:rPr>
                <w:rFonts w:ascii="Calibri"/>
                <w:color w:val="FFFFFF"/>
                <w:sz w:val="16"/>
              </w:rPr>
              <w:t>$ 2,092,632,137.27</w:t>
            </w:r>
          </w:p>
        </w:tc>
      </w:tr>
      <w:tr>
        <w:trPr>
          <w:trHeight w:val="454" w:hRule="exact"/>
        </w:trPr>
        <w:tc>
          <w:tcPr>
            <w:tcW w:w="484" w:type="dxa"/>
            <w:shd w:val="clear" w:color="auto" w:fill="003399"/>
          </w:tcPr>
          <w:p>
            <w:pPr>
              <w:pStyle w:val="TableParagraph"/>
              <w:spacing w:before="10"/>
              <w:rPr>
                <w:rFonts w:ascii="Calibri"/>
                <w:sz w:val="19"/>
              </w:rPr>
            </w:pPr>
          </w:p>
          <w:p>
            <w:pPr>
              <w:pStyle w:val="TableParagraph"/>
              <w:ind w:left="61"/>
              <w:rPr>
                <w:rFonts w:ascii="Calibri"/>
                <w:b/>
                <w:sz w:val="16"/>
              </w:rPr>
            </w:pPr>
            <w:r>
              <w:rPr>
                <w:rFonts w:ascii="Calibri"/>
                <w:b/>
                <w:color w:val="FFFFFF"/>
                <w:sz w:val="16"/>
              </w:rPr>
              <w:t>CAE</w:t>
            </w:r>
          </w:p>
        </w:tc>
        <w:tc>
          <w:tcPr>
            <w:tcW w:w="1541" w:type="dxa"/>
            <w:shd w:val="clear" w:color="auto" w:fill="003399"/>
          </w:tcPr>
          <w:p>
            <w:pPr>
              <w:pStyle w:val="TableParagraph"/>
              <w:spacing w:before="10"/>
              <w:rPr>
                <w:rFonts w:ascii="Calibri"/>
                <w:sz w:val="19"/>
              </w:rPr>
            </w:pPr>
          </w:p>
          <w:p>
            <w:pPr>
              <w:pStyle w:val="TableParagraph"/>
              <w:ind w:left="98"/>
              <w:rPr>
                <w:rFonts w:ascii="Calibri"/>
                <w:b/>
                <w:sz w:val="16"/>
              </w:rPr>
            </w:pPr>
            <w:r>
              <w:rPr>
                <w:rFonts w:ascii="Calibri"/>
                <w:b/>
                <w:color w:val="FFFFFF"/>
                <w:sz w:val="16"/>
              </w:rPr>
              <w:t>$   307,249,122.41</w:t>
            </w:r>
          </w:p>
        </w:tc>
      </w:tr>
    </w:tbl>
    <w:p>
      <w:pPr>
        <w:spacing w:after="0"/>
        <w:rPr>
          <w:rFonts w:ascii="Calibri"/>
          <w:sz w:val="16"/>
        </w:rPr>
        <w:sectPr>
          <w:footerReference w:type="default" r:id="rId44"/>
          <w:pgSz w:w="12240" w:h="15840"/>
          <w:pgMar w:footer="0" w:header="0" w:top="1500" w:bottom="280" w:left="880" w:right="80"/>
        </w:sectPr>
      </w:pPr>
    </w:p>
    <w:p>
      <w:pPr>
        <w:pStyle w:val="Heading1"/>
        <w:spacing w:line="312" w:lineRule="auto" w:before="50"/>
        <w:ind w:right="165"/>
        <w:jc w:val="left"/>
      </w:pPr>
      <w:r>
        <w:rPr/>
        <w:t>Para aquellos programas o proyectos de inversión de infraestructura económica con un monto de inversión entre 30 y 50 mdp.</w:t>
      </w:r>
    </w:p>
    <w:p>
      <w:pPr>
        <w:pStyle w:val="BodyText"/>
        <w:rPr>
          <w:b/>
          <w:sz w:val="20"/>
        </w:rPr>
      </w:pPr>
    </w:p>
    <w:p>
      <w:pPr>
        <w:pStyle w:val="BodyText"/>
        <w:rPr>
          <w:b/>
          <w:sz w:val="20"/>
        </w:rPr>
      </w:pPr>
    </w:p>
    <w:p>
      <w:pPr>
        <w:pStyle w:val="BodyText"/>
        <w:spacing w:before="6"/>
        <w:rPr>
          <w:b/>
          <w:sz w:val="12"/>
        </w:rPr>
      </w:pPr>
      <w:r>
        <w:rPr/>
        <w:pict>
          <v:shape style="position:absolute;margin-left:110.519997pt;margin-top:9.377098pt;width:390.85pt;height:19.150pt;mso-position-horizontal-relative:page;mso-position-vertical-relative:paragraph;z-index:2128;mso-wrap-distance-left:0;mso-wrap-distance-right:0" type="#_x0000_t202" filled="true" fillcolor="#16365d" stroked="true" strokeweight=".36pt" strokecolor="#000000">
            <v:textbox inset="0,0,0,0">
              <w:txbxContent>
                <w:p>
                  <w:pPr>
                    <w:spacing w:before="90"/>
                    <w:ind w:left="2839" w:right="2839" w:firstLine="0"/>
                    <w:jc w:val="center"/>
                    <w:rPr>
                      <w:rFonts w:ascii="Calibri" w:hAnsi="Calibri"/>
                      <w:b/>
                      <w:sz w:val="16"/>
                    </w:rPr>
                  </w:pPr>
                  <w:r>
                    <w:rPr>
                      <w:rFonts w:ascii="Calibri" w:hAnsi="Calibri"/>
                      <w:b/>
                      <w:color w:val="FFFFFF"/>
                      <w:sz w:val="16"/>
                    </w:rPr>
                    <w:t>Anexo I. Situación con proyecto</w:t>
                  </w:r>
                </w:p>
              </w:txbxContent>
            </v:textbox>
            <v:fill type="solid"/>
            <w10:wrap type="topAndBottom"/>
          </v:shape>
        </w:pict>
      </w:r>
    </w:p>
    <w:p>
      <w:pPr>
        <w:pStyle w:val="BodyText"/>
        <w:spacing w:before="9" w:after="1"/>
        <w:rPr>
          <w:b/>
          <w:sz w:val="14"/>
        </w:rPr>
      </w:pPr>
    </w:p>
    <w:tbl>
      <w:tblPr>
        <w:tblW w:w="0" w:type="auto"/>
        <w:jc w:val="left"/>
        <w:tblInd w:w="6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80"/>
        <w:gridCol w:w="824"/>
        <w:gridCol w:w="481"/>
        <w:gridCol w:w="1133"/>
        <w:gridCol w:w="530"/>
        <w:gridCol w:w="1183"/>
        <w:gridCol w:w="1109"/>
        <w:gridCol w:w="2078"/>
      </w:tblGrid>
      <w:tr>
        <w:trPr>
          <w:trHeight w:val="534" w:hRule="exact"/>
        </w:trPr>
        <w:tc>
          <w:tcPr>
            <w:tcW w:w="7819" w:type="dxa"/>
            <w:gridSpan w:val="8"/>
            <w:shd w:val="clear" w:color="auto" w:fill="4F80BC"/>
          </w:tcPr>
          <w:p>
            <w:pPr>
              <w:pStyle w:val="TableParagraph"/>
              <w:spacing w:before="68"/>
              <w:ind w:left="3103" w:right="3101"/>
              <w:jc w:val="center"/>
              <w:rPr>
                <w:rFonts w:ascii="Calibri" w:hAnsi="Calibri"/>
                <w:b/>
                <w:sz w:val="16"/>
              </w:rPr>
            </w:pPr>
            <w:r>
              <w:rPr>
                <w:rFonts w:ascii="Calibri" w:hAnsi="Calibri"/>
                <w:b/>
                <w:color w:val="FFFFFF"/>
                <w:sz w:val="16"/>
              </w:rPr>
              <w:t>Cuantificación de costos (Sin incluir IVA)</w:t>
            </w:r>
          </w:p>
        </w:tc>
      </w:tr>
      <w:tr>
        <w:trPr>
          <w:trHeight w:val="579" w:hRule="exact"/>
        </w:trPr>
        <w:tc>
          <w:tcPr>
            <w:tcW w:w="480" w:type="dxa"/>
            <w:shd w:val="clear" w:color="auto" w:fill="BFBFBF"/>
          </w:tcPr>
          <w:p>
            <w:pPr>
              <w:pStyle w:val="TableParagraph"/>
              <w:spacing w:before="6"/>
              <w:rPr>
                <w:b/>
                <w:sz w:val="16"/>
              </w:rPr>
            </w:pPr>
          </w:p>
          <w:p>
            <w:pPr>
              <w:pStyle w:val="TableParagraph"/>
              <w:ind w:left="46" w:right="46"/>
              <w:jc w:val="center"/>
              <w:rPr>
                <w:rFonts w:ascii="Calibri" w:hAnsi="Calibri"/>
                <w:b/>
                <w:sz w:val="16"/>
              </w:rPr>
            </w:pPr>
            <w:r>
              <w:rPr>
                <w:rFonts w:ascii="Calibri" w:hAnsi="Calibri"/>
                <w:b/>
                <w:sz w:val="16"/>
              </w:rPr>
              <w:t>Año</w:t>
            </w:r>
          </w:p>
        </w:tc>
        <w:tc>
          <w:tcPr>
            <w:tcW w:w="1306" w:type="dxa"/>
            <w:gridSpan w:val="2"/>
            <w:shd w:val="clear" w:color="auto" w:fill="BFBFBF"/>
          </w:tcPr>
          <w:p>
            <w:pPr>
              <w:pStyle w:val="TableParagraph"/>
              <w:spacing w:before="6"/>
              <w:rPr>
                <w:b/>
                <w:sz w:val="16"/>
              </w:rPr>
            </w:pPr>
          </w:p>
          <w:p>
            <w:pPr>
              <w:pStyle w:val="TableParagraph"/>
              <w:ind w:left="340"/>
              <w:rPr>
                <w:rFonts w:ascii="Calibri" w:hAnsi="Calibri"/>
                <w:b/>
                <w:sz w:val="16"/>
              </w:rPr>
            </w:pPr>
            <w:r>
              <w:rPr>
                <w:rFonts w:ascii="Calibri" w:hAnsi="Calibri"/>
                <w:b/>
                <w:sz w:val="16"/>
              </w:rPr>
              <w:t>Inversión</w:t>
            </w:r>
          </w:p>
        </w:tc>
        <w:tc>
          <w:tcPr>
            <w:tcW w:w="1663" w:type="dxa"/>
            <w:gridSpan w:val="2"/>
            <w:shd w:val="clear" w:color="auto" w:fill="BFBFBF"/>
          </w:tcPr>
          <w:p>
            <w:pPr>
              <w:pStyle w:val="TableParagraph"/>
              <w:spacing w:before="6"/>
              <w:rPr>
                <w:b/>
                <w:sz w:val="16"/>
              </w:rPr>
            </w:pPr>
          </w:p>
          <w:p>
            <w:pPr>
              <w:pStyle w:val="TableParagraph"/>
              <w:ind w:left="484"/>
              <w:rPr>
                <w:rFonts w:ascii="Calibri" w:hAnsi="Calibri"/>
                <w:b/>
                <w:sz w:val="16"/>
              </w:rPr>
            </w:pPr>
            <w:r>
              <w:rPr>
                <w:rFonts w:ascii="Calibri" w:hAnsi="Calibri"/>
                <w:b/>
                <w:sz w:val="16"/>
              </w:rPr>
              <w:t>Operación</w:t>
            </w:r>
          </w:p>
        </w:tc>
        <w:tc>
          <w:tcPr>
            <w:tcW w:w="1183" w:type="dxa"/>
            <w:shd w:val="clear" w:color="auto" w:fill="BFBFBF"/>
          </w:tcPr>
          <w:p>
            <w:pPr>
              <w:pStyle w:val="TableParagraph"/>
              <w:spacing w:before="6"/>
              <w:rPr>
                <w:b/>
                <w:sz w:val="16"/>
              </w:rPr>
            </w:pPr>
          </w:p>
          <w:p>
            <w:pPr>
              <w:pStyle w:val="TableParagraph"/>
              <w:ind w:left="46" w:right="43"/>
              <w:jc w:val="center"/>
              <w:rPr>
                <w:rFonts w:ascii="Calibri"/>
                <w:b/>
                <w:sz w:val="16"/>
              </w:rPr>
            </w:pPr>
            <w:r>
              <w:rPr>
                <w:rFonts w:ascii="Calibri"/>
                <w:b/>
                <w:sz w:val="16"/>
              </w:rPr>
              <w:t>Mantenimiento</w:t>
            </w:r>
          </w:p>
        </w:tc>
        <w:tc>
          <w:tcPr>
            <w:tcW w:w="1109" w:type="dxa"/>
            <w:shd w:val="clear" w:color="auto" w:fill="BFBFBF"/>
          </w:tcPr>
          <w:p>
            <w:pPr>
              <w:pStyle w:val="TableParagraph"/>
              <w:spacing w:before="91"/>
              <w:ind w:left="184" w:right="48" w:hanging="118"/>
              <w:rPr>
                <w:rFonts w:ascii="Calibri" w:hAnsi="Calibri"/>
                <w:b/>
                <w:sz w:val="16"/>
              </w:rPr>
            </w:pPr>
            <w:r>
              <w:rPr>
                <w:rFonts w:ascii="Calibri" w:hAnsi="Calibri"/>
                <w:b/>
                <w:sz w:val="16"/>
              </w:rPr>
              <w:t>Remuneración al Personal</w:t>
            </w:r>
          </w:p>
        </w:tc>
        <w:tc>
          <w:tcPr>
            <w:tcW w:w="2078" w:type="dxa"/>
            <w:shd w:val="clear" w:color="auto" w:fill="BFBFBF"/>
          </w:tcPr>
          <w:p>
            <w:pPr>
              <w:pStyle w:val="TableParagraph"/>
              <w:spacing w:before="6"/>
              <w:rPr>
                <w:b/>
                <w:sz w:val="16"/>
              </w:rPr>
            </w:pPr>
          </w:p>
          <w:p>
            <w:pPr>
              <w:pStyle w:val="TableParagraph"/>
              <w:jc w:val="center"/>
              <w:rPr>
                <w:rFonts w:ascii="Calibri"/>
                <w:b/>
                <w:sz w:val="16"/>
              </w:rPr>
            </w:pPr>
            <w:r>
              <w:rPr>
                <w:rFonts w:ascii="Calibri"/>
                <w:b/>
                <w:sz w:val="16"/>
              </w:rPr>
              <w:t>Total</w:t>
            </w:r>
          </w:p>
        </w:tc>
      </w:tr>
      <w:tr>
        <w:trPr>
          <w:trHeight w:val="402" w:hRule="exact"/>
        </w:trPr>
        <w:tc>
          <w:tcPr>
            <w:tcW w:w="480" w:type="dxa"/>
          </w:tcPr>
          <w:p>
            <w:pPr>
              <w:pStyle w:val="TableParagraph"/>
              <w:spacing w:before="101"/>
              <w:jc w:val="center"/>
              <w:rPr>
                <w:rFonts w:ascii="Calibri"/>
                <w:sz w:val="16"/>
              </w:rPr>
            </w:pPr>
            <w:r>
              <w:rPr>
                <w:rFonts w:ascii="Calibri"/>
                <w:w w:val="100"/>
                <w:sz w:val="16"/>
              </w:rPr>
              <w:t>0</w:t>
            </w:r>
          </w:p>
        </w:tc>
        <w:tc>
          <w:tcPr>
            <w:tcW w:w="1306" w:type="dxa"/>
            <w:gridSpan w:val="2"/>
          </w:tcPr>
          <w:p>
            <w:pPr>
              <w:pStyle w:val="TableParagraph"/>
              <w:spacing w:before="101"/>
              <w:ind w:left="160"/>
              <w:rPr>
                <w:rFonts w:ascii="Calibri"/>
                <w:sz w:val="16"/>
              </w:rPr>
            </w:pPr>
            <w:r>
              <w:rPr>
                <w:rFonts w:ascii="Calibri"/>
                <w:sz w:val="16"/>
              </w:rPr>
              <w:t>$37,562,201.68</w:t>
            </w:r>
          </w:p>
        </w:tc>
        <w:tc>
          <w:tcPr>
            <w:tcW w:w="1663" w:type="dxa"/>
            <w:gridSpan w:val="2"/>
          </w:tcPr>
          <w:p>
            <w:pPr>
              <w:pStyle w:val="TableParagraph"/>
              <w:spacing w:before="2"/>
              <w:ind w:left="38"/>
              <w:jc w:val="center"/>
              <w:rPr>
                <w:rFonts w:ascii="Calibri"/>
                <w:sz w:val="16"/>
              </w:rPr>
            </w:pPr>
            <w:r>
              <w:rPr>
                <w:rFonts w:ascii="Calibri"/>
                <w:w w:val="100"/>
                <w:sz w:val="16"/>
              </w:rPr>
              <w:t>$</w:t>
            </w:r>
          </w:p>
          <w:p>
            <w:pPr>
              <w:pStyle w:val="TableParagraph"/>
              <w:spacing w:before="1"/>
              <w:ind w:left="1"/>
              <w:jc w:val="center"/>
              <w:rPr>
                <w:rFonts w:ascii="Calibri"/>
                <w:sz w:val="16"/>
              </w:rPr>
            </w:pPr>
            <w:r>
              <w:rPr>
                <w:rFonts w:ascii="Calibri"/>
                <w:w w:val="100"/>
                <w:sz w:val="16"/>
              </w:rPr>
              <w:t>-</w:t>
            </w:r>
          </w:p>
        </w:tc>
        <w:tc>
          <w:tcPr>
            <w:tcW w:w="1183" w:type="dxa"/>
          </w:tcPr>
          <w:p>
            <w:pPr>
              <w:pStyle w:val="TableParagraph"/>
              <w:spacing w:before="2"/>
              <w:ind w:left="38"/>
              <w:jc w:val="center"/>
              <w:rPr>
                <w:rFonts w:ascii="Calibri"/>
                <w:sz w:val="16"/>
              </w:rPr>
            </w:pPr>
            <w:r>
              <w:rPr>
                <w:rFonts w:ascii="Calibri"/>
                <w:w w:val="100"/>
                <w:sz w:val="16"/>
              </w:rPr>
              <w:t>$</w:t>
            </w:r>
          </w:p>
          <w:p>
            <w:pPr>
              <w:pStyle w:val="TableParagraph"/>
              <w:spacing w:before="1"/>
              <w:ind w:left="1"/>
              <w:jc w:val="center"/>
              <w:rPr>
                <w:rFonts w:ascii="Calibri"/>
                <w:sz w:val="16"/>
              </w:rPr>
            </w:pPr>
            <w:r>
              <w:rPr>
                <w:rFonts w:ascii="Calibri"/>
                <w:w w:val="100"/>
                <w:sz w:val="16"/>
              </w:rPr>
              <w:t>-</w:t>
            </w:r>
          </w:p>
        </w:tc>
        <w:tc>
          <w:tcPr>
            <w:tcW w:w="1109" w:type="dxa"/>
          </w:tcPr>
          <w:p>
            <w:pPr>
              <w:pStyle w:val="TableParagraph"/>
              <w:spacing w:before="2"/>
              <w:ind w:right="65"/>
              <w:jc w:val="right"/>
              <w:rPr>
                <w:rFonts w:ascii="Calibri"/>
                <w:sz w:val="16"/>
              </w:rPr>
            </w:pPr>
            <w:r>
              <w:rPr>
                <w:rFonts w:ascii="Calibri"/>
                <w:w w:val="100"/>
                <w:sz w:val="16"/>
              </w:rPr>
              <w:t>$</w:t>
            </w:r>
          </w:p>
          <w:p>
            <w:pPr>
              <w:pStyle w:val="TableParagraph"/>
              <w:spacing w:before="1"/>
              <w:ind w:right="66"/>
              <w:jc w:val="right"/>
              <w:rPr>
                <w:rFonts w:ascii="Calibri"/>
                <w:sz w:val="16"/>
              </w:rPr>
            </w:pPr>
            <w:r>
              <w:rPr>
                <w:rFonts w:ascii="Calibri"/>
                <w:w w:val="100"/>
                <w:sz w:val="16"/>
              </w:rPr>
              <w:t>-</w:t>
            </w:r>
          </w:p>
        </w:tc>
        <w:tc>
          <w:tcPr>
            <w:tcW w:w="2078" w:type="dxa"/>
            <w:shd w:val="clear" w:color="auto" w:fill="BFBFBF"/>
          </w:tcPr>
          <w:p>
            <w:pPr>
              <w:pStyle w:val="TableParagraph"/>
              <w:tabs>
                <w:tab w:pos="404" w:val="left" w:leader="none"/>
              </w:tabs>
              <w:spacing w:before="101"/>
              <w:ind w:left="34"/>
              <w:jc w:val="center"/>
              <w:rPr>
                <w:rFonts w:ascii="Calibri"/>
                <w:b/>
                <w:sz w:val="16"/>
              </w:rPr>
            </w:pPr>
            <w:r>
              <w:rPr>
                <w:rFonts w:ascii="Calibri"/>
                <w:b/>
                <w:sz w:val="16"/>
              </w:rPr>
              <w:t>$</w:t>
              <w:tab/>
              <w:t>37,562,201.68</w:t>
            </w:r>
          </w:p>
        </w:tc>
      </w:tr>
      <w:tr>
        <w:trPr>
          <w:trHeight w:val="401" w:hRule="exact"/>
        </w:trPr>
        <w:tc>
          <w:tcPr>
            <w:tcW w:w="480" w:type="dxa"/>
          </w:tcPr>
          <w:p>
            <w:pPr>
              <w:pStyle w:val="TableParagraph"/>
              <w:spacing w:before="99"/>
              <w:jc w:val="center"/>
              <w:rPr>
                <w:rFonts w:ascii="Calibri"/>
                <w:sz w:val="16"/>
              </w:rPr>
            </w:pPr>
            <w:r>
              <w:rPr>
                <w:rFonts w:ascii="Calibri"/>
                <w:w w:val="100"/>
                <w:sz w:val="16"/>
              </w:rPr>
              <w:t>1</w:t>
            </w:r>
          </w:p>
        </w:tc>
        <w:tc>
          <w:tcPr>
            <w:tcW w:w="1306" w:type="dxa"/>
            <w:gridSpan w:val="2"/>
          </w:tcPr>
          <w:p>
            <w:pPr>
              <w:pStyle w:val="TableParagraph"/>
              <w:spacing w:line="195" w:lineRule="exact" w:before="1"/>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99"/>
              <w:ind w:left="280"/>
              <w:rPr>
                <w:rFonts w:ascii="Calibri"/>
                <w:sz w:val="16"/>
              </w:rPr>
            </w:pPr>
            <w:r>
              <w:rPr>
                <w:rFonts w:ascii="Calibri"/>
                <w:sz w:val="16"/>
              </w:rPr>
              <w:t>$300,804,449.24</w:t>
            </w:r>
          </w:p>
        </w:tc>
        <w:tc>
          <w:tcPr>
            <w:tcW w:w="1183" w:type="dxa"/>
          </w:tcPr>
          <w:p>
            <w:pPr>
              <w:pStyle w:val="TableParagraph"/>
              <w:spacing w:line="195" w:lineRule="exact" w:before="1"/>
              <w:ind w:left="38"/>
              <w:jc w:val="center"/>
              <w:rPr>
                <w:rFonts w:ascii="Calibri"/>
                <w:sz w:val="16"/>
              </w:rPr>
            </w:pPr>
            <w:r>
              <w:rPr>
                <w:rFonts w:ascii="Calibri"/>
                <w:w w:val="100"/>
                <w:sz w:val="16"/>
              </w:rPr>
              <w:t>$</w:t>
            </w:r>
          </w:p>
          <w:p>
            <w:pPr>
              <w:pStyle w:val="TableParagraph"/>
              <w:spacing w:line="195" w:lineRule="exact"/>
              <w:ind w:left="1"/>
              <w:jc w:val="center"/>
              <w:rPr>
                <w:rFonts w:ascii="Calibri"/>
                <w:sz w:val="16"/>
              </w:rPr>
            </w:pPr>
            <w:r>
              <w:rPr>
                <w:rFonts w:ascii="Calibri"/>
                <w:w w:val="100"/>
                <w:sz w:val="16"/>
              </w:rPr>
              <w:t>-</w:t>
            </w:r>
          </w:p>
        </w:tc>
        <w:tc>
          <w:tcPr>
            <w:tcW w:w="1109" w:type="dxa"/>
          </w:tcPr>
          <w:p>
            <w:pPr>
              <w:pStyle w:val="TableParagraph"/>
              <w:spacing w:before="99"/>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99"/>
              <w:ind w:left="36"/>
              <w:jc w:val="center"/>
              <w:rPr>
                <w:rFonts w:ascii="Calibri"/>
                <w:b/>
                <w:sz w:val="16"/>
              </w:rPr>
            </w:pPr>
            <w:r>
              <w:rPr>
                <w:rFonts w:ascii="Calibri"/>
                <w:b/>
                <w:sz w:val="16"/>
              </w:rPr>
              <w:t>$</w:t>
              <w:tab/>
              <w:t>301,725,391.64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2</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16"/>
              <w:ind w:left="280"/>
              <w:rPr>
                <w:rFonts w:ascii="Calibri"/>
                <w:sz w:val="16"/>
              </w:rPr>
            </w:pPr>
            <w:r>
              <w:rPr>
                <w:rFonts w:ascii="Calibri"/>
                <w:sz w:val="16"/>
              </w:rPr>
              <w:t>$300,804,449.24</w:t>
            </w:r>
          </w:p>
        </w:tc>
        <w:tc>
          <w:tcPr>
            <w:tcW w:w="1183" w:type="dxa"/>
          </w:tcPr>
          <w:p>
            <w:pPr>
              <w:pStyle w:val="TableParagraph"/>
              <w:spacing w:before="116"/>
              <w:ind w:left="46" w:right="13"/>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3</w:t>
            </w:r>
          </w:p>
        </w:tc>
        <w:tc>
          <w:tcPr>
            <w:tcW w:w="1306" w:type="dxa"/>
            <w:gridSpan w:val="2"/>
          </w:tcPr>
          <w:p>
            <w:pPr>
              <w:pStyle w:val="TableParagraph"/>
              <w:spacing w:before="18"/>
              <w:ind w:left="35"/>
              <w:jc w:val="center"/>
              <w:rPr>
                <w:rFonts w:ascii="Calibri"/>
                <w:sz w:val="16"/>
              </w:rPr>
            </w:pPr>
            <w:r>
              <w:rPr>
                <w:rFonts w:ascii="Calibri"/>
                <w:w w:val="100"/>
                <w:sz w:val="16"/>
              </w:rPr>
              <w:t>$</w:t>
            </w:r>
          </w:p>
          <w:p>
            <w:pPr>
              <w:pStyle w:val="TableParagraph"/>
              <w:spacing w:before="1"/>
              <w:ind w:right="1"/>
              <w:jc w:val="center"/>
              <w:rPr>
                <w:rFonts w:ascii="Calibri"/>
                <w:sz w:val="16"/>
              </w:rPr>
            </w:pPr>
            <w:r>
              <w:rPr>
                <w:rFonts w:ascii="Calibri"/>
                <w:w w:val="100"/>
                <w:sz w:val="16"/>
              </w:rPr>
              <w:t>-</w:t>
            </w:r>
          </w:p>
        </w:tc>
        <w:tc>
          <w:tcPr>
            <w:tcW w:w="1663" w:type="dxa"/>
            <w:gridSpan w:val="2"/>
          </w:tcPr>
          <w:p>
            <w:pPr>
              <w:pStyle w:val="TableParagraph"/>
              <w:spacing w:before="116"/>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4</w:t>
            </w:r>
          </w:p>
        </w:tc>
        <w:tc>
          <w:tcPr>
            <w:tcW w:w="1306" w:type="dxa"/>
            <w:gridSpan w:val="2"/>
          </w:tcPr>
          <w:p>
            <w:pPr>
              <w:pStyle w:val="TableParagraph"/>
              <w:spacing w:before="18"/>
              <w:ind w:left="35"/>
              <w:jc w:val="center"/>
              <w:rPr>
                <w:rFonts w:ascii="Calibri"/>
                <w:sz w:val="16"/>
              </w:rPr>
            </w:pPr>
            <w:r>
              <w:rPr>
                <w:rFonts w:ascii="Calibri"/>
                <w:w w:val="100"/>
                <w:sz w:val="16"/>
              </w:rPr>
              <w:t>$</w:t>
            </w:r>
          </w:p>
          <w:p>
            <w:pPr>
              <w:pStyle w:val="TableParagraph"/>
              <w:spacing w:before="1"/>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5</w:t>
            </w:r>
          </w:p>
        </w:tc>
        <w:tc>
          <w:tcPr>
            <w:tcW w:w="1306" w:type="dxa"/>
            <w:gridSpan w:val="2"/>
          </w:tcPr>
          <w:p>
            <w:pPr>
              <w:pStyle w:val="TableParagraph"/>
              <w:spacing w:before="18"/>
              <w:ind w:left="35"/>
              <w:jc w:val="center"/>
              <w:rPr>
                <w:rFonts w:ascii="Calibri"/>
                <w:sz w:val="16"/>
              </w:rPr>
            </w:pPr>
            <w:r>
              <w:rPr>
                <w:rFonts w:ascii="Calibri"/>
                <w:w w:val="100"/>
                <w:sz w:val="16"/>
              </w:rPr>
              <w:t>$</w:t>
            </w:r>
          </w:p>
          <w:p>
            <w:pPr>
              <w:pStyle w:val="TableParagraph"/>
              <w:spacing w:before="1"/>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6</w:t>
            </w:r>
          </w:p>
        </w:tc>
        <w:tc>
          <w:tcPr>
            <w:tcW w:w="1306" w:type="dxa"/>
            <w:gridSpan w:val="2"/>
          </w:tcPr>
          <w:p>
            <w:pPr>
              <w:pStyle w:val="TableParagraph"/>
              <w:spacing w:before="18"/>
              <w:ind w:left="35"/>
              <w:jc w:val="center"/>
              <w:rPr>
                <w:rFonts w:ascii="Calibri"/>
                <w:sz w:val="16"/>
              </w:rPr>
            </w:pPr>
            <w:r>
              <w:rPr>
                <w:rFonts w:ascii="Calibri"/>
                <w:w w:val="100"/>
                <w:sz w:val="16"/>
              </w:rPr>
              <w:t>$</w:t>
            </w:r>
          </w:p>
          <w:p>
            <w:pPr>
              <w:pStyle w:val="TableParagraph"/>
              <w:spacing w:before="1"/>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7</w:t>
            </w:r>
          </w:p>
        </w:tc>
        <w:tc>
          <w:tcPr>
            <w:tcW w:w="1306" w:type="dxa"/>
            <w:gridSpan w:val="2"/>
          </w:tcPr>
          <w:p>
            <w:pPr>
              <w:pStyle w:val="TableParagraph"/>
              <w:spacing w:line="195" w:lineRule="exact" w:before="20"/>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jc w:val="center"/>
              <w:rPr>
                <w:rFonts w:ascii="Calibri"/>
                <w:sz w:val="16"/>
              </w:rPr>
            </w:pPr>
            <w:r>
              <w:rPr>
                <w:rFonts w:ascii="Calibri"/>
                <w:w w:val="100"/>
                <w:sz w:val="16"/>
              </w:rPr>
              <w:t>8</w:t>
            </w:r>
          </w:p>
        </w:tc>
        <w:tc>
          <w:tcPr>
            <w:tcW w:w="1306" w:type="dxa"/>
            <w:gridSpan w:val="2"/>
          </w:tcPr>
          <w:p>
            <w:pPr>
              <w:pStyle w:val="TableParagraph"/>
              <w:spacing w:line="195" w:lineRule="exact" w:before="20"/>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3"/>
              <w:ind w:left="280"/>
              <w:rPr>
                <w:rFonts w:ascii="Calibri"/>
                <w:sz w:val="16"/>
              </w:rPr>
            </w:pPr>
            <w:r>
              <w:rPr>
                <w:rFonts w:ascii="Calibri"/>
                <w:sz w:val="16"/>
              </w:rPr>
              <w:t>$300,804,449.24</w:t>
            </w:r>
          </w:p>
        </w:tc>
        <w:tc>
          <w:tcPr>
            <w:tcW w:w="1183" w:type="dxa"/>
          </w:tcPr>
          <w:p>
            <w:pPr>
              <w:pStyle w:val="TableParagraph"/>
              <w:spacing w:before="3"/>
              <w:ind w:left="44" w:right="44"/>
              <w:jc w:val="center"/>
              <w:rPr>
                <w:rFonts w:ascii="Calibri"/>
                <w:sz w:val="16"/>
              </w:rPr>
            </w:pPr>
            <w:r>
              <w:rPr>
                <w:rFonts w:ascii="Calibri"/>
                <w:sz w:val="16"/>
              </w:rPr>
              <w:t>$10,000.00</w:t>
            </w:r>
          </w:p>
        </w:tc>
        <w:tc>
          <w:tcPr>
            <w:tcW w:w="1109" w:type="dxa"/>
          </w:tcPr>
          <w:p>
            <w:pPr>
              <w:pStyle w:val="TableParagraph"/>
              <w:spacing w:before="3"/>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7" w:hRule="exact"/>
        </w:trPr>
        <w:tc>
          <w:tcPr>
            <w:tcW w:w="480" w:type="dxa"/>
          </w:tcPr>
          <w:p>
            <w:pPr>
              <w:pStyle w:val="TableParagraph"/>
              <w:spacing w:before="116"/>
              <w:jc w:val="center"/>
              <w:rPr>
                <w:rFonts w:ascii="Calibri"/>
                <w:sz w:val="16"/>
              </w:rPr>
            </w:pPr>
            <w:r>
              <w:rPr>
                <w:rFonts w:ascii="Calibri"/>
                <w:w w:val="100"/>
                <w:sz w:val="16"/>
              </w:rPr>
              <w:t>9</w:t>
            </w:r>
          </w:p>
        </w:tc>
        <w:tc>
          <w:tcPr>
            <w:tcW w:w="1306" w:type="dxa"/>
            <w:gridSpan w:val="2"/>
          </w:tcPr>
          <w:p>
            <w:pPr>
              <w:pStyle w:val="TableParagraph"/>
              <w:spacing w:line="195" w:lineRule="exact" w:before="20"/>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3"/>
              <w:ind w:left="280"/>
              <w:rPr>
                <w:rFonts w:ascii="Calibri"/>
                <w:sz w:val="16"/>
              </w:rPr>
            </w:pPr>
            <w:r>
              <w:rPr>
                <w:rFonts w:ascii="Calibri"/>
                <w:sz w:val="16"/>
              </w:rPr>
              <w:t>$300,804,449.24</w:t>
            </w:r>
          </w:p>
        </w:tc>
        <w:tc>
          <w:tcPr>
            <w:tcW w:w="1183" w:type="dxa"/>
          </w:tcPr>
          <w:p>
            <w:pPr>
              <w:pStyle w:val="TableParagraph"/>
              <w:spacing w:before="3"/>
              <w:ind w:left="44" w:right="44"/>
              <w:jc w:val="center"/>
              <w:rPr>
                <w:rFonts w:ascii="Calibri"/>
                <w:sz w:val="16"/>
              </w:rPr>
            </w:pPr>
            <w:r>
              <w:rPr>
                <w:rFonts w:ascii="Calibri"/>
                <w:sz w:val="16"/>
              </w:rPr>
              <w:t>$10,000.00</w:t>
            </w:r>
          </w:p>
        </w:tc>
        <w:tc>
          <w:tcPr>
            <w:tcW w:w="1109" w:type="dxa"/>
          </w:tcPr>
          <w:p>
            <w:pPr>
              <w:pStyle w:val="TableParagraph"/>
              <w:spacing w:before="3"/>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4"/>
              <w:ind w:left="45" w:right="46"/>
              <w:jc w:val="center"/>
              <w:rPr>
                <w:rFonts w:ascii="Calibri"/>
                <w:sz w:val="16"/>
              </w:rPr>
            </w:pPr>
            <w:r>
              <w:rPr>
                <w:rFonts w:ascii="Calibri"/>
                <w:sz w:val="16"/>
              </w:rPr>
              <w:t>10</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5" w:val="left" w:leader="none"/>
              </w:tabs>
              <w:spacing w:before="114"/>
              <w:ind w:left="37"/>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ind w:left="45" w:right="46"/>
              <w:jc w:val="center"/>
              <w:rPr>
                <w:rFonts w:ascii="Calibri"/>
                <w:sz w:val="16"/>
              </w:rPr>
            </w:pPr>
            <w:r>
              <w:rPr>
                <w:rFonts w:ascii="Calibri"/>
                <w:sz w:val="16"/>
              </w:rPr>
              <w:t>11</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ind w:left="45" w:right="46"/>
              <w:jc w:val="center"/>
              <w:rPr>
                <w:rFonts w:ascii="Calibri"/>
                <w:sz w:val="16"/>
              </w:rPr>
            </w:pPr>
            <w:r>
              <w:rPr>
                <w:rFonts w:ascii="Calibri"/>
                <w:sz w:val="16"/>
              </w:rPr>
              <w:t>12</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ind w:left="45" w:right="46"/>
              <w:jc w:val="center"/>
              <w:rPr>
                <w:rFonts w:ascii="Calibri"/>
                <w:sz w:val="16"/>
              </w:rPr>
            </w:pPr>
            <w:r>
              <w:rPr>
                <w:rFonts w:ascii="Calibri"/>
                <w:sz w:val="16"/>
              </w:rPr>
              <w:t>13</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4"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34" w:hRule="exact"/>
        </w:trPr>
        <w:tc>
          <w:tcPr>
            <w:tcW w:w="480" w:type="dxa"/>
          </w:tcPr>
          <w:p>
            <w:pPr>
              <w:pStyle w:val="TableParagraph"/>
              <w:spacing w:before="116"/>
              <w:ind w:left="45" w:right="46"/>
              <w:jc w:val="center"/>
              <w:rPr>
                <w:rFonts w:ascii="Calibri"/>
                <w:sz w:val="16"/>
              </w:rPr>
            </w:pPr>
            <w:r>
              <w:rPr>
                <w:rFonts w:ascii="Calibri"/>
                <w:sz w:val="16"/>
              </w:rPr>
              <w:t>14</w:t>
            </w:r>
          </w:p>
        </w:tc>
        <w:tc>
          <w:tcPr>
            <w:tcW w:w="1306" w:type="dxa"/>
            <w:gridSpan w:val="2"/>
          </w:tcPr>
          <w:p>
            <w:pPr>
              <w:pStyle w:val="TableParagraph"/>
              <w:spacing w:line="195" w:lineRule="exact" w:before="18"/>
              <w:ind w:left="35"/>
              <w:jc w:val="center"/>
              <w:rPr>
                <w:rFonts w:ascii="Calibri"/>
                <w:sz w:val="16"/>
              </w:rPr>
            </w:pPr>
            <w:r>
              <w:rPr>
                <w:rFonts w:ascii="Calibri"/>
                <w:w w:val="100"/>
                <w:sz w:val="16"/>
              </w:rPr>
              <w:t>$</w:t>
            </w:r>
          </w:p>
          <w:p>
            <w:pPr>
              <w:pStyle w:val="TableParagraph"/>
              <w:spacing w:line="195" w:lineRule="exact"/>
              <w:ind w:right="1"/>
              <w:jc w:val="center"/>
              <w:rPr>
                <w:rFonts w:ascii="Calibri"/>
                <w:sz w:val="16"/>
              </w:rPr>
            </w:pPr>
            <w:r>
              <w:rPr>
                <w:rFonts w:ascii="Calibri"/>
                <w:w w:val="100"/>
                <w:sz w:val="16"/>
              </w:rPr>
              <w:t>-</w:t>
            </w:r>
          </w:p>
        </w:tc>
        <w:tc>
          <w:tcPr>
            <w:tcW w:w="1663" w:type="dxa"/>
            <w:gridSpan w:val="2"/>
          </w:tcPr>
          <w:p>
            <w:pPr>
              <w:pStyle w:val="TableParagraph"/>
              <w:spacing w:before="1"/>
              <w:ind w:left="280"/>
              <w:rPr>
                <w:rFonts w:ascii="Calibri"/>
                <w:sz w:val="16"/>
              </w:rPr>
            </w:pPr>
            <w:r>
              <w:rPr>
                <w:rFonts w:ascii="Calibri"/>
                <w:sz w:val="16"/>
              </w:rPr>
              <w:t>$300,804,449.24</w:t>
            </w:r>
          </w:p>
        </w:tc>
        <w:tc>
          <w:tcPr>
            <w:tcW w:w="1183" w:type="dxa"/>
          </w:tcPr>
          <w:p>
            <w:pPr>
              <w:pStyle w:val="TableParagraph"/>
              <w:spacing w:before="1"/>
              <w:ind w:left="45" w:right="44"/>
              <w:jc w:val="center"/>
              <w:rPr>
                <w:rFonts w:ascii="Calibri"/>
                <w:sz w:val="16"/>
              </w:rPr>
            </w:pPr>
            <w:r>
              <w:rPr>
                <w:rFonts w:ascii="Calibri"/>
                <w:sz w:val="16"/>
              </w:rPr>
              <w:t>$10,000.00</w:t>
            </w:r>
          </w:p>
        </w:tc>
        <w:tc>
          <w:tcPr>
            <w:tcW w:w="1109" w:type="dxa"/>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479" w:hRule="exact"/>
        </w:trPr>
        <w:tc>
          <w:tcPr>
            <w:tcW w:w="480" w:type="dxa"/>
            <w:tcBorders>
              <w:bottom w:val="thickThinMediumGap" w:sz="10" w:space="0" w:color="BFBFBF"/>
            </w:tcBorders>
          </w:tcPr>
          <w:p>
            <w:pPr>
              <w:pStyle w:val="TableParagraph"/>
              <w:spacing w:before="116"/>
              <w:ind w:left="45" w:right="46"/>
              <w:jc w:val="center"/>
              <w:rPr>
                <w:rFonts w:ascii="Calibri"/>
                <w:sz w:val="16"/>
              </w:rPr>
            </w:pPr>
            <w:r>
              <w:rPr>
                <w:rFonts w:ascii="Calibri"/>
                <w:sz w:val="16"/>
              </w:rPr>
              <w:t>15</w:t>
            </w:r>
          </w:p>
        </w:tc>
        <w:tc>
          <w:tcPr>
            <w:tcW w:w="1306" w:type="dxa"/>
            <w:gridSpan w:val="2"/>
            <w:tcBorders>
              <w:bottom w:val="thickThinMediumGap" w:sz="10" w:space="0" w:color="BFBFBF"/>
            </w:tcBorders>
          </w:tcPr>
          <w:p>
            <w:pPr>
              <w:pStyle w:val="TableParagraph"/>
              <w:spacing w:before="18"/>
              <w:ind w:left="35"/>
              <w:jc w:val="center"/>
              <w:rPr>
                <w:rFonts w:ascii="Calibri"/>
                <w:sz w:val="16"/>
              </w:rPr>
            </w:pPr>
            <w:r>
              <w:rPr>
                <w:rFonts w:ascii="Calibri"/>
                <w:w w:val="100"/>
                <w:sz w:val="16"/>
              </w:rPr>
              <w:t>$</w:t>
            </w:r>
          </w:p>
          <w:p>
            <w:pPr>
              <w:pStyle w:val="TableParagraph"/>
              <w:spacing w:before="1"/>
              <w:ind w:right="1"/>
              <w:jc w:val="center"/>
              <w:rPr>
                <w:rFonts w:ascii="Calibri"/>
                <w:sz w:val="16"/>
              </w:rPr>
            </w:pPr>
            <w:r>
              <w:rPr>
                <w:rFonts w:ascii="Calibri"/>
                <w:w w:val="100"/>
                <w:sz w:val="16"/>
              </w:rPr>
              <w:t>-</w:t>
            </w:r>
          </w:p>
        </w:tc>
        <w:tc>
          <w:tcPr>
            <w:tcW w:w="1663" w:type="dxa"/>
            <w:gridSpan w:val="2"/>
            <w:tcBorders>
              <w:bottom w:val="thickThinMediumGap" w:sz="10" w:space="0" w:color="BFBFBF"/>
            </w:tcBorders>
          </w:tcPr>
          <w:p>
            <w:pPr>
              <w:pStyle w:val="TableParagraph"/>
              <w:spacing w:before="1"/>
              <w:ind w:left="280"/>
              <w:rPr>
                <w:rFonts w:ascii="Calibri"/>
                <w:sz w:val="16"/>
              </w:rPr>
            </w:pPr>
            <w:r>
              <w:rPr>
                <w:rFonts w:ascii="Calibri"/>
                <w:sz w:val="16"/>
              </w:rPr>
              <w:t>$300,804,449.24</w:t>
            </w:r>
          </w:p>
        </w:tc>
        <w:tc>
          <w:tcPr>
            <w:tcW w:w="1183" w:type="dxa"/>
            <w:tcBorders>
              <w:bottom w:val="thickThinMediumGap" w:sz="10" w:space="0" w:color="BFBFBF"/>
            </w:tcBorders>
          </w:tcPr>
          <w:p>
            <w:pPr>
              <w:pStyle w:val="TableParagraph"/>
              <w:spacing w:before="1"/>
              <w:ind w:left="44" w:right="44"/>
              <w:jc w:val="center"/>
              <w:rPr>
                <w:rFonts w:ascii="Calibri"/>
                <w:sz w:val="16"/>
              </w:rPr>
            </w:pPr>
            <w:r>
              <w:rPr>
                <w:rFonts w:ascii="Calibri"/>
                <w:sz w:val="16"/>
              </w:rPr>
              <w:t>$10,000.00</w:t>
            </w:r>
          </w:p>
        </w:tc>
        <w:tc>
          <w:tcPr>
            <w:tcW w:w="1109" w:type="dxa"/>
            <w:tcBorders>
              <w:bottom w:val="thickThinMediumGap" w:sz="10" w:space="0" w:color="BFBFBF"/>
            </w:tcBorders>
          </w:tcPr>
          <w:p>
            <w:pPr>
              <w:pStyle w:val="TableParagraph"/>
              <w:spacing w:before="1"/>
              <w:ind w:left="62" w:right="62"/>
              <w:jc w:val="center"/>
              <w:rPr>
                <w:rFonts w:ascii="Calibri"/>
                <w:sz w:val="16"/>
              </w:rPr>
            </w:pPr>
            <w:r>
              <w:rPr>
                <w:rFonts w:ascii="Calibri"/>
                <w:sz w:val="16"/>
              </w:rPr>
              <w:t>$920,942.40</w:t>
            </w:r>
          </w:p>
        </w:tc>
        <w:tc>
          <w:tcPr>
            <w:tcW w:w="2078" w:type="dxa"/>
            <w:shd w:val="clear" w:color="auto" w:fill="BFBFBF"/>
          </w:tcPr>
          <w:p>
            <w:pPr>
              <w:pStyle w:val="TableParagraph"/>
              <w:tabs>
                <w:tab w:pos="334" w:val="left" w:leader="none"/>
              </w:tabs>
              <w:spacing w:before="116"/>
              <w:ind w:left="36"/>
              <w:jc w:val="center"/>
              <w:rPr>
                <w:rFonts w:ascii="Calibri"/>
                <w:b/>
                <w:sz w:val="16"/>
              </w:rPr>
            </w:pPr>
            <w:r>
              <w:rPr>
                <w:rFonts w:ascii="Calibri"/>
                <w:b/>
                <w:sz w:val="16"/>
              </w:rPr>
              <w:t>$</w:t>
              <w:tab/>
              <w:t>301,735,391.64</w:t>
            </w:r>
          </w:p>
        </w:tc>
      </w:tr>
      <w:tr>
        <w:trPr>
          <w:trHeight w:val="192" w:hRule="exact"/>
        </w:trPr>
        <w:tc>
          <w:tcPr>
            <w:tcW w:w="480" w:type="dxa"/>
            <w:shd w:val="clear" w:color="auto" w:fill="BFBFBF"/>
          </w:tcPr>
          <w:p>
            <w:pPr>
              <w:pStyle w:val="TableParagraph"/>
              <w:spacing w:line="191" w:lineRule="exact"/>
              <w:ind w:left="46" w:right="46"/>
              <w:jc w:val="center"/>
              <w:rPr>
                <w:rFonts w:ascii="Calibri"/>
                <w:b/>
                <w:sz w:val="16"/>
              </w:rPr>
            </w:pPr>
            <w:r>
              <w:rPr>
                <w:rFonts w:ascii="Calibri"/>
                <w:b/>
                <w:sz w:val="16"/>
              </w:rPr>
              <w:t>Total</w:t>
            </w:r>
          </w:p>
        </w:tc>
        <w:tc>
          <w:tcPr>
            <w:tcW w:w="1306" w:type="dxa"/>
            <w:gridSpan w:val="2"/>
            <w:shd w:val="clear" w:color="auto" w:fill="BFBFBF"/>
          </w:tcPr>
          <w:p>
            <w:pPr>
              <w:pStyle w:val="TableParagraph"/>
              <w:spacing w:line="191" w:lineRule="exact"/>
              <w:ind w:left="122"/>
              <w:rPr>
                <w:rFonts w:ascii="Calibri"/>
                <w:b/>
                <w:sz w:val="16"/>
              </w:rPr>
            </w:pPr>
            <w:r>
              <w:rPr>
                <w:rFonts w:ascii="Calibri"/>
                <w:b/>
                <w:sz w:val="16"/>
              </w:rPr>
              <w:t>$ 37,562,201.68</w:t>
            </w:r>
          </w:p>
        </w:tc>
        <w:tc>
          <w:tcPr>
            <w:tcW w:w="1663" w:type="dxa"/>
            <w:gridSpan w:val="2"/>
            <w:shd w:val="clear" w:color="auto" w:fill="BFBFBF"/>
          </w:tcPr>
          <w:p>
            <w:pPr>
              <w:pStyle w:val="TableParagraph"/>
              <w:spacing w:line="191" w:lineRule="exact"/>
              <w:ind w:left="199"/>
              <w:rPr>
                <w:rFonts w:ascii="Calibri"/>
                <w:b/>
                <w:sz w:val="16"/>
              </w:rPr>
            </w:pPr>
            <w:r>
              <w:rPr>
                <w:rFonts w:ascii="Calibri"/>
                <w:b/>
                <w:sz w:val="16"/>
              </w:rPr>
              <w:t>$ 4,512,066,738.66</w:t>
            </w:r>
          </w:p>
        </w:tc>
        <w:tc>
          <w:tcPr>
            <w:tcW w:w="1183" w:type="dxa"/>
            <w:shd w:val="clear" w:color="auto" w:fill="BFBFBF"/>
          </w:tcPr>
          <w:p>
            <w:pPr>
              <w:pStyle w:val="TableParagraph"/>
              <w:spacing w:line="191" w:lineRule="exact"/>
              <w:ind w:left="46" w:right="13"/>
              <w:jc w:val="center"/>
              <w:rPr>
                <w:rFonts w:ascii="Calibri"/>
                <w:b/>
                <w:sz w:val="16"/>
              </w:rPr>
            </w:pPr>
            <w:r>
              <w:rPr>
                <w:rFonts w:ascii="Calibri"/>
                <w:b/>
                <w:sz w:val="16"/>
              </w:rPr>
              <w:t>$ 140,000.00</w:t>
            </w:r>
          </w:p>
        </w:tc>
        <w:tc>
          <w:tcPr>
            <w:tcW w:w="1109" w:type="dxa"/>
            <w:shd w:val="clear" w:color="auto" w:fill="BFBFBF"/>
          </w:tcPr>
          <w:p>
            <w:pPr>
              <w:pStyle w:val="TableParagraph"/>
              <w:spacing w:line="191" w:lineRule="exact"/>
              <w:ind w:left="62" w:right="62"/>
              <w:jc w:val="center"/>
              <w:rPr>
                <w:rFonts w:ascii="Calibri"/>
                <w:b/>
                <w:sz w:val="16"/>
              </w:rPr>
            </w:pPr>
            <w:r>
              <w:rPr>
                <w:rFonts w:ascii="Calibri"/>
                <w:b/>
                <w:sz w:val="16"/>
              </w:rPr>
              <w:t>13,814,136.00</w:t>
            </w:r>
          </w:p>
        </w:tc>
        <w:tc>
          <w:tcPr>
            <w:tcW w:w="2078" w:type="dxa"/>
            <w:shd w:val="clear" w:color="auto" w:fill="BFBFBF"/>
          </w:tcPr>
          <w:p>
            <w:pPr>
              <w:pStyle w:val="TableParagraph"/>
              <w:spacing w:line="191" w:lineRule="exact"/>
              <w:ind w:left="33"/>
              <w:jc w:val="center"/>
              <w:rPr>
                <w:rFonts w:ascii="Calibri"/>
                <w:b/>
                <w:sz w:val="16"/>
              </w:rPr>
            </w:pPr>
            <w:r>
              <w:rPr>
                <w:rFonts w:ascii="Calibri"/>
                <w:b/>
                <w:sz w:val="16"/>
              </w:rPr>
              <w:t>$ 4,563,583,076.33</w:t>
            </w:r>
          </w:p>
        </w:tc>
      </w:tr>
      <w:tr>
        <w:trPr>
          <w:trHeight w:val="534" w:hRule="exact"/>
        </w:trPr>
        <w:tc>
          <w:tcPr>
            <w:tcW w:w="1304" w:type="dxa"/>
            <w:gridSpan w:val="2"/>
            <w:tcBorders>
              <w:top w:val="thickThinMediumGap" w:sz="9" w:space="0" w:color="BFBFBF"/>
            </w:tcBorders>
            <w:shd w:val="clear" w:color="auto" w:fill="4F80BC"/>
          </w:tcPr>
          <w:p>
            <w:pPr>
              <w:pStyle w:val="TableParagraph"/>
              <w:spacing w:before="70"/>
              <w:ind w:left="240" w:right="129" w:hanging="92"/>
              <w:rPr>
                <w:rFonts w:ascii="Calibri" w:hAnsi="Calibri"/>
                <w:b/>
                <w:sz w:val="16"/>
              </w:rPr>
            </w:pPr>
            <w:r>
              <w:rPr>
                <w:rFonts w:ascii="Calibri" w:hAnsi="Calibri"/>
                <w:b/>
                <w:color w:val="FFFFFF"/>
                <w:sz w:val="16"/>
              </w:rPr>
              <w:t>Total de costos de Inversión</w:t>
            </w:r>
          </w:p>
        </w:tc>
        <w:tc>
          <w:tcPr>
            <w:tcW w:w="1614" w:type="dxa"/>
            <w:gridSpan w:val="2"/>
            <w:tcBorders>
              <w:top w:val="thickThinMediumGap" w:sz="9" w:space="0" w:color="BFBFBF"/>
            </w:tcBorders>
            <w:shd w:val="clear" w:color="auto" w:fill="D8D8D8"/>
          </w:tcPr>
          <w:p>
            <w:pPr>
              <w:pStyle w:val="TableParagraph"/>
              <w:rPr>
                <w:b/>
                <w:sz w:val="16"/>
              </w:rPr>
            </w:pPr>
          </w:p>
          <w:p>
            <w:pPr>
              <w:pStyle w:val="TableParagraph"/>
              <w:tabs>
                <w:tab w:pos="438" w:val="left" w:leader="none"/>
              </w:tabs>
              <w:spacing w:before="126"/>
              <w:ind w:left="104"/>
              <w:rPr>
                <w:rFonts w:ascii="Calibri"/>
                <w:b/>
                <w:sz w:val="16"/>
              </w:rPr>
            </w:pPr>
            <w:r>
              <w:rPr>
                <w:rFonts w:ascii="Calibri"/>
                <w:b/>
                <w:sz w:val="16"/>
              </w:rPr>
              <w:t>$</w:t>
              <w:tab/>
              <w:t>7,562,201.68</w:t>
            </w:r>
          </w:p>
        </w:tc>
        <w:tc>
          <w:tcPr>
            <w:tcW w:w="4901" w:type="dxa"/>
            <w:gridSpan w:val="4"/>
            <w:vMerge w:val="restart"/>
            <w:tcBorders>
              <w:top w:val="thickThinMediumGap" w:sz="9" w:space="0" w:color="BFBFBF"/>
              <w:right w:val="nil"/>
            </w:tcBorders>
          </w:tcPr>
          <w:p>
            <w:pPr/>
          </w:p>
        </w:tc>
      </w:tr>
      <w:tr>
        <w:trPr>
          <w:trHeight w:val="536" w:hRule="exact"/>
        </w:trPr>
        <w:tc>
          <w:tcPr>
            <w:tcW w:w="1304" w:type="dxa"/>
            <w:gridSpan w:val="2"/>
            <w:shd w:val="clear" w:color="auto" w:fill="4F80BC"/>
          </w:tcPr>
          <w:p>
            <w:pPr>
              <w:pStyle w:val="TableParagraph"/>
              <w:spacing w:before="68"/>
              <w:ind w:left="203" w:right="130" w:hanging="56"/>
              <w:rPr>
                <w:rFonts w:ascii="Calibri" w:hAnsi="Calibri"/>
                <w:b/>
                <w:sz w:val="16"/>
              </w:rPr>
            </w:pPr>
            <w:r>
              <w:rPr>
                <w:rFonts w:ascii="Calibri" w:hAnsi="Calibri"/>
                <w:b/>
                <w:color w:val="FFFFFF"/>
                <w:sz w:val="16"/>
              </w:rPr>
              <w:t>Total de costos de Operación</w:t>
            </w:r>
          </w:p>
        </w:tc>
        <w:tc>
          <w:tcPr>
            <w:tcW w:w="1614" w:type="dxa"/>
            <w:gridSpan w:val="2"/>
            <w:shd w:val="clear" w:color="auto" w:fill="D8D8D8"/>
          </w:tcPr>
          <w:p>
            <w:pPr>
              <w:pStyle w:val="TableParagraph"/>
              <w:rPr>
                <w:b/>
                <w:sz w:val="16"/>
              </w:rPr>
            </w:pPr>
          </w:p>
          <w:p>
            <w:pPr>
              <w:pStyle w:val="TableParagraph"/>
              <w:spacing w:before="8"/>
              <w:rPr>
                <w:b/>
                <w:sz w:val="12"/>
              </w:rPr>
            </w:pPr>
          </w:p>
          <w:p>
            <w:pPr>
              <w:pStyle w:val="TableParagraph"/>
              <w:tabs>
                <w:tab w:pos="402" w:val="left" w:leader="none"/>
              </w:tabs>
              <w:ind w:left="104"/>
              <w:rPr>
                <w:rFonts w:ascii="Calibri"/>
                <w:b/>
                <w:sz w:val="16"/>
              </w:rPr>
            </w:pPr>
            <w:r>
              <w:rPr>
                <w:rFonts w:ascii="Calibri"/>
                <w:b/>
                <w:sz w:val="16"/>
              </w:rPr>
              <w:t>$</w:t>
              <w:tab/>
              <w:t>4,512,066,738.66</w:t>
            </w:r>
          </w:p>
        </w:tc>
        <w:tc>
          <w:tcPr>
            <w:tcW w:w="4901" w:type="dxa"/>
            <w:gridSpan w:val="4"/>
            <w:vMerge/>
            <w:tcBorders>
              <w:right w:val="nil"/>
            </w:tcBorders>
          </w:tcPr>
          <w:p>
            <w:pPr/>
          </w:p>
        </w:tc>
      </w:tr>
      <w:tr>
        <w:trPr>
          <w:trHeight w:val="595" w:hRule="exact"/>
        </w:trPr>
        <w:tc>
          <w:tcPr>
            <w:tcW w:w="1304" w:type="dxa"/>
            <w:gridSpan w:val="2"/>
            <w:shd w:val="clear" w:color="auto" w:fill="4F80BC"/>
          </w:tcPr>
          <w:p>
            <w:pPr>
              <w:pStyle w:val="TableParagraph"/>
              <w:spacing w:before="1"/>
              <w:ind w:left="127" w:right="122" w:hanging="1"/>
              <w:jc w:val="center"/>
              <w:rPr>
                <w:rFonts w:ascii="Calibri"/>
                <w:b/>
                <w:sz w:val="16"/>
              </w:rPr>
            </w:pPr>
            <w:r>
              <w:rPr>
                <w:rFonts w:ascii="Calibri"/>
                <w:b/>
                <w:color w:val="FFFFFF"/>
                <w:sz w:val="16"/>
              </w:rPr>
              <w:t>Total de costos de        Mantenimiento</w:t>
            </w:r>
          </w:p>
        </w:tc>
        <w:tc>
          <w:tcPr>
            <w:tcW w:w="1614" w:type="dxa"/>
            <w:gridSpan w:val="2"/>
            <w:shd w:val="clear" w:color="auto" w:fill="D8D8D8"/>
          </w:tcPr>
          <w:p>
            <w:pPr>
              <w:pStyle w:val="TableParagraph"/>
              <w:rPr>
                <w:b/>
                <w:sz w:val="16"/>
              </w:rPr>
            </w:pPr>
          </w:p>
          <w:p>
            <w:pPr>
              <w:pStyle w:val="TableParagraph"/>
              <w:spacing w:before="1"/>
              <w:rPr>
                <w:b/>
                <w:sz w:val="18"/>
              </w:rPr>
            </w:pPr>
          </w:p>
          <w:p>
            <w:pPr>
              <w:pStyle w:val="TableParagraph"/>
              <w:ind w:left="104"/>
              <w:rPr>
                <w:rFonts w:ascii="Calibri"/>
                <w:b/>
                <w:sz w:val="16"/>
              </w:rPr>
            </w:pPr>
            <w:r>
              <w:rPr>
                <w:rFonts w:ascii="Calibri"/>
                <w:b/>
                <w:sz w:val="16"/>
              </w:rPr>
              <w:t>$    140,000.00</w:t>
            </w:r>
          </w:p>
        </w:tc>
        <w:tc>
          <w:tcPr>
            <w:tcW w:w="4901" w:type="dxa"/>
            <w:gridSpan w:val="4"/>
            <w:vMerge/>
            <w:tcBorders>
              <w:right w:val="nil"/>
            </w:tcBorders>
          </w:tcPr>
          <w:p>
            <w:pPr/>
          </w:p>
        </w:tc>
      </w:tr>
      <w:tr>
        <w:trPr>
          <w:trHeight w:val="610" w:hRule="exact"/>
        </w:trPr>
        <w:tc>
          <w:tcPr>
            <w:tcW w:w="1304" w:type="dxa"/>
            <w:gridSpan w:val="2"/>
            <w:shd w:val="clear" w:color="auto" w:fill="4F80BC"/>
          </w:tcPr>
          <w:p>
            <w:pPr>
              <w:pStyle w:val="TableParagraph"/>
              <w:spacing w:before="107"/>
              <w:ind w:left="259" w:right="129" w:hanging="111"/>
              <w:rPr>
                <w:rFonts w:ascii="Calibri"/>
                <w:b/>
                <w:sz w:val="16"/>
              </w:rPr>
            </w:pPr>
            <w:r>
              <w:rPr>
                <w:rFonts w:ascii="Calibri"/>
                <w:b/>
                <w:color w:val="FFFFFF"/>
                <w:sz w:val="16"/>
              </w:rPr>
              <w:t>Total de costos de Personal</w:t>
            </w:r>
          </w:p>
        </w:tc>
        <w:tc>
          <w:tcPr>
            <w:tcW w:w="1614" w:type="dxa"/>
            <w:gridSpan w:val="2"/>
            <w:shd w:val="clear" w:color="auto" w:fill="D8D8D8"/>
          </w:tcPr>
          <w:p>
            <w:pPr>
              <w:pStyle w:val="TableParagraph"/>
              <w:rPr>
                <w:b/>
                <w:sz w:val="16"/>
              </w:rPr>
            </w:pPr>
          </w:p>
          <w:p>
            <w:pPr>
              <w:pStyle w:val="TableParagraph"/>
              <w:spacing w:before="4"/>
              <w:rPr>
                <w:b/>
                <w:sz w:val="19"/>
              </w:rPr>
            </w:pPr>
          </w:p>
          <w:p>
            <w:pPr>
              <w:pStyle w:val="TableParagraph"/>
              <w:tabs>
                <w:tab w:pos="402" w:val="left" w:leader="none"/>
              </w:tabs>
              <w:ind w:left="104"/>
              <w:rPr>
                <w:rFonts w:ascii="Calibri"/>
                <w:b/>
                <w:sz w:val="16"/>
              </w:rPr>
            </w:pPr>
            <w:r>
              <w:rPr>
                <w:rFonts w:ascii="Calibri"/>
                <w:b/>
                <w:sz w:val="16"/>
              </w:rPr>
              <w:t>$</w:t>
              <w:tab/>
              <w:t>13,814,136.00</w:t>
            </w:r>
          </w:p>
        </w:tc>
        <w:tc>
          <w:tcPr>
            <w:tcW w:w="4901" w:type="dxa"/>
            <w:gridSpan w:val="4"/>
            <w:vMerge/>
            <w:tcBorders>
              <w:bottom w:val="nil"/>
              <w:right w:val="nil"/>
            </w:tcBorders>
          </w:tcPr>
          <w:p>
            <w:pPr/>
          </w:p>
        </w:tc>
      </w:tr>
    </w:tbl>
    <w:p>
      <w:pPr>
        <w:spacing w:after="0"/>
        <w:sectPr>
          <w:footerReference w:type="default" r:id="rId45"/>
          <w:pgSz w:w="12240" w:h="15840"/>
          <w:pgMar w:footer="0" w:header="0" w:top="1460" w:bottom="280" w:left="1600" w:right="1600"/>
        </w:sectPr>
      </w:pPr>
    </w:p>
    <w:p>
      <w:pPr>
        <w:pStyle w:val="Heading1"/>
        <w:spacing w:before="50" w:after="5"/>
        <w:ind w:left="269" w:right="272"/>
        <w:jc w:val="center"/>
      </w:pPr>
      <w:r>
        <w:rPr/>
        <w:t>Análisis Financiero.</w:t>
      </w:r>
    </w:p>
    <w:tbl>
      <w:tblPr>
        <w:tblW w:w="0" w:type="auto"/>
        <w:jc w:val="left"/>
        <w:tblInd w:w="246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649"/>
        <w:gridCol w:w="2208"/>
      </w:tblGrid>
      <w:tr>
        <w:trPr>
          <w:trHeight w:val="423" w:hRule="exact"/>
        </w:trPr>
        <w:tc>
          <w:tcPr>
            <w:tcW w:w="3857" w:type="dxa"/>
            <w:gridSpan w:val="2"/>
            <w:shd w:val="clear" w:color="auto" w:fill="4F80BC"/>
          </w:tcPr>
          <w:p>
            <w:pPr>
              <w:pStyle w:val="TableParagraph"/>
              <w:spacing w:before="2"/>
              <w:rPr>
                <w:b/>
                <w:sz w:val="18"/>
              </w:rPr>
            </w:pPr>
          </w:p>
          <w:p>
            <w:pPr>
              <w:pStyle w:val="TableParagraph"/>
              <w:tabs>
                <w:tab w:pos="2704" w:val="left" w:leader="none"/>
              </w:tabs>
              <w:spacing w:before="1"/>
              <w:ind w:left="549"/>
              <w:rPr>
                <w:rFonts w:ascii="Calibri"/>
                <w:b/>
                <w:sz w:val="16"/>
              </w:rPr>
            </w:pPr>
            <w:r>
              <w:rPr>
                <w:rFonts w:ascii="Calibri"/>
                <w:b/>
                <w:color w:val="FFFFFF"/>
                <w:sz w:val="16"/>
              </w:rPr>
              <w:t>COSTOS</w:t>
              <w:tab/>
              <w:t>$</w:t>
            </w:r>
          </w:p>
        </w:tc>
      </w:tr>
      <w:tr>
        <w:trPr>
          <w:trHeight w:val="425" w:hRule="exact"/>
        </w:trPr>
        <w:tc>
          <w:tcPr>
            <w:tcW w:w="1649" w:type="dxa"/>
            <w:tcBorders>
              <w:right w:val="single" w:sz="3" w:space="0" w:color="000000"/>
            </w:tcBorders>
            <w:shd w:val="clear" w:color="auto" w:fill="C3BC97"/>
          </w:tcPr>
          <w:p>
            <w:pPr/>
          </w:p>
        </w:tc>
        <w:tc>
          <w:tcPr>
            <w:tcW w:w="2208" w:type="dxa"/>
            <w:tcBorders>
              <w:left w:val="single" w:sz="3" w:space="0" w:color="000000"/>
            </w:tcBorders>
            <w:shd w:val="clear" w:color="auto" w:fill="C3BC97"/>
          </w:tcPr>
          <w:p>
            <w:pPr>
              <w:pStyle w:val="TableParagraph"/>
              <w:spacing w:before="4"/>
              <w:rPr>
                <w:b/>
                <w:sz w:val="18"/>
              </w:rPr>
            </w:pPr>
          </w:p>
          <w:p>
            <w:pPr>
              <w:pStyle w:val="TableParagraph"/>
              <w:ind w:left="6"/>
              <w:jc w:val="center"/>
              <w:rPr>
                <w:rFonts w:ascii="Calibri"/>
                <w:b/>
                <w:sz w:val="16"/>
              </w:rPr>
            </w:pPr>
            <w:r>
              <w:rPr>
                <w:rFonts w:ascii="Calibri"/>
                <w:b/>
                <w:w w:val="100"/>
                <w:sz w:val="16"/>
              </w:rPr>
              <w:t>$</w:t>
            </w:r>
          </w:p>
        </w:tc>
      </w:tr>
      <w:tr>
        <w:trPr>
          <w:trHeight w:val="421" w:hRule="exact"/>
        </w:trPr>
        <w:tc>
          <w:tcPr>
            <w:tcW w:w="1649" w:type="dxa"/>
            <w:tcBorders>
              <w:bottom w:val="single" w:sz="3" w:space="0" w:color="000000"/>
              <w:right w:val="single" w:sz="3" w:space="0" w:color="000000"/>
            </w:tcBorders>
          </w:tcPr>
          <w:p>
            <w:pPr>
              <w:pStyle w:val="TableParagraph"/>
              <w:spacing w:before="4"/>
              <w:rPr>
                <w:b/>
                <w:sz w:val="18"/>
              </w:rPr>
            </w:pPr>
          </w:p>
          <w:p>
            <w:pPr>
              <w:pStyle w:val="TableParagraph"/>
              <w:ind w:left="80" w:right="84"/>
              <w:jc w:val="center"/>
              <w:rPr>
                <w:rFonts w:ascii="Calibri"/>
                <w:sz w:val="16"/>
              </w:rPr>
            </w:pPr>
            <w:r>
              <w:rPr>
                <w:rFonts w:ascii="Calibri"/>
                <w:sz w:val="16"/>
              </w:rPr>
              <w:t>Costo del Equipo</w:t>
            </w:r>
          </w:p>
        </w:tc>
        <w:tc>
          <w:tcPr>
            <w:tcW w:w="2208" w:type="dxa"/>
            <w:tcBorders>
              <w:left w:val="single" w:sz="3" w:space="0" w:color="000000"/>
              <w:bottom w:val="single" w:sz="3" w:space="0" w:color="000000"/>
              <w:right w:val="single" w:sz="3" w:space="0" w:color="000000"/>
            </w:tcBorders>
          </w:tcPr>
          <w:p>
            <w:pPr>
              <w:pStyle w:val="TableParagraph"/>
              <w:tabs>
                <w:tab w:pos="805" w:val="left" w:leader="none"/>
              </w:tabs>
              <w:spacing w:before="108"/>
              <w:ind w:left="1"/>
              <w:jc w:val="center"/>
              <w:rPr>
                <w:rFonts w:ascii="Calibri"/>
                <w:sz w:val="16"/>
              </w:rPr>
            </w:pPr>
            <w:r>
              <w:rPr>
                <w:rFonts w:ascii="Calibri"/>
                <w:sz w:val="16"/>
              </w:rPr>
              <w:t>$</w:t>
              <w:tab/>
              <w:t>37,562,201.68</w:t>
            </w:r>
          </w:p>
        </w:tc>
      </w:tr>
      <w:tr>
        <w:trPr>
          <w:trHeight w:val="420" w:hRule="exact"/>
        </w:trPr>
        <w:tc>
          <w:tcPr>
            <w:tcW w:w="1649" w:type="dxa"/>
            <w:tcBorders>
              <w:top w:val="single" w:sz="3" w:space="0" w:color="000000"/>
              <w:right w:val="single" w:sz="3" w:space="0" w:color="000000"/>
            </w:tcBorders>
          </w:tcPr>
          <w:p>
            <w:pPr>
              <w:pStyle w:val="TableParagraph"/>
              <w:spacing w:before="3"/>
              <w:rPr>
                <w:b/>
                <w:sz w:val="18"/>
              </w:rPr>
            </w:pPr>
          </w:p>
          <w:p>
            <w:pPr>
              <w:pStyle w:val="TableParagraph"/>
              <w:ind w:left="80" w:right="87"/>
              <w:jc w:val="center"/>
              <w:rPr>
                <w:rFonts w:ascii="Calibri"/>
                <w:sz w:val="16"/>
              </w:rPr>
            </w:pPr>
            <w:r>
              <w:rPr>
                <w:rFonts w:ascii="Calibri"/>
                <w:sz w:val="16"/>
              </w:rPr>
              <w:t>Mantenimiento Anual</w:t>
            </w:r>
          </w:p>
        </w:tc>
        <w:tc>
          <w:tcPr>
            <w:tcW w:w="2208" w:type="dxa"/>
            <w:tcBorders>
              <w:top w:val="single" w:sz="3" w:space="0" w:color="000000"/>
              <w:left w:val="single" w:sz="3" w:space="0" w:color="000000"/>
            </w:tcBorders>
          </w:tcPr>
          <w:p>
            <w:pPr>
              <w:pStyle w:val="TableParagraph"/>
              <w:spacing w:before="3"/>
              <w:rPr>
                <w:b/>
                <w:sz w:val="18"/>
              </w:rPr>
            </w:pPr>
          </w:p>
          <w:p>
            <w:pPr>
              <w:pStyle w:val="TableParagraph"/>
              <w:tabs>
                <w:tab w:pos="703" w:val="left" w:leader="none"/>
              </w:tabs>
              <w:ind w:left="8"/>
              <w:jc w:val="center"/>
              <w:rPr>
                <w:rFonts w:ascii="Calibri"/>
                <w:sz w:val="16"/>
              </w:rPr>
            </w:pPr>
            <w:r>
              <w:rPr>
                <w:rFonts w:ascii="Calibri"/>
                <w:sz w:val="16"/>
              </w:rPr>
              <w:t>$</w:t>
              <w:tab/>
              <w:t>4,357,215.39</w:t>
            </w:r>
          </w:p>
        </w:tc>
      </w:tr>
    </w:tbl>
    <w:p>
      <w:pPr>
        <w:pStyle w:val="BodyText"/>
        <w:rPr>
          <w:b/>
          <w:sz w:val="20"/>
        </w:rPr>
      </w:pPr>
    </w:p>
    <w:p>
      <w:pPr>
        <w:pStyle w:val="BodyText"/>
        <w:rPr>
          <w:b/>
          <w:sz w:val="20"/>
        </w:rPr>
      </w:pPr>
    </w:p>
    <w:p>
      <w:pPr>
        <w:pStyle w:val="BodyText"/>
        <w:spacing w:before="10"/>
        <w:rPr>
          <w:b/>
          <w:sz w:val="22"/>
        </w:rPr>
      </w:pPr>
    </w:p>
    <w:tbl>
      <w:tblPr>
        <w:tblW w:w="0" w:type="auto"/>
        <w:jc w:val="left"/>
        <w:tblInd w:w="149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543"/>
        <w:gridCol w:w="1862"/>
        <w:gridCol w:w="926"/>
        <w:gridCol w:w="1457"/>
      </w:tblGrid>
      <w:tr>
        <w:trPr>
          <w:trHeight w:val="423" w:hRule="exact"/>
        </w:trPr>
        <w:tc>
          <w:tcPr>
            <w:tcW w:w="1543" w:type="dxa"/>
            <w:tcBorders>
              <w:right w:val="single" w:sz="3" w:space="0" w:color="000000"/>
            </w:tcBorders>
            <w:shd w:val="clear" w:color="auto" w:fill="C3BC97"/>
          </w:tcPr>
          <w:p>
            <w:pPr>
              <w:pStyle w:val="TableParagraph"/>
              <w:spacing w:before="4"/>
              <w:rPr>
                <w:b/>
                <w:sz w:val="18"/>
              </w:rPr>
            </w:pPr>
          </w:p>
          <w:p>
            <w:pPr>
              <w:pStyle w:val="TableParagraph"/>
              <w:ind w:left="84" w:right="84"/>
              <w:jc w:val="center"/>
              <w:rPr>
                <w:rFonts w:ascii="Calibri"/>
                <w:b/>
                <w:sz w:val="16"/>
              </w:rPr>
            </w:pPr>
            <w:r>
              <w:rPr>
                <w:rFonts w:ascii="Calibri"/>
                <w:b/>
                <w:sz w:val="16"/>
              </w:rPr>
              <w:t>RECURSO HUMANO</w:t>
            </w:r>
          </w:p>
        </w:tc>
        <w:tc>
          <w:tcPr>
            <w:tcW w:w="1862" w:type="dxa"/>
            <w:tcBorders>
              <w:left w:val="single" w:sz="3" w:space="0" w:color="000000"/>
              <w:right w:val="single" w:sz="3" w:space="0" w:color="000000"/>
            </w:tcBorders>
            <w:shd w:val="clear" w:color="auto" w:fill="C3BC97"/>
          </w:tcPr>
          <w:p>
            <w:pPr>
              <w:pStyle w:val="TableParagraph"/>
              <w:spacing w:before="4"/>
              <w:rPr>
                <w:b/>
                <w:sz w:val="18"/>
              </w:rPr>
            </w:pPr>
          </w:p>
          <w:p>
            <w:pPr>
              <w:pStyle w:val="TableParagraph"/>
              <w:ind w:left="2"/>
              <w:jc w:val="center"/>
              <w:rPr>
                <w:rFonts w:ascii="Calibri"/>
                <w:b/>
                <w:sz w:val="16"/>
              </w:rPr>
            </w:pPr>
            <w:r>
              <w:rPr>
                <w:rFonts w:ascii="Calibri"/>
                <w:b/>
                <w:w w:val="100"/>
                <w:sz w:val="16"/>
              </w:rPr>
              <w:t>$</w:t>
            </w:r>
          </w:p>
        </w:tc>
        <w:tc>
          <w:tcPr>
            <w:tcW w:w="926" w:type="dxa"/>
            <w:tcBorders>
              <w:left w:val="single" w:sz="3" w:space="0" w:color="000000"/>
            </w:tcBorders>
            <w:shd w:val="clear" w:color="auto" w:fill="C3BC97"/>
          </w:tcPr>
          <w:p>
            <w:pPr>
              <w:pStyle w:val="TableParagraph"/>
              <w:spacing w:before="4"/>
              <w:rPr>
                <w:b/>
                <w:sz w:val="18"/>
              </w:rPr>
            </w:pPr>
          </w:p>
          <w:p>
            <w:pPr>
              <w:pStyle w:val="TableParagraph"/>
              <w:ind w:left="86" w:right="79"/>
              <w:jc w:val="center"/>
              <w:rPr>
                <w:rFonts w:ascii="Calibri"/>
                <w:b/>
                <w:sz w:val="16"/>
              </w:rPr>
            </w:pPr>
            <w:r>
              <w:rPr>
                <w:rFonts w:ascii="Calibri"/>
                <w:b/>
                <w:sz w:val="16"/>
              </w:rPr>
              <w:t>CANTIDAD</w:t>
            </w:r>
          </w:p>
        </w:tc>
        <w:tc>
          <w:tcPr>
            <w:tcW w:w="1457" w:type="dxa"/>
            <w:shd w:val="clear" w:color="auto" w:fill="C3BC97"/>
          </w:tcPr>
          <w:p>
            <w:pPr>
              <w:pStyle w:val="TableParagraph"/>
              <w:spacing w:before="4"/>
              <w:rPr>
                <w:b/>
                <w:sz w:val="18"/>
              </w:rPr>
            </w:pPr>
          </w:p>
          <w:p>
            <w:pPr>
              <w:pStyle w:val="TableParagraph"/>
              <w:ind w:left="367" w:right="365"/>
              <w:jc w:val="center"/>
              <w:rPr>
                <w:rFonts w:ascii="Calibri"/>
                <w:b/>
                <w:sz w:val="16"/>
              </w:rPr>
            </w:pPr>
            <w:r>
              <w:rPr>
                <w:rFonts w:ascii="Calibri"/>
                <w:b/>
                <w:sz w:val="16"/>
              </w:rPr>
              <w:t>MENSUAL</w:t>
            </w:r>
          </w:p>
        </w:tc>
      </w:tr>
      <w:tr>
        <w:trPr>
          <w:trHeight w:val="421" w:hRule="exact"/>
        </w:trPr>
        <w:tc>
          <w:tcPr>
            <w:tcW w:w="1543" w:type="dxa"/>
            <w:tcBorders>
              <w:bottom w:val="single" w:sz="3" w:space="0" w:color="000000"/>
              <w:right w:val="single" w:sz="3" w:space="0" w:color="000000"/>
            </w:tcBorders>
          </w:tcPr>
          <w:p>
            <w:pPr>
              <w:pStyle w:val="TableParagraph"/>
              <w:spacing w:before="6"/>
              <w:rPr>
                <w:b/>
                <w:sz w:val="18"/>
              </w:rPr>
            </w:pPr>
          </w:p>
          <w:p>
            <w:pPr>
              <w:pStyle w:val="TableParagraph"/>
              <w:ind w:left="80" w:right="84"/>
              <w:jc w:val="center"/>
              <w:rPr>
                <w:rFonts w:ascii="Calibri" w:hAnsi="Calibri"/>
                <w:sz w:val="16"/>
              </w:rPr>
            </w:pPr>
            <w:r>
              <w:rPr>
                <w:rFonts w:ascii="Calibri" w:hAnsi="Calibri"/>
                <w:sz w:val="16"/>
              </w:rPr>
              <w:t>Médico general</w:t>
            </w:r>
          </w:p>
        </w:tc>
        <w:tc>
          <w:tcPr>
            <w:tcW w:w="1862"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tabs>
                <w:tab w:pos="844" w:val="left" w:leader="none"/>
              </w:tabs>
              <w:ind w:left="4"/>
              <w:jc w:val="center"/>
              <w:rPr>
                <w:rFonts w:ascii="Calibri"/>
                <w:sz w:val="16"/>
              </w:rPr>
            </w:pPr>
            <w:r>
              <w:rPr>
                <w:rFonts w:ascii="Calibri"/>
                <w:sz w:val="16"/>
              </w:rPr>
              <w:t>$</w:t>
              <w:tab/>
              <w:t>430,478.40</w:t>
            </w:r>
          </w:p>
        </w:tc>
        <w:tc>
          <w:tcPr>
            <w:tcW w:w="926" w:type="dxa"/>
            <w:tcBorders>
              <w:left w:val="single" w:sz="3" w:space="0" w:color="000000"/>
              <w:bottom w:val="single" w:sz="3" w:space="0" w:color="000000"/>
              <w:right w:val="single" w:sz="3" w:space="0" w:color="000000"/>
            </w:tcBorders>
          </w:tcPr>
          <w:p>
            <w:pPr>
              <w:pStyle w:val="TableParagraph"/>
              <w:spacing w:before="108"/>
              <w:ind w:left="2"/>
              <w:jc w:val="center"/>
              <w:rPr>
                <w:rFonts w:ascii="Calibri"/>
                <w:sz w:val="16"/>
              </w:rPr>
            </w:pPr>
            <w:r>
              <w:rPr>
                <w:rFonts w:ascii="Calibri"/>
                <w:w w:val="100"/>
                <w:sz w:val="16"/>
              </w:rPr>
              <w:t>1</w:t>
            </w:r>
          </w:p>
        </w:tc>
        <w:tc>
          <w:tcPr>
            <w:tcW w:w="1457" w:type="dxa"/>
            <w:tcBorders>
              <w:left w:val="single" w:sz="3" w:space="0" w:color="000000"/>
              <w:bottom w:val="single" w:sz="3" w:space="0" w:color="000000"/>
            </w:tcBorders>
          </w:tcPr>
          <w:p>
            <w:pPr>
              <w:pStyle w:val="TableParagraph"/>
              <w:spacing w:before="6"/>
              <w:rPr>
                <w:b/>
                <w:sz w:val="18"/>
              </w:rPr>
            </w:pPr>
          </w:p>
          <w:p>
            <w:pPr>
              <w:pStyle w:val="TableParagraph"/>
              <w:tabs>
                <w:tab w:pos="518" w:val="left" w:leader="none"/>
              </w:tabs>
              <w:ind w:left="3"/>
              <w:jc w:val="center"/>
              <w:rPr>
                <w:rFonts w:ascii="Calibri"/>
                <w:sz w:val="16"/>
              </w:rPr>
            </w:pPr>
            <w:r>
              <w:rPr>
                <w:rFonts w:ascii="Calibri"/>
                <w:sz w:val="16"/>
              </w:rPr>
              <w:t>$</w:t>
              <w:tab/>
              <w:t>35,873.20</w:t>
            </w:r>
          </w:p>
        </w:tc>
      </w:tr>
      <w:tr>
        <w:trPr>
          <w:trHeight w:val="420" w:hRule="exact"/>
        </w:trPr>
        <w:tc>
          <w:tcPr>
            <w:tcW w:w="1543" w:type="dxa"/>
            <w:tcBorders>
              <w:top w:val="single" w:sz="3" w:space="0" w:color="000000"/>
              <w:right w:val="single" w:sz="3" w:space="0" w:color="000000"/>
            </w:tcBorders>
          </w:tcPr>
          <w:p>
            <w:pPr>
              <w:pStyle w:val="TableParagraph"/>
              <w:spacing w:before="5"/>
              <w:rPr>
                <w:b/>
                <w:sz w:val="18"/>
              </w:rPr>
            </w:pPr>
          </w:p>
          <w:p>
            <w:pPr>
              <w:pStyle w:val="TableParagraph"/>
              <w:ind w:left="82" w:right="84"/>
              <w:jc w:val="center"/>
              <w:rPr>
                <w:rFonts w:ascii="Calibri" w:hAnsi="Calibri"/>
                <w:sz w:val="16"/>
              </w:rPr>
            </w:pPr>
            <w:r>
              <w:rPr>
                <w:rFonts w:ascii="Calibri" w:hAnsi="Calibri"/>
                <w:sz w:val="16"/>
              </w:rPr>
              <w:t>Paramédico</w:t>
            </w:r>
          </w:p>
        </w:tc>
        <w:tc>
          <w:tcPr>
            <w:tcW w:w="1862" w:type="dxa"/>
            <w:tcBorders>
              <w:top w:val="single" w:sz="3" w:space="0" w:color="000000"/>
              <w:left w:val="single" w:sz="3" w:space="0" w:color="000000"/>
              <w:right w:val="single" w:sz="3" w:space="0" w:color="000000"/>
            </w:tcBorders>
          </w:tcPr>
          <w:p>
            <w:pPr>
              <w:pStyle w:val="TableParagraph"/>
              <w:spacing w:before="5"/>
              <w:rPr>
                <w:b/>
                <w:sz w:val="18"/>
              </w:rPr>
            </w:pPr>
          </w:p>
          <w:p>
            <w:pPr>
              <w:pStyle w:val="TableParagraph"/>
              <w:tabs>
                <w:tab w:pos="844" w:val="left" w:leader="none"/>
              </w:tabs>
              <w:ind w:left="4"/>
              <w:jc w:val="center"/>
              <w:rPr>
                <w:rFonts w:ascii="Calibri"/>
                <w:sz w:val="16"/>
              </w:rPr>
            </w:pPr>
            <w:r>
              <w:rPr>
                <w:rFonts w:ascii="Calibri"/>
                <w:sz w:val="16"/>
              </w:rPr>
              <w:t>$</w:t>
              <w:tab/>
              <w:t>245,232.00</w:t>
            </w:r>
          </w:p>
        </w:tc>
        <w:tc>
          <w:tcPr>
            <w:tcW w:w="926" w:type="dxa"/>
            <w:tcBorders>
              <w:top w:val="single" w:sz="3" w:space="0" w:color="000000"/>
              <w:left w:val="single" w:sz="3" w:space="0" w:color="000000"/>
              <w:right w:val="single" w:sz="3" w:space="0" w:color="000000"/>
            </w:tcBorders>
          </w:tcPr>
          <w:p>
            <w:pPr>
              <w:pStyle w:val="TableParagraph"/>
              <w:spacing w:before="107"/>
              <w:ind w:left="2"/>
              <w:jc w:val="center"/>
              <w:rPr>
                <w:rFonts w:ascii="Calibri"/>
                <w:sz w:val="16"/>
              </w:rPr>
            </w:pPr>
            <w:r>
              <w:rPr>
                <w:rFonts w:ascii="Calibri"/>
                <w:w w:val="100"/>
                <w:sz w:val="16"/>
              </w:rPr>
              <w:t>2</w:t>
            </w:r>
          </w:p>
        </w:tc>
        <w:tc>
          <w:tcPr>
            <w:tcW w:w="1457" w:type="dxa"/>
            <w:tcBorders>
              <w:top w:val="single" w:sz="3" w:space="0" w:color="000000"/>
              <w:left w:val="single" w:sz="3" w:space="0" w:color="000000"/>
            </w:tcBorders>
          </w:tcPr>
          <w:p>
            <w:pPr>
              <w:pStyle w:val="TableParagraph"/>
              <w:spacing w:before="5"/>
              <w:rPr>
                <w:b/>
                <w:sz w:val="18"/>
              </w:rPr>
            </w:pPr>
          </w:p>
          <w:p>
            <w:pPr>
              <w:pStyle w:val="TableParagraph"/>
              <w:tabs>
                <w:tab w:pos="518" w:val="left" w:leader="none"/>
              </w:tabs>
              <w:ind w:left="3"/>
              <w:jc w:val="center"/>
              <w:rPr>
                <w:rFonts w:ascii="Calibri"/>
                <w:sz w:val="16"/>
              </w:rPr>
            </w:pPr>
            <w:r>
              <w:rPr>
                <w:rFonts w:ascii="Calibri"/>
                <w:sz w:val="16"/>
              </w:rPr>
              <w:t>$</w:t>
              <w:tab/>
              <w:t>20,436.00</w:t>
            </w:r>
          </w:p>
        </w:tc>
      </w:tr>
    </w:tbl>
    <w:p>
      <w:pPr>
        <w:pStyle w:val="BodyText"/>
        <w:rPr>
          <w:b/>
          <w:sz w:val="20"/>
        </w:rPr>
      </w:pPr>
    </w:p>
    <w:p>
      <w:pPr>
        <w:pStyle w:val="BodyText"/>
        <w:rPr>
          <w:b/>
          <w:sz w:val="20"/>
        </w:rPr>
      </w:pPr>
    </w:p>
    <w:p>
      <w:pPr>
        <w:pStyle w:val="BodyText"/>
        <w:spacing w:before="11"/>
        <w:rPr>
          <w:b/>
          <w:sz w:val="22"/>
        </w:rPr>
      </w:pPr>
    </w:p>
    <w:tbl>
      <w:tblPr>
        <w:tblW w:w="0" w:type="auto"/>
        <w:jc w:val="left"/>
        <w:tblInd w:w="278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363"/>
        <w:gridCol w:w="1838"/>
      </w:tblGrid>
      <w:tr>
        <w:trPr>
          <w:trHeight w:val="422" w:hRule="exact"/>
        </w:trPr>
        <w:tc>
          <w:tcPr>
            <w:tcW w:w="1363" w:type="dxa"/>
            <w:tcBorders>
              <w:right w:val="single" w:sz="3" w:space="0" w:color="000000"/>
            </w:tcBorders>
            <w:shd w:val="clear" w:color="auto" w:fill="C3BC97"/>
          </w:tcPr>
          <w:p>
            <w:pPr>
              <w:pStyle w:val="TableParagraph"/>
              <w:spacing w:before="3"/>
              <w:rPr>
                <w:b/>
                <w:sz w:val="18"/>
              </w:rPr>
            </w:pPr>
          </w:p>
          <w:p>
            <w:pPr>
              <w:pStyle w:val="TableParagraph"/>
              <w:ind w:left="84" w:right="84"/>
              <w:jc w:val="center"/>
              <w:rPr>
                <w:rFonts w:ascii="Calibri"/>
                <w:b/>
                <w:sz w:val="16"/>
              </w:rPr>
            </w:pPr>
            <w:r>
              <w:rPr>
                <w:rFonts w:ascii="Calibri"/>
                <w:b/>
                <w:sz w:val="16"/>
              </w:rPr>
              <w:t>PROCEDIMIENTO</w:t>
            </w:r>
          </w:p>
        </w:tc>
        <w:tc>
          <w:tcPr>
            <w:tcW w:w="1838" w:type="dxa"/>
            <w:tcBorders>
              <w:left w:val="single" w:sz="3" w:space="0" w:color="000000"/>
            </w:tcBorders>
            <w:shd w:val="clear" w:color="auto" w:fill="C3BC97"/>
          </w:tcPr>
          <w:p>
            <w:pPr>
              <w:pStyle w:val="TableParagraph"/>
              <w:spacing w:before="3"/>
              <w:rPr>
                <w:b/>
                <w:sz w:val="18"/>
              </w:rPr>
            </w:pPr>
          </w:p>
          <w:p>
            <w:pPr>
              <w:pStyle w:val="TableParagraph"/>
              <w:ind w:left="6"/>
              <w:jc w:val="center"/>
              <w:rPr>
                <w:rFonts w:ascii="Calibri"/>
                <w:b/>
                <w:sz w:val="16"/>
              </w:rPr>
            </w:pPr>
            <w:r>
              <w:rPr>
                <w:rFonts w:ascii="Calibri"/>
                <w:b/>
                <w:w w:val="100"/>
                <w:sz w:val="16"/>
              </w:rPr>
              <w:t>$</w:t>
            </w:r>
          </w:p>
        </w:tc>
      </w:tr>
      <w:tr>
        <w:trPr>
          <w:trHeight w:val="428" w:hRule="exact"/>
        </w:trPr>
        <w:tc>
          <w:tcPr>
            <w:tcW w:w="1363" w:type="dxa"/>
            <w:tcBorders>
              <w:right w:val="single" w:sz="3" w:space="0" w:color="000000"/>
            </w:tcBorders>
          </w:tcPr>
          <w:p>
            <w:pPr>
              <w:pStyle w:val="TableParagraph"/>
              <w:spacing w:before="6"/>
              <w:rPr>
                <w:b/>
                <w:sz w:val="18"/>
              </w:rPr>
            </w:pPr>
          </w:p>
          <w:p>
            <w:pPr>
              <w:pStyle w:val="TableParagraph"/>
              <w:ind w:left="80" w:right="84"/>
              <w:jc w:val="center"/>
              <w:rPr>
                <w:rFonts w:ascii="Calibri"/>
                <w:sz w:val="16"/>
              </w:rPr>
            </w:pPr>
            <w:r>
              <w:rPr>
                <w:rFonts w:ascii="Calibri"/>
                <w:sz w:val="16"/>
              </w:rPr>
              <w:t>Costo por evento</w:t>
            </w:r>
          </w:p>
        </w:tc>
        <w:tc>
          <w:tcPr>
            <w:tcW w:w="1838" w:type="dxa"/>
            <w:tcBorders>
              <w:left w:val="single" w:sz="3" w:space="0" w:color="000000"/>
            </w:tcBorders>
          </w:tcPr>
          <w:p>
            <w:pPr>
              <w:pStyle w:val="TableParagraph"/>
              <w:spacing w:before="6"/>
              <w:rPr>
                <w:b/>
                <w:sz w:val="18"/>
              </w:rPr>
            </w:pPr>
          </w:p>
          <w:p>
            <w:pPr>
              <w:pStyle w:val="TableParagraph"/>
              <w:tabs>
                <w:tab w:pos="703" w:val="left" w:leader="none"/>
              </w:tabs>
              <w:ind w:left="8"/>
              <w:jc w:val="center"/>
              <w:rPr>
                <w:rFonts w:ascii="Calibri"/>
                <w:sz w:val="16"/>
              </w:rPr>
            </w:pPr>
            <w:r>
              <w:rPr>
                <w:rFonts w:ascii="Calibri"/>
                <w:sz w:val="16"/>
              </w:rPr>
              <w:t>$</w:t>
              <w:tab/>
              <w:t>1,318,594.85</w:t>
            </w:r>
          </w:p>
        </w:tc>
      </w:tr>
    </w:tbl>
    <w:p>
      <w:pPr>
        <w:pStyle w:val="BodyText"/>
        <w:rPr>
          <w:b/>
          <w:sz w:val="20"/>
        </w:rPr>
      </w:pPr>
    </w:p>
    <w:p>
      <w:pPr>
        <w:pStyle w:val="BodyText"/>
        <w:rPr>
          <w:b/>
          <w:sz w:val="20"/>
        </w:rPr>
      </w:pPr>
    </w:p>
    <w:p>
      <w:pPr>
        <w:pStyle w:val="BodyText"/>
        <w:spacing w:before="10" w:after="1"/>
        <w:rPr>
          <w:b/>
          <w:sz w:val="22"/>
        </w:rPr>
      </w:pPr>
    </w:p>
    <w:tbl>
      <w:tblPr>
        <w:tblW w:w="0" w:type="auto"/>
        <w:jc w:val="left"/>
        <w:tblInd w:w="261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699"/>
        <w:gridCol w:w="1853"/>
      </w:tblGrid>
      <w:tr>
        <w:trPr>
          <w:trHeight w:val="423" w:hRule="exact"/>
        </w:trPr>
        <w:tc>
          <w:tcPr>
            <w:tcW w:w="3552" w:type="dxa"/>
            <w:gridSpan w:val="2"/>
            <w:shd w:val="clear" w:color="auto" w:fill="4F80BC"/>
          </w:tcPr>
          <w:p>
            <w:pPr>
              <w:pStyle w:val="TableParagraph"/>
              <w:spacing w:before="4"/>
              <w:rPr>
                <w:b/>
                <w:sz w:val="18"/>
              </w:rPr>
            </w:pPr>
          </w:p>
          <w:p>
            <w:pPr>
              <w:pStyle w:val="TableParagraph"/>
              <w:tabs>
                <w:tab w:pos="2577" w:val="left" w:leader="none"/>
              </w:tabs>
              <w:ind w:left="451"/>
              <w:rPr>
                <w:rFonts w:ascii="Calibri"/>
                <w:b/>
                <w:sz w:val="16"/>
              </w:rPr>
            </w:pPr>
            <w:r>
              <w:rPr>
                <w:rFonts w:ascii="Calibri"/>
                <w:b/>
                <w:color w:val="FFFFFF"/>
                <w:sz w:val="16"/>
              </w:rPr>
              <w:t>BENEFICIOS</w:t>
              <w:tab/>
              <w:t>$</w:t>
            </w:r>
          </w:p>
        </w:tc>
      </w:tr>
      <w:tr>
        <w:trPr>
          <w:trHeight w:val="424" w:hRule="exact"/>
        </w:trPr>
        <w:tc>
          <w:tcPr>
            <w:tcW w:w="1699" w:type="dxa"/>
            <w:tcBorders>
              <w:right w:val="single" w:sz="3" w:space="0" w:color="000000"/>
            </w:tcBorders>
            <w:shd w:val="clear" w:color="auto" w:fill="C3BC97"/>
          </w:tcPr>
          <w:p>
            <w:pPr>
              <w:pStyle w:val="TableParagraph"/>
              <w:spacing w:before="5"/>
              <w:rPr>
                <w:b/>
                <w:sz w:val="18"/>
              </w:rPr>
            </w:pPr>
          </w:p>
          <w:p>
            <w:pPr>
              <w:pStyle w:val="TableParagraph"/>
              <w:ind w:left="80" w:right="84"/>
              <w:jc w:val="center"/>
              <w:rPr>
                <w:rFonts w:ascii="Calibri"/>
                <w:b/>
                <w:sz w:val="16"/>
              </w:rPr>
            </w:pPr>
            <w:r>
              <w:rPr>
                <w:rFonts w:ascii="Calibri"/>
                <w:b/>
                <w:sz w:val="16"/>
              </w:rPr>
              <w:t>Beneficios</w:t>
            </w:r>
          </w:p>
        </w:tc>
        <w:tc>
          <w:tcPr>
            <w:tcW w:w="1853" w:type="dxa"/>
            <w:tcBorders>
              <w:left w:val="single" w:sz="3" w:space="0" w:color="000000"/>
            </w:tcBorders>
            <w:shd w:val="clear" w:color="auto" w:fill="C3BC97"/>
          </w:tcPr>
          <w:p>
            <w:pPr>
              <w:pStyle w:val="TableParagraph"/>
              <w:spacing w:before="5"/>
              <w:rPr>
                <w:b/>
                <w:sz w:val="18"/>
              </w:rPr>
            </w:pPr>
          </w:p>
          <w:p>
            <w:pPr>
              <w:pStyle w:val="TableParagraph"/>
              <w:ind w:left="6"/>
              <w:jc w:val="center"/>
              <w:rPr>
                <w:rFonts w:ascii="Calibri"/>
                <w:b/>
                <w:sz w:val="16"/>
              </w:rPr>
            </w:pPr>
            <w:r>
              <w:rPr>
                <w:rFonts w:ascii="Calibri"/>
                <w:b/>
                <w:w w:val="100"/>
                <w:sz w:val="16"/>
              </w:rPr>
              <w:t>$</w:t>
            </w:r>
          </w:p>
        </w:tc>
      </w:tr>
      <w:tr>
        <w:trPr>
          <w:trHeight w:val="426" w:hRule="exact"/>
        </w:trPr>
        <w:tc>
          <w:tcPr>
            <w:tcW w:w="1699" w:type="dxa"/>
            <w:tcBorders>
              <w:right w:val="single" w:sz="3" w:space="0" w:color="000000"/>
            </w:tcBorders>
          </w:tcPr>
          <w:p>
            <w:pPr>
              <w:pStyle w:val="TableParagraph"/>
              <w:spacing w:before="6"/>
              <w:rPr>
                <w:b/>
                <w:sz w:val="18"/>
              </w:rPr>
            </w:pPr>
          </w:p>
          <w:p>
            <w:pPr>
              <w:pStyle w:val="TableParagraph"/>
              <w:ind w:left="80" w:right="88"/>
              <w:jc w:val="center"/>
              <w:rPr>
                <w:rFonts w:ascii="Calibri" w:hAnsi="Calibri"/>
                <w:sz w:val="16"/>
              </w:rPr>
            </w:pPr>
            <w:r>
              <w:rPr>
                <w:rFonts w:ascii="Calibri" w:hAnsi="Calibri"/>
                <w:sz w:val="16"/>
              </w:rPr>
              <w:t>Atención Especializada</w:t>
            </w:r>
          </w:p>
        </w:tc>
        <w:tc>
          <w:tcPr>
            <w:tcW w:w="1853" w:type="dxa"/>
            <w:tcBorders>
              <w:left w:val="single" w:sz="3" w:space="0" w:color="000000"/>
            </w:tcBorders>
          </w:tcPr>
          <w:p>
            <w:pPr>
              <w:pStyle w:val="TableParagraph"/>
              <w:spacing w:before="6"/>
              <w:rPr>
                <w:b/>
                <w:sz w:val="18"/>
              </w:rPr>
            </w:pPr>
          </w:p>
          <w:p>
            <w:pPr>
              <w:pStyle w:val="TableParagraph"/>
              <w:tabs>
                <w:tab w:pos="921" w:val="left" w:leader="none"/>
              </w:tabs>
              <w:ind w:left="9"/>
              <w:jc w:val="center"/>
              <w:rPr>
                <w:rFonts w:ascii="Calibri"/>
                <w:sz w:val="16"/>
              </w:rPr>
            </w:pPr>
            <w:r>
              <w:rPr>
                <w:rFonts w:ascii="Calibri"/>
                <w:sz w:val="16"/>
              </w:rPr>
              <w:t>$</w:t>
              <w:tab/>
              <w:t>23,093.78</w:t>
            </w:r>
          </w:p>
        </w:tc>
      </w:tr>
    </w:tbl>
    <w:p>
      <w:pPr>
        <w:pStyle w:val="BodyText"/>
        <w:rPr>
          <w:b/>
          <w:sz w:val="20"/>
        </w:rPr>
      </w:pPr>
    </w:p>
    <w:p>
      <w:pPr>
        <w:pStyle w:val="BodyText"/>
        <w:spacing w:before="8"/>
        <w:rPr>
          <w:b/>
          <w:sz w:val="11"/>
        </w:rPr>
      </w:pPr>
    </w:p>
    <w:tbl>
      <w:tblPr>
        <w:tblW w:w="0" w:type="auto"/>
        <w:jc w:val="left"/>
        <w:tblInd w:w="244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042"/>
        <w:gridCol w:w="1846"/>
      </w:tblGrid>
      <w:tr>
        <w:trPr>
          <w:trHeight w:val="423" w:hRule="exact"/>
        </w:trPr>
        <w:tc>
          <w:tcPr>
            <w:tcW w:w="3888" w:type="dxa"/>
            <w:gridSpan w:val="2"/>
            <w:shd w:val="clear" w:color="auto" w:fill="4F80BC"/>
          </w:tcPr>
          <w:p>
            <w:pPr>
              <w:pStyle w:val="TableParagraph"/>
              <w:spacing w:before="2"/>
              <w:rPr>
                <w:b/>
                <w:sz w:val="18"/>
              </w:rPr>
            </w:pPr>
          </w:p>
          <w:p>
            <w:pPr>
              <w:pStyle w:val="TableParagraph"/>
              <w:spacing w:before="1"/>
              <w:ind w:left="1173"/>
              <w:rPr>
                <w:rFonts w:ascii="Calibri"/>
                <w:b/>
                <w:sz w:val="16"/>
              </w:rPr>
            </w:pPr>
            <w:r>
              <w:rPr>
                <w:rFonts w:ascii="Calibri"/>
                <w:b/>
                <w:color w:val="FFFFFF"/>
                <w:sz w:val="16"/>
              </w:rPr>
              <w:t>Horizonte del Proyecto</w:t>
            </w:r>
          </w:p>
        </w:tc>
      </w:tr>
      <w:tr>
        <w:trPr>
          <w:trHeight w:val="425" w:hRule="exact"/>
        </w:trPr>
        <w:tc>
          <w:tcPr>
            <w:tcW w:w="2042" w:type="dxa"/>
            <w:tcBorders>
              <w:right w:val="single" w:sz="3" w:space="0" w:color="000000"/>
            </w:tcBorders>
            <w:shd w:val="clear" w:color="auto" w:fill="C3BC97"/>
          </w:tcPr>
          <w:p>
            <w:pPr>
              <w:pStyle w:val="TableParagraph"/>
              <w:spacing w:before="4"/>
              <w:rPr>
                <w:b/>
                <w:sz w:val="18"/>
              </w:rPr>
            </w:pPr>
          </w:p>
          <w:p>
            <w:pPr>
              <w:pStyle w:val="TableParagraph"/>
              <w:ind w:left="83" w:right="83"/>
              <w:jc w:val="center"/>
              <w:rPr>
                <w:rFonts w:ascii="Calibri"/>
                <w:b/>
                <w:sz w:val="16"/>
              </w:rPr>
            </w:pPr>
            <w:r>
              <w:rPr>
                <w:rFonts w:ascii="Calibri"/>
                <w:b/>
                <w:sz w:val="16"/>
              </w:rPr>
              <w:t>Concepto</w:t>
            </w:r>
          </w:p>
        </w:tc>
        <w:tc>
          <w:tcPr>
            <w:tcW w:w="1846" w:type="dxa"/>
            <w:tcBorders>
              <w:left w:val="single" w:sz="3" w:space="0" w:color="000000"/>
            </w:tcBorders>
            <w:shd w:val="clear" w:color="auto" w:fill="C3BC97"/>
          </w:tcPr>
          <w:p>
            <w:pPr>
              <w:pStyle w:val="TableParagraph"/>
              <w:spacing w:before="4"/>
              <w:rPr>
                <w:b/>
                <w:sz w:val="18"/>
              </w:rPr>
            </w:pPr>
          </w:p>
          <w:p>
            <w:pPr>
              <w:pStyle w:val="TableParagraph"/>
              <w:ind w:left="4"/>
              <w:jc w:val="center"/>
              <w:rPr>
                <w:rFonts w:ascii="Calibri"/>
                <w:b/>
                <w:sz w:val="16"/>
              </w:rPr>
            </w:pPr>
            <w:r>
              <w:rPr>
                <w:rFonts w:ascii="Calibri"/>
                <w:b/>
                <w:w w:val="100"/>
                <w:sz w:val="16"/>
              </w:rPr>
              <w:t>$</w:t>
            </w:r>
          </w:p>
        </w:tc>
      </w:tr>
      <w:tr>
        <w:trPr>
          <w:trHeight w:val="421" w:hRule="exact"/>
        </w:trPr>
        <w:tc>
          <w:tcPr>
            <w:tcW w:w="2042" w:type="dxa"/>
            <w:tcBorders>
              <w:bottom w:val="single" w:sz="3" w:space="0" w:color="000000"/>
              <w:right w:val="single" w:sz="3" w:space="0" w:color="000000"/>
            </w:tcBorders>
          </w:tcPr>
          <w:p>
            <w:pPr>
              <w:pStyle w:val="TableParagraph"/>
              <w:spacing w:before="4"/>
              <w:rPr>
                <w:b/>
                <w:sz w:val="18"/>
              </w:rPr>
            </w:pPr>
          </w:p>
          <w:p>
            <w:pPr>
              <w:pStyle w:val="TableParagraph"/>
              <w:ind w:left="82" w:right="84"/>
              <w:jc w:val="center"/>
              <w:rPr>
                <w:rFonts w:ascii="Calibri" w:hAnsi="Calibri"/>
                <w:b/>
                <w:sz w:val="16"/>
              </w:rPr>
            </w:pPr>
            <w:r>
              <w:rPr>
                <w:rFonts w:ascii="Calibri" w:hAnsi="Calibri"/>
                <w:b/>
                <w:sz w:val="16"/>
              </w:rPr>
              <w:t>Costos de Operación</w:t>
            </w:r>
          </w:p>
        </w:tc>
        <w:tc>
          <w:tcPr>
            <w:tcW w:w="1846" w:type="dxa"/>
            <w:tcBorders>
              <w:left w:val="single" w:sz="3" w:space="0" w:color="000000"/>
              <w:bottom w:val="single" w:sz="3" w:space="0" w:color="000000"/>
            </w:tcBorders>
          </w:tcPr>
          <w:p>
            <w:pPr>
              <w:pStyle w:val="TableParagraph"/>
              <w:spacing w:before="4"/>
              <w:rPr>
                <w:b/>
                <w:sz w:val="18"/>
              </w:rPr>
            </w:pPr>
          </w:p>
          <w:p>
            <w:pPr>
              <w:pStyle w:val="TableParagraph"/>
              <w:tabs>
                <w:tab w:pos="410" w:val="left" w:leader="none"/>
              </w:tabs>
              <w:ind w:left="4"/>
              <w:jc w:val="center"/>
              <w:rPr>
                <w:rFonts w:ascii="Calibri"/>
                <w:sz w:val="16"/>
              </w:rPr>
            </w:pPr>
            <w:r>
              <w:rPr>
                <w:rFonts w:ascii="Calibri"/>
                <w:sz w:val="16"/>
              </w:rPr>
              <w:t>$</w:t>
              <w:tab/>
              <w:t>4,512,066,738.66</w:t>
            </w:r>
          </w:p>
        </w:tc>
      </w:tr>
      <w:tr>
        <w:trPr>
          <w:trHeight w:val="415" w:hRule="exact"/>
        </w:trPr>
        <w:tc>
          <w:tcPr>
            <w:tcW w:w="2042" w:type="dxa"/>
            <w:tcBorders>
              <w:top w:val="single" w:sz="3" w:space="0" w:color="000000"/>
              <w:bottom w:val="single" w:sz="3" w:space="0" w:color="000000"/>
              <w:right w:val="single" w:sz="3" w:space="0" w:color="000000"/>
            </w:tcBorders>
          </w:tcPr>
          <w:p>
            <w:pPr>
              <w:pStyle w:val="TableParagraph"/>
              <w:spacing w:before="3"/>
              <w:rPr>
                <w:b/>
                <w:sz w:val="18"/>
              </w:rPr>
            </w:pPr>
          </w:p>
          <w:p>
            <w:pPr>
              <w:pStyle w:val="TableParagraph"/>
              <w:ind w:left="83" w:right="83"/>
              <w:jc w:val="center"/>
              <w:rPr>
                <w:rFonts w:ascii="Calibri"/>
                <w:b/>
                <w:sz w:val="16"/>
              </w:rPr>
            </w:pPr>
            <w:r>
              <w:rPr>
                <w:rFonts w:ascii="Calibri"/>
                <w:b/>
                <w:sz w:val="16"/>
              </w:rPr>
              <w:t>Costos de Mantenimiento</w:t>
            </w:r>
          </w:p>
        </w:tc>
        <w:tc>
          <w:tcPr>
            <w:tcW w:w="1846" w:type="dxa"/>
            <w:tcBorders>
              <w:top w:val="single" w:sz="3" w:space="0" w:color="000000"/>
              <w:left w:val="single" w:sz="3" w:space="0" w:color="000000"/>
              <w:bottom w:val="single" w:sz="3" w:space="0" w:color="000000"/>
            </w:tcBorders>
          </w:tcPr>
          <w:p>
            <w:pPr>
              <w:pStyle w:val="TableParagraph"/>
              <w:spacing w:before="3"/>
              <w:rPr>
                <w:b/>
                <w:sz w:val="18"/>
              </w:rPr>
            </w:pPr>
          </w:p>
          <w:p>
            <w:pPr>
              <w:pStyle w:val="TableParagraph"/>
              <w:tabs>
                <w:tab w:pos="628" w:val="left" w:leader="none"/>
              </w:tabs>
              <w:ind w:left="5"/>
              <w:jc w:val="center"/>
              <w:rPr>
                <w:rFonts w:ascii="Calibri"/>
                <w:sz w:val="16"/>
              </w:rPr>
            </w:pPr>
            <w:r>
              <w:rPr>
                <w:rFonts w:ascii="Calibri"/>
                <w:sz w:val="16"/>
              </w:rPr>
              <w:t>$</w:t>
              <w:tab/>
              <w:t>61,001,015.52</w:t>
            </w:r>
          </w:p>
        </w:tc>
      </w:tr>
      <w:tr>
        <w:trPr>
          <w:trHeight w:val="420" w:hRule="exact"/>
        </w:trPr>
        <w:tc>
          <w:tcPr>
            <w:tcW w:w="2042" w:type="dxa"/>
            <w:tcBorders>
              <w:top w:val="single" w:sz="3" w:space="0" w:color="000000"/>
              <w:right w:val="single" w:sz="3" w:space="0" w:color="000000"/>
            </w:tcBorders>
          </w:tcPr>
          <w:p>
            <w:pPr>
              <w:pStyle w:val="TableParagraph"/>
              <w:spacing w:before="3"/>
              <w:rPr>
                <w:b/>
                <w:sz w:val="18"/>
              </w:rPr>
            </w:pPr>
          </w:p>
          <w:p>
            <w:pPr>
              <w:pStyle w:val="TableParagraph"/>
              <w:ind w:left="83" w:right="84"/>
              <w:jc w:val="center"/>
              <w:rPr>
                <w:rFonts w:ascii="Calibri" w:hAnsi="Calibri"/>
                <w:b/>
                <w:sz w:val="16"/>
              </w:rPr>
            </w:pPr>
            <w:r>
              <w:rPr>
                <w:rFonts w:ascii="Calibri" w:hAnsi="Calibri"/>
                <w:b/>
                <w:sz w:val="16"/>
              </w:rPr>
              <w:t>Remuneración del Personal</w:t>
            </w:r>
          </w:p>
        </w:tc>
        <w:tc>
          <w:tcPr>
            <w:tcW w:w="1846" w:type="dxa"/>
            <w:tcBorders>
              <w:top w:val="single" w:sz="3" w:space="0" w:color="000000"/>
              <w:left w:val="single" w:sz="3" w:space="0" w:color="000000"/>
            </w:tcBorders>
          </w:tcPr>
          <w:p>
            <w:pPr>
              <w:pStyle w:val="TableParagraph"/>
              <w:spacing w:before="3"/>
              <w:rPr>
                <w:b/>
                <w:sz w:val="18"/>
              </w:rPr>
            </w:pPr>
          </w:p>
          <w:p>
            <w:pPr>
              <w:pStyle w:val="TableParagraph"/>
              <w:tabs>
                <w:tab w:pos="628" w:val="left" w:leader="none"/>
              </w:tabs>
              <w:ind w:left="5"/>
              <w:jc w:val="center"/>
              <w:rPr>
                <w:rFonts w:ascii="Calibri"/>
                <w:sz w:val="16"/>
              </w:rPr>
            </w:pPr>
            <w:r>
              <w:rPr>
                <w:rFonts w:ascii="Calibri"/>
                <w:sz w:val="16"/>
              </w:rPr>
              <w:t>$</w:t>
              <w:tab/>
              <w:t>13,814,136.00</w:t>
            </w:r>
          </w:p>
        </w:tc>
      </w:tr>
    </w:tbl>
    <w:p>
      <w:pPr>
        <w:pStyle w:val="BodyText"/>
        <w:spacing w:before="4"/>
        <w:rPr>
          <w:b/>
          <w:sz w:val="27"/>
        </w:rPr>
      </w:pPr>
      <w:r>
        <w:rPr/>
        <w:pict>
          <v:group style="position:absolute;margin-left:129.595001pt;margin-top:17.695pt;width:352.6pt;height:30pt;mso-position-horizontal-relative:page;mso-position-vertical-relative:paragraph;z-index:2200;mso-wrap-distance-left:0;mso-wrap-distance-right:0" coordorigin="2592,354" coordsize="7052,600">
            <v:line style="position:absolute" from="2642,728" to="2642,920" stroked="true" strokeweight="3.12pt" strokecolor="#d4cfb5"/>
            <v:rect style="position:absolute;left:2611;top:382;width:4886;height:346" filled="true" fillcolor="#d4cfb5" stroked="false">
              <v:fill type="solid"/>
            </v:rect>
            <v:line style="position:absolute" from="7464,727" to="7464,919" stroked="true" strokeweight="3.36pt" strokecolor="#d4cfb5"/>
            <v:line style="position:absolute" from="2674,728" to="7430,728" stroked="true" strokeweight=".12pt" strokecolor="#d4cfb5"/>
            <v:rect style="position:absolute;left:2671;top:727;width:4757;height:192" filled="true" fillcolor="#d4cfb5" stroked="false">
              <v:fill type="solid"/>
            </v:rect>
            <v:rect style="position:absolute;left:7505;top:752;width:2129;height:168" filled="true" fillcolor="#d4cfb5" stroked="false">
              <v:fill type="solid"/>
            </v:rect>
            <v:line style="position:absolute" from="7538,554" to="7538,752" stroked="true" strokeweight="3.36pt" strokecolor="#d4cfb5"/>
            <v:rect style="position:absolute;left:7505;top:382;width:2129;height:172" filled="true" fillcolor="#d4cfb5" stroked="false">
              <v:fill type="solid"/>
            </v:rect>
            <v:line style="position:absolute" from="7572,750" to="9571,750" stroked="true" strokeweight=".12pt" strokecolor="#d4cfb5"/>
            <v:line style="position:absolute" from="9602,554" to="9602,751" stroked="true" strokeweight="3.120001pt" strokecolor="#d4cfb5"/>
            <v:line style="position:absolute" from="7572,556" to="9571,556" stroked="true" strokeweight=".12pt" strokecolor="#d4cfb5"/>
            <v:rect style="position:absolute;left:7570;top:554;width:1999;height:192" filled="true" fillcolor="#d4cfb5" stroked="false">
              <v:fill type="solid"/>
            </v:rect>
            <v:line style="position:absolute" from="2611,371" to="7493,371" stroked="true" strokeweight=".84pt" strokecolor="#000000"/>
            <v:line style="position:absolute" from="7495,371" to="7512,371" stroked="true" strokeweight=".84pt" strokecolor="#000000"/>
            <v:line style="position:absolute" from="7514,371" to="9634,371" stroked="true" strokeweight=".84pt" strokecolor="#000000"/>
            <v:line style="position:absolute" from="2600,362" to="2600,938" stroked="true" strokeweight=".84pt" strokecolor="#000000"/>
            <v:line style="position:absolute" from="2611,930" to="7493,930" stroked="true" strokeweight=".84pt" strokecolor="#000000"/>
            <v:line style="position:absolute" from="7499,382" to="7499,919" stroked="true" strokeweight=".36pt" strokecolor="#000000"/>
            <v:line style="position:absolute" from="7495,930" to="7512,930" stroked="true" strokeweight=".84pt" strokecolor="#000000"/>
            <v:line style="position:absolute" from="7514,930" to="9634,930" stroked="true" strokeweight=".84pt" strokecolor="#000000"/>
            <v:line style="position:absolute" from="9640,362" to="9640,938" stroked="true" strokeweight=".36pt" strokecolor="#000000"/>
            <v:shape style="position:absolute;left:2602;top:372;width:4898;height:557" type="#_x0000_t202" filled="false" stroked="false">
              <v:textbox inset="0,0,0,0">
                <w:txbxContent>
                  <w:p>
                    <w:pPr>
                      <w:spacing w:line="240" w:lineRule="auto" w:before="0"/>
                      <w:rPr>
                        <w:b/>
                        <w:sz w:val="16"/>
                      </w:rPr>
                    </w:pPr>
                  </w:p>
                  <w:p>
                    <w:pPr>
                      <w:spacing w:line="240" w:lineRule="auto" w:before="8"/>
                      <w:rPr>
                        <w:b/>
                        <w:sz w:val="14"/>
                      </w:rPr>
                    </w:pPr>
                  </w:p>
                  <w:p>
                    <w:pPr>
                      <w:spacing w:before="1"/>
                      <w:ind w:left="69" w:right="0" w:firstLine="0"/>
                      <w:jc w:val="left"/>
                      <w:rPr>
                        <w:rFonts w:ascii="Calibri"/>
                        <w:b/>
                        <w:sz w:val="16"/>
                      </w:rPr>
                    </w:pPr>
                    <w:r>
                      <w:rPr>
                        <w:rFonts w:ascii="Calibri"/>
                        <w:b/>
                        <w:sz w:val="16"/>
                      </w:rPr>
                      <w:t>Numero de eventos por renta de equipo</w:t>
                    </w:r>
                  </w:p>
                </w:txbxContent>
              </v:textbox>
              <w10:wrap type="none"/>
            </v:shape>
            <v:shape style="position:absolute;left:7499;top:372;width:2140;height:557" type="#_x0000_t202" filled="false" stroked="false">
              <v:textbox inset="0,0,0,0">
                <w:txbxContent>
                  <w:p>
                    <w:pPr>
                      <w:spacing w:line="240" w:lineRule="auto" w:before="8"/>
                      <w:rPr>
                        <w:b/>
                        <w:sz w:val="15"/>
                      </w:rPr>
                    </w:pPr>
                  </w:p>
                  <w:p>
                    <w:pPr>
                      <w:spacing w:before="0"/>
                      <w:ind w:left="848" w:right="846" w:firstLine="0"/>
                      <w:jc w:val="center"/>
                      <w:rPr>
                        <w:rFonts w:ascii="Calibri"/>
                        <w:b/>
                        <w:sz w:val="16"/>
                      </w:rPr>
                    </w:pPr>
                    <w:r>
                      <w:rPr>
                        <w:rFonts w:ascii="Calibri"/>
                        <w:b/>
                        <w:sz w:val="16"/>
                      </w:rPr>
                      <w:t>13932</w:t>
                    </w:r>
                  </w:p>
                </w:txbxContent>
              </v:textbox>
              <w10:wrap type="none"/>
            </v:shape>
            <w10:wrap type="topAndBottom"/>
          </v:group>
        </w:pict>
      </w:r>
    </w:p>
    <w:p>
      <w:pPr>
        <w:spacing w:after="0"/>
        <w:rPr>
          <w:sz w:val="27"/>
        </w:rPr>
        <w:sectPr>
          <w:footerReference w:type="default" r:id="rId46"/>
          <w:pgSz w:w="12240" w:h="15840"/>
          <w:pgMar w:footer="0" w:header="0" w:top="1460" w:bottom="280" w:left="1720" w:right="1720"/>
        </w:sectPr>
      </w:pPr>
    </w:p>
    <w:tbl>
      <w:tblPr>
        <w:tblW w:w="0" w:type="auto"/>
        <w:jc w:val="left"/>
        <w:tblInd w:w="30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0"/>
        <w:gridCol w:w="962"/>
        <w:gridCol w:w="1013"/>
      </w:tblGrid>
      <w:tr>
        <w:trPr>
          <w:trHeight w:val="394" w:hRule="exact"/>
        </w:trPr>
        <w:tc>
          <w:tcPr>
            <w:tcW w:w="2626" w:type="dxa"/>
            <w:gridSpan w:val="3"/>
            <w:tcBorders>
              <w:bottom w:val="single" w:sz="3" w:space="0" w:color="000000"/>
            </w:tcBorders>
            <w:shd w:val="clear" w:color="auto" w:fill="1F497C"/>
          </w:tcPr>
          <w:p>
            <w:pPr>
              <w:pStyle w:val="TableParagraph"/>
              <w:ind w:left="466" w:right="383" w:hanging="68"/>
              <w:rPr>
                <w:rFonts w:ascii="Calibri"/>
                <w:b/>
                <w:sz w:val="16"/>
              </w:rPr>
            </w:pPr>
            <w:r>
              <w:rPr>
                <w:rFonts w:ascii="Calibri"/>
                <w:b/>
                <w:color w:val="FFFFFF"/>
                <w:sz w:val="16"/>
              </w:rPr>
              <w:t>Demanda de Atenciones en Emergencias por el SUEM</w:t>
            </w:r>
          </w:p>
        </w:tc>
      </w:tr>
      <w:tr>
        <w:trPr>
          <w:trHeight w:val="774" w:hRule="exact"/>
        </w:trPr>
        <w:tc>
          <w:tcPr>
            <w:tcW w:w="650" w:type="dxa"/>
            <w:tcBorders>
              <w:top w:val="single" w:sz="3" w:space="0" w:color="000000"/>
              <w:left w:val="single" w:sz="3" w:space="0" w:color="000000"/>
              <w:bottom w:val="single" w:sz="3" w:space="0" w:color="000000"/>
              <w:right w:val="single" w:sz="3" w:space="0" w:color="000000"/>
            </w:tcBorders>
            <w:shd w:val="clear" w:color="auto" w:fill="C3BC97"/>
          </w:tcPr>
          <w:p>
            <w:pPr>
              <w:pStyle w:val="TableParagraph"/>
              <w:rPr>
                <w:b/>
                <w:sz w:val="16"/>
              </w:rPr>
            </w:pPr>
          </w:p>
          <w:p>
            <w:pPr>
              <w:pStyle w:val="TableParagraph"/>
              <w:spacing w:before="103"/>
              <w:ind w:right="183"/>
              <w:jc w:val="right"/>
              <w:rPr>
                <w:rFonts w:ascii="Calibri" w:hAnsi="Calibri"/>
                <w:b/>
                <w:sz w:val="16"/>
              </w:rPr>
            </w:pPr>
            <w:r>
              <w:rPr>
                <w:rFonts w:ascii="Calibri" w:hAnsi="Calibri"/>
                <w:b/>
                <w:sz w:val="16"/>
              </w:rPr>
              <w:t>Año</w:t>
            </w:r>
          </w:p>
        </w:tc>
        <w:tc>
          <w:tcPr>
            <w:tcW w:w="962" w:type="dxa"/>
            <w:tcBorders>
              <w:top w:val="single" w:sz="3" w:space="0" w:color="000000"/>
              <w:left w:val="single" w:sz="3" w:space="0" w:color="000000"/>
              <w:bottom w:val="single" w:sz="3" w:space="0" w:color="000000"/>
              <w:right w:val="single" w:sz="3" w:space="0" w:color="000000"/>
            </w:tcBorders>
            <w:shd w:val="clear" w:color="auto" w:fill="C3BC97"/>
          </w:tcPr>
          <w:p>
            <w:pPr>
              <w:pStyle w:val="TableParagraph"/>
              <w:rPr>
                <w:b/>
                <w:sz w:val="16"/>
              </w:rPr>
            </w:pPr>
          </w:p>
          <w:p>
            <w:pPr>
              <w:pStyle w:val="TableParagraph"/>
              <w:spacing w:before="103"/>
              <w:ind w:left="87" w:right="85"/>
              <w:jc w:val="center"/>
              <w:rPr>
                <w:rFonts w:ascii="Calibri"/>
                <w:b/>
                <w:sz w:val="16"/>
              </w:rPr>
            </w:pPr>
            <w:r>
              <w:rPr>
                <w:rFonts w:ascii="Calibri"/>
                <w:b/>
                <w:sz w:val="16"/>
              </w:rPr>
              <w:t>Atenciones</w:t>
            </w:r>
          </w:p>
        </w:tc>
        <w:tc>
          <w:tcPr>
            <w:tcW w:w="1013" w:type="dxa"/>
            <w:tcBorders>
              <w:top w:val="single" w:sz="3" w:space="0" w:color="000000"/>
              <w:left w:val="single" w:sz="3" w:space="0" w:color="000000"/>
              <w:bottom w:val="single" w:sz="3" w:space="0" w:color="000000"/>
              <w:right w:val="single" w:sz="3" w:space="0" w:color="000000"/>
            </w:tcBorders>
            <w:shd w:val="clear" w:color="auto" w:fill="C3BC97"/>
          </w:tcPr>
          <w:p>
            <w:pPr>
              <w:pStyle w:val="TableParagraph"/>
              <w:rPr>
                <w:b/>
                <w:sz w:val="16"/>
              </w:rPr>
            </w:pPr>
          </w:p>
          <w:p>
            <w:pPr>
              <w:pStyle w:val="TableParagraph"/>
              <w:spacing w:before="103"/>
              <w:ind w:right="302"/>
              <w:jc w:val="right"/>
              <w:rPr>
                <w:rFonts w:ascii="Calibri"/>
                <w:b/>
                <w:sz w:val="16"/>
              </w:rPr>
            </w:pPr>
            <w:r>
              <w:rPr>
                <w:rFonts w:ascii="Calibri"/>
                <w:b/>
                <w:sz w:val="16"/>
              </w:rPr>
              <w:t>Traslados</w:t>
            </w:r>
          </w:p>
        </w:tc>
      </w:tr>
      <w:tr>
        <w:trPr>
          <w:trHeight w:val="328"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22"/>
              <w:ind w:right="155"/>
              <w:jc w:val="right"/>
              <w:rPr>
                <w:rFonts w:ascii="Calibri"/>
                <w:sz w:val="16"/>
              </w:rPr>
            </w:pPr>
            <w:r>
              <w:rPr>
                <w:rFonts w:ascii="Calibri"/>
                <w:sz w:val="16"/>
              </w:rPr>
              <w:t>2005</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22"/>
              <w:ind w:left="87" w:right="84"/>
              <w:jc w:val="center"/>
              <w:rPr>
                <w:rFonts w:ascii="Calibri"/>
                <w:sz w:val="16"/>
              </w:rPr>
            </w:pPr>
            <w:r>
              <w:rPr>
                <w:rFonts w:ascii="Calibri"/>
                <w:sz w:val="16"/>
              </w:rPr>
              <w:t>11820</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22"/>
              <w:ind w:left="361" w:right="360"/>
              <w:jc w:val="center"/>
              <w:rPr>
                <w:rFonts w:ascii="Calibri"/>
                <w:sz w:val="16"/>
              </w:rPr>
            </w:pPr>
            <w:r>
              <w:rPr>
                <w:rFonts w:ascii="Calibri"/>
                <w:sz w:val="16"/>
              </w:rPr>
              <w:t>993</w:t>
            </w:r>
          </w:p>
        </w:tc>
      </w:tr>
      <w:tr>
        <w:trPr>
          <w:trHeight w:val="310"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04"/>
              <w:ind w:right="155"/>
              <w:jc w:val="right"/>
              <w:rPr>
                <w:rFonts w:ascii="Calibri"/>
                <w:sz w:val="16"/>
              </w:rPr>
            </w:pPr>
            <w:r>
              <w:rPr>
                <w:rFonts w:ascii="Calibri"/>
                <w:sz w:val="16"/>
              </w:rPr>
              <w:t>2006</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04"/>
              <w:ind w:left="87" w:right="84"/>
              <w:jc w:val="center"/>
              <w:rPr>
                <w:rFonts w:ascii="Calibri"/>
                <w:sz w:val="16"/>
              </w:rPr>
            </w:pPr>
            <w:r>
              <w:rPr>
                <w:rFonts w:ascii="Calibri"/>
                <w:sz w:val="16"/>
              </w:rPr>
              <w:t>12421</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04"/>
              <w:ind w:left="361" w:right="360"/>
              <w:jc w:val="center"/>
              <w:rPr>
                <w:rFonts w:ascii="Calibri"/>
                <w:sz w:val="16"/>
              </w:rPr>
            </w:pPr>
            <w:r>
              <w:rPr>
                <w:rFonts w:ascii="Calibri"/>
                <w:sz w:val="16"/>
              </w:rPr>
              <w:t>998</w:t>
            </w:r>
          </w:p>
        </w:tc>
      </w:tr>
      <w:tr>
        <w:trPr>
          <w:trHeight w:val="310"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04"/>
              <w:ind w:right="155"/>
              <w:jc w:val="right"/>
              <w:rPr>
                <w:rFonts w:ascii="Calibri"/>
                <w:sz w:val="16"/>
              </w:rPr>
            </w:pPr>
            <w:r>
              <w:rPr>
                <w:rFonts w:ascii="Calibri"/>
                <w:sz w:val="16"/>
              </w:rPr>
              <w:t>2007</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04"/>
              <w:ind w:left="87" w:right="84"/>
              <w:jc w:val="center"/>
              <w:rPr>
                <w:rFonts w:ascii="Calibri"/>
                <w:sz w:val="16"/>
              </w:rPr>
            </w:pPr>
            <w:r>
              <w:rPr>
                <w:rFonts w:ascii="Calibri"/>
                <w:sz w:val="16"/>
              </w:rPr>
              <w:t>13696</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04"/>
              <w:ind w:right="337"/>
              <w:jc w:val="right"/>
              <w:rPr>
                <w:rFonts w:ascii="Calibri"/>
                <w:sz w:val="16"/>
              </w:rPr>
            </w:pPr>
            <w:r>
              <w:rPr>
                <w:rFonts w:ascii="Calibri"/>
                <w:sz w:val="16"/>
              </w:rPr>
              <w:t>1227</w:t>
            </w:r>
          </w:p>
        </w:tc>
      </w:tr>
      <w:tr>
        <w:trPr>
          <w:trHeight w:val="310"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07"/>
              <w:ind w:right="155"/>
              <w:jc w:val="right"/>
              <w:rPr>
                <w:rFonts w:ascii="Calibri"/>
                <w:sz w:val="16"/>
              </w:rPr>
            </w:pPr>
            <w:r>
              <w:rPr>
                <w:rFonts w:ascii="Calibri"/>
                <w:sz w:val="16"/>
              </w:rPr>
              <w:t>2008</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07"/>
              <w:ind w:left="87" w:right="84"/>
              <w:jc w:val="center"/>
              <w:rPr>
                <w:rFonts w:ascii="Calibri"/>
                <w:sz w:val="16"/>
              </w:rPr>
            </w:pPr>
            <w:r>
              <w:rPr>
                <w:rFonts w:ascii="Calibri"/>
                <w:sz w:val="16"/>
              </w:rPr>
              <w:t>11203</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07"/>
              <w:ind w:right="337"/>
              <w:jc w:val="right"/>
              <w:rPr>
                <w:rFonts w:ascii="Calibri"/>
                <w:sz w:val="16"/>
              </w:rPr>
            </w:pPr>
            <w:r>
              <w:rPr>
                <w:rFonts w:ascii="Calibri"/>
                <w:sz w:val="16"/>
              </w:rPr>
              <w:t>1481</w:t>
            </w:r>
          </w:p>
        </w:tc>
      </w:tr>
      <w:tr>
        <w:trPr>
          <w:trHeight w:val="310"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07"/>
              <w:ind w:right="155"/>
              <w:jc w:val="right"/>
              <w:rPr>
                <w:rFonts w:ascii="Calibri"/>
                <w:sz w:val="16"/>
              </w:rPr>
            </w:pPr>
            <w:r>
              <w:rPr>
                <w:rFonts w:ascii="Calibri"/>
                <w:sz w:val="16"/>
              </w:rPr>
              <w:t>2009</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07"/>
              <w:ind w:left="87" w:right="84"/>
              <w:jc w:val="center"/>
              <w:rPr>
                <w:rFonts w:ascii="Calibri"/>
                <w:sz w:val="16"/>
              </w:rPr>
            </w:pPr>
            <w:r>
              <w:rPr>
                <w:rFonts w:ascii="Calibri"/>
                <w:sz w:val="16"/>
              </w:rPr>
              <w:t>14085</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07"/>
              <w:ind w:right="337"/>
              <w:jc w:val="right"/>
              <w:rPr>
                <w:rFonts w:ascii="Calibri"/>
                <w:sz w:val="16"/>
              </w:rPr>
            </w:pPr>
            <w:r>
              <w:rPr>
                <w:rFonts w:ascii="Calibri"/>
                <w:sz w:val="16"/>
              </w:rPr>
              <w:t>2222</w:t>
            </w:r>
          </w:p>
        </w:tc>
      </w:tr>
      <w:tr>
        <w:trPr>
          <w:trHeight w:val="310"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07"/>
              <w:ind w:right="155"/>
              <w:jc w:val="right"/>
              <w:rPr>
                <w:rFonts w:ascii="Calibri"/>
                <w:sz w:val="16"/>
              </w:rPr>
            </w:pPr>
            <w:r>
              <w:rPr>
                <w:rFonts w:ascii="Calibri"/>
                <w:sz w:val="16"/>
              </w:rPr>
              <w:t>2010</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07"/>
              <w:ind w:left="87" w:right="84"/>
              <w:jc w:val="center"/>
              <w:rPr>
                <w:rFonts w:ascii="Calibri"/>
                <w:sz w:val="16"/>
              </w:rPr>
            </w:pPr>
            <w:r>
              <w:rPr>
                <w:rFonts w:ascii="Calibri"/>
                <w:sz w:val="16"/>
              </w:rPr>
              <w:t>22210</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07"/>
              <w:ind w:right="337"/>
              <w:jc w:val="right"/>
              <w:rPr>
                <w:rFonts w:ascii="Calibri"/>
                <w:sz w:val="16"/>
              </w:rPr>
            </w:pPr>
            <w:r>
              <w:rPr>
                <w:rFonts w:ascii="Calibri"/>
                <w:sz w:val="16"/>
              </w:rPr>
              <w:t>1507</w:t>
            </w:r>
          </w:p>
        </w:tc>
      </w:tr>
      <w:tr>
        <w:trPr>
          <w:trHeight w:val="326"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21"/>
              <w:ind w:right="155"/>
              <w:jc w:val="right"/>
              <w:rPr>
                <w:rFonts w:ascii="Calibri"/>
                <w:sz w:val="16"/>
              </w:rPr>
            </w:pPr>
            <w:r>
              <w:rPr>
                <w:rFonts w:ascii="Calibri"/>
                <w:sz w:val="16"/>
              </w:rPr>
              <w:t>2011</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21"/>
              <w:ind w:left="87" w:right="84"/>
              <w:jc w:val="center"/>
              <w:rPr>
                <w:rFonts w:ascii="Calibri"/>
                <w:sz w:val="16"/>
              </w:rPr>
            </w:pPr>
            <w:r>
              <w:rPr>
                <w:rFonts w:ascii="Calibri"/>
                <w:sz w:val="16"/>
              </w:rPr>
              <w:t>18024</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21"/>
              <w:ind w:right="337"/>
              <w:jc w:val="right"/>
              <w:rPr>
                <w:rFonts w:ascii="Calibri"/>
                <w:sz w:val="16"/>
              </w:rPr>
            </w:pPr>
            <w:r>
              <w:rPr>
                <w:rFonts w:ascii="Calibri"/>
                <w:sz w:val="16"/>
              </w:rPr>
              <w:t>1886</w:t>
            </w:r>
          </w:p>
        </w:tc>
      </w:tr>
      <w:tr>
        <w:trPr>
          <w:trHeight w:val="325" w:hRule="exact"/>
        </w:trPr>
        <w:tc>
          <w:tcPr>
            <w:tcW w:w="650" w:type="dxa"/>
            <w:tcBorders>
              <w:top w:val="single" w:sz="3" w:space="0" w:color="000000"/>
              <w:left w:val="single" w:sz="3" w:space="0" w:color="000000"/>
              <w:bottom w:val="single" w:sz="3" w:space="0" w:color="000000"/>
              <w:right w:val="single" w:sz="3" w:space="0" w:color="000000"/>
            </w:tcBorders>
          </w:tcPr>
          <w:p>
            <w:pPr>
              <w:pStyle w:val="TableParagraph"/>
              <w:spacing w:before="121"/>
              <w:ind w:right="155"/>
              <w:jc w:val="right"/>
              <w:rPr>
                <w:rFonts w:ascii="Calibri"/>
                <w:sz w:val="16"/>
              </w:rPr>
            </w:pPr>
            <w:r>
              <w:rPr>
                <w:rFonts w:ascii="Calibri"/>
                <w:sz w:val="16"/>
              </w:rPr>
              <w:t>2012</w:t>
            </w:r>
          </w:p>
        </w:tc>
        <w:tc>
          <w:tcPr>
            <w:tcW w:w="962" w:type="dxa"/>
            <w:tcBorders>
              <w:top w:val="single" w:sz="3" w:space="0" w:color="000000"/>
              <w:left w:val="single" w:sz="3" w:space="0" w:color="000000"/>
              <w:bottom w:val="single" w:sz="3" w:space="0" w:color="000000"/>
              <w:right w:val="single" w:sz="3" w:space="0" w:color="000000"/>
            </w:tcBorders>
          </w:tcPr>
          <w:p>
            <w:pPr>
              <w:pStyle w:val="TableParagraph"/>
              <w:spacing w:before="121"/>
              <w:ind w:left="87" w:right="84"/>
              <w:jc w:val="center"/>
              <w:rPr>
                <w:rFonts w:ascii="Calibri"/>
                <w:sz w:val="16"/>
              </w:rPr>
            </w:pPr>
            <w:r>
              <w:rPr>
                <w:rFonts w:ascii="Calibri"/>
                <w:sz w:val="16"/>
              </w:rPr>
              <w:t>20757</w:t>
            </w:r>
          </w:p>
        </w:tc>
        <w:tc>
          <w:tcPr>
            <w:tcW w:w="1013" w:type="dxa"/>
            <w:tcBorders>
              <w:top w:val="single" w:sz="3" w:space="0" w:color="000000"/>
              <w:left w:val="single" w:sz="3" w:space="0" w:color="000000"/>
              <w:bottom w:val="single" w:sz="3" w:space="0" w:color="000000"/>
              <w:right w:val="single" w:sz="3" w:space="0" w:color="000000"/>
            </w:tcBorders>
          </w:tcPr>
          <w:p>
            <w:pPr>
              <w:pStyle w:val="TableParagraph"/>
              <w:spacing w:before="121"/>
              <w:ind w:right="337"/>
              <w:jc w:val="right"/>
              <w:rPr>
                <w:rFonts w:ascii="Calibri"/>
                <w:sz w:val="16"/>
              </w:rPr>
            </w:pPr>
            <w:r>
              <w:rPr>
                <w:rFonts w:ascii="Calibri"/>
                <w:sz w:val="16"/>
              </w:rPr>
              <w:t>1157</w:t>
            </w:r>
          </w:p>
        </w:tc>
      </w:tr>
      <w:tr>
        <w:trPr>
          <w:trHeight w:val="344" w:hRule="exact"/>
        </w:trPr>
        <w:tc>
          <w:tcPr>
            <w:tcW w:w="650" w:type="dxa"/>
            <w:tcBorders>
              <w:top w:val="single" w:sz="3" w:space="0" w:color="000000"/>
              <w:left w:val="single" w:sz="7" w:space="0" w:color="000000"/>
              <w:bottom w:val="single" w:sz="7" w:space="0" w:color="000000"/>
              <w:right w:val="single" w:sz="3" w:space="0" w:color="000000"/>
            </w:tcBorders>
            <w:shd w:val="clear" w:color="auto" w:fill="A5A5A5"/>
          </w:tcPr>
          <w:p>
            <w:pPr>
              <w:pStyle w:val="TableParagraph"/>
              <w:spacing w:before="135"/>
              <w:ind w:right="141"/>
              <w:jc w:val="right"/>
              <w:rPr>
                <w:rFonts w:ascii="Calibri"/>
                <w:b/>
                <w:sz w:val="16"/>
              </w:rPr>
            </w:pPr>
            <w:r>
              <w:rPr>
                <w:rFonts w:ascii="Calibri"/>
                <w:b/>
                <w:sz w:val="16"/>
              </w:rPr>
              <w:t>TOTAL</w:t>
            </w:r>
          </w:p>
        </w:tc>
        <w:tc>
          <w:tcPr>
            <w:tcW w:w="962" w:type="dxa"/>
            <w:tcBorders>
              <w:top w:val="single" w:sz="3" w:space="0" w:color="000000"/>
              <w:left w:val="single" w:sz="3" w:space="0" w:color="000000"/>
              <w:bottom w:val="single" w:sz="3" w:space="0" w:color="000000"/>
              <w:right w:val="single" w:sz="3" w:space="0" w:color="000000"/>
            </w:tcBorders>
            <w:shd w:val="clear" w:color="auto" w:fill="A5A5A5"/>
          </w:tcPr>
          <w:p>
            <w:pPr>
              <w:pStyle w:val="TableParagraph"/>
              <w:spacing w:before="135"/>
              <w:ind w:left="87" w:right="84"/>
              <w:jc w:val="center"/>
              <w:rPr>
                <w:rFonts w:ascii="Calibri"/>
                <w:b/>
                <w:sz w:val="16"/>
              </w:rPr>
            </w:pPr>
            <w:r>
              <w:rPr>
                <w:rFonts w:ascii="Calibri"/>
                <w:b/>
                <w:sz w:val="16"/>
              </w:rPr>
              <w:t>124216</w:t>
            </w:r>
          </w:p>
        </w:tc>
        <w:tc>
          <w:tcPr>
            <w:tcW w:w="1013" w:type="dxa"/>
            <w:tcBorders>
              <w:top w:val="single" w:sz="3" w:space="0" w:color="000000"/>
              <w:left w:val="single" w:sz="3" w:space="0" w:color="000000"/>
              <w:bottom w:val="single" w:sz="3" w:space="0" w:color="000000"/>
              <w:right w:val="single" w:sz="3" w:space="0" w:color="000000"/>
            </w:tcBorders>
            <w:shd w:val="clear" w:color="auto" w:fill="A5A5A5"/>
          </w:tcPr>
          <w:p>
            <w:pPr>
              <w:pStyle w:val="TableParagraph"/>
              <w:spacing w:before="135"/>
              <w:ind w:right="296"/>
              <w:jc w:val="right"/>
              <w:rPr>
                <w:rFonts w:ascii="Calibri"/>
                <w:b/>
                <w:sz w:val="16"/>
              </w:rPr>
            </w:pPr>
            <w:r>
              <w:rPr>
                <w:rFonts w:ascii="Calibri"/>
                <w:b/>
                <w:sz w:val="16"/>
              </w:rPr>
              <w:t>11471</w:t>
            </w:r>
          </w:p>
        </w:tc>
      </w:tr>
    </w:tbl>
    <w:p>
      <w:pPr>
        <w:pStyle w:val="BodyText"/>
        <w:rPr>
          <w:b/>
          <w:sz w:val="20"/>
        </w:rPr>
      </w:pPr>
    </w:p>
    <w:p>
      <w:pPr>
        <w:pStyle w:val="BodyText"/>
        <w:spacing w:before="5"/>
        <w:rPr>
          <w:b/>
          <w:sz w:val="12"/>
        </w:rPr>
      </w:pPr>
    </w:p>
    <w:tbl>
      <w:tblPr>
        <w:tblW w:w="0" w:type="auto"/>
        <w:jc w:val="left"/>
        <w:tblInd w:w="186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656"/>
        <w:gridCol w:w="1841"/>
        <w:gridCol w:w="1559"/>
      </w:tblGrid>
      <w:tr>
        <w:trPr>
          <w:trHeight w:val="1197" w:hRule="exact"/>
        </w:trPr>
        <w:tc>
          <w:tcPr>
            <w:tcW w:w="1656" w:type="dxa"/>
            <w:tcBorders>
              <w:bottom w:val="single" w:sz="3" w:space="0" w:color="000000"/>
              <w:right w:val="single" w:sz="3" w:space="0" w:color="000000"/>
            </w:tcBorders>
            <w:shd w:val="clear" w:color="auto" w:fill="003399"/>
          </w:tcPr>
          <w:p>
            <w:pPr>
              <w:pStyle w:val="TableParagraph"/>
              <w:rPr>
                <w:b/>
                <w:sz w:val="16"/>
              </w:rPr>
            </w:pPr>
          </w:p>
          <w:p>
            <w:pPr>
              <w:pStyle w:val="TableParagraph"/>
              <w:spacing w:before="6"/>
              <w:rPr>
                <w:b/>
                <w:sz w:val="18"/>
              </w:rPr>
            </w:pPr>
          </w:p>
          <w:p>
            <w:pPr>
              <w:pStyle w:val="TableParagraph"/>
              <w:ind w:left="60" w:right="49" w:firstLine="91"/>
              <w:rPr>
                <w:rFonts w:ascii="Calibri" w:hAnsi="Calibri"/>
                <w:b/>
                <w:sz w:val="16"/>
              </w:rPr>
            </w:pPr>
            <w:r>
              <w:rPr>
                <w:rFonts w:ascii="Calibri" w:hAnsi="Calibri"/>
                <w:b/>
                <w:color w:val="FFFFFF"/>
                <w:sz w:val="16"/>
              </w:rPr>
              <w:t>Uso por paciente en situación de catástrofe</w:t>
            </w:r>
          </w:p>
        </w:tc>
        <w:tc>
          <w:tcPr>
            <w:tcW w:w="1841" w:type="dxa"/>
            <w:tcBorders>
              <w:left w:val="single" w:sz="3" w:space="0" w:color="000000"/>
              <w:bottom w:val="single" w:sz="3" w:space="0" w:color="000000"/>
              <w:right w:val="single" w:sz="3" w:space="0" w:color="000000"/>
            </w:tcBorders>
            <w:shd w:val="clear" w:color="auto" w:fill="003399"/>
          </w:tcPr>
          <w:p>
            <w:pPr>
              <w:pStyle w:val="TableParagraph"/>
              <w:rPr>
                <w:b/>
                <w:sz w:val="16"/>
              </w:rPr>
            </w:pPr>
          </w:p>
          <w:p>
            <w:pPr>
              <w:pStyle w:val="TableParagraph"/>
              <w:spacing w:before="6"/>
              <w:rPr>
                <w:b/>
                <w:sz w:val="18"/>
              </w:rPr>
            </w:pPr>
          </w:p>
          <w:p>
            <w:pPr>
              <w:pStyle w:val="TableParagraph"/>
              <w:ind w:left="683" w:right="229" w:hanging="442"/>
              <w:rPr>
                <w:rFonts w:ascii="Calibri" w:hAnsi="Calibri"/>
                <w:b/>
                <w:sz w:val="16"/>
              </w:rPr>
            </w:pPr>
            <w:r>
              <w:rPr>
                <w:rFonts w:ascii="Calibri" w:hAnsi="Calibri"/>
                <w:b/>
                <w:color w:val="FFFFFF"/>
                <w:sz w:val="16"/>
              </w:rPr>
              <w:t>Pacientes al año por equipo</w:t>
            </w:r>
          </w:p>
        </w:tc>
        <w:tc>
          <w:tcPr>
            <w:tcW w:w="1559" w:type="dxa"/>
            <w:tcBorders>
              <w:left w:val="single" w:sz="3" w:space="0" w:color="000000"/>
              <w:bottom w:val="single" w:sz="3" w:space="0" w:color="000000"/>
            </w:tcBorders>
            <w:shd w:val="clear" w:color="auto" w:fill="003399"/>
          </w:tcPr>
          <w:p>
            <w:pPr>
              <w:pStyle w:val="TableParagraph"/>
              <w:rPr>
                <w:b/>
                <w:sz w:val="16"/>
              </w:rPr>
            </w:pPr>
          </w:p>
          <w:p>
            <w:pPr>
              <w:pStyle w:val="TableParagraph"/>
              <w:spacing w:before="6"/>
              <w:rPr>
                <w:b/>
                <w:sz w:val="18"/>
              </w:rPr>
            </w:pPr>
          </w:p>
          <w:p>
            <w:pPr>
              <w:pStyle w:val="TableParagraph"/>
              <w:ind w:left="357" w:right="106" w:hanging="228"/>
              <w:rPr>
                <w:rFonts w:ascii="Calibri"/>
                <w:b/>
                <w:sz w:val="16"/>
              </w:rPr>
            </w:pPr>
            <w:r>
              <w:rPr>
                <w:rFonts w:ascii="Calibri"/>
                <w:b/>
                <w:color w:val="FFFFFF"/>
                <w:sz w:val="16"/>
              </w:rPr>
              <w:t>Atenciones anuales del proyecto</w:t>
            </w:r>
          </w:p>
        </w:tc>
      </w:tr>
      <w:tr>
        <w:trPr>
          <w:trHeight w:val="407" w:hRule="exact"/>
        </w:trPr>
        <w:tc>
          <w:tcPr>
            <w:tcW w:w="1656" w:type="dxa"/>
            <w:tcBorders>
              <w:top w:val="single" w:sz="3" w:space="0" w:color="000000"/>
              <w:right w:val="single" w:sz="3" w:space="0" w:color="000000"/>
            </w:tcBorders>
          </w:tcPr>
          <w:p>
            <w:pPr>
              <w:pStyle w:val="TableParagraph"/>
              <w:spacing w:before="3"/>
              <w:rPr>
                <w:b/>
                <w:sz w:val="17"/>
              </w:rPr>
            </w:pPr>
          </w:p>
          <w:p>
            <w:pPr>
              <w:pStyle w:val="TableParagraph"/>
              <w:ind w:right="5"/>
              <w:jc w:val="center"/>
              <w:rPr>
                <w:rFonts w:ascii="Calibri"/>
                <w:b/>
                <w:sz w:val="16"/>
              </w:rPr>
            </w:pPr>
            <w:r>
              <w:rPr>
                <w:rFonts w:ascii="Calibri"/>
                <w:b/>
                <w:w w:val="100"/>
                <w:sz w:val="16"/>
              </w:rPr>
              <w:t>8</w:t>
            </w:r>
          </w:p>
        </w:tc>
        <w:tc>
          <w:tcPr>
            <w:tcW w:w="1841" w:type="dxa"/>
            <w:tcBorders>
              <w:top w:val="single" w:sz="3" w:space="0" w:color="000000"/>
              <w:left w:val="single" w:sz="3" w:space="0" w:color="000000"/>
              <w:right w:val="single" w:sz="3" w:space="0" w:color="000000"/>
            </w:tcBorders>
          </w:tcPr>
          <w:p>
            <w:pPr>
              <w:pStyle w:val="TableParagraph"/>
              <w:spacing w:before="3"/>
              <w:rPr>
                <w:b/>
                <w:sz w:val="17"/>
              </w:rPr>
            </w:pPr>
          </w:p>
          <w:p>
            <w:pPr>
              <w:pStyle w:val="TableParagraph"/>
              <w:ind w:left="4" w:right="5"/>
              <w:jc w:val="center"/>
              <w:rPr>
                <w:rFonts w:ascii="Calibri"/>
                <w:b/>
                <w:sz w:val="16"/>
              </w:rPr>
            </w:pPr>
            <w:r>
              <w:rPr>
                <w:rFonts w:ascii="Calibri"/>
                <w:b/>
                <w:sz w:val="16"/>
              </w:rPr>
              <w:t>45.625</w:t>
            </w:r>
          </w:p>
        </w:tc>
        <w:tc>
          <w:tcPr>
            <w:tcW w:w="1559" w:type="dxa"/>
            <w:tcBorders>
              <w:top w:val="single" w:sz="3" w:space="0" w:color="000000"/>
              <w:left w:val="single" w:sz="3" w:space="0" w:color="000000"/>
            </w:tcBorders>
          </w:tcPr>
          <w:p>
            <w:pPr>
              <w:pStyle w:val="TableParagraph"/>
              <w:spacing w:before="3"/>
              <w:rPr>
                <w:b/>
                <w:sz w:val="17"/>
              </w:rPr>
            </w:pPr>
          </w:p>
          <w:p>
            <w:pPr>
              <w:pStyle w:val="TableParagraph"/>
              <w:ind w:left="511" w:right="106"/>
              <w:rPr>
                <w:rFonts w:ascii="Calibri"/>
                <w:b/>
                <w:sz w:val="16"/>
              </w:rPr>
            </w:pPr>
            <w:r>
              <w:rPr>
                <w:rFonts w:ascii="Calibri"/>
                <w:b/>
                <w:sz w:val="16"/>
              </w:rPr>
              <w:t>228.125</w:t>
            </w:r>
          </w:p>
        </w:tc>
      </w:tr>
    </w:tbl>
    <w:p>
      <w:pPr>
        <w:pStyle w:val="BodyText"/>
        <w:spacing w:before="4"/>
        <w:rPr>
          <w:b/>
          <w:sz w:val="27"/>
        </w:rPr>
      </w:pPr>
      <w:r>
        <w:rPr/>
        <w:pict>
          <v:group style="position:absolute;margin-left:162.714996pt;margin-top:17.695pt;width:286.45pt;height:24.95pt;mso-position-horizontal-relative:page;mso-position-vertical-relative:paragraph;z-index:2272;mso-wrap-distance-left:0;mso-wrap-distance-right:0" coordorigin="3254,354" coordsize="5729,499">
            <v:line style="position:absolute" from="3305,622" to="3305,816" stroked="true" strokeweight="3.12pt" strokecolor="#c3bc97"/>
            <v:rect style="position:absolute;left:3274;top:384;width:5270;height:238" filled="true" fillcolor="#c3bc97" stroked="false">
              <v:fill type="solid"/>
            </v:rect>
            <v:line style="position:absolute" from="8515,622" to="8515,816" stroked="true" strokeweight="2.879999pt" strokecolor="#c3bc97"/>
            <v:line style="position:absolute" from="3336,623" to="8486,623" stroked="true" strokeweight=".12pt" strokecolor="#c3bc97"/>
            <v:rect style="position:absolute;left:3334;top:622;width:5150;height:194" filled="true" fillcolor="#c3bc97" stroked="false">
              <v:fill type="solid"/>
            </v:rect>
            <v:line style="position:absolute" from="8592,622" to="8592,816" stroked="true" strokeweight="3.6pt" strokecolor="#c3bc97"/>
            <v:rect style="position:absolute;left:8556;top:384;width:406;height:238" filled="true" fillcolor="#c3bc97" stroked="false">
              <v:fill type="solid"/>
            </v:rect>
            <v:line style="position:absolute" from="8933,622" to="8933,816" stroked="true" strokeweight="2.88pt" strokecolor="#c3bc97"/>
            <v:line style="position:absolute" from="8628,623" to="8904,623" stroked="true" strokeweight=".12pt" strokecolor="#c3bc97"/>
            <v:rect style="position:absolute;left:8626;top:622;width:276;height:194" filled="true" fillcolor="#c3bc97" stroked="false">
              <v:fill type="solid"/>
            </v:rect>
            <v:line style="position:absolute" from="3274,371" to="8544,371" stroked="true" strokeweight=".84pt" strokecolor="#000000"/>
            <v:line style="position:absolute" from="8566,371" to="8964,371" stroked="true" strokeweight=".84pt" strokecolor="#000000"/>
            <v:line style="position:absolute" from="3263,362" to="3263,835" stroked="true" strokeweight=".84pt" strokecolor="#000000"/>
            <v:line style="position:absolute" from="8555,362" to="8555,835" stroked="true" strokeweight=".84pt" strokecolor="#000000"/>
            <v:line style="position:absolute" from="8975,362" to="8975,835" stroked="true" strokeweight=".84pt" strokecolor="#000000"/>
            <v:line style="position:absolute" from="3274,827" to="3290,827" stroked="true" strokeweight=".84pt" strokecolor="#000000"/>
            <v:line style="position:absolute" from="3293,827" to="4586,827" stroked="true" strokeweight=".84pt" strokecolor="#000000"/>
            <v:line style="position:absolute" from="4589,827" to="4606,827" stroked="true" strokeweight=".84pt" strokecolor="#000000"/>
            <v:line style="position:absolute" from="4608,827" to="5909,827" stroked="true" strokeweight=".84pt" strokecolor="#000000"/>
            <v:line style="position:absolute" from="5911,827" to="5928,827" stroked="true" strokeweight=".84pt" strokecolor="#000000"/>
            <v:line style="position:absolute" from="5930,827" to="7231,827" stroked="true" strokeweight=".84pt" strokecolor="#000000"/>
            <v:line style="position:absolute" from="7234,827" to="7250,827" stroked="true" strokeweight=".84pt" strokecolor="#000000"/>
            <v:line style="position:absolute" from="7253,827" to="8544,827" stroked="true" strokeweight=".84pt" strokecolor="#000000"/>
            <v:line style="position:absolute" from="8566,827" to="8582,827" stroked="true" strokeweight=".84pt" strokecolor="#000000"/>
            <v:line style="position:absolute" from="8585,827" to="8964,827" stroked="true" strokeweight=".84pt" strokecolor="#000000"/>
            <v:shape style="position:absolute;left:3264;top:373;width:5291;height:453" type="#_x0000_t202" filled="false" stroked="false">
              <v:textbox inset="0,0,0,0">
                <w:txbxContent>
                  <w:p>
                    <w:pPr>
                      <w:spacing w:line="240" w:lineRule="auto" w:before="5"/>
                      <w:rPr>
                        <w:b/>
                        <w:sz w:val="21"/>
                      </w:rPr>
                    </w:pPr>
                  </w:p>
                  <w:p>
                    <w:pPr>
                      <w:spacing w:before="0"/>
                      <w:ind w:left="69" w:right="0" w:firstLine="0"/>
                      <w:jc w:val="left"/>
                      <w:rPr>
                        <w:rFonts w:ascii="Calibri"/>
                        <w:sz w:val="16"/>
                      </w:rPr>
                    </w:pPr>
                    <w:r>
                      <w:rPr>
                        <w:rFonts w:ascii="Calibri"/>
                        <w:sz w:val="16"/>
                      </w:rPr>
                      <w:t>Porcentaje de pacientes con Atenciones Especializadas susceptibles de requerir</w:t>
                    </w:r>
                  </w:p>
                </w:txbxContent>
              </v:textbox>
              <w10:wrap type="none"/>
            </v:shape>
            <v:shape style="position:absolute;left:8555;top:373;width:418;height:453" type="#_x0000_t202" filled="false" stroked="false">
              <v:textbox inset="0,0,0,0">
                <w:txbxContent>
                  <w:p>
                    <w:pPr>
                      <w:spacing w:line="240" w:lineRule="auto" w:before="5"/>
                      <w:rPr>
                        <w:b/>
                        <w:sz w:val="21"/>
                      </w:rPr>
                    </w:pPr>
                  </w:p>
                  <w:p>
                    <w:pPr>
                      <w:spacing w:before="0"/>
                      <w:ind w:left="70" w:right="0" w:firstLine="0"/>
                      <w:jc w:val="left"/>
                      <w:rPr>
                        <w:rFonts w:ascii="Calibri"/>
                        <w:b/>
                        <w:sz w:val="16"/>
                      </w:rPr>
                    </w:pPr>
                    <w:r>
                      <w:rPr>
                        <w:rFonts w:ascii="Calibri"/>
                        <w:b/>
                        <w:sz w:val="16"/>
                      </w:rPr>
                      <w:t>26%</w:t>
                    </w:r>
                  </w:p>
                </w:txbxContent>
              </v:textbox>
              <w10:wrap type="none"/>
            </v:shape>
            <w10:wrap type="topAndBottom"/>
          </v:group>
        </w:pict>
      </w:r>
      <w:r>
        <w:rPr/>
        <w:pict>
          <v:group style="position:absolute;margin-left:162.714996pt;margin-top:57.174999pt;width:286.45pt;height:24.95pt;mso-position-horizontal-relative:page;mso-position-vertical-relative:paragraph;z-index:2344;mso-wrap-distance-left:0;mso-wrap-distance-right:0" coordorigin="3254,1143" coordsize="5729,499">
            <v:line style="position:absolute" from="3305,1414" to="3305,1606" stroked="true" strokeweight="3.12pt" strokecolor="#c3bc97"/>
            <v:rect style="position:absolute;left:3274;top:1174;width:5270;height:240" filled="true" fillcolor="#c3bc97" stroked="false">
              <v:fill type="solid"/>
            </v:rect>
            <v:line style="position:absolute" from="8515,1414" to="8515,1606" stroked="true" strokeweight="2.879999pt" strokecolor="#c3bc97"/>
            <v:line style="position:absolute" from="3336,1415" to="8486,1415" stroked="true" strokeweight=".12pt" strokecolor="#c3bc97"/>
            <v:rect style="position:absolute;left:3334;top:1414;width:5150;height:192" filled="true" fillcolor="#c3bc97" stroked="false">
              <v:fill type="solid"/>
            </v:rect>
            <v:line style="position:absolute" from="8592,1414" to="8592,1606" stroked="true" strokeweight="3.6pt" strokecolor="#c3bc97"/>
            <v:rect style="position:absolute;left:8556;top:1174;width:406;height:240" filled="true" fillcolor="#c3bc97" stroked="false">
              <v:fill type="solid"/>
            </v:rect>
            <v:line style="position:absolute" from="8933,1414" to="8933,1606" stroked="true" strokeweight="2.88pt" strokecolor="#c3bc97"/>
            <v:line style="position:absolute" from="8628,1415" to="8904,1415" stroked="true" strokeweight=".12pt" strokecolor="#c3bc97"/>
            <v:rect style="position:absolute;left:8626;top:1414;width:276;height:192" filled="true" fillcolor="#c3bc97" stroked="false">
              <v:fill type="solid"/>
            </v:rect>
            <v:line style="position:absolute" from="3274,1160" to="3290,1160" stroked="true" strokeweight=".84pt" strokecolor="#000000"/>
            <v:line style="position:absolute" from="3293,1160" to="4586,1160" stroked="true" strokeweight=".84pt" strokecolor="#000000"/>
            <v:line style="position:absolute" from="4589,1160" to="4606,1160" stroked="true" strokeweight=".84pt" strokecolor="#000000"/>
            <v:line style="position:absolute" from="4608,1160" to="5909,1160" stroked="true" strokeweight=".84pt" strokecolor="#000000"/>
            <v:line style="position:absolute" from="5911,1160" to="5928,1160" stroked="true" strokeweight=".84pt" strokecolor="#000000"/>
            <v:line style="position:absolute" from="5930,1160" to="7231,1160" stroked="true" strokeweight=".84pt" strokecolor="#000000"/>
            <v:line style="position:absolute" from="7234,1160" to="7250,1160" stroked="true" strokeweight=".84pt" strokecolor="#000000"/>
            <v:line style="position:absolute" from="7253,1160" to="8544,1160" stroked="true" strokeweight=".84pt" strokecolor="#000000"/>
            <v:line style="position:absolute" from="8566,1160" to="8582,1160" stroked="true" strokeweight=".84pt" strokecolor="#000000"/>
            <v:line style="position:absolute" from="8585,1160" to="8964,1160" stroked="true" strokeweight=".84pt" strokecolor="#000000"/>
            <v:line style="position:absolute" from="3263,1152" to="3263,1625" stroked="true" strokeweight=".84pt" strokecolor="#000000"/>
            <v:line style="position:absolute" from="3274,1616" to="8544,1616" stroked="true" strokeweight=".84pt" strokecolor="#000000"/>
            <v:line style="position:absolute" from="8555,1152" to="8555,1625" stroked="true" strokeweight=".84pt" strokecolor="#000000"/>
            <v:line style="position:absolute" from="8566,1616" to="8964,1616" stroked="true" strokeweight=".84pt" strokecolor="#000000"/>
            <v:line style="position:absolute" from="8975,1152" to="8975,1625" stroked="true" strokeweight=".84pt" strokecolor="#000000"/>
            <v:shape style="position:absolute;left:3264;top:1163;width:5291;height:452" type="#_x0000_t202" filled="false" stroked="false">
              <v:textbox inset="0,0,0,0">
                <w:txbxContent>
                  <w:p>
                    <w:pPr>
                      <w:spacing w:line="240" w:lineRule="auto" w:before="7"/>
                      <w:rPr>
                        <w:b/>
                        <w:sz w:val="21"/>
                      </w:rPr>
                    </w:pPr>
                  </w:p>
                  <w:p>
                    <w:pPr>
                      <w:spacing w:before="0"/>
                      <w:ind w:left="105" w:right="0" w:firstLine="0"/>
                      <w:jc w:val="left"/>
                      <w:rPr>
                        <w:rFonts w:ascii="Calibri"/>
                        <w:sz w:val="16"/>
                      </w:rPr>
                    </w:pPr>
                    <w:r>
                      <w:rPr>
                        <w:rFonts w:ascii="Calibri"/>
                        <w:sz w:val="16"/>
                      </w:rPr>
                      <w:t>Porcentaje de atenciones atendidas con el proyecto</w:t>
                    </w:r>
                  </w:p>
                </w:txbxContent>
              </v:textbox>
              <w10:wrap type="none"/>
            </v:shape>
            <v:shape style="position:absolute;left:8555;top:1163;width:418;height:452" type="#_x0000_t202" filled="false" stroked="false">
              <v:textbox inset="0,0,0,0">
                <w:txbxContent>
                  <w:p>
                    <w:pPr>
                      <w:spacing w:line="240" w:lineRule="auto" w:before="7"/>
                      <w:rPr>
                        <w:b/>
                        <w:sz w:val="21"/>
                      </w:rPr>
                    </w:pPr>
                  </w:p>
                  <w:p>
                    <w:pPr>
                      <w:spacing w:before="0"/>
                      <w:ind w:left="70" w:right="0" w:firstLine="0"/>
                      <w:jc w:val="left"/>
                      <w:rPr>
                        <w:rFonts w:ascii="Calibri"/>
                        <w:b/>
                        <w:sz w:val="16"/>
                      </w:rPr>
                    </w:pPr>
                    <w:r>
                      <w:rPr>
                        <w:rFonts w:ascii="Calibri"/>
                        <w:b/>
                        <w:sz w:val="16"/>
                      </w:rPr>
                      <w:t>92%</w:t>
                    </w:r>
                  </w:p>
                </w:txbxContent>
              </v:textbox>
              <w10:wrap type="none"/>
            </v:shape>
            <w10:wrap type="topAndBottom"/>
          </v:group>
        </w:pict>
      </w:r>
    </w:p>
    <w:p>
      <w:pPr>
        <w:pStyle w:val="BodyText"/>
        <w:spacing w:before="4"/>
        <w:rPr>
          <w:b/>
          <w:sz w:val="19"/>
        </w:rPr>
      </w:pPr>
    </w:p>
    <w:p>
      <w:pPr>
        <w:pStyle w:val="BodyText"/>
        <w:rPr>
          <w:b/>
          <w:sz w:val="20"/>
        </w:rPr>
      </w:pPr>
    </w:p>
    <w:p>
      <w:pPr>
        <w:pStyle w:val="BodyText"/>
        <w:spacing w:before="11"/>
        <w:rPr>
          <w:b/>
          <w:sz w:val="17"/>
        </w:rPr>
      </w:pPr>
    </w:p>
    <w:p>
      <w:pPr>
        <w:spacing w:before="80" w:after="6"/>
        <w:ind w:left="1162" w:right="0" w:firstLine="0"/>
        <w:jc w:val="left"/>
        <w:rPr>
          <w:rFonts w:ascii="Times New Roman" w:hAnsi="Times New Roman"/>
          <w:sz w:val="16"/>
        </w:rPr>
      </w:pPr>
      <w:r>
        <w:rPr>
          <w:rFonts w:ascii="Times New Roman" w:hAnsi="Times New Roman"/>
          <w:sz w:val="16"/>
        </w:rPr>
        <w:t>Análisis de sensibilidad a los costos de mantenimiento</w:t>
      </w:r>
    </w:p>
    <w:tbl>
      <w:tblPr>
        <w:tblW w:w="0" w:type="auto"/>
        <w:jc w:val="left"/>
        <w:tblInd w:w="1083"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430"/>
        <w:gridCol w:w="2280"/>
        <w:gridCol w:w="2234"/>
        <w:gridCol w:w="670"/>
      </w:tblGrid>
      <w:tr>
        <w:trPr>
          <w:trHeight w:val="1099" w:hRule="exact"/>
        </w:trPr>
        <w:tc>
          <w:tcPr>
            <w:tcW w:w="1430" w:type="dxa"/>
          </w:tcPr>
          <w:p>
            <w:pPr>
              <w:pStyle w:val="TableParagraph"/>
              <w:spacing w:line="540" w:lineRule="exact" w:before="7"/>
              <w:ind w:left="573" w:right="84" w:hanging="473"/>
              <w:rPr>
                <w:rFonts w:ascii="Times New Roman" w:hAnsi="Times New Roman"/>
                <w:b/>
                <w:sz w:val="16"/>
              </w:rPr>
            </w:pPr>
            <w:r>
              <w:rPr>
                <w:rFonts w:ascii="Times New Roman" w:hAnsi="Times New Roman"/>
                <w:b/>
                <w:sz w:val="16"/>
              </w:rPr>
              <w:t>Tasa de variación (%)</w:t>
            </w:r>
          </w:p>
        </w:tc>
        <w:tc>
          <w:tcPr>
            <w:tcW w:w="2280" w:type="dxa"/>
          </w:tcPr>
          <w:p>
            <w:pPr>
              <w:pStyle w:val="TableParagraph"/>
              <w:spacing w:line="540" w:lineRule="exact" w:before="7"/>
              <w:ind w:left="972" w:right="970"/>
              <w:jc w:val="center"/>
              <w:rPr>
                <w:rFonts w:ascii="Times New Roman"/>
                <w:b/>
                <w:sz w:val="16"/>
              </w:rPr>
            </w:pPr>
            <w:r>
              <w:rPr>
                <w:rFonts w:ascii="Times New Roman"/>
                <w:b/>
                <w:sz w:val="16"/>
              </w:rPr>
              <w:t>TIR (%)</w:t>
            </w:r>
          </w:p>
        </w:tc>
        <w:tc>
          <w:tcPr>
            <w:tcW w:w="2234" w:type="dxa"/>
          </w:tcPr>
          <w:p>
            <w:pPr>
              <w:pStyle w:val="TableParagraph"/>
              <w:rPr>
                <w:rFonts w:ascii="Times New Roman"/>
                <w:sz w:val="16"/>
              </w:rPr>
            </w:pPr>
          </w:p>
          <w:p>
            <w:pPr>
              <w:pStyle w:val="TableParagraph"/>
              <w:spacing w:before="106"/>
              <w:ind w:left="539" w:right="536"/>
              <w:jc w:val="center"/>
              <w:rPr>
                <w:rFonts w:ascii="Times New Roman"/>
                <w:b/>
                <w:sz w:val="16"/>
              </w:rPr>
            </w:pPr>
            <w:r>
              <w:rPr>
                <w:rFonts w:ascii="Times New Roman"/>
                <w:b/>
                <w:sz w:val="16"/>
              </w:rPr>
              <w:t>VPN</w:t>
            </w:r>
          </w:p>
          <w:p>
            <w:pPr>
              <w:pStyle w:val="TableParagraph"/>
              <w:rPr>
                <w:rFonts w:ascii="Times New Roman"/>
                <w:sz w:val="16"/>
              </w:rPr>
            </w:pPr>
          </w:p>
          <w:p>
            <w:pPr>
              <w:pStyle w:val="TableParagraph"/>
              <w:spacing w:before="11"/>
              <w:rPr>
                <w:rFonts w:ascii="Times New Roman"/>
                <w:sz w:val="14"/>
              </w:rPr>
            </w:pPr>
          </w:p>
          <w:p>
            <w:pPr>
              <w:pStyle w:val="TableParagraph"/>
              <w:ind w:left="539" w:right="538"/>
              <w:jc w:val="center"/>
              <w:rPr>
                <w:rFonts w:ascii="Times New Roman"/>
                <w:b/>
                <w:sz w:val="16"/>
              </w:rPr>
            </w:pPr>
            <w:r>
              <w:rPr>
                <w:rFonts w:ascii="Times New Roman"/>
                <w:b/>
                <w:sz w:val="16"/>
              </w:rPr>
              <w:t>(miles de pesos)</w:t>
            </w:r>
          </w:p>
        </w:tc>
        <w:tc>
          <w:tcPr>
            <w:tcW w:w="670" w:type="dxa"/>
          </w:tcPr>
          <w:p>
            <w:pPr>
              <w:pStyle w:val="TableParagraph"/>
              <w:spacing w:line="540" w:lineRule="exact" w:before="7"/>
              <w:ind w:left="192" w:right="166" w:hanging="10"/>
              <w:rPr>
                <w:rFonts w:ascii="Times New Roman"/>
                <w:b/>
                <w:sz w:val="16"/>
              </w:rPr>
            </w:pPr>
            <w:r>
              <w:rPr>
                <w:rFonts w:ascii="Times New Roman"/>
                <w:b/>
                <w:sz w:val="16"/>
              </w:rPr>
              <w:t>TRI (%)</w:t>
            </w:r>
          </w:p>
        </w:tc>
      </w:tr>
      <w:tr>
        <w:trPr>
          <w:trHeight w:val="322" w:hRule="exact"/>
        </w:trPr>
        <w:tc>
          <w:tcPr>
            <w:tcW w:w="1430" w:type="dxa"/>
          </w:tcPr>
          <w:p>
            <w:pPr>
              <w:pStyle w:val="TableParagraph"/>
              <w:spacing w:before="57"/>
              <w:ind w:right="604"/>
              <w:jc w:val="right"/>
              <w:rPr>
                <w:rFonts w:ascii="Times New Roman"/>
                <w:sz w:val="16"/>
              </w:rPr>
            </w:pPr>
            <w:r>
              <w:rPr>
                <w:rFonts w:ascii="Times New Roman"/>
                <w:sz w:val="16"/>
              </w:rPr>
              <w:t>1.4</w:t>
            </w:r>
          </w:p>
        </w:tc>
        <w:tc>
          <w:tcPr>
            <w:tcW w:w="2280" w:type="dxa"/>
          </w:tcPr>
          <w:p>
            <w:pPr>
              <w:pStyle w:val="TableParagraph"/>
              <w:spacing w:before="54"/>
              <w:ind w:left="973" w:right="970"/>
              <w:jc w:val="center"/>
              <w:rPr>
                <w:rFonts w:ascii="Calibri"/>
                <w:b/>
                <w:sz w:val="16"/>
              </w:rPr>
            </w:pPr>
            <w:r>
              <w:rPr>
                <w:rFonts w:ascii="Calibri"/>
                <w:b/>
                <w:sz w:val="16"/>
              </w:rPr>
              <w:t>45%</w:t>
            </w:r>
          </w:p>
        </w:tc>
        <w:tc>
          <w:tcPr>
            <w:tcW w:w="2234" w:type="dxa"/>
          </w:tcPr>
          <w:p>
            <w:pPr>
              <w:pStyle w:val="TableParagraph"/>
              <w:spacing w:before="54"/>
              <w:ind w:left="539" w:right="539"/>
              <w:jc w:val="center"/>
              <w:rPr>
                <w:rFonts w:ascii="Calibri"/>
                <w:b/>
                <w:sz w:val="16"/>
              </w:rPr>
            </w:pPr>
            <w:r>
              <w:rPr>
                <w:rFonts w:ascii="Calibri"/>
                <w:b/>
                <w:sz w:val="16"/>
              </w:rPr>
              <w:t>$54,777,082.60</w:t>
            </w:r>
          </w:p>
        </w:tc>
        <w:tc>
          <w:tcPr>
            <w:tcW w:w="670" w:type="dxa"/>
            <w:tcBorders>
              <w:right w:val="single" w:sz="3" w:space="0" w:color="000000"/>
            </w:tcBorders>
          </w:tcPr>
          <w:p>
            <w:pPr>
              <w:pStyle w:val="TableParagraph"/>
              <w:spacing w:before="54"/>
              <w:ind w:left="82" w:right="86"/>
              <w:jc w:val="center"/>
              <w:rPr>
                <w:rFonts w:ascii="Calibri"/>
                <w:b/>
                <w:sz w:val="16"/>
              </w:rPr>
            </w:pPr>
            <w:r>
              <w:rPr>
                <w:rFonts w:ascii="Calibri"/>
                <w:b/>
                <w:sz w:val="16"/>
              </w:rPr>
              <w:t>4.8603</w:t>
            </w:r>
          </w:p>
        </w:tc>
      </w:tr>
      <w:tr>
        <w:trPr>
          <w:trHeight w:val="319" w:hRule="exact"/>
        </w:trPr>
        <w:tc>
          <w:tcPr>
            <w:tcW w:w="1430" w:type="dxa"/>
          </w:tcPr>
          <w:p>
            <w:pPr>
              <w:pStyle w:val="TableParagraph"/>
              <w:spacing w:before="54"/>
              <w:ind w:right="604"/>
              <w:jc w:val="right"/>
              <w:rPr>
                <w:rFonts w:ascii="Times New Roman"/>
                <w:sz w:val="16"/>
              </w:rPr>
            </w:pPr>
            <w:r>
              <w:rPr>
                <w:rFonts w:ascii="Times New Roman"/>
                <w:sz w:val="16"/>
              </w:rPr>
              <w:t>1.3</w:t>
            </w:r>
          </w:p>
        </w:tc>
        <w:tc>
          <w:tcPr>
            <w:tcW w:w="2280" w:type="dxa"/>
          </w:tcPr>
          <w:p>
            <w:pPr>
              <w:pStyle w:val="TableParagraph"/>
              <w:spacing w:before="54"/>
              <w:ind w:left="973" w:right="970"/>
              <w:jc w:val="center"/>
              <w:rPr>
                <w:rFonts w:ascii="Calibri"/>
                <w:b/>
                <w:sz w:val="16"/>
              </w:rPr>
            </w:pPr>
            <w:r>
              <w:rPr>
                <w:rFonts w:ascii="Calibri"/>
                <w:b/>
                <w:sz w:val="16"/>
              </w:rPr>
              <w:t>45%</w:t>
            </w:r>
          </w:p>
        </w:tc>
        <w:tc>
          <w:tcPr>
            <w:tcW w:w="2234" w:type="dxa"/>
          </w:tcPr>
          <w:p>
            <w:pPr>
              <w:pStyle w:val="TableParagraph"/>
              <w:spacing w:before="54"/>
              <w:ind w:left="539" w:right="539"/>
              <w:jc w:val="center"/>
              <w:rPr>
                <w:rFonts w:ascii="Calibri"/>
                <w:b/>
                <w:sz w:val="16"/>
              </w:rPr>
            </w:pPr>
            <w:r>
              <w:rPr>
                <w:rFonts w:ascii="Calibri"/>
                <w:b/>
                <w:sz w:val="16"/>
              </w:rPr>
              <w:t>$65,165,955.97</w:t>
            </w:r>
          </w:p>
        </w:tc>
        <w:tc>
          <w:tcPr>
            <w:tcW w:w="670" w:type="dxa"/>
            <w:tcBorders>
              <w:right w:val="single" w:sz="3" w:space="0" w:color="000000"/>
            </w:tcBorders>
          </w:tcPr>
          <w:p>
            <w:pPr>
              <w:pStyle w:val="TableParagraph"/>
              <w:spacing w:before="54"/>
              <w:ind w:left="82" w:right="86"/>
              <w:jc w:val="center"/>
              <w:rPr>
                <w:rFonts w:ascii="Calibri"/>
                <w:b/>
                <w:sz w:val="16"/>
              </w:rPr>
            </w:pPr>
            <w:r>
              <w:rPr>
                <w:rFonts w:ascii="Calibri"/>
                <w:b/>
                <w:sz w:val="16"/>
              </w:rPr>
              <w:t>4.8603</w:t>
            </w:r>
          </w:p>
        </w:tc>
      </w:tr>
      <w:tr>
        <w:trPr>
          <w:trHeight w:val="319" w:hRule="exact"/>
        </w:trPr>
        <w:tc>
          <w:tcPr>
            <w:tcW w:w="1430" w:type="dxa"/>
          </w:tcPr>
          <w:p>
            <w:pPr>
              <w:pStyle w:val="TableParagraph"/>
              <w:spacing w:before="54"/>
              <w:ind w:right="604"/>
              <w:jc w:val="right"/>
              <w:rPr>
                <w:rFonts w:ascii="Times New Roman"/>
                <w:sz w:val="16"/>
              </w:rPr>
            </w:pPr>
            <w:r>
              <w:rPr>
                <w:rFonts w:ascii="Times New Roman"/>
                <w:sz w:val="16"/>
              </w:rPr>
              <w:t>1.2</w:t>
            </w:r>
          </w:p>
        </w:tc>
        <w:tc>
          <w:tcPr>
            <w:tcW w:w="2280" w:type="dxa"/>
          </w:tcPr>
          <w:p>
            <w:pPr>
              <w:pStyle w:val="TableParagraph"/>
              <w:spacing w:before="54"/>
              <w:ind w:left="973" w:right="970"/>
              <w:jc w:val="center"/>
              <w:rPr>
                <w:rFonts w:ascii="Calibri"/>
                <w:b/>
                <w:sz w:val="16"/>
              </w:rPr>
            </w:pPr>
            <w:r>
              <w:rPr>
                <w:rFonts w:ascii="Calibri"/>
                <w:b/>
                <w:sz w:val="16"/>
              </w:rPr>
              <w:t>45%</w:t>
            </w:r>
          </w:p>
        </w:tc>
        <w:tc>
          <w:tcPr>
            <w:tcW w:w="2234" w:type="dxa"/>
          </w:tcPr>
          <w:p>
            <w:pPr>
              <w:pStyle w:val="TableParagraph"/>
              <w:spacing w:before="54"/>
              <w:ind w:left="539" w:right="539"/>
              <w:jc w:val="center"/>
              <w:rPr>
                <w:rFonts w:ascii="Calibri"/>
                <w:b/>
                <w:sz w:val="16"/>
              </w:rPr>
            </w:pPr>
            <w:r>
              <w:rPr>
                <w:rFonts w:ascii="Calibri"/>
                <w:b/>
                <w:sz w:val="16"/>
              </w:rPr>
              <w:t>$65,165,955.97</w:t>
            </w:r>
          </w:p>
        </w:tc>
        <w:tc>
          <w:tcPr>
            <w:tcW w:w="670" w:type="dxa"/>
            <w:tcBorders>
              <w:right w:val="single" w:sz="3" w:space="0" w:color="000000"/>
            </w:tcBorders>
          </w:tcPr>
          <w:p>
            <w:pPr>
              <w:pStyle w:val="TableParagraph"/>
              <w:spacing w:before="54"/>
              <w:ind w:left="82" w:right="86"/>
              <w:jc w:val="center"/>
              <w:rPr>
                <w:rFonts w:ascii="Calibri"/>
                <w:b/>
                <w:sz w:val="16"/>
              </w:rPr>
            </w:pPr>
            <w:r>
              <w:rPr>
                <w:rFonts w:ascii="Calibri"/>
                <w:b/>
                <w:sz w:val="16"/>
              </w:rPr>
              <w:t>4.8603</w:t>
            </w:r>
          </w:p>
        </w:tc>
      </w:tr>
      <w:tr>
        <w:trPr>
          <w:trHeight w:val="322" w:hRule="exact"/>
        </w:trPr>
        <w:tc>
          <w:tcPr>
            <w:tcW w:w="1430" w:type="dxa"/>
          </w:tcPr>
          <w:p>
            <w:pPr>
              <w:pStyle w:val="TableParagraph"/>
              <w:spacing w:before="57"/>
              <w:ind w:right="604"/>
              <w:jc w:val="right"/>
              <w:rPr>
                <w:rFonts w:ascii="Times New Roman"/>
                <w:sz w:val="16"/>
              </w:rPr>
            </w:pPr>
            <w:r>
              <w:rPr>
                <w:rFonts w:ascii="Times New Roman"/>
                <w:sz w:val="16"/>
              </w:rPr>
              <w:t>1.1</w:t>
            </w:r>
          </w:p>
        </w:tc>
        <w:tc>
          <w:tcPr>
            <w:tcW w:w="2280" w:type="dxa"/>
          </w:tcPr>
          <w:p>
            <w:pPr>
              <w:pStyle w:val="TableParagraph"/>
              <w:spacing w:before="54"/>
              <w:ind w:left="973" w:right="970"/>
              <w:jc w:val="center"/>
              <w:rPr>
                <w:rFonts w:ascii="Calibri"/>
                <w:b/>
                <w:sz w:val="16"/>
              </w:rPr>
            </w:pPr>
            <w:r>
              <w:rPr>
                <w:rFonts w:ascii="Calibri"/>
                <w:b/>
                <w:sz w:val="16"/>
              </w:rPr>
              <w:t>45%</w:t>
            </w:r>
          </w:p>
        </w:tc>
        <w:tc>
          <w:tcPr>
            <w:tcW w:w="2234" w:type="dxa"/>
          </w:tcPr>
          <w:p>
            <w:pPr>
              <w:pStyle w:val="TableParagraph"/>
              <w:spacing w:before="54"/>
              <w:ind w:left="539" w:right="539"/>
              <w:jc w:val="center"/>
              <w:rPr>
                <w:rFonts w:ascii="Calibri"/>
                <w:b/>
                <w:sz w:val="16"/>
              </w:rPr>
            </w:pPr>
            <w:r>
              <w:rPr>
                <w:rFonts w:ascii="Calibri"/>
                <w:b/>
                <w:sz w:val="16"/>
              </w:rPr>
              <w:t>$71,145,742.68</w:t>
            </w:r>
          </w:p>
        </w:tc>
        <w:tc>
          <w:tcPr>
            <w:tcW w:w="670" w:type="dxa"/>
            <w:tcBorders>
              <w:right w:val="single" w:sz="3" w:space="0" w:color="000000"/>
            </w:tcBorders>
          </w:tcPr>
          <w:p>
            <w:pPr>
              <w:pStyle w:val="TableParagraph"/>
              <w:spacing w:before="54"/>
              <w:ind w:left="82" w:right="86"/>
              <w:jc w:val="center"/>
              <w:rPr>
                <w:rFonts w:ascii="Calibri"/>
                <w:b/>
                <w:sz w:val="16"/>
              </w:rPr>
            </w:pPr>
            <w:r>
              <w:rPr>
                <w:rFonts w:ascii="Calibri"/>
                <w:b/>
                <w:sz w:val="16"/>
              </w:rPr>
              <w:t>4.8603</w:t>
            </w:r>
          </w:p>
        </w:tc>
      </w:tr>
      <w:tr>
        <w:trPr>
          <w:trHeight w:val="319" w:hRule="exact"/>
        </w:trPr>
        <w:tc>
          <w:tcPr>
            <w:tcW w:w="1430" w:type="dxa"/>
          </w:tcPr>
          <w:p>
            <w:pPr>
              <w:pStyle w:val="TableParagraph"/>
              <w:spacing w:before="54"/>
              <w:ind w:right="664"/>
              <w:jc w:val="right"/>
              <w:rPr>
                <w:rFonts w:ascii="Times New Roman"/>
                <w:sz w:val="16"/>
              </w:rPr>
            </w:pPr>
            <w:r>
              <w:rPr>
                <w:rFonts w:ascii="Times New Roman"/>
                <w:w w:val="100"/>
                <w:sz w:val="16"/>
              </w:rPr>
              <w:t>1</w:t>
            </w:r>
          </w:p>
        </w:tc>
        <w:tc>
          <w:tcPr>
            <w:tcW w:w="2280" w:type="dxa"/>
          </w:tcPr>
          <w:p>
            <w:pPr>
              <w:pStyle w:val="TableParagraph"/>
              <w:spacing w:before="54"/>
              <w:ind w:left="973" w:right="970"/>
              <w:jc w:val="center"/>
              <w:rPr>
                <w:rFonts w:ascii="Calibri"/>
                <w:b/>
                <w:sz w:val="16"/>
              </w:rPr>
            </w:pPr>
            <w:r>
              <w:rPr>
                <w:rFonts w:ascii="Calibri"/>
                <w:b/>
                <w:sz w:val="16"/>
              </w:rPr>
              <w:t>45%</w:t>
            </w:r>
          </w:p>
        </w:tc>
        <w:tc>
          <w:tcPr>
            <w:tcW w:w="2234" w:type="dxa"/>
          </w:tcPr>
          <w:p>
            <w:pPr>
              <w:pStyle w:val="TableParagraph"/>
              <w:spacing w:before="54"/>
              <w:ind w:left="539" w:right="539"/>
              <w:jc w:val="center"/>
              <w:rPr>
                <w:rFonts w:ascii="Calibri"/>
                <w:b/>
                <w:sz w:val="16"/>
              </w:rPr>
            </w:pPr>
            <w:r>
              <w:rPr>
                <w:rFonts w:ascii="Calibri"/>
                <w:b/>
                <w:sz w:val="16"/>
              </w:rPr>
              <w:t>$77,736,019.01</w:t>
            </w:r>
          </w:p>
        </w:tc>
        <w:tc>
          <w:tcPr>
            <w:tcW w:w="670" w:type="dxa"/>
            <w:tcBorders>
              <w:right w:val="single" w:sz="3" w:space="0" w:color="000000"/>
            </w:tcBorders>
          </w:tcPr>
          <w:p>
            <w:pPr>
              <w:pStyle w:val="TableParagraph"/>
              <w:spacing w:before="54"/>
              <w:ind w:left="82" w:right="86"/>
              <w:jc w:val="center"/>
              <w:rPr>
                <w:rFonts w:ascii="Calibri"/>
                <w:b/>
                <w:sz w:val="16"/>
              </w:rPr>
            </w:pPr>
            <w:r>
              <w:rPr>
                <w:rFonts w:ascii="Calibri"/>
                <w:b/>
                <w:sz w:val="16"/>
              </w:rPr>
              <w:t>4.8603</w:t>
            </w:r>
          </w:p>
        </w:tc>
      </w:tr>
      <w:tr>
        <w:trPr>
          <w:trHeight w:val="334" w:hRule="exact"/>
        </w:trPr>
        <w:tc>
          <w:tcPr>
            <w:tcW w:w="1430" w:type="dxa"/>
          </w:tcPr>
          <w:p>
            <w:pPr>
              <w:pStyle w:val="TableParagraph"/>
              <w:spacing w:before="62"/>
              <w:ind w:right="563"/>
              <w:jc w:val="right"/>
              <w:rPr>
                <w:rFonts w:ascii="Times New Roman"/>
                <w:sz w:val="16"/>
              </w:rPr>
            </w:pPr>
            <w:r>
              <w:rPr>
                <w:rFonts w:ascii="Times New Roman"/>
                <w:sz w:val="16"/>
              </w:rPr>
              <w:t>0.09</w:t>
            </w:r>
          </w:p>
        </w:tc>
        <w:tc>
          <w:tcPr>
            <w:tcW w:w="2280" w:type="dxa"/>
          </w:tcPr>
          <w:p>
            <w:pPr>
              <w:pStyle w:val="TableParagraph"/>
              <w:spacing w:before="61"/>
              <w:ind w:left="973" w:right="970"/>
              <w:jc w:val="center"/>
              <w:rPr>
                <w:rFonts w:ascii="Calibri"/>
                <w:b/>
                <w:sz w:val="16"/>
              </w:rPr>
            </w:pPr>
            <w:r>
              <w:rPr>
                <w:rFonts w:ascii="Calibri"/>
                <w:b/>
                <w:sz w:val="16"/>
              </w:rPr>
              <w:t>45%</w:t>
            </w:r>
          </w:p>
        </w:tc>
        <w:tc>
          <w:tcPr>
            <w:tcW w:w="2234" w:type="dxa"/>
          </w:tcPr>
          <w:p>
            <w:pPr>
              <w:pStyle w:val="TableParagraph"/>
              <w:spacing w:before="61"/>
              <w:ind w:left="539" w:right="539"/>
              <w:jc w:val="center"/>
              <w:rPr>
                <w:rFonts w:ascii="Calibri"/>
                <w:b/>
                <w:sz w:val="16"/>
              </w:rPr>
            </w:pPr>
            <w:r>
              <w:rPr>
                <w:rFonts w:ascii="Calibri"/>
                <w:b/>
                <w:sz w:val="16"/>
              </w:rPr>
              <w:t>$85,013,860.49</w:t>
            </w:r>
          </w:p>
        </w:tc>
        <w:tc>
          <w:tcPr>
            <w:tcW w:w="670" w:type="dxa"/>
            <w:tcBorders>
              <w:right w:val="single" w:sz="3" w:space="0" w:color="000000"/>
            </w:tcBorders>
          </w:tcPr>
          <w:p>
            <w:pPr>
              <w:pStyle w:val="TableParagraph"/>
              <w:spacing w:before="61"/>
              <w:ind w:left="82" w:right="86"/>
              <w:jc w:val="center"/>
              <w:rPr>
                <w:rFonts w:ascii="Calibri"/>
                <w:b/>
                <w:sz w:val="16"/>
              </w:rPr>
            </w:pPr>
            <w:r>
              <w:rPr>
                <w:rFonts w:ascii="Calibri"/>
                <w:b/>
                <w:sz w:val="16"/>
              </w:rPr>
              <w:t>4.8603</w:t>
            </w:r>
          </w:p>
        </w:tc>
      </w:tr>
      <w:tr>
        <w:trPr>
          <w:trHeight w:val="336" w:hRule="exact"/>
        </w:trPr>
        <w:tc>
          <w:tcPr>
            <w:tcW w:w="1430" w:type="dxa"/>
          </w:tcPr>
          <w:p>
            <w:pPr>
              <w:pStyle w:val="TableParagraph"/>
              <w:spacing w:before="64"/>
              <w:ind w:right="563"/>
              <w:jc w:val="right"/>
              <w:rPr>
                <w:rFonts w:ascii="Times New Roman"/>
                <w:sz w:val="16"/>
              </w:rPr>
            </w:pPr>
            <w:r>
              <w:rPr>
                <w:rFonts w:ascii="Times New Roman"/>
                <w:sz w:val="16"/>
              </w:rPr>
              <w:t>0.08</w:t>
            </w:r>
          </w:p>
        </w:tc>
        <w:tc>
          <w:tcPr>
            <w:tcW w:w="2280" w:type="dxa"/>
          </w:tcPr>
          <w:p>
            <w:pPr>
              <w:pStyle w:val="TableParagraph"/>
              <w:spacing w:before="63"/>
              <w:ind w:left="973" w:right="970"/>
              <w:jc w:val="center"/>
              <w:rPr>
                <w:rFonts w:ascii="Calibri"/>
                <w:b/>
                <w:sz w:val="16"/>
              </w:rPr>
            </w:pPr>
            <w:r>
              <w:rPr>
                <w:rFonts w:ascii="Calibri"/>
                <w:b/>
                <w:sz w:val="16"/>
              </w:rPr>
              <w:t>45%</w:t>
            </w:r>
          </w:p>
        </w:tc>
        <w:tc>
          <w:tcPr>
            <w:tcW w:w="2234" w:type="dxa"/>
          </w:tcPr>
          <w:p>
            <w:pPr>
              <w:pStyle w:val="TableParagraph"/>
              <w:spacing w:before="63"/>
              <w:ind w:left="539" w:right="539"/>
              <w:jc w:val="center"/>
              <w:rPr>
                <w:rFonts w:ascii="Calibri"/>
                <w:b/>
                <w:sz w:val="16"/>
              </w:rPr>
            </w:pPr>
            <w:r>
              <w:rPr>
                <w:rFonts w:ascii="Calibri"/>
                <w:b/>
                <w:sz w:val="16"/>
              </w:rPr>
              <w:t>$93,067,726.67</w:t>
            </w:r>
          </w:p>
        </w:tc>
        <w:tc>
          <w:tcPr>
            <w:tcW w:w="670" w:type="dxa"/>
            <w:tcBorders>
              <w:right w:val="single" w:sz="3" w:space="0" w:color="000000"/>
            </w:tcBorders>
          </w:tcPr>
          <w:p>
            <w:pPr>
              <w:pStyle w:val="TableParagraph"/>
              <w:spacing w:before="63"/>
              <w:ind w:left="82" w:right="86"/>
              <w:jc w:val="center"/>
              <w:rPr>
                <w:rFonts w:ascii="Calibri"/>
                <w:b/>
                <w:sz w:val="16"/>
              </w:rPr>
            </w:pPr>
            <w:r>
              <w:rPr>
                <w:rFonts w:ascii="Calibri"/>
                <w:b/>
                <w:sz w:val="16"/>
              </w:rPr>
              <w:t>4.8603</w:t>
            </w:r>
          </w:p>
        </w:tc>
      </w:tr>
      <w:tr>
        <w:trPr>
          <w:trHeight w:val="350" w:hRule="exact"/>
        </w:trPr>
        <w:tc>
          <w:tcPr>
            <w:tcW w:w="1430" w:type="dxa"/>
          </w:tcPr>
          <w:p>
            <w:pPr>
              <w:pStyle w:val="TableParagraph"/>
              <w:spacing w:before="71"/>
              <w:ind w:right="563"/>
              <w:jc w:val="right"/>
              <w:rPr>
                <w:rFonts w:ascii="Times New Roman"/>
                <w:sz w:val="16"/>
              </w:rPr>
            </w:pPr>
            <w:r>
              <w:rPr>
                <w:rFonts w:ascii="Times New Roman"/>
                <w:sz w:val="16"/>
              </w:rPr>
              <w:t>0.07</w:t>
            </w:r>
          </w:p>
        </w:tc>
        <w:tc>
          <w:tcPr>
            <w:tcW w:w="2280" w:type="dxa"/>
          </w:tcPr>
          <w:p>
            <w:pPr>
              <w:pStyle w:val="TableParagraph"/>
              <w:spacing w:before="68"/>
              <w:ind w:left="973" w:right="970"/>
              <w:jc w:val="center"/>
              <w:rPr>
                <w:rFonts w:ascii="Calibri"/>
                <w:b/>
                <w:sz w:val="16"/>
              </w:rPr>
            </w:pPr>
            <w:r>
              <w:rPr>
                <w:rFonts w:ascii="Calibri"/>
                <w:b/>
                <w:sz w:val="16"/>
              </w:rPr>
              <w:t>45%</w:t>
            </w:r>
          </w:p>
        </w:tc>
        <w:tc>
          <w:tcPr>
            <w:tcW w:w="2234" w:type="dxa"/>
          </w:tcPr>
          <w:p>
            <w:pPr>
              <w:pStyle w:val="TableParagraph"/>
              <w:spacing w:before="68"/>
              <w:ind w:left="539" w:right="539"/>
              <w:jc w:val="center"/>
              <w:rPr>
                <w:rFonts w:ascii="Calibri"/>
                <w:b/>
                <w:sz w:val="16"/>
              </w:rPr>
            </w:pPr>
            <w:r>
              <w:rPr>
                <w:rFonts w:ascii="Calibri"/>
                <w:b/>
                <w:sz w:val="16"/>
              </w:rPr>
              <w:t>$101,999,356.96</w:t>
            </w:r>
          </w:p>
        </w:tc>
        <w:tc>
          <w:tcPr>
            <w:tcW w:w="670" w:type="dxa"/>
            <w:tcBorders>
              <w:right w:val="single" w:sz="3" w:space="0" w:color="000000"/>
            </w:tcBorders>
          </w:tcPr>
          <w:p>
            <w:pPr>
              <w:pStyle w:val="TableParagraph"/>
              <w:spacing w:before="68"/>
              <w:ind w:left="82" w:right="86"/>
              <w:jc w:val="center"/>
              <w:rPr>
                <w:rFonts w:ascii="Calibri"/>
                <w:b/>
                <w:sz w:val="16"/>
              </w:rPr>
            </w:pPr>
            <w:r>
              <w:rPr>
                <w:rFonts w:ascii="Calibri"/>
                <w:b/>
                <w:sz w:val="16"/>
              </w:rPr>
              <w:t>4.8603</w:t>
            </w:r>
          </w:p>
        </w:tc>
      </w:tr>
      <w:tr>
        <w:trPr>
          <w:trHeight w:val="336" w:hRule="exact"/>
        </w:trPr>
        <w:tc>
          <w:tcPr>
            <w:tcW w:w="1430" w:type="dxa"/>
          </w:tcPr>
          <w:p>
            <w:pPr>
              <w:pStyle w:val="TableParagraph"/>
              <w:spacing w:before="62"/>
              <w:ind w:right="604"/>
              <w:jc w:val="right"/>
              <w:rPr>
                <w:rFonts w:ascii="Times New Roman"/>
                <w:sz w:val="16"/>
              </w:rPr>
            </w:pPr>
            <w:r>
              <w:rPr>
                <w:rFonts w:ascii="Times New Roman"/>
                <w:sz w:val="16"/>
              </w:rPr>
              <w:t>0.6</w:t>
            </w:r>
          </w:p>
        </w:tc>
        <w:tc>
          <w:tcPr>
            <w:tcW w:w="2280" w:type="dxa"/>
          </w:tcPr>
          <w:p>
            <w:pPr>
              <w:pStyle w:val="TableParagraph"/>
              <w:spacing w:before="61"/>
              <w:ind w:left="973" w:right="970"/>
              <w:jc w:val="center"/>
              <w:rPr>
                <w:rFonts w:ascii="Calibri"/>
                <w:b/>
                <w:sz w:val="16"/>
              </w:rPr>
            </w:pPr>
            <w:r>
              <w:rPr>
                <w:rFonts w:ascii="Calibri"/>
                <w:b/>
                <w:sz w:val="16"/>
              </w:rPr>
              <w:t>45%</w:t>
            </w:r>
          </w:p>
        </w:tc>
        <w:tc>
          <w:tcPr>
            <w:tcW w:w="2234" w:type="dxa"/>
            <w:tcBorders>
              <w:bottom w:val="single" w:sz="3" w:space="0" w:color="000000"/>
            </w:tcBorders>
          </w:tcPr>
          <w:p>
            <w:pPr>
              <w:pStyle w:val="TableParagraph"/>
              <w:spacing w:before="61"/>
              <w:ind w:left="539" w:right="539"/>
              <w:jc w:val="center"/>
              <w:rPr>
                <w:rFonts w:ascii="Calibri"/>
                <w:b/>
                <w:sz w:val="16"/>
              </w:rPr>
            </w:pPr>
            <w:r>
              <w:rPr>
                <w:rFonts w:ascii="Calibri"/>
                <w:b/>
                <w:sz w:val="16"/>
              </w:rPr>
              <w:t>$111,926,014.80</w:t>
            </w:r>
          </w:p>
        </w:tc>
        <w:tc>
          <w:tcPr>
            <w:tcW w:w="670" w:type="dxa"/>
            <w:tcBorders>
              <w:right w:val="single" w:sz="3" w:space="0" w:color="000000"/>
            </w:tcBorders>
          </w:tcPr>
          <w:p>
            <w:pPr>
              <w:pStyle w:val="TableParagraph"/>
              <w:spacing w:before="61"/>
              <w:ind w:left="82" w:right="86"/>
              <w:jc w:val="center"/>
              <w:rPr>
                <w:rFonts w:ascii="Calibri"/>
                <w:b/>
                <w:sz w:val="16"/>
              </w:rPr>
            </w:pPr>
            <w:r>
              <w:rPr>
                <w:rFonts w:ascii="Calibri"/>
                <w:b/>
                <w:sz w:val="16"/>
              </w:rPr>
              <w:t>4.8603</w:t>
            </w:r>
          </w:p>
        </w:tc>
      </w:tr>
    </w:tbl>
    <w:p>
      <w:pPr>
        <w:spacing w:after="0"/>
        <w:jc w:val="center"/>
        <w:rPr>
          <w:rFonts w:ascii="Calibri"/>
          <w:sz w:val="16"/>
        </w:rPr>
        <w:sectPr>
          <w:footerReference w:type="default" r:id="rId47"/>
          <w:pgSz w:w="12240" w:h="15840"/>
          <w:pgMar w:footer="0" w:header="0" w:top="1420" w:bottom="280" w:left="1720" w:right="1720"/>
        </w:sectPr>
      </w:pPr>
    </w:p>
    <w:p>
      <w:pPr>
        <w:pStyle w:val="Heading1"/>
        <w:tabs>
          <w:tab w:pos="2824" w:val="left" w:leader="none"/>
        </w:tabs>
        <w:spacing w:before="50" w:after="5"/>
        <w:ind w:left="1703"/>
        <w:jc w:val="left"/>
      </w:pPr>
      <w:r>
        <w:rPr/>
        <w:t>Análisis</w:t>
        <w:tab/>
        <w:t>financiero de los Datos en el horizonte  a 15</w:t>
      </w:r>
      <w:r>
        <w:rPr>
          <w:spacing w:val="-33"/>
        </w:rPr>
        <w:t> </w:t>
      </w:r>
      <w:r>
        <w:rPr/>
        <w:t>Años</w:t>
      </w:r>
    </w:p>
    <w:tbl>
      <w:tblPr>
        <w:tblW w:w="0" w:type="auto"/>
        <w:jc w:val="left"/>
        <w:tblInd w:w="10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853"/>
        <w:gridCol w:w="982"/>
        <w:gridCol w:w="1277"/>
        <w:gridCol w:w="1274"/>
        <w:gridCol w:w="1241"/>
        <w:gridCol w:w="1416"/>
        <w:gridCol w:w="1277"/>
        <w:gridCol w:w="1237"/>
      </w:tblGrid>
      <w:tr>
        <w:trPr>
          <w:trHeight w:val="423" w:hRule="exact"/>
        </w:trPr>
        <w:tc>
          <w:tcPr>
            <w:tcW w:w="1853" w:type="dxa"/>
            <w:tcBorders>
              <w:right w:val="single" w:sz="3" w:space="0" w:color="000000"/>
            </w:tcBorders>
            <w:shd w:val="clear" w:color="auto" w:fill="D4CFB5"/>
          </w:tcPr>
          <w:p>
            <w:pPr>
              <w:pStyle w:val="TableParagraph"/>
              <w:spacing w:before="2"/>
              <w:rPr>
                <w:b/>
                <w:sz w:val="18"/>
              </w:rPr>
            </w:pPr>
          </w:p>
          <w:p>
            <w:pPr>
              <w:pStyle w:val="TableParagraph"/>
              <w:spacing w:before="1"/>
              <w:jc w:val="center"/>
              <w:rPr>
                <w:rFonts w:ascii="Calibri"/>
                <w:b/>
                <w:sz w:val="16"/>
              </w:rPr>
            </w:pPr>
            <w:r>
              <w:rPr>
                <w:rFonts w:ascii="Calibri"/>
                <w:b/>
                <w:sz w:val="16"/>
              </w:rPr>
              <w:t>PERIODO</w:t>
            </w:r>
          </w:p>
        </w:tc>
        <w:tc>
          <w:tcPr>
            <w:tcW w:w="982" w:type="dxa"/>
            <w:tcBorders>
              <w:left w:val="single" w:sz="3" w:space="0" w:color="000000"/>
              <w:right w:val="single" w:sz="3" w:space="0" w:color="000000"/>
            </w:tcBorders>
            <w:shd w:val="clear" w:color="auto" w:fill="D4CFB5"/>
          </w:tcPr>
          <w:p>
            <w:pPr>
              <w:pStyle w:val="TableParagraph"/>
              <w:spacing w:before="104"/>
              <w:jc w:val="center"/>
              <w:rPr>
                <w:rFonts w:ascii="Calibri"/>
                <w:b/>
                <w:sz w:val="16"/>
              </w:rPr>
            </w:pPr>
            <w:r>
              <w:rPr>
                <w:rFonts w:ascii="Calibri"/>
                <w:b/>
                <w:w w:val="100"/>
                <w:sz w:val="16"/>
              </w:rPr>
              <w:t>0</w:t>
            </w:r>
          </w:p>
        </w:tc>
        <w:tc>
          <w:tcPr>
            <w:tcW w:w="1277" w:type="dxa"/>
            <w:tcBorders>
              <w:left w:val="single" w:sz="3" w:space="0" w:color="000000"/>
              <w:right w:val="single" w:sz="3" w:space="0" w:color="000000"/>
            </w:tcBorders>
            <w:shd w:val="clear" w:color="auto" w:fill="D4CFB5"/>
          </w:tcPr>
          <w:p>
            <w:pPr>
              <w:pStyle w:val="TableParagraph"/>
              <w:spacing w:before="104"/>
              <w:jc w:val="center"/>
              <w:rPr>
                <w:rFonts w:ascii="Calibri"/>
                <w:b/>
                <w:sz w:val="16"/>
              </w:rPr>
            </w:pPr>
            <w:r>
              <w:rPr>
                <w:rFonts w:ascii="Calibri"/>
                <w:b/>
                <w:w w:val="100"/>
                <w:sz w:val="16"/>
              </w:rPr>
              <w:t>1</w:t>
            </w:r>
          </w:p>
        </w:tc>
        <w:tc>
          <w:tcPr>
            <w:tcW w:w="1274" w:type="dxa"/>
            <w:tcBorders>
              <w:left w:val="single" w:sz="3" w:space="0" w:color="000000"/>
              <w:right w:val="single" w:sz="3" w:space="0" w:color="000000"/>
            </w:tcBorders>
            <w:shd w:val="clear" w:color="auto" w:fill="D4CFB5"/>
          </w:tcPr>
          <w:p>
            <w:pPr>
              <w:pStyle w:val="TableParagraph"/>
              <w:spacing w:before="104"/>
              <w:jc w:val="center"/>
              <w:rPr>
                <w:rFonts w:ascii="Calibri"/>
                <w:b/>
                <w:sz w:val="16"/>
              </w:rPr>
            </w:pPr>
            <w:r>
              <w:rPr>
                <w:rFonts w:ascii="Calibri"/>
                <w:b/>
                <w:w w:val="100"/>
                <w:sz w:val="16"/>
              </w:rPr>
              <w:t>2</w:t>
            </w:r>
          </w:p>
        </w:tc>
        <w:tc>
          <w:tcPr>
            <w:tcW w:w="1241" w:type="dxa"/>
            <w:tcBorders>
              <w:left w:val="single" w:sz="3" w:space="0" w:color="000000"/>
              <w:right w:val="single" w:sz="3" w:space="0" w:color="000000"/>
            </w:tcBorders>
            <w:shd w:val="clear" w:color="auto" w:fill="D4CFB5"/>
          </w:tcPr>
          <w:p>
            <w:pPr>
              <w:pStyle w:val="TableParagraph"/>
              <w:spacing w:before="104"/>
              <w:jc w:val="center"/>
              <w:rPr>
                <w:rFonts w:ascii="Calibri"/>
                <w:b/>
                <w:sz w:val="16"/>
              </w:rPr>
            </w:pPr>
            <w:r>
              <w:rPr>
                <w:rFonts w:ascii="Calibri"/>
                <w:b/>
                <w:w w:val="100"/>
                <w:sz w:val="16"/>
              </w:rPr>
              <w:t>3</w:t>
            </w:r>
          </w:p>
        </w:tc>
        <w:tc>
          <w:tcPr>
            <w:tcW w:w="1416" w:type="dxa"/>
            <w:tcBorders>
              <w:left w:val="single" w:sz="3" w:space="0" w:color="000000"/>
              <w:right w:val="single" w:sz="3" w:space="0" w:color="000000"/>
            </w:tcBorders>
            <w:shd w:val="clear" w:color="auto" w:fill="D4CFB5"/>
          </w:tcPr>
          <w:p>
            <w:pPr>
              <w:pStyle w:val="TableParagraph"/>
              <w:spacing w:before="104"/>
              <w:ind w:left="2"/>
              <w:jc w:val="center"/>
              <w:rPr>
                <w:rFonts w:ascii="Calibri"/>
                <w:b/>
                <w:sz w:val="16"/>
              </w:rPr>
            </w:pPr>
            <w:r>
              <w:rPr>
                <w:rFonts w:ascii="Calibri"/>
                <w:b/>
                <w:w w:val="100"/>
                <w:sz w:val="16"/>
              </w:rPr>
              <w:t>4</w:t>
            </w:r>
          </w:p>
        </w:tc>
        <w:tc>
          <w:tcPr>
            <w:tcW w:w="1277" w:type="dxa"/>
            <w:tcBorders>
              <w:left w:val="single" w:sz="3" w:space="0" w:color="000000"/>
              <w:right w:val="single" w:sz="3" w:space="0" w:color="000000"/>
            </w:tcBorders>
            <w:shd w:val="clear" w:color="auto" w:fill="D4CFB5"/>
          </w:tcPr>
          <w:p>
            <w:pPr>
              <w:pStyle w:val="TableParagraph"/>
              <w:spacing w:before="104"/>
              <w:jc w:val="center"/>
              <w:rPr>
                <w:rFonts w:ascii="Calibri"/>
                <w:b/>
                <w:sz w:val="16"/>
              </w:rPr>
            </w:pPr>
            <w:r>
              <w:rPr>
                <w:rFonts w:ascii="Calibri"/>
                <w:b/>
                <w:w w:val="100"/>
                <w:sz w:val="16"/>
              </w:rPr>
              <w:t>5</w:t>
            </w:r>
          </w:p>
        </w:tc>
        <w:tc>
          <w:tcPr>
            <w:tcW w:w="1237" w:type="dxa"/>
            <w:tcBorders>
              <w:left w:val="single" w:sz="3" w:space="0" w:color="000000"/>
              <w:right w:val="single" w:sz="3" w:space="0" w:color="000000"/>
            </w:tcBorders>
            <w:shd w:val="clear" w:color="auto" w:fill="D4CFB5"/>
          </w:tcPr>
          <w:p>
            <w:pPr>
              <w:pStyle w:val="TableParagraph"/>
              <w:spacing w:before="104"/>
              <w:ind w:left="3"/>
              <w:jc w:val="center"/>
              <w:rPr>
                <w:rFonts w:ascii="Calibri"/>
                <w:b/>
                <w:sz w:val="16"/>
              </w:rPr>
            </w:pPr>
            <w:r>
              <w:rPr>
                <w:rFonts w:ascii="Calibri"/>
                <w:b/>
                <w:w w:val="100"/>
                <w:sz w:val="16"/>
              </w:rPr>
              <w:t>6</w:t>
            </w:r>
          </w:p>
        </w:tc>
      </w:tr>
      <w:tr>
        <w:trPr>
          <w:trHeight w:val="605" w:hRule="exact"/>
        </w:trPr>
        <w:tc>
          <w:tcPr>
            <w:tcW w:w="10556" w:type="dxa"/>
            <w:gridSpan w:val="8"/>
            <w:tcBorders>
              <w:right w:val="nil"/>
            </w:tcBorders>
            <w:shd w:val="clear" w:color="auto" w:fill="003399"/>
          </w:tcPr>
          <w:p>
            <w:pPr>
              <w:pStyle w:val="TableParagraph"/>
              <w:spacing w:before="3"/>
              <w:ind w:left="148" w:right="8858" w:hanging="2"/>
              <w:jc w:val="center"/>
              <w:rPr>
                <w:rFonts w:ascii="Calibri" w:hAnsi="Calibri"/>
                <w:b/>
                <w:sz w:val="16"/>
              </w:rPr>
            </w:pPr>
            <w:r>
              <w:rPr>
                <w:rFonts w:ascii="Calibri" w:hAnsi="Calibri"/>
                <w:b/>
                <w:color w:val="FFFFFF"/>
                <w:sz w:val="16"/>
              </w:rPr>
              <w:t>NUMERO DE PROCEDIMIENTOS POR AÑO</w:t>
            </w:r>
          </w:p>
        </w:tc>
      </w:tr>
      <w:tr>
        <w:trPr>
          <w:trHeight w:val="422" w:hRule="exact"/>
        </w:trPr>
        <w:tc>
          <w:tcPr>
            <w:tcW w:w="1853" w:type="dxa"/>
            <w:tcBorders>
              <w:bottom w:val="single" w:sz="3" w:space="0" w:color="000000"/>
              <w:right w:val="single" w:sz="3" w:space="0" w:color="000000"/>
            </w:tcBorders>
          </w:tcPr>
          <w:p>
            <w:pPr>
              <w:pStyle w:val="TableParagraph"/>
              <w:spacing w:before="6"/>
              <w:rPr>
                <w:b/>
                <w:sz w:val="18"/>
              </w:rPr>
            </w:pPr>
          </w:p>
          <w:p>
            <w:pPr>
              <w:pStyle w:val="TableParagraph"/>
              <w:ind w:left="9" w:right="11"/>
              <w:jc w:val="center"/>
              <w:rPr>
                <w:rFonts w:ascii="Calibri" w:hAnsi="Calibri"/>
                <w:sz w:val="16"/>
              </w:rPr>
            </w:pPr>
            <w:r>
              <w:rPr>
                <w:rFonts w:ascii="Calibri" w:hAnsi="Calibri"/>
                <w:sz w:val="16"/>
              </w:rPr>
              <w:t>Número de eventos</w:t>
            </w:r>
          </w:p>
        </w:tc>
        <w:tc>
          <w:tcPr>
            <w:tcW w:w="982" w:type="dxa"/>
            <w:tcBorders>
              <w:left w:val="single" w:sz="3" w:space="0" w:color="000000"/>
              <w:bottom w:val="single" w:sz="3" w:space="0" w:color="000000"/>
              <w:right w:val="single" w:sz="3" w:space="0" w:color="000000"/>
            </w:tcBorders>
          </w:tcPr>
          <w:p>
            <w:pPr>
              <w:pStyle w:val="TableParagraph"/>
              <w:spacing w:before="108"/>
              <w:jc w:val="center"/>
              <w:rPr>
                <w:rFonts w:ascii="Calibri"/>
                <w:sz w:val="16"/>
              </w:rPr>
            </w:pPr>
            <w:r>
              <w:rPr>
                <w:rFonts w:ascii="Calibri"/>
                <w:w w:val="100"/>
                <w:sz w:val="16"/>
              </w:rPr>
              <w:t>0</w:t>
            </w:r>
          </w:p>
        </w:tc>
        <w:tc>
          <w:tcPr>
            <w:tcW w:w="1277"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7" w:right="47"/>
              <w:jc w:val="center"/>
              <w:rPr>
                <w:rFonts w:ascii="Calibri"/>
                <w:sz w:val="16"/>
              </w:rPr>
            </w:pPr>
            <w:r>
              <w:rPr>
                <w:rFonts w:ascii="Calibri"/>
                <w:sz w:val="16"/>
              </w:rPr>
              <w:t>228.125</w:t>
            </w:r>
          </w:p>
        </w:tc>
        <w:tc>
          <w:tcPr>
            <w:tcW w:w="1274"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5" w:right="45"/>
              <w:jc w:val="center"/>
              <w:rPr>
                <w:rFonts w:ascii="Calibri"/>
                <w:sz w:val="16"/>
              </w:rPr>
            </w:pPr>
            <w:r>
              <w:rPr>
                <w:rFonts w:ascii="Calibri"/>
                <w:sz w:val="16"/>
              </w:rPr>
              <w:t>228.125</w:t>
            </w:r>
          </w:p>
        </w:tc>
        <w:tc>
          <w:tcPr>
            <w:tcW w:w="1241"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7" w:right="47"/>
              <w:jc w:val="center"/>
              <w:rPr>
                <w:rFonts w:ascii="Calibri"/>
                <w:sz w:val="16"/>
              </w:rPr>
            </w:pPr>
            <w:r>
              <w:rPr>
                <w:rFonts w:ascii="Calibri"/>
                <w:sz w:val="16"/>
              </w:rPr>
              <w:t>228.125</w:t>
            </w:r>
          </w:p>
        </w:tc>
        <w:tc>
          <w:tcPr>
            <w:tcW w:w="1416"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41"/>
              <w:rPr>
                <w:rFonts w:ascii="Calibri"/>
                <w:sz w:val="16"/>
              </w:rPr>
            </w:pPr>
            <w:r>
              <w:rPr>
                <w:rFonts w:ascii="Calibri"/>
                <w:sz w:val="16"/>
              </w:rPr>
              <w:t>228.125</w:t>
            </w:r>
          </w:p>
        </w:tc>
        <w:tc>
          <w:tcPr>
            <w:tcW w:w="1277"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6" w:right="47"/>
              <w:jc w:val="center"/>
              <w:rPr>
                <w:rFonts w:ascii="Calibri"/>
                <w:sz w:val="16"/>
              </w:rPr>
            </w:pPr>
            <w:r>
              <w:rPr>
                <w:rFonts w:ascii="Calibri"/>
                <w:sz w:val="16"/>
              </w:rPr>
              <w:t>228.125</w:t>
            </w:r>
          </w:p>
        </w:tc>
        <w:tc>
          <w:tcPr>
            <w:tcW w:w="1237" w:type="dxa"/>
            <w:tcBorders>
              <w:left w:val="single" w:sz="3" w:space="0" w:color="000000"/>
              <w:bottom w:val="single" w:sz="3" w:space="0" w:color="000000"/>
              <w:right w:val="single" w:sz="3" w:space="0" w:color="000000"/>
            </w:tcBorders>
          </w:tcPr>
          <w:p>
            <w:pPr>
              <w:pStyle w:val="TableParagraph"/>
              <w:spacing w:before="6"/>
              <w:rPr>
                <w:b/>
                <w:sz w:val="18"/>
              </w:rPr>
            </w:pPr>
          </w:p>
          <w:p>
            <w:pPr>
              <w:pStyle w:val="TableParagraph"/>
              <w:ind w:left="47" w:right="43"/>
              <w:jc w:val="center"/>
              <w:rPr>
                <w:rFonts w:ascii="Calibri"/>
                <w:sz w:val="16"/>
              </w:rPr>
            </w:pPr>
            <w:r>
              <w:rPr>
                <w:rFonts w:ascii="Calibri"/>
                <w:sz w:val="16"/>
              </w:rPr>
              <w:t>228.125</w:t>
            </w:r>
          </w:p>
        </w:tc>
      </w:tr>
      <w:tr>
        <w:trPr>
          <w:trHeight w:val="419" w:hRule="exact"/>
        </w:trPr>
        <w:tc>
          <w:tcPr>
            <w:tcW w:w="1853" w:type="dxa"/>
            <w:tcBorders>
              <w:top w:val="single" w:sz="3" w:space="0" w:color="000000"/>
              <w:right w:val="single" w:sz="3" w:space="0" w:color="000000"/>
            </w:tcBorders>
            <w:shd w:val="clear" w:color="auto" w:fill="D8D8D8"/>
          </w:tcPr>
          <w:p>
            <w:pPr>
              <w:pStyle w:val="TableParagraph"/>
              <w:spacing w:before="4"/>
              <w:rPr>
                <w:b/>
                <w:sz w:val="18"/>
              </w:rPr>
            </w:pPr>
          </w:p>
          <w:p>
            <w:pPr>
              <w:pStyle w:val="TableParagraph"/>
              <w:ind w:left="9" w:right="10"/>
              <w:jc w:val="center"/>
              <w:rPr>
                <w:rFonts w:ascii="Calibri"/>
                <w:b/>
                <w:sz w:val="16"/>
              </w:rPr>
            </w:pPr>
            <w:r>
              <w:rPr>
                <w:rFonts w:ascii="Calibri"/>
                <w:b/>
                <w:sz w:val="16"/>
              </w:rPr>
              <w:t>TOTAL</w:t>
            </w:r>
          </w:p>
        </w:tc>
        <w:tc>
          <w:tcPr>
            <w:tcW w:w="982"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jc w:val="center"/>
              <w:rPr>
                <w:rFonts w:ascii="Calibri"/>
                <w:b/>
                <w:sz w:val="16"/>
              </w:rPr>
            </w:pPr>
            <w:r>
              <w:rPr>
                <w:rFonts w:ascii="Calibri"/>
                <w:b/>
                <w:w w:val="100"/>
                <w:sz w:val="16"/>
              </w:rPr>
              <w:t>0</w:t>
            </w:r>
          </w:p>
        </w:tc>
        <w:tc>
          <w:tcPr>
            <w:tcW w:w="1277"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7" w:right="47"/>
              <w:jc w:val="center"/>
              <w:rPr>
                <w:rFonts w:ascii="Calibri"/>
                <w:b/>
                <w:sz w:val="16"/>
              </w:rPr>
            </w:pPr>
            <w:r>
              <w:rPr>
                <w:rFonts w:ascii="Calibri"/>
                <w:b/>
                <w:sz w:val="16"/>
              </w:rPr>
              <w:t>228.125</w:t>
            </w:r>
          </w:p>
        </w:tc>
        <w:tc>
          <w:tcPr>
            <w:tcW w:w="1274"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7" w:right="44"/>
              <w:jc w:val="center"/>
              <w:rPr>
                <w:rFonts w:ascii="Calibri"/>
                <w:b/>
                <w:sz w:val="16"/>
              </w:rPr>
            </w:pPr>
            <w:r>
              <w:rPr>
                <w:rFonts w:ascii="Calibri"/>
                <w:b/>
                <w:sz w:val="16"/>
              </w:rPr>
              <w:t>228.125</w:t>
            </w:r>
          </w:p>
        </w:tc>
        <w:tc>
          <w:tcPr>
            <w:tcW w:w="1241"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6" w:right="47"/>
              <w:jc w:val="center"/>
              <w:rPr>
                <w:rFonts w:ascii="Calibri"/>
                <w:b/>
                <w:sz w:val="16"/>
              </w:rPr>
            </w:pPr>
            <w:r>
              <w:rPr>
                <w:rFonts w:ascii="Calibri"/>
                <w:b/>
                <w:sz w:val="16"/>
              </w:rPr>
              <w:t>228.125</w:t>
            </w:r>
          </w:p>
        </w:tc>
        <w:tc>
          <w:tcPr>
            <w:tcW w:w="1416"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39"/>
              <w:rPr>
                <w:rFonts w:ascii="Calibri"/>
                <w:b/>
                <w:sz w:val="16"/>
              </w:rPr>
            </w:pPr>
            <w:r>
              <w:rPr>
                <w:rFonts w:ascii="Calibri"/>
                <w:b/>
                <w:sz w:val="16"/>
              </w:rPr>
              <w:t>228.125</w:t>
            </w:r>
          </w:p>
        </w:tc>
        <w:tc>
          <w:tcPr>
            <w:tcW w:w="1277"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7" w:right="47"/>
              <w:jc w:val="center"/>
              <w:rPr>
                <w:rFonts w:ascii="Calibri"/>
                <w:b/>
                <w:sz w:val="16"/>
              </w:rPr>
            </w:pPr>
            <w:r>
              <w:rPr>
                <w:rFonts w:ascii="Calibri"/>
                <w:b/>
                <w:sz w:val="16"/>
              </w:rPr>
              <w:t>228.125</w:t>
            </w:r>
          </w:p>
        </w:tc>
        <w:tc>
          <w:tcPr>
            <w:tcW w:w="1237" w:type="dxa"/>
            <w:tcBorders>
              <w:top w:val="single" w:sz="3" w:space="0" w:color="000000"/>
              <w:left w:val="single" w:sz="3" w:space="0" w:color="000000"/>
              <w:right w:val="single" w:sz="3" w:space="0" w:color="000000"/>
            </w:tcBorders>
            <w:shd w:val="clear" w:color="auto" w:fill="D8D8D8"/>
          </w:tcPr>
          <w:p>
            <w:pPr>
              <w:pStyle w:val="TableParagraph"/>
              <w:spacing w:before="4"/>
              <w:rPr>
                <w:b/>
                <w:sz w:val="18"/>
              </w:rPr>
            </w:pPr>
          </w:p>
          <w:p>
            <w:pPr>
              <w:pStyle w:val="TableParagraph"/>
              <w:ind w:left="46" w:right="44"/>
              <w:jc w:val="center"/>
              <w:rPr>
                <w:rFonts w:ascii="Calibri"/>
                <w:b/>
                <w:sz w:val="16"/>
              </w:rPr>
            </w:pPr>
            <w:r>
              <w:rPr>
                <w:rFonts w:ascii="Calibri"/>
                <w:b/>
                <w:sz w:val="16"/>
              </w:rPr>
              <w:t>228.125</w:t>
            </w:r>
          </w:p>
        </w:tc>
      </w:tr>
      <w:tr>
        <w:trPr>
          <w:trHeight w:val="603" w:hRule="exact"/>
        </w:trPr>
        <w:tc>
          <w:tcPr>
            <w:tcW w:w="10556" w:type="dxa"/>
            <w:gridSpan w:val="8"/>
            <w:tcBorders>
              <w:right w:val="nil"/>
            </w:tcBorders>
            <w:shd w:val="clear" w:color="auto" w:fill="003399"/>
          </w:tcPr>
          <w:p>
            <w:pPr>
              <w:pStyle w:val="TableParagraph"/>
              <w:spacing w:before="1"/>
              <w:ind w:left="148" w:right="8858"/>
              <w:jc w:val="center"/>
              <w:rPr>
                <w:rFonts w:ascii="Calibri" w:hAnsi="Calibri"/>
                <w:b/>
                <w:sz w:val="16"/>
              </w:rPr>
            </w:pPr>
            <w:r>
              <w:rPr>
                <w:rFonts w:ascii="Calibri" w:hAnsi="Calibri"/>
                <w:b/>
                <w:color w:val="FFFFFF"/>
                <w:sz w:val="16"/>
              </w:rPr>
              <w:t>COSTO DE PROCEDIMIENTOS POR AÑO</w:t>
            </w:r>
          </w:p>
        </w:tc>
      </w:tr>
      <w:tr>
        <w:trPr>
          <w:trHeight w:val="430" w:hRule="exact"/>
        </w:trPr>
        <w:tc>
          <w:tcPr>
            <w:tcW w:w="1853" w:type="dxa"/>
            <w:tcBorders>
              <w:bottom w:val="single" w:sz="3" w:space="0" w:color="000000"/>
              <w:right w:val="single" w:sz="3" w:space="0" w:color="000000"/>
            </w:tcBorders>
          </w:tcPr>
          <w:p>
            <w:pPr>
              <w:pStyle w:val="TableParagraph"/>
              <w:spacing w:before="6"/>
              <w:rPr>
                <w:b/>
                <w:sz w:val="18"/>
              </w:rPr>
            </w:pPr>
          </w:p>
          <w:p>
            <w:pPr>
              <w:pStyle w:val="TableParagraph"/>
              <w:ind w:left="9" w:right="13"/>
              <w:jc w:val="center"/>
              <w:rPr>
                <w:rFonts w:ascii="Calibri"/>
                <w:sz w:val="16"/>
              </w:rPr>
            </w:pPr>
            <w:r>
              <w:rPr>
                <w:rFonts w:ascii="Calibri"/>
                <w:sz w:val="16"/>
              </w:rPr>
              <w:t>Costo por evento</w:t>
            </w:r>
          </w:p>
        </w:tc>
        <w:tc>
          <w:tcPr>
            <w:tcW w:w="982" w:type="dxa"/>
            <w:tcBorders>
              <w:left w:val="single" w:sz="3" w:space="0" w:color="000000"/>
              <w:bottom w:val="single" w:sz="3" w:space="0" w:color="000000"/>
              <w:right w:val="single" w:sz="3" w:space="0" w:color="000000"/>
            </w:tcBorders>
          </w:tcPr>
          <w:p>
            <w:pPr>
              <w:pStyle w:val="TableParagraph"/>
              <w:spacing w:before="108"/>
              <w:jc w:val="center"/>
              <w:rPr>
                <w:rFonts w:ascii="Calibri"/>
                <w:sz w:val="16"/>
              </w:rPr>
            </w:pPr>
            <w:r>
              <w:rPr>
                <w:rFonts w:ascii="Calibri"/>
                <w:w w:val="100"/>
                <w:sz w:val="16"/>
              </w:rPr>
              <w:t>0</w:t>
            </w:r>
          </w:p>
        </w:tc>
        <w:tc>
          <w:tcPr>
            <w:tcW w:w="1277" w:type="dxa"/>
            <w:tcBorders>
              <w:left w:val="single" w:sz="3" w:space="0" w:color="000000"/>
              <w:right w:val="single" w:sz="3" w:space="0" w:color="000000"/>
            </w:tcBorders>
          </w:tcPr>
          <w:p>
            <w:pPr>
              <w:pStyle w:val="TableParagraph"/>
              <w:spacing w:before="108"/>
              <w:ind w:left="47" w:right="47"/>
              <w:jc w:val="center"/>
              <w:rPr>
                <w:rFonts w:ascii="Calibri"/>
                <w:sz w:val="16"/>
              </w:rPr>
            </w:pPr>
            <w:r>
              <w:rPr>
                <w:rFonts w:ascii="Calibri"/>
                <w:sz w:val="16"/>
              </w:rPr>
              <w:t>$ 300,804,449.24</w:t>
            </w:r>
          </w:p>
        </w:tc>
        <w:tc>
          <w:tcPr>
            <w:tcW w:w="1274" w:type="dxa"/>
            <w:tcBorders>
              <w:left w:val="single" w:sz="3" w:space="0" w:color="000000"/>
              <w:right w:val="single" w:sz="3" w:space="0" w:color="000000"/>
            </w:tcBorders>
          </w:tcPr>
          <w:p>
            <w:pPr>
              <w:pStyle w:val="TableParagraph"/>
              <w:spacing w:before="108"/>
              <w:ind w:left="44" w:right="45"/>
              <w:jc w:val="center"/>
              <w:rPr>
                <w:rFonts w:ascii="Calibri"/>
                <w:sz w:val="16"/>
              </w:rPr>
            </w:pPr>
            <w:r>
              <w:rPr>
                <w:rFonts w:ascii="Calibri"/>
                <w:sz w:val="16"/>
              </w:rPr>
              <w:t>$ 300,804,449.24</w:t>
            </w:r>
          </w:p>
        </w:tc>
        <w:tc>
          <w:tcPr>
            <w:tcW w:w="1241" w:type="dxa"/>
            <w:tcBorders>
              <w:left w:val="single" w:sz="3" w:space="0" w:color="000000"/>
              <w:bottom w:val="single" w:sz="3" w:space="0" w:color="000000"/>
              <w:right w:val="single" w:sz="3" w:space="0" w:color="000000"/>
            </w:tcBorders>
          </w:tcPr>
          <w:p>
            <w:pPr>
              <w:pStyle w:val="TableParagraph"/>
              <w:spacing w:before="108"/>
              <w:ind w:left="44" w:right="47"/>
              <w:jc w:val="center"/>
              <w:rPr>
                <w:rFonts w:ascii="Calibri"/>
                <w:sz w:val="16"/>
              </w:rPr>
            </w:pPr>
            <w:r>
              <w:rPr>
                <w:rFonts w:ascii="Calibri"/>
                <w:sz w:val="16"/>
              </w:rPr>
              <w:t>$300,804,449.24</w:t>
            </w:r>
          </w:p>
        </w:tc>
        <w:tc>
          <w:tcPr>
            <w:tcW w:w="1416" w:type="dxa"/>
            <w:tcBorders>
              <w:left w:val="single" w:sz="3" w:space="0" w:color="000000"/>
              <w:bottom w:val="single" w:sz="3" w:space="0" w:color="000000"/>
              <w:right w:val="single" w:sz="3" w:space="0" w:color="000000"/>
            </w:tcBorders>
          </w:tcPr>
          <w:p>
            <w:pPr>
              <w:pStyle w:val="TableParagraph"/>
              <w:spacing w:before="108"/>
              <w:ind w:right="209"/>
              <w:jc w:val="right"/>
              <w:rPr>
                <w:rFonts w:ascii="Calibri"/>
                <w:sz w:val="16"/>
              </w:rPr>
            </w:pPr>
            <w:r>
              <w:rPr>
                <w:rFonts w:ascii="Calibri"/>
                <w:sz w:val="16"/>
              </w:rPr>
              <w:t>$ 300,804,449.24</w:t>
            </w:r>
          </w:p>
        </w:tc>
        <w:tc>
          <w:tcPr>
            <w:tcW w:w="1277" w:type="dxa"/>
            <w:tcBorders>
              <w:left w:val="single" w:sz="3" w:space="0" w:color="000000"/>
              <w:bottom w:val="single" w:sz="3" w:space="0" w:color="000000"/>
              <w:right w:val="single" w:sz="3" w:space="0" w:color="000000"/>
            </w:tcBorders>
          </w:tcPr>
          <w:p>
            <w:pPr>
              <w:pStyle w:val="TableParagraph"/>
              <w:spacing w:before="108"/>
              <w:ind w:left="8" w:right="47"/>
              <w:jc w:val="center"/>
              <w:rPr>
                <w:rFonts w:ascii="Calibri"/>
                <w:sz w:val="16"/>
              </w:rPr>
            </w:pPr>
            <w:r>
              <w:rPr>
                <w:rFonts w:ascii="Calibri"/>
                <w:sz w:val="16"/>
              </w:rPr>
              <w:t>$300,804,449.24</w:t>
            </w:r>
          </w:p>
        </w:tc>
        <w:tc>
          <w:tcPr>
            <w:tcW w:w="1237" w:type="dxa"/>
            <w:tcBorders>
              <w:left w:val="single" w:sz="3" w:space="0" w:color="000000"/>
              <w:bottom w:val="single" w:sz="3" w:space="0" w:color="000000"/>
              <w:right w:val="single" w:sz="3" w:space="0" w:color="000000"/>
            </w:tcBorders>
          </w:tcPr>
          <w:p>
            <w:pPr>
              <w:pStyle w:val="TableParagraph"/>
              <w:spacing w:before="108"/>
              <w:ind w:left="47" w:right="43"/>
              <w:jc w:val="center"/>
              <w:rPr>
                <w:rFonts w:ascii="Calibri"/>
                <w:sz w:val="16"/>
              </w:rPr>
            </w:pPr>
            <w:r>
              <w:rPr>
                <w:rFonts w:ascii="Calibri"/>
                <w:sz w:val="16"/>
              </w:rPr>
              <w:t>$300,804,449.24</w:t>
            </w:r>
          </w:p>
        </w:tc>
      </w:tr>
      <w:tr>
        <w:trPr>
          <w:trHeight w:val="434" w:hRule="exact"/>
        </w:trPr>
        <w:tc>
          <w:tcPr>
            <w:tcW w:w="1853" w:type="dxa"/>
            <w:tcBorders>
              <w:top w:val="single" w:sz="3" w:space="0" w:color="000000"/>
              <w:right w:val="single" w:sz="3" w:space="0" w:color="000000"/>
            </w:tcBorders>
            <w:shd w:val="clear" w:color="auto" w:fill="D8D8D8"/>
          </w:tcPr>
          <w:p>
            <w:pPr>
              <w:pStyle w:val="TableParagraph"/>
              <w:spacing w:before="6"/>
              <w:rPr>
                <w:b/>
                <w:sz w:val="18"/>
              </w:rPr>
            </w:pPr>
          </w:p>
          <w:p>
            <w:pPr>
              <w:pStyle w:val="TableParagraph"/>
              <w:ind w:left="9" w:right="10"/>
              <w:jc w:val="center"/>
              <w:rPr>
                <w:rFonts w:ascii="Calibri"/>
                <w:b/>
                <w:sz w:val="16"/>
              </w:rPr>
            </w:pPr>
            <w:r>
              <w:rPr>
                <w:rFonts w:ascii="Calibri"/>
                <w:b/>
                <w:sz w:val="16"/>
              </w:rPr>
              <w:t>TOTAL</w:t>
            </w:r>
          </w:p>
        </w:tc>
        <w:tc>
          <w:tcPr>
            <w:tcW w:w="982" w:type="dxa"/>
            <w:tcBorders>
              <w:top w:val="single" w:sz="3" w:space="0" w:color="000000"/>
              <w:left w:val="single" w:sz="3" w:space="0" w:color="000000"/>
            </w:tcBorders>
            <w:shd w:val="clear" w:color="auto" w:fill="D8D8D8"/>
          </w:tcPr>
          <w:p>
            <w:pPr>
              <w:pStyle w:val="TableParagraph"/>
              <w:spacing w:before="6"/>
              <w:rPr>
                <w:b/>
                <w:sz w:val="18"/>
              </w:rPr>
            </w:pPr>
          </w:p>
          <w:p>
            <w:pPr>
              <w:pStyle w:val="TableParagraph"/>
              <w:ind w:left="4"/>
              <w:jc w:val="center"/>
              <w:rPr>
                <w:rFonts w:ascii="Calibri"/>
                <w:b/>
                <w:sz w:val="16"/>
              </w:rPr>
            </w:pPr>
            <w:r>
              <w:rPr>
                <w:rFonts w:ascii="Calibri"/>
                <w:b/>
                <w:w w:val="100"/>
                <w:sz w:val="16"/>
              </w:rPr>
              <w:t>0</w:t>
            </w:r>
          </w:p>
        </w:tc>
        <w:tc>
          <w:tcPr>
            <w:tcW w:w="1277" w:type="dxa"/>
            <w:tcBorders>
              <w:right w:val="single" w:sz="3" w:space="0" w:color="000000"/>
            </w:tcBorders>
            <w:shd w:val="clear" w:color="auto" w:fill="D4CFB5"/>
          </w:tcPr>
          <w:p>
            <w:pPr>
              <w:pStyle w:val="TableParagraph"/>
              <w:spacing w:before="105"/>
              <w:ind w:left="125" w:right="127"/>
              <w:jc w:val="center"/>
              <w:rPr>
                <w:rFonts w:ascii="Calibri"/>
                <w:b/>
                <w:sz w:val="16"/>
              </w:rPr>
            </w:pPr>
            <w:r>
              <w:rPr>
                <w:rFonts w:ascii="Calibri"/>
                <w:b/>
                <w:sz w:val="16"/>
              </w:rPr>
              <w:t>$ 300804449.2</w:t>
            </w:r>
          </w:p>
        </w:tc>
        <w:tc>
          <w:tcPr>
            <w:tcW w:w="1274" w:type="dxa"/>
            <w:tcBorders>
              <w:left w:val="single" w:sz="3" w:space="0" w:color="000000"/>
              <w:right w:val="single" w:sz="3" w:space="0" w:color="000000"/>
            </w:tcBorders>
            <w:shd w:val="clear" w:color="auto" w:fill="D4CFB5"/>
          </w:tcPr>
          <w:p>
            <w:pPr>
              <w:pStyle w:val="TableParagraph"/>
              <w:spacing w:before="105"/>
              <w:ind w:left="45" w:right="45"/>
              <w:jc w:val="center"/>
              <w:rPr>
                <w:rFonts w:ascii="Calibri"/>
                <w:b/>
                <w:sz w:val="16"/>
              </w:rPr>
            </w:pPr>
            <w:r>
              <w:rPr>
                <w:rFonts w:ascii="Calibri"/>
                <w:b/>
                <w:sz w:val="16"/>
              </w:rPr>
              <w:t>$300804449.2</w:t>
            </w:r>
          </w:p>
        </w:tc>
        <w:tc>
          <w:tcPr>
            <w:tcW w:w="1241" w:type="dxa"/>
            <w:tcBorders>
              <w:top w:val="single" w:sz="3" w:space="0" w:color="000000"/>
              <w:left w:val="single" w:sz="3" w:space="0" w:color="000000"/>
              <w:right w:val="single" w:sz="3" w:space="0" w:color="000000"/>
            </w:tcBorders>
            <w:shd w:val="clear" w:color="auto" w:fill="D8D8D8"/>
          </w:tcPr>
          <w:p>
            <w:pPr>
              <w:pStyle w:val="TableParagraph"/>
              <w:spacing w:before="110"/>
              <w:ind w:left="47" w:right="47"/>
              <w:jc w:val="center"/>
              <w:rPr>
                <w:rFonts w:ascii="Calibri"/>
                <w:b/>
                <w:sz w:val="16"/>
              </w:rPr>
            </w:pPr>
            <w:r>
              <w:rPr>
                <w:rFonts w:ascii="Calibri"/>
                <w:b/>
                <w:sz w:val="16"/>
              </w:rPr>
              <w:t>$300,804,449.24</w:t>
            </w:r>
          </w:p>
        </w:tc>
        <w:tc>
          <w:tcPr>
            <w:tcW w:w="1416" w:type="dxa"/>
            <w:tcBorders>
              <w:top w:val="single" w:sz="3" w:space="0" w:color="000000"/>
              <w:left w:val="single" w:sz="3" w:space="0" w:color="000000"/>
              <w:right w:val="single" w:sz="3" w:space="0" w:color="000000"/>
            </w:tcBorders>
            <w:shd w:val="clear" w:color="auto" w:fill="D8D8D8"/>
          </w:tcPr>
          <w:p>
            <w:pPr>
              <w:pStyle w:val="TableParagraph"/>
              <w:spacing w:before="110"/>
              <w:ind w:right="204"/>
              <w:jc w:val="right"/>
              <w:rPr>
                <w:rFonts w:ascii="Calibri"/>
                <w:b/>
                <w:sz w:val="16"/>
              </w:rPr>
            </w:pPr>
            <w:r>
              <w:rPr>
                <w:rFonts w:ascii="Calibri"/>
                <w:b/>
                <w:sz w:val="16"/>
              </w:rPr>
              <w:t>$ 300,804,449.24</w:t>
            </w:r>
          </w:p>
        </w:tc>
        <w:tc>
          <w:tcPr>
            <w:tcW w:w="1277" w:type="dxa"/>
            <w:tcBorders>
              <w:top w:val="single" w:sz="3" w:space="0" w:color="000000"/>
              <w:left w:val="single" w:sz="3" w:space="0" w:color="000000"/>
              <w:right w:val="single" w:sz="3" w:space="0" w:color="000000"/>
            </w:tcBorders>
            <w:shd w:val="clear" w:color="auto" w:fill="D8D8D8"/>
          </w:tcPr>
          <w:p>
            <w:pPr>
              <w:pStyle w:val="TableParagraph"/>
              <w:spacing w:before="110"/>
              <w:ind w:left="47" w:right="47"/>
              <w:jc w:val="center"/>
              <w:rPr>
                <w:rFonts w:ascii="Calibri"/>
                <w:b/>
                <w:sz w:val="16"/>
              </w:rPr>
            </w:pPr>
            <w:r>
              <w:rPr>
                <w:rFonts w:ascii="Calibri"/>
                <w:b/>
                <w:sz w:val="16"/>
              </w:rPr>
              <w:t>$300,804,449.24</w:t>
            </w:r>
          </w:p>
        </w:tc>
        <w:tc>
          <w:tcPr>
            <w:tcW w:w="1237" w:type="dxa"/>
            <w:tcBorders>
              <w:top w:val="single" w:sz="3" w:space="0" w:color="000000"/>
              <w:left w:val="single" w:sz="3" w:space="0" w:color="000000"/>
              <w:right w:val="single" w:sz="3" w:space="0" w:color="000000"/>
            </w:tcBorders>
            <w:shd w:val="clear" w:color="auto" w:fill="D8D8D8"/>
          </w:tcPr>
          <w:p>
            <w:pPr>
              <w:pStyle w:val="TableParagraph"/>
              <w:spacing w:before="110"/>
              <w:ind w:left="47" w:right="44"/>
              <w:jc w:val="center"/>
              <w:rPr>
                <w:rFonts w:ascii="Calibri"/>
                <w:b/>
                <w:sz w:val="16"/>
              </w:rPr>
            </w:pPr>
            <w:r>
              <w:rPr>
                <w:rFonts w:ascii="Calibri"/>
                <w:b/>
                <w:sz w:val="16"/>
              </w:rPr>
              <w:t>$300,804,449.24</w:t>
            </w:r>
          </w:p>
        </w:tc>
      </w:tr>
      <w:tr>
        <w:trPr>
          <w:trHeight w:val="413" w:hRule="exact"/>
        </w:trPr>
        <w:tc>
          <w:tcPr>
            <w:tcW w:w="10556" w:type="dxa"/>
            <w:gridSpan w:val="8"/>
            <w:tcBorders>
              <w:right w:val="nil"/>
            </w:tcBorders>
            <w:shd w:val="clear" w:color="auto" w:fill="003399"/>
          </w:tcPr>
          <w:p>
            <w:pPr>
              <w:pStyle w:val="TableParagraph"/>
              <w:spacing w:before="5"/>
              <w:ind w:left="158" w:right="8849" w:firstLine="208"/>
              <w:rPr>
                <w:rFonts w:ascii="Calibri" w:hAnsi="Calibri"/>
                <w:b/>
                <w:sz w:val="16"/>
              </w:rPr>
            </w:pPr>
            <w:r>
              <w:rPr>
                <w:rFonts w:ascii="Calibri" w:hAnsi="Calibri"/>
                <w:b/>
                <w:color w:val="FFFFFF"/>
                <w:sz w:val="16"/>
              </w:rPr>
              <w:t>BENEFICIOS POR ATENCIONES POR AÑO</w:t>
            </w:r>
          </w:p>
        </w:tc>
      </w:tr>
      <w:tr>
        <w:trPr>
          <w:trHeight w:val="422" w:hRule="exact"/>
        </w:trPr>
        <w:tc>
          <w:tcPr>
            <w:tcW w:w="1853" w:type="dxa"/>
            <w:tcBorders>
              <w:bottom w:val="single" w:sz="3" w:space="0" w:color="000000"/>
              <w:right w:val="single" w:sz="3" w:space="0" w:color="000000"/>
            </w:tcBorders>
          </w:tcPr>
          <w:p>
            <w:pPr>
              <w:pStyle w:val="TableParagraph"/>
              <w:spacing w:before="17"/>
              <w:ind w:left="691" w:right="236" w:hanging="437"/>
              <w:rPr>
                <w:rFonts w:ascii="Calibri"/>
                <w:sz w:val="16"/>
              </w:rPr>
            </w:pPr>
            <w:r>
              <w:rPr>
                <w:rFonts w:ascii="Calibri"/>
                <w:sz w:val="16"/>
              </w:rPr>
              <w:t>Renta de equipo por evento</w:t>
            </w:r>
          </w:p>
        </w:tc>
        <w:tc>
          <w:tcPr>
            <w:tcW w:w="982" w:type="dxa"/>
            <w:tcBorders>
              <w:left w:val="single" w:sz="3" w:space="0" w:color="000000"/>
              <w:bottom w:val="single" w:sz="3" w:space="0" w:color="000000"/>
              <w:right w:val="single" w:sz="3" w:space="0" w:color="000000"/>
            </w:tcBorders>
          </w:tcPr>
          <w:p>
            <w:pPr>
              <w:pStyle w:val="TableParagraph"/>
              <w:spacing w:before="108"/>
              <w:jc w:val="center"/>
              <w:rPr>
                <w:rFonts w:ascii="Calibri"/>
                <w:sz w:val="16"/>
              </w:rPr>
            </w:pPr>
            <w:r>
              <w:rPr>
                <w:rFonts w:ascii="Calibri"/>
                <w:w w:val="100"/>
                <w:sz w:val="16"/>
              </w:rPr>
              <w:t>0</w:t>
            </w:r>
          </w:p>
        </w:tc>
        <w:tc>
          <w:tcPr>
            <w:tcW w:w="1277" w:type="dxa"/>
            <w:tcBorders>
              <w:left w:val="single" w:sz="3" w:space="0" w:color="000000"/>
              <w:bottom w:val="single" w:sz="3" w:space="0" w:color="000000"/>
              <w:right w:val="single" w:sz="3" w:space="0" w:color="000000"/>
            </w:tcBorders>
          </w:tcPr>
          <w:p>
            <w:pPr>
              <w:pStyle w:val="TableParagraph"/>
              <w:spacing w:before="108"/>
              <w:ind w:left="44" w:right="47"/>
              <w:jc w:val="center"/>
              <w:rPr>
                <w:rFonts w:ascii="Calibri"/>
                <w:sz w:val="16"/>
              </w:rPr>
            </w:pPr>
            <w:r>
              <w:rPr>
                <w:rFonts w:ascii="Calibri"/>
                <w:sz w:val="16"/>
              </w:rPr>
              <w:t>$ 321,742,542.96</w:t>
            </w:r>
          </w:p>
        </w:tc>
        <w:tc>
          <w:tcPr>
            <w:tcW w:w="1274" w:type="dxa"/>
            <w:tcBorders>
              <w:left w:val="single" w:sz="3" w:space="0" w:color="000000"/>
              <w:bottom w:val="single" w:sz="3" w:space="0" w:color="000000"/>
              <w:right w:val="single" w:sz="3" w:space="0" w:color="000000"/>
            </w:tcBorders>
          </w:tcPr>
          <w:p>
            <w:pPr>
              <w:pStyle w:val="TableParagraph"/>
              <w:spacing w:before="108"/>
              <w:ind w:left="46" w:right="45"/>
              <w:jc w:val="center"/>
              <w:rPr>
                <w:rFonts w:ascii="Calibri"/>
                <w:sz w:val="16"/>
              </w:rPr>
            </w:pPr>
            <w:r>
              <w:rPr>
                <w:rFonts w:ascii="Calibri"/>
                <w:sz w:val="16"/>
              </w:rPr>
              <w:t>$ 321,742,542.96</w:t>
            </w:r>
          </w:p>
        </w:tc>
        <w:tc>
          <w:tcPr>
            <w:tcW w:w="1241" w:type="dxa"/>
            <w:tcBorders>
              <w:left w:val="single" w:sz="3" w:space="0" w:color="000000"/>
              <w:bottom w:val="single" w:sz="3" w:space="0" w:color="000000"/>
              <w:right w:val="single" w:sz="3" w:space="0" w:color="000000"/>
            </w:tcBorders>
          </w:tcPr>
          <w:p>
            <w:pPr>
              <w:pStyle w:val="TableParagraph"/>
              <w:spacing w:before="108"/>
              <w:ind w:left="47" w:right="47"/>
              <w:jc w:val="center"/>
              <w:rPr>
                <w:rFonts w:ascii="Calibri"/>
                <w:sz w:val="16"/>
              </w:rPr>
            </w:pPr>
            <w:r>
              <w:rPr>
                <w:rFonts w:ascii="Calibri"/>
                <w:sz w:val="16"/>
              </w:rPr>
              <w:t>$321,742,542.96</w:t>
            </w:r>
          </w:p>
        </w:tc>
        <w:tc>
          <w:tcPr>
            <w:tcW w:w="1416" w:type="dxa"/>
            <w:tcBorders>
              <w:left w:val="single" w:sz="3" w:space="0" w:color="000000"/>
              <w:bottom w:val="single" w:sz="3" w:space="0" w:color="000000"/>
              <w:right w:val="single" w:sz="3" w:space="0" w:color="000000"/>
            </w:tcBorders>
          </w:tcPr>
          <w:p>
            <w:pPr>
              <w:pStyle w:val="TableParagraph"/>
              <w:spacing w:before="108"/>
              <w:ind w:right="137"/>
              <w:jc w:val="right"/>
              <w:rPr>
                <w:rFonts w:ascii="Calibri"/>
                <w:sz w:val="16"/>
              </w:rPr>
            </w:pPr>
            <w:r>
              <w:rPr>
                <w:rFonts w:ascii="Calibri"/>
                <w:sz w:val="16"/>
              </w:rPr>
              <w:t>$ 321,742,542.96</w:t>
            </w:r>
          </w:p>
        </w:tc>
        <w:tc>
          <w:tcPr>
            <w:tcW w:w="1277" w:type="dxa"/>
            <w:tcBorders>
              <w:left w:val="single" w:sz="3" w:space="0" w:color="000000"/>
              <w:bottom w:val="single" w:sz="3" w:space="0" w:color="000000"/>
              <w:right w:val="single" w:sz="3" w:space="0" w:color="000000"/>
            </w:tcBorders>
          </w:tcPr>
          <w:p>
            <w:pPr>
              <w:pStyle w:val="TableParagraph"/>
              <w:spacing w:before="108"/>
              <w:ind w:left="47" w:right="47"/>
              <w:jc w:val="center"/>
              <w:rPr>
                <w:rFonts w:ascii="Calibri"/>
                <w:sz w:val="16"/>
              </w:rPr>
            </w:pPr>
            <w:r>
              <w:rPr>
                <w:rFonts w:ascii="Calibri"/>
                <w:sz w:val="16"/>
              </w:rPr>
              <w:t>$ 321,742,542.96</w:t>
            </w:r>
          </w:p>
        </w:tc>
        <w:tc>
          <w:tcPr>
            <w:tcW w:w="1237" w:type="dxa"/>
            <w:tcBorders>
              <w:left w:val="single" w:sz="3" w:space="0" w:color="000000"/>
              <w:bottom w:val="single" w:sz="3" w:space="0" w:color="000000"/>
              <w:right w:val="single" w:sz="3" w:space="0" w:color="000000"/>
            </w:tcBorders>
          </w:tcPr>
          <w:p>
            <w:pPr>
              <w:pStyle w:val="TableParagraph"/>
              <w:spacing w:before="108"/>
              <w:ind w:left="46" w:right="44"/>
              <w:jc w:val="center"/>
              <w:rPr>
                <w:rFonts w:ascii="Calibri"/>
                <w:sz w:val="16"/>
              </w:rPr>
            </w:pPr>
            <w:r>
              <w:rPr>
                <w:rFonts w:ascii="Calibri"/>
                <w:sz w:val="16"/>
              </w:rPr>
              <w:t>$321,742,542.96</w:t>
            </w:r>
          </w:p>
        </w:tc>
      </w:tr>
      <w:tr>
        <w:trPr>
          <w:trHeight w:val="418" w:hRule="exact"/>
        </w:trPr>
        <w:tc>
          <w:tcPr>
            <w:tcW w:w="1853" w:type="dxa"/>
            <w:tcBorders>
              <w:top w:val="single" w:sz="3" w:space="0" w:color="000000"/>
              <w:right w:val="single" w:sz="3" w:space="0" w:color="000000"/>
            </w:tcBorders>
            <w:shd w:val="clear" w:color="auto" w:fill="D8D8D8"/>
          </w:tcPr>
          <w:p>
            <w:pPr>
              <w:pStyle w:val="TableParagraph"/>
              <w:spacing w:before="1"/>
              <w:rPr>
                <w:b/>
                <w:sz w:val="18"/>
              </w:rPr>
            </w:pPr>
          </w:p>
          <w:p>
            <w:pPr>
              <w:pStyle w:val="TableParagraph"/>
              <w:spacing w:before="1"/>
              <w:ind w:left="9" w:right="10"/>
              <w:jc w:val="center"/>
              <w:rPr>
                <w:rFonts w:ascii="Calibri"/>
                <w:b/>
                <w:sz w:val="16"/>
              </w:rPr>
            </w:pPr>
            <w:r>
              <w:rPr>
                <w:rFonts w:ascii="Calibri"/>
                <w:b/>
                <w:sz w:val="16"/>
              </w:rPr>
              <w:t>TOTAL</w:t>
            </w:r>
          </w:p>
        </w:tc>
        <w:tc>
          <w:tcPr>
            <w:tcW w:w="982" w:type="dxa"/>
            <w:tcBorders>
              <w:top w:val="single" w:sz="3" w:space="0" w:color="000000"/>
              <w:left w:val="single" w:sz="3" w:space="0" w:color="000000"/>
              <w:right w:val="single" w:sz="3" w:space="0" w:color="000000"/>
            </w:tcBorders>
            <w:shd w:val="clear" w:color="auto" w:fill="D8D8D8"/>
          </w:tcPr>
          <w:p>
            <w:pPr>
              <w:pStyle w:val="TableParagraph"/>
              <w:spacing w:before="1"/>
              <w:rPr>
                <w:b/>
                <w:sz w:val="18"/>
              </w:rPr>
            </w:pPr>
          </w:p>
          <w:p>
            <w:pPr>
              <w:pStyle w:val="TableParagraph"/>
              <w:spacing w:before="1"/>
              <w:jc w:val="center"/>
              <w:rPr>
                <w:rFonts w:ascii="Calibri"/>
                <w:b/>
                <w:sz w:val="16"/>
              </w:rPr>
            </w:pPr>
            <w:r>
              <w:rPr>
                <w:rFonts w:ascii="Calibri"/>
                <w:b/>
                <w:w w:val="100"/>
                <w:sz w:val="16"/>
              </w:rPr>
              <w:t>0</w:t>
            </w:r>
          </w:p>
        </w:tc>
        <w:tc>
          <w:tcPr>
            <w:tcW w:w="1277" w:type="dxa"/>
            <w:tcBorders>
              <w:top w:val="single" w:sz="3" w:space="0" w:color="000000"/>
              <w:left w:val="single" w:sz="3" w:space="0" w:color="000000"/>
              <w:right w:val="single" w:sz="3" w:space="0" w:color="000000"/>
            </w:tcBorders>
            <w:shd w:val="clear" w:color="auto" w:fill="D8D8D8"/>
          </w:tcPr>
          <w:p>
            <w:pPr>
              <w:pStyle w:val="TableParagraph"/>
              <w:spacing w:before="105"/>
              <w:ind w:left="47" w:right="47"/>
              <w:jc w:val="center"/>
              <w:rPr>
                <w:rFonts w:ascii="Calibri"/>
                <w:b/>
                <w:sz w:val="16"/>
              </w:rPr>
            </w:pPr>
            <w:r>
              <w:rPr>
                <w:rFonts w:ascii="Calibri"/>
                <w:b/>
                <w:sz w:val="16"/>
              </w:rPr>
              <w:t>$ 321,742,542.96</w:t>
            </w:r>
          </w:p>
        </w:tc>
        <w:tc>
          <w:tcPr>
            <w:tcW w:w="1274" w:type="dxa"/>
            <w:tcBorders>
              <w:top w:val="single" w:sz="3" w:space="0" w:color="000000"/>
              <w:left w:val="single" w:sz="3" w:space="0" w:color="000000"/>
              <w:right w:val="single" w:sz="3" w:space="0" w:color="000000"/>
            </w:tcBorders>
            <w:shd w:val="clear" w:color="auto" w:fill="D8D8D8"/>
          </w:tcPr>
          <w:p>
            <w:pPr>
              <w:pStyle w:val="TableParagraph"/>
              <w:spacing w:before="105"/>
              <w:ind w:left="47" w:right="45"/>
              <w:jc w:val="center"/>
              <w:rPr>
                <w:rFonts w:ascii="Calibri"/>
                <w:b/>
                <w:sz w:val="16"/>
              </w:rPr>
            </w:pPr>
            <w:r>
              <w:rPr>
                <w:rFonts w:ascii="Calibri"/>
                <w:b/>
                <w:sz w:val="16"/>
              </w:rPr>
              <w:t>$ 321,742,542.96</w:t>
            </w:r>
          </w:p>
        </w:tc>
        <w:tc>
          <w:tcPr>
            <w:tcW w:w="1241" w:type="dxa"/>
            <w:tcBorders>
              <w:top w:val="single" w:sz="3" w:space="0" w:color="000000"/>
              <w:left w:val="single" w:sz="3" w:space="0" w:color="000000"/>
              <w:right w:val="single" w:sz="3" w:space="0" w:color="000000"/>
            </w:tcBorders>
            <w:shd w:val="clear" w:color="auto" w:fill="D8D8D8"/>
          </w:tcPr>
          <w:p>
            <w:pPr>
              <w:pStyle w:val="TableParagraph"/>
              <w:spacing w:before="105"/>
              <w:ind w:left="47" w:right="47"/>
              <w:jc w:val="center"/>
              <w:rPr>
                <w:rFonts w:ascii="Calibri"/>
                <w:b/>
                <w:sz w:val="16"/>
              </w:rPr>
            </w:pPr>
            <w:r>
              <w:rPr>
                <w:rFonts w:ascii="Calibri"/>
                <w:b/>
                <w:sz w:val="16"/>
              </w:rPr>
              <w:t>$321,742,542.96</w:t>
            </w:r>
          </w:p>
        </w:tc>
        <w:tc>
          <w:tcPr>
            <w:tcW w:w="1416" w:type="dxa"/>
            <w:tcBorders>
              <w:top w:val="single" w:sz="3" w:space="0" w:color="000000"/>
              <w:left w:val="single" w:sz="3" w:space="0" w:color="000000"/>
              <w:right w:val="single" w:sz="3" w:space="0" w:color="000000"/>
            </w:tcBorders>
            <w:shd w:val="clear" w:color="auto" w:fill="D8D8D8"/>
          </w:tcPr>
          <w:p>
            <w:pPr>
              <w:pStyle w:val="TableParagraph"/>
              <w:spacing w:before="105"/>
              <w:ind w:right="204"/>
              <w:jc w:val="right"/>
              <w:rPr>
                <w:rFonts w:ascii="Calibri"/>
                <w:b/>
                <w:sz w:val="16"/>
              </w:rPr>
            </w:pPr>
            <w:r>
              <w:rPr>
                <w:rFonts w:ascii="Calibri"/>
                <w:b/>
                <w:sz w:val="16"/>
              </w:rPr>
              <w:t>$ 321,742,542.96</w:t>
            </w:r>
          </w:p>
        </w:tc>
        <w:tc>
          <w:tcPr>
            <w:tcW w:w="1277" w:type="dxa"/>
            <w:tcBorders>
              <w:top w:val="single" w:sz="3" w:space="0" w:color="000000"/>
              <w:left w:val="single" w:sz="3" w:space="0" w:color="000000"/>
              <w:right w:val="single" w:sz="3" w:space="0" w:color="000000"/>
            </w:tcBorders>
            <w:shd w:val="clear" w:color="auto" w:fill="D8D8D8"/>
          </w:tcPr>
          <w:p>
            <w:pPr>
              <w:pStyle w:val="TableParagraph"/>
              <w:spacing w:before="105"/>
              <w:ind w:left="47" w:right="47"/>
              <w:jc w:val="center"/>
              <w:rPr>
                <w:rFonts w:ascii="Calibri"/>
                <w:b/>
                <w:sz w:val="16"/>
              </w:rPr>
            </w:pPr>
            <w:r>
              <w:rPr>
                <w:rFonts w:ascii="Calibri"/>
                <w:b/>
                <w:sz w:val="16"/>
              </w:rPr>
              <w:t>$ 321,742,542.96</w:t>
            </w:r>
          </w:p>
        </w:tc>
        <w:tc>
          <w:tcPr>
            <w:tcW w:w="1237" w:type="dxa"/>
            <w:tcBorders>
              <w:top w:val="single" w:sz="3" w:space="0" w:color="000000"/>
              <w:left w:val="single" w:sz="3" w:space="0" w:color="000000"/>
              <w:right w:val="single" w:sz="3" w:space="0" w:color="000000"/>
            </w:tcBorders>
            <w:shd w:val="clear" w:color="auto" w:fill="D8D8D8"/>
          </w:tcPr>
          <w:p>
            <w:pPr>
              <w:pStyle w:val="TableParagraph"/>
              <w:spacing w:before="7"/>
              <w:ind w:left="67" w:right="125"/>
              <w:rPr>
                <w:rFonts w:ascii="Calibri"/>
                <w:b/>
                <w:sz w:val="16"/>
              </w:rPr>
            </w:pPr>
            <w:r>
              <w:rPr>
                <w:rFonts w:ascii="Calibri"/>
                <w:b/>
                <w:sz w:val="16"/>
              </w:rPr>
              <w:t>$ 321,742,542.96</w:t>
            </w:r>
          </w:p>
        </w:tc>
      </w:tr>
    </w:tbl>
    <w:p>
      <w:pPr>
        <w:pStyle w:val="BodyText"/>
        <w:rPr>
          <w:b/>
          <w:sz w:val="20"/>
        </w:rPr>
      </w:pPr>
    </w:p>
    <w:p>
      <w:pPr>
        <w:pStyle w:val="BodyText"/>
        <w:rPr>
          <w:b/>
          <w:sz w:val="20"/>
        </w:rPr>
      </w:pPr>
    </w:p>
    <w:p>
      <w:pPr>
        <w:pStyle w:val="BodyText"/>
        <w:spacing w:before="11"/>
        <w:rPr>
          <w:b/>
          <w:sz w:val="2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43"/>
        <w:gridCol w:w="1274"/>
        <w:gridCol w:w="1385"/>
        <w:gridCol w:w="1133"/>
        <w:gridCol w:w="1133"/>
        <w:gridCol w:w="1274"/>
        <w:gridCol w:w="1133"/>
        <w:gridCol w:w="1310"/>
      </w:tblGrid>
      <w:tr>
        <w:trPr>
          <w:trHeight w:val="424" w:hRule="exact"/>
        </w:trPr>
        <w:tc>
          <w:tcPr>
            <w:tcW w:w="1843" w:type="dxa"/>
            <w:shd w:val="clear" w:color="auto" w:fill="D4CFB5"/>
          </w:tcPr>
          <w:p>
            <w:pPr>
              <w:pStyle w:val="TableParagraph"/>
              <w:spacing w:before="9"/>
              <w:rPr>
                <w:b/>
                <w:sz w:val="18"/>
              </w:rPr>
            </w:pPr>
          </w:p>
          <w:p>
            <w:pPr>
              <w:pStyle w:val="TableParagraph"/>
              <w:ind w:left="67"/>
              <w:rPr>
                <w:rFonts w:ascii="Calibri"/>
                <w:b/>
                <w:sz w:val="16"/>
              </w:rPr>
            </w:pPr>
            <w:r>
              <w:rPr>
                <w:rFonts w:ascii="Calibri"/>
                <w:b/>
                <w:sz w:val="16"/>
              </w:rPr>
              <w:t>PERIODO</w:t>
            </w:r>
          </w:p>
        </w:tc>
        <w:tc>
          <w:tcPr>
            <w:tcW w:w="1274" w:type="dxa"/>
            <w:shd w:val="clear" w:color="auto" w:fill="D4CFB5"/>
          </w:tcPr>
          <w:p>
            <w:pPr>
              <w:pStyle w:val="TableParagraph"/>
              <w:spacing w:before="110"/>
              <w:jc w:val="center"/>
              <w:rPr>
                <w:rFonts w:ascii="Calibri"/>
                <w:b/>
                <w:sz w:val="16"/>
              </w:rPr>
            </w:pPr>
            <w:r>
              <w:rPr>
                <w:rFonts w:ascii="Calibri"/>
                <w:b/>
                <w:w w:val="100"/>
                <w:sz w:val="16"/>
              </w:rPr>
              <w:t>7</w:t>
            </w:r>
          </w:p>
        </w:tc>
        <w:tc>
          <w:tcPr>
            <w:tcW w:w="1385" w:type="dxa"/>
            <w:tcBorders>
              <w:top w:val="single" w:sz="7" w:space="0" w:color="000000"/>
              <w:bottom w:val="single" w:sz="7" w:space="0" w:color="000000"/>
            </w:tcBorders>
            <w:shd w:val="clear" w:color="auto" w:fill="D4CFB5"/>
          </w:tcPr>
          <w:p>
            <w:pPr>
              <w:pStyle w:val="TableParagraph"/>
              <w:spacing w:before="105"/>
              <w:jc w:val="center"/>
              <w:rPr>
                <w:rFonts w:ascii="Calibri"/>
                <w:b/>
                <w:sz w:val="16"/>
              </w:rPr>
            </w:pPr>
            <w:r>
              <w:rPr>
                <w:rFonts w:ascii="Calibri"/>
                <w:b/>
                <w:w w:val="100"/>
                <w:sz w:val="16"/>
              </w:rPr>
              <w:t>8</w:t>
            </w:r>
          </w:p>
        </w:tc>
        <w:tc>
          <w:tcPr>
            <w:tcW w:w="1133" w:type="dxa"/>
            <w:tcBorders>
              <w:top w:val="single" w:sz="7" w:space="0" w:color="000000"/>
              <w:bottom w:val="single" w:sz="7" w:space="0" w:color="000000"/>
            </w:tcBorders>
            <w:shd w:val="clear" w:color="auto" w:fill="D4CFB5"/>
          </w:tcPr>
          <w:p>
            <w:pPr>
              <w:pStyle w:val="TableParagraph"/>
              <w:spacing w:before="105"/>
              <w:ind w:left="2"/>
              <w:jc w:val="center"/>
              <w:rPr>
                <w:rFonts w:ascii="Calibri"/>
                <w:b/>
                <w:sz w:val="16"/>
              </w:rPr>
            </w:pPr>
            <w:r>
              <w:rPr>
                <w:rFonts w:ascii="Calibri"/>
                <w:b/>
                <w:w w:val="100"/>
                <w:sz w:val="16"/>
              </w:rPr>
              <w:t>9</w:t>
            </w:r>
          </w:p>
        </w:tc>
        <w:tc>
          <w:tcPr>
            <w:tcW w:w="1133" w:type="dxa"/>
            <w:tcBorders>
              <w:top w:val="single" w:sz="7" w:space="0" w:color="000000"/>
              <w:bottom w:val="single" w:sz="7" w:space="0" w:color="000000"/>
              <w:right w:val="single" w:sz="7" w:space="0" w:color="000000"/>
            </w:tcBorders>
            <w:shd w:val="clear" w:color="auto" w:fill="D4CFB5"/>
          </w:tcPr>
          <w:p>
            <w:pPr>
              <w:pStyle w:val="TableParagraph"/>
              <w:spacing w:before="105"/>
              <w:ind w:left="278" w:right="272"/>
              <w:jc w:val="center"/>
              <w:rPr>
                <w:rFonts w:ascii="Calibri"/>
                <w:b/>
                <w:sz w:val="16"/>
              </w:rPr>
            </w:pPr>
            <w:r>
              <w:rPr>
                <w:rFonts w:ascii="Calibri"/>
                <w:b/>
                <w:sz w:val="16"/>
              </w:rPr>
              <w:t>10</w:t>
            </w:r>
          </w:p>
        </w:tc>
        <w:tc>
          <w:tcPr>
            <w:tcW w:w="1274" w:type="dxa"/>
            <w:tcBorders>
              <w:top w:val="single" w:sz="7" w:space="0" w:color="000000"/>
              <w:left w:val="single" w:sz="7" w:space="0" w:color="000000"/>
              <w:bottom w:val="single" w:sz="7" w:space="0" w:color="000000"/>
            </w:tcBorders>
            <w:shd w:val="clear" w:color="auto" w:fill="D4CFB5"/>
          </w:tcPr>
          <w:p>
            <w:pPr>
              <w:pStyle w:val="TableParagraph"/>
              <w:spacing w:before="105"/>
              <w:ind w:left="528" w:right="531"/>
              <w:jc w:val="center"/>
              <w:rPr>
                <w:rFonts w:ascii="Calibri"/>
                <w:b/>
                <w:sz w:val="16"/>
              </w:rPr>
            </w:pPr>
            <w:r>
              <w:rPr>
                <w:rFonts w:ascii="Calibri"/>
                <w:b/>
                <w:sz w:val="16"/>
              </w:rPr>
              <w:t>11</w:t>
            </w:r>
          </w:p>
        </w:tc>
        <w:tc>
          <w:tcPr>
            <w:tcW w:w="1133" w:type="dxa"/>
            <w:tcBorders>
              <w:top w:val="single" w:sz="7" w:space="0" w:color="000000"/>
              <w:bottom w:val="single" w:sz="7" w:space="0" w:color="000000"/>
            </w:tcBorders>
            <w:shd w:val="clear" w:color="auto" w:fill="D4CFB5"/>
          </w:tcPr>
          <w:p>
            <w:pPr>
              <w:pStyle w:val="TableParagraph"/>
              <w:spacing w:before="105"/>
              <w:ind w:left="5" w:right="4"/>
              <w:jc w:val="center"/>
              <w:rPr>
                <w:rFonts w:ascii="Calibri"/>
                <w:b/>
                <w:sz w:val="16"/>
              </w:rPr>
            </w:pPr>
            <w:r>
              <w:rPr>
                <w:rFonts w:ascii="Calibri"/>
                <w:b/>
                <w:sz w:val="16"/>
              </w:rPr>
              <w:t>12</w:t>
            </w:r>
          </w:p>
        </w:tc>
        <w:tc>
          <w:tcPr>
            <w:tcW w:w="1310" w:type="dxa"/>
            <w:tcBorders>
              <w:top w:val="single" w:sz="7" w:space="0" w:color="000000"/>
              <w:bottom w:val="single" w:sz="7" w:space="0" w:color="000000"/>
            </w:tcBorders>
            <w:shd w:val="clear" w:color="auto" w:fill="D4CFB5"/>
          </w:tcPr>
          <w:p>
            <w:pPr>
              <w:pStyle w:val="TableParagraph"/>
              <w:spacing w:before="105"/>
              <w:ind w:left="48" w:right="49"/>
              <w:jc w:val="center"/>
              <w:rPr>
                <w:rFonts w:ascii="Calibri"/>
                <w:b/>
                <w:sz w:val="16"/>
              </w:rPr>
            </w:pPr>
            <w:r>
              <w:rPr>
                <w:rFonts w:ascii="Calibri"/>
                <w:b/>
                <w:sz w:val="16"/>
              </w:rPr>
              <w:t>13</w:t>
            </w:r>
          </w:p>
        </w:tc>
      </w:tr>
      <w:tr>
        <w:trPr>
          <w:trHeight w:val="606" w:hRule="exact"/>
        </w:trPr>
        <w:tc>
          <w:tcPr>
            <w:tcW w:w="10486" w:type="dxa"/>
            <w:gridSpan w:val="8"/>
            <w:tcBorders>
              <w:top w:val="single" w:sz="7" w:space="0" w:color="000000"/>
              <w:left w:val="single" w:sz="7" w:space="0" w:color="000000"/>
              <w:bottom w:val="single" w:sz="7" w:space="0" w:color="000000"/>
              <w:right w:val="nil"/>
            </w:tcBorders>
            <w:shd w:val="clear" w:color="auto" w:fill="003399"/>
          </w:tcPr>
          <w:p>
            <w:pPr>
              <w:pStyle w:val="TableParagraph"/>
              <w:spacing w:before="1"/>
              <w:ind w:left="144" w:right="8792" w:hanging="2"/>
              <w:jc w:val="center"/>
              <w:rPr>
                <w:rFonts w:ascii="Calibri" w:hAnsi="Calibri"/>
                <w:b/>
                <w:sz w:val="16"/>
              </w:rPr>
            </w:pPr>
            <w:r>
              <w:rPr>
                <w:rFonts w:ascii="Calibri" w:hAnsi="Calibri"/>
                <w:b/>
                <w:color w:val="FFFFFF"/>
                <w:sz w:val="16"/>
              </w:rPr>
              <w:t>NUMERO DE PROCEDIMIENTOS POR AÑO</w:t>
            </w:r>
          </w:p>
        </w:tc>
      </w:tr>
      <w:tr>
        <w:trPr>
          <w:trHeight w:val="423" w:hRule="exact"/>
        </w:trPr>
        <w:tc>
          <w:tcPr>
            <w:tcW w:w="1843" w:type="dxa"/>
            <w:tcBorders>
              <w:top w:val="single" w:sz="7" w:space="0" w:color="000000"/>
              <w:left w:val="single" w:sz="7" w:space="0" w:color="000000"/>
            </w:tcBorders>
          </w:tcPr>
          <w:p>
            <w:pPr>
              <w:pStyle w:val="TableParagraph"/>
              <w:spacing w:before="108"/>
              <w:ind w:left="271"/>
              <w:rPr>
                <w:rFonts w:ascii="Calibri" w:hAnsi="Calibri"/>
                <w:sz w:val="16"/>
              </w:rPr>
            </w:pPr>
            <w:r>
              <w:rPr>
                <w:rFonts w:ascii="Calibri" w:hAnsi="Calibri"/>
                <w:sz w:val="16"/>
              </w:rPr>
              <w:t>Número de eventos</w:t>
            </w:r>
          </w:p>
        </w:tc>
        <w:tc>
          <w:tcPr>
            <w:tcW w:w="1274" w:type="dxa"/>
            <w:tcBorders>
              <w:top w:val="single" w:sz="7" w:space="0" w:color="000000"/>
            </w:tcBorders>
          </w:tcPr>
          <w:p>
            <w:pPr>
              <w:pStyle w:val="TableParagraph"/>
              <w:spacing w:before="108"/>
              <w:ind w:left="45" w:right="45"/>
              <w:jc w:val="center"/>
              <w:rPr>
                <w:rFonts w:ascii="Calibri"/>
                <w:sz w:val="16"/>
              </w:rPr>
            </w:pPr>
            <w:r>
              <w:rPr>
                <w:rFonts w:ascii="Calibri"/>
                <w:sz w:val="16"/>
              </w:rPr>
              <w:t>228.125</w:t>
            </w:r>
          </w:p>
        </w:tc>
        <w:tc>
          <w:tcPr>
            <w:tcW w:w="1385" w:type="dxa"/>
            <w:tcBorders>
              <w:top w:val="single" w:sz="7" w:space="0" w:color="000000"/>
            </w:tcBorders>
          </w:tcPr>
          <w:p>
            <w:pPr>
              <w:pStyle w:val="TableParagraph"/>
              <w:spacing w:before="108"/>
              <w:ind w:left="424"/>
              <w:rPr>
                <w:rFonts w:ascii="Calibri"/>
                <w:sz w:val="16"/>
              </w:rPr>
            </w:pPr>
            <w:r>
              <w:rPr>
                <w:rFonts w:ascii="Calibri"/>
                <w:sz w:val="16"/>
              </w:rPr>
              <w:t>228.125</w:t>
            </w:r>
          </w:p>
        </w:tc>
        <w:tc>
          <w:tcPr>
            <w:tcW w:w="1133" w:type="dxa"/>
            <w:tcBorders>
              <w:top w:val="single" w:sz="7" w:space="0" w:color="000000"/>
            </w:tcBorders>
          </w:tcPr>
          <w:p>
            <w:pPr>
              <w:pStyle w:val="TableParagraph"/>
              <w:spacing w:before="108"/>
              <w:ind w:left="7" w:right="4"/>
              <w:jc w:val="center"/>
              <w:rPr>
                <w:rFonts w:ascii="Calibri"/>
                <w:sz w:val="16"/>
              </w:rPr>
            </w:pPr>
            <w:r>
              <w:rPr>
                <w:rFonts w:ascii="Calibri"/>
                <w:sz w:val="16"/>
              </w:rPr>
              <w:t>228.125</w:t>
            </w:r>
          </w:p>
        </w:tc>
        <w:tc>
          <w:tcPr>
            <w:tcW w:w="1133" w:type="dxa"/>
            <w:tcBorders>
              <w:top w:val="single" w:sz="7" w:space="0" w:color="000000"/>
            </w:tcBorders>
          </w:tcPr>
          <w:p>
            <w:pPr>
              <w:pStyle w:val="TableParagraph"/>
              <w:spacing w:before="108"/>
              <w:ind w:left="7" w:right="4"/>
              <w:jc w:val="center"/>
              <w:rPr>
                <w:rFonts w:ascii="Calibri"/>
                <w:sz w:val="16"/>
              </w:rPr>
            </w:pPr>
            <w:r>
              <w:rPr>
                <w:rFonts w:ascii="Calibri"/>
                <w:sz w:val="16"/>
              </w:rPr>
              <w:t>228.125</w:t>
            </w:r>
          </w:p>
        </w:tc>
        <w:tc>
          <w:tcPr>
            <w:tcW w:w="1274" w:type="dxa"/>
            <w:tcBorders>
              <w:top w:val="single" w:sz="7" w:space="0" w:color="000000"/>
            </w:tcBorders>
          </w:tcPr>
          <w:p>
            <w:pPr>
              <w:pStyle w:val="TableParagraph"/>
              <w:spacing w:before="108"/>
              <w:ind w:left="45" w:right="45"/>
              <w:jc w:val="center"/>
              <w:rPr>
                <w:rFonts w:ascii="Calibri"/>
                <w:sz w:val="16"/>
              </w:rPr>
            </w:pPr>
            <w:r>
              <w:rPr>
                <w:rFonts w:ascii="Calibri"/>
                <w:sz w:val="16"/>
              </w:rPr>
              <w:t>228.125</w:t>
            </w:r>
          </w:p>
        </w:tc>
        <w:tc>
          <w:tcPr>
            <w:tcW w:w="1133" w:type="dxa"/>
            <w:tcBorders>
              <w:top w:val="single" w:sz="7" w:space="0" w:color="000000"/>
            </w:tcBorders>
          </w:tcPr>
          <w:p>
            <w:pPr>
              <w:pStyle w:val="TableParagraph"/>
              <w:spacing w:before="108"/>
              <w:ind w:left="7" w:right="4"/>
              <w:jc w:val="center"/>
              <w:rPr>
                <w:rFonts w:ascii="Calibri"/>
                <w:sz w:val="16"/>
              </w:rPr>
            </w:pPr>
            <w:r>
              <w:rPr>
                <w:rFonts w:ascii="Calibri"/>
                <w:sz w:val="16"/>
              </w:rPr>
              <w:t>228.125</w:t>
            </w:r>
          </w:p>
        </w:tc>
        <w:tc>
          <w:tcPr>
            <w:tcW w:w="1310" w:type="dxa"/>
            <w:tcBorders>
              <w:top w:val="single" w:sz="7" w:space="0" w:color="000000"/>
            </w:tcBorders>
          </w:tcPr>
          <w:p>
            <w:pPr>
              <w:pStyle w:val="TableParagraph"/>
              <w:spacing w:before="108"/>
              <w:ind w:left="48" w:right="49"/>
              <w:jc w:val="center"/>
              <w:rPr>
                <w:rFonts w:ascii="Calibri"/>
                <w:sz w:val="16"/>
              </w:rPr>
            </w:pPr>
            <w:r>
              <w:rPr>
                <w:rFonts w:ascii="Calibri"/>
                <w:sz w:val="16"/>
              </w:rPr>
              <w:t>228.125</w:t>
            </w:r>
          </w:p>
        </w:tc>
      </w:tr>
      <w:tr>
        <w:trPr>
          <w:trHeight w:val="418" w:hRule="exact"/>
        </w:trPr>
        <w:tc>
          <w:tcPr>
            <w:tcW w:w="1843" w:type="dxa"/>
            <w:tcBorders>
              <w:left w:val="single" w:sz="7" w:space="0" w:color="000000"/>
              <w:bottom w:val="single" w:sz="7" w:space="0" w:color="000000"/>
            </w:tcBorders>
            <w:shd w:val="clear" w:color="auto" w:fill="D8D8D8"/>
          </w:tcPr>
          <w:p>
            <w:pPr>
              <w:pStyle w:val="TableParagraph"/>
              <w:spacing w:before="1"/>
              <w:rPr>
                <w:b/>
                <w:sz w:val="18"/>
              </w:rPr>
            </w:pPr>
          </w:p>
          <w:p>
            <w:pPr>
              <w:pStyle w:val="TableParagraph"/>
              <w:ind w:left="679" w:right="680"/>
              <w:jc w:val="center"/>
              <w:rPr>
                <w:rFonts w:ascii="Calibri"/>
                <w:b/>
                <w:sz w:val="16"/>
              </w:rPr>
            </w:pPr>
            <w:r>
              <w:rPr>
                <w:rFonts w:ascii="Calibri"/>
                <w:b/>
                <w:sz w:val="16"/>
              </w:rPr>
              <w:t>TOTAL</w:t>
            </w:r>
          </w:p>
        </w:tc>
        <w:tc>
          <w:tcPr>
            <w:tcW w:w="1274" w:type="dxa"/>
            <w:tcBorders>
              <w:bottom w:val="single" w:sz="7" w:space="0" w:color="000000"/>
            </w:tcBorders>
            <w:shd w:val="clear" w:color="auto" w:fill="D8D8D8"/>
          </w:tcPr>
          <w:p>
            <w:pPr>
              <w:pStyle w:val="TableParagraph"/>
              <w:spacing w:before="105"/>
              <w:ind w:left="47" w:right="44"/>
              <w:jc w:val="center"/>
              <w:rPr>
                <w:rFonts w:ascii="Calibri"/>
                <w:b/>
                <w:sz w:val="16"/>
              </w:rPr>
            </w:pPr>
            <w:r>
              <w:rPr>
                <w:rFonts w:ascii="Calibri"/>
                <w:b/>
                <w:sz w:val="16"/>
              </w:rPr>
              <w:t>228.125</w:t>
            </w:r>
          </w:p>
        </w:tc>
        <w:tc>
          <w:tcPr>
            <w:tcW w:w="1385" w:type="dxa"/>
            <w:tcBorders>
              <w:bottom w:val="single" w:sz="7" w:space="0" w:color="000000"/>
            </w:tcBorders>
            <w:shd w:val="clear" w:color="auto" w:fill="D8D8D8"/>
          </w:tcPr>
          <w:p>
            <w:pPr>
              <w:pStyle w:val="TableParagraph"/>
              <w:spacing w:before="105"/>
              <w:ind w:left="422"/>
              <w:rPr>
                <w:rFonts w:ascii="Calibri"/>
                <w:b/>
                <w:sz w:val="16"/>
              </w:rPr>
            </w:pPr>
            <w:r>
              <w:rPr>
                <w:rFonts w:ascii="Calibri"/>
                <w:b/>
                <w:sz w:val="16"/>
              </w:rPr>
              <w:t>228.125</w:t>
            </w:r>
          </w:p>
        </w:tc>
        <w:tc>
          <w:tcPr>
            <w:tcW w:w="1133" w:type="dxa"/>
            <w:tcBorders>
              <w:bottom w:val="single" w:sz="7" w:space="0" w:color="000000"/>
            </w:tcBorders>
            <w:shd w:val="clear" w:color="auto" w:fill="D8D8D8"/>
          </w:tcPr>
          <w:p>
            <w:pPr>
              <w:pStyle w:val="TableParagraph"/>
              <w:spacing w:before="105"/>
              <w:jc w:val="center"/>
              <w:rPr>
                <w:rFonts w:ascii="Calibri"/>
                <w:b/>
                <w:sz w:val="16"/>
              </w:rPr>
            </w:pPr>
            <w:r>
              <w:rPr>
                <w:rFonts w:ascii="Calibri"/>
                <w:b/>
                <w:sz w:val="16"/>
              </w:rPr>
              <w:t>228.125</w:t>
            </w:r>
          </w:p>
        </w:tc>
        <w:tc>
          <w:tcPr>
            <w:tcW w:w="1133" w:type="dxa"/>
            <w:tcBorders>
              <w:bottom w:val="single" w:sz="7" w:space="0" w:color="000000"/>
              <w:right w:val="single" w:sz="7" w:space="0" w:color="000000"/>
            </w:tcBorders>
            <w:shd w:val="clear" w:color="auto" w:fill="D8D8D8"/>
          </w:tcPr>
          <w:p>
            <w:pPr>
              <w:pStyle w:val="TableParagraph"/>
              <w:spacing w:before="105"/>
              <w:ind w:left="278" w:right="273"/>
              <w:jc w:val="center"/>
              <w:rPr>
                <w:rFonts w:ascii="Calibri"/>
                <w:b/>
                <w:sz w:val="16"/>
              </w:rPr>
            </w:pPr>
            <w:r>
              <w:rPr>
                <w:rFonts w:ascii="Calibri"/>
                <w:b/>
                <w:sz w:val="16"/>
              </w:rPr>
              <w:t>228.125</w:t>
            </w:r>
          </w:p>
        </w:tc>
        <w:tc>
          <w:tcPr>
            <w:tcW w:w="1274" w:type="dxa"/>
            <w:tcBorders>
              <w:left w:val="single" w:sz="7" w:space="0" w:color="000000"/>
              <w:bottom w:val="single" w:sz="7" w:space="0" w:color="000000"/>
              <w:right w:val="single" w:sz="7" w:space="0" w:color="000000"/>
            </w:tcBorders>
            <w:shd w:val="clear" w:color="auto" w:fill="D8D8D8"/>
          </w:tcPr>
          <w:p>
            <w:pPr>
              <w:pStyle w:val="TableParagraph"/>
              <w:spacing w:before="105"/>
              <w:ind w:left="345" w:right="342"/>
              <w:jc w:val="center"/>
              <w:rPr>
                <w:rFonts w:ascii="Calibri"/>
                <w:b/>
                <w:sz w:val="16"/>
              </w:rPr>
            </w:pPr>
            <w:r>
              <w:rPr>
                <w:rFonts w:ascii="Calibri"/>
                <w:b/>
                <w:sz w:val="16"/>
              </w:rPr>
              <w:t>228.125</w:t>
            </w:r>
          </w:p>
        </w:tc>
        <w:tc>
          <w:tcPr>
            <w:tcW w:w="1133" w:type="dxa"/>
            <w:tcBorders>
              <w:left w:val="single" w:sz="7" w:space="0" w:color="000000"/>
              <w:bottom w:val="single" w:sz="7" w:space="0" w:color="000000"/>
              <w:right w:val="single" w:sz="7" w:space="0" w:color="000000"/>
            </w:tcBorders>
            <w:shd w:val="clear" w:color="auto" w:fill="D8D8D8"/>
          </w:tcPr>
          <w:p>
            <w:pPr>
              <w:pStyle w:val="TableParagraph"/>
              <w:spacing w:before="105"/>
              <w:ind w:left="26" w:right="26"/>
              <w:jc w:val="center"/>
              <w:rPr>
                <w:rFonts w:ascii="Calibri"/>
                <w:b/>
                <w:sz w:val="16"/>
              </w:rPr>
            </w:pPr>
            <w:r>
              <w:rPr>
                <w:rFonts w:ascii="Calibri"/>
                <w:b/>
                <w:sz w:val="16"/>
              </w:rPr>
              <w:t>228.125</w:t>
            </w:r>
          </w:p>
        </w:tc>
        <w:tc>
          <w:tcPr>
            <w:tcW w:w="1310" w:type="dxa"/>
            <w:tcBorders>
              <w:left w:val="single" w:sz="7" w:space="0" w:color="000000"/>
              <w:bottom w:val="single" w:sz="7" w:space="0" w:color="000000"/>
              <w:right w:val="single" w:sz="7" w:space="0" w:color="000000"/>
            </w:tcBorders>
            <w:shd w:val="clear" w:color="auto" w:fill="D8D8D8"/>
          </w:tcPr>
          <w:p>
            <w:pPr>
              <w:pStyle w:val="TableParagraph"/>
              <w:spacing w:before="105"/>
              <w:ind w:left="5" w:right="5"/>
              <w:jc w:val="center"/>
              <w:rPr>
                <w:rFonts w:ascii="Calibri"/>
                <w:b/>
                <w:sz w:val="16"/>
              </w:rPr>
            </w:pPr>
            <w:r>
              <w:rPr>
                <w:rFonts w:ascii="Calibri"/>
                <w:b/>
                <w:sz w:val="16"/>
              </w:rPr>
              <w:t>228.125</w:t>
            </w:r>
          </w:p>
        </w:tc>
      </w:tr>
      <w:tr>
        <w:trPr>
          <w:trHeight w:val="604" w:hRule="exact"/>
        </w:trPr>
        <w:tc>
          <w:tcPr>
            <w:tcW w:w="10486" w:type="dxa"/>
            <w:gridSpan w:val="8"/>
            <w:tcBorders>
              <w:top w:val="single" w:sz="7" w:space="0" w:color="000000"/>
              <w:left w:val="single" w:sz="7" w:space="0" w:color="000000"/>
              <w:bottom w:val="single" w:sz="7" w:space="0" w:color="000000"/>
              <w:right w:val="nil"/>
            </w:tcBorders>
            <w:shd w:val="clear" w:color="auto" w:fill="003399"/>
          </w:tcPr>
          <w:p>
            <w:pPr>
              <w:pStyle w:val="TableParagraph"/>
              <w:spacing w:before="1"/>
              <w:ind w:left="144" w:right="8792"/>
              <w:jc w:val="center"/>
              <w:rPr>
                <w:rFonts w:ascii="Calibri" w:hAnsi="Calibri"/>
                <w:b/>
                <w:sz w:val="16"/>
              </w:rPr>
            </w:pPr>
            <w:r>
              <w:rPr>
                <w:rFonts w:ascii="Calibri" w:hAnsi="Calibri"/>
                <w:b/>
                <w:color w:val="FFFFFF"/>
                <w:sz w:val="16"/>
              </w:rPr>
              <w:t>COSTO DE PROCEDIMIENTOS POR AÑO</w:t>
            </w:r>
          </w:p>
        </w:tc>
      </w:tr>
      <w:tr>
        <w:trPr>
          <w:trHeight w:val="422" w:hRule="exact"/>
        </w:trPr>
        <w:tc>
          <w:tcPr>
            <w:tcW w:w="1843" w:type="dxa"/>
            <w:tcBorders>
              <w:top w:val="single" w:sz="7" w:space="0" w:color="000000"/>
              <w:left w:val="single" w:sz="7" w:space="0" w:color="000000"/>
            </w:tcBorders>
          </w:tcPr>
          <w:p>
            <w:pPr>
              <w:pStyle w:val="TableParagraph"/>
              <w:spacing w:before="108"/>
              <w:ind w:left="352"/>
              <w:rPr>
                <w:rFonts w:ascii="Calibri"/>
                <w:sz w:val="16"/>
              </w:rPr>
            </w:pPr>
            <w:r>
              <w:rPr>
                <w:rFonts w:ascii="Calibri"/>
                <w:sz w:val="16"/>
              </w:rPr>
              <w:t>Costo por evento</w:t>
            </w:r>
          </w:p>
        </w:tc>
        <w:tc>
          <w:tcPr>
            <w:tcW w:w="1274" w:type="dxa"/>
            <w:tcBorders>
              <w:top w:val="single" w:sz="7" w:space="0" w:color="000000"/>
            </w:tcBorders>
          </w:tcPr>
          <w:p>
            <w:pPr>
              <w:pStyle w:val="TableParagraph"/>
              <w:spacing w:before="108"/>
              <w:ind w:left="45" w:right="45"/>
              <w:jc w:val="center"/>
              <w:rPr>
                <w:rFonts w:ascii="Calibri"/>
                <w:sz w:val="16"/>
              </w:rPr>
            </w:pPr>
            <w:r>
              <w:rPr>
                <w:rFonts w:ascii="Calibri"/>
                <w:sz w:val="16"/>
              </w:rPr>
              <w:t>$300,804,449.24</w:t>
            </w:r>
          </w:p>
        </w:tc>
        <w:tc>
          <w:tcPr>
            <w:tcW w:w="1385" w:type="dxa"/>
            <w:tcBorders>
              <w:top w:val="single" w:sz="7" w:space="0" w:color="000000"/>
            </w:tcBorders>
          </w:tcPr>
          <w:p>
            <w:pPr>
              <w:pStyle w:val="TableParagraph"/>
              <w:spacing w:before="6"/>
              <w:rPr>
                <w:b/>
                <w:sz w:val="18"/>
              </w:rPr>
            </w:pPr>
          </w:p>
          <w:p>
            <w:pPr>
              <w:pStyle w:val="TableParagraph"/>
              <w:ind w:left="67"/>
              <w:rPr>
                <w:rFonts w:ascii="Calibri"/>
                <w:sz w:val="16"/>
              </w:rPr>
            </w:pPr>
            <w:r>
              <w:rPr>
                <w:rFonts w:ascii="Calibri"/>
                <w:sz w:val="16"/>
              </w:rPr>
              <w:t>$300,804,449.24</w:t>
            </w:r>
          </w:p>
        </w:tc>
        <w:tc>
          <w:tcPr>
            <w:tcW w:w="1133" w:type="dxa"/>
            <w:tcBorders>
              <w:top w:val="single" w:sz="7" w:space="0" w:color="000000"/>
            </w:tcBorders>
          </w:tcPr>
          <w:p>
            <w:pPr>
              <w:pStyle w:val="TableParagraph"/>
              <w:spacing w:before="17"/>
              <w:ind w:left="67" w:right="107"/>
              <w:rPr>
                <w:rFonts w:ascii="Calibri"/>
                <w:sz w:val="16"/>
              </w:rPr>
            </w:pPr>
            <w:r>
              <w:rPr>
                <w:rFonts w:ascii="Calibri"/>
                <w:sz w:val="16"/>
              </w:rPr>
              <w:t>$300,804,449. 24</w:t>
            </w:r>
          </w:p>
        </w:tc>
        <w:tc>
          <w:tcPr>
            <w:tcW w:w="1133" w:type="dxa"/>
            <w:tcBorders>
              <w:top w:val="single" w:sz="7" w:space="0" w:color="000000"/>
            </w:tcBorders>
          </w:tcPr>
          <w:p>
            <w:pPr>
              <w:pStyle w:val="TableParagraph"/>
              <w:spacing w:before="17"/>
              <w:ind w:left="67" w:right="107"/>
              <w:rPr>
                <w:rFonts w:ascii="Calibri"/>
                <w:sz w:val="16"/>
              </w:rPr>
            </w:pPr>
            <w:r>
              <w:rPr>
                <w:rFonts w:ascii="Calibri"/>
                <w:sz w:val="16"/>
              </w:rPr>
              <w:t>$300,804,449. 24</w:t>
            </w:r>
          </w:p>
        </w:tc>
        <w:tc>
          <w:tcPr>
            <w:tcW w:w="1274" w:type="dxa"/>
            <w:tcBorders>
              <w:top w:val="single" w:sz="7" w:space="0" w:color="000000"/>
            </w:tcBorders>
          </w:tcPr>
          <w:p>
            <w:pPr>
              <w:pStyle w:val="TableParagraph"/>
              <w:spacing w:before="6"/>
              <w:rPr>
                <w:b/>
                <w:sz w:val="18"/>
              </w:rPr>
            </w:pPr>
          </w:p>
          <w:p>
            <w:pPr>
              <w:pStyle w:val="TableParagraph"/>
              <w:ind w:left="8" w:right="45"/>
              <w:jc w:val="center"/>
              <w:rPr>
                <w:rFonts w:ascii="Calibri"/>
                <w:sz w:val="16"/>
              </w:rPr>
            </w:pPr>
            <w:r>
              <w:rPr>
                <w:rFonts w:ascii="Calibri"/>
                <w:sz w:val="16"/>
              </w:rPr>
              <w:t>$300,804,449.24</w:t>
            </w:r>
          </w:p>
        </w:tc>
        <w:tc>
          <w:tcPr>
            <w:tcW w:w="1133" w:type="dxa"/>
            <w:tcBorders>
              <w:top w:val="single" w:sz="7" w:space="0" w:color="000000"/>
            </w:tcBorders>
          </w:tcPr>
          <w:p>
            <w:pPr>
              <w:pStyle w:val="TableParagraph"/>
              <w:spacing w:before="17"/>
              <w:ind w:left="67" w:right="107"/>
              <w:rPr>
                <w:rFonts w:ascii="Calibri"/>
                <w:sz w:val="16"/>
              </w:rPr>
            </w:pPr>
            <w:r>
              <w:rPr>
                <w:rFonts w:ascii="Calibri"/>
                <w:sz w:val="16"/>
              </w:rPr>
              <w:t>$300,804,449. 24</w:t>
            </w:r>
          </w:p>
        </w:tc>
        <w:tc>
          <w:tcPr>
            <w:tcW w:w="1310" w:type="dxa"/>
            <w:tcBorders>
              <w:top w:val="single" w:sz="7" w:space="0" w:color="000000"/>
            </w:tcBorders>
          </w:tcPr>
          <w:p>
            <w:pPr>
              <w:pStyle w:val="TableParagraph"/>
              <w:spacing w:before="6"/>
              <w:rPr>
                <w:b/>
                <w:sz w:val="18"/>
              </w:rPr>
            </w:pPr>
          </w:p>
          <w:p>
            <w:pPr>
              <w:pStyle w:val="TableParagraph"/>
              <w:ind w:left="43" w:right="116"/>
              <w:jc w:val="center"/>
              <w:rPr>
                <w:rFonts w:ascii="Calibri"/>
                <w:sz w:val="16"/>
              </w:rPr>
            </w:pPr>
            <w:r>
              <w:rPr>
                <w:rFonts w:ascii="Calibri"/>
                <w:sz w:val="16"/>
              </w:rPr>
              <w:t>$300,804,449.24</w:t>
            </w:r>
          </w:p>
        </w:tc>
      </w:tr>
      <w:tr>
        <w:trPr>
          <w:trHeight w:val="419" w:hRule="exact"/>
        </w:trPr>
        <w:tc>
          <w:tcPr>
            <w:tcW w:w="1843" w:type="dxa"/>
            <w:tcBorders>
              <w:left w:val="single" w:sz="7" w:space="0" w:color="000000"/>
              <w:bottom w:val="single" w:sz="7" w:space="0" w:color="000000"/>
            </w:tcBorders>
            <w:shd w:val="clear" w:color="auto" w:fill="D8D8D8"/>
          </w:tcPr>
          <w:p>
            <w:pPr>
              <w:pStyle w:val="TableParagraph"/>
              <w:spacing w:before="4"/>
              <w:rPr>
                <w:b/>
                <w:sz w:val="18"/>
              </w:rPr>
            </w:pPr>
          </w:p>
          <w:p>
            <w:pPr>
              <w:pStyle w:val="TableParagraph"/>
              <w:ind w:left="679" w:right="680"/>
              <w:jc w:val="center"/>
              <w:rPr>
                <w:rFonts w:ascii="Calibri"/>
                <w:b/>
                <w:sz w:val="16"/>
              </w:rPr>
            </w:pPr>
            <w:r>
              <w:rPr>
                <w:rFonts w:ascii="Calibri"/>
                <w:b/>
                <w:sz w:val="16"/>
              </w:rPr>
              <w:t>TOTAL</w:t>
            </w:r>
          </w:p>
        </w:tc>
        <w:tc>
          <w:tcPr>
            <w:tcW w:w="1274" w:type="dxa"/>
            <w:tcBorders>
              <w:bottom w:val="single" w:sz="7" w:space="0" w:color="000000"/>
            </w:tcBorders>
            <w:shd w:val="clear" w:color="auto" w:fill="D8D8D8"/>
          </w:tcPr>
          <w:p>
            <w:pPr>
              <w:pStyle w:val="TableParagraph"/>
              <w:spacing w:before="105"/>
              <w:ind w:left="45" w:right="45"/>
              <w:jc w:val="center"/>
              <w:rPr>
                <w:rFonts w:ascii="Calibri"/>
                <w:b/>
                <w:sz w:val="16"/>
              </w:rPr>
            </w:pPr>
            <w:r>
              <w:rPr>
                <w:rFonts w:ascii="Calibri"/>
                <w:b/>
                <w:sz w:val="16"/>
              </w:rPr>
              <w:t>$300,804,449.24</w:t>
            </w:r>
          </w:p>
        </w:tc>
        <w:tc>
          <w:tcPr>
            <w:tcW w:w="1385" w:type="dxa"/>
            <w:tcBorders>
              <w:bottom w:val="single" w:sz="7" w:space="0" w:color="000000"/>
            </w:tcBorders>
            <w:shd w:val="clear" w:color="auto" w:fill="D8D8D8"/>
          </w:tcPr>
          <w:p>
            <w:pPr>
              <w:pStyle w:val="TableParagraph"/>
              <w:spacing w:before="105"/>
              <w:ind w:left="139"/>
              <w:rPr>
                <w:rFonts w:ascii="Calibri"/>
                <w:b/>
                <w:sz w:val="16"/>
              </w:rPr>
            </w:pPr>
            <w:r>
              <w:rPr>
                <w:rFonts w:ascii="Calibri"/>
                <w:b/>
                <w:sz w:val="16"/>
              </w:rPr>
              <w:t>$300,804,449.24</w:t>
            </w:r>
          </w:p>
        </w:tc>
        <w:tc>
          <w:tcPr>
            <w:tcW w:w="1133" w:type="dxa"/>
            <w:tcBorders>
              <w:bottom w:val="single" w:sz="7" w:space="0" w:color="000000"/>
            </w:tcBorders>
            <w:shd w:val="clear" w:color="auto" w:fill="D8D8D8"/>
          </w:tcPr>
          <w:p>
            <w:pPr>
              <w:pStyle w:val="TableParagraph"/>
              <w:spacing w:before="7"/>
              <w:ind w:left="6" w:right="4"/>
              <w:jc w:val="center"/>
              <w:rPr>
                <w:rFonts w:ascii="Calibri"/>
                <w:b/>
                <w:sz w:val="16"/>
              </w:rPr>
            </w:pPr>
            <w:r>
              <w:rPr>
                <w:rFonts w:ascii="Calibri"/>
                <w:b/>
                <w:sz w:val="16"/>
              </w:rPr>
              <w:t>$300,804,449.</w:t>
            </w:r>
          </w:p>
          <w:p>
            <w:pPr>
              <w:pStyle w:val="TableParagraph"/>
              <w:spacing w:before="1"/>
              <w:ind w:left="5" w:right="4"/>
              <w:jc w:val="center"/>
              <w:rPr>
                <w:rFonts w:ascii="Calibri"/>
                <w:b/>
                <w:sz w:val="16"/>
              </w:rPr>
            </w:pPr>
            <w:r>
              <w:rPr>
                <w:rFonts w:ascii="Calibri"/>
                <w:b/>
                <w:sz w:val="16"/>
              </w:rPr>
              <w:t>24</w:t>
            </w:r>
          </w:p>
        </w:tc>
        <w:tc>
          <w:tcPr>
            <w:tcW w:w="1133" w:type="dxa"/>
            <w:tcBorders>
              <w:bottom w:val="single" w:sz="7" w:space="0" w:color="000000"/>
            </w:tcBorders>
            <w:shd w:val="clear" w:color="auto" w:fill="D8D8D8"/>
          </w:tcPr>
          <w:p>
            <w:pPr>
              <w:pStyle w:val="TableParagraph"/>
              <w:spacing w:before="7"/>
              <w:ind w:left="6" w:right="4"/>
              <w:jc w:val="center"/>
              <w:rPr>
                <w:rFonts w:ascii="Calibri"/>
                <w:b/>
                <w:sz w:val="16"/>
              </w:rPr>
            </w:pPr>
            <w:r>
              <w:rPr>
                <w:rFonts w:ascii="Calibri"/>
                <w:b/>
                <w:sz w:val="16"/>
              </w:rPr>
              <w:t>$300,804,449.</w:t>
            </w:r>
          </w:p>
          <w:p>
            <w:pPr>
              <w:pStyle w:val="TableParagraph"/>
              <w:spacing w:before="1"/>
              <w:ind w:left="5" w:right="4"/>
              <w:jc w:val="center"/>
              <w:rPr>
                <w:rFonts w:ascii="Calibri"/>
                <w:b/>
                <w:sz w:val="16"/>
              </w:rPr>
            </w:pPr>
            <w:r>
              <w:rPr>
                <w:rFonts w:ascii="Calibri"/>
                <w:b/>
                <w:sz w:val="16"/>
              </w:rPr>
              <w:t>24</w:t>
            </w:r>
          </w:p>
        </w:tc>
        <w:tc>
          <w:tcPr>
            <w:tcW w:w="1274" w:type="dxa"/>
            <w:tcBorders>
              <w:bottom w:val="single" w:sz="7" w:space="0" w:color="000000"/>
            </w:tcBorders>
            <w:shd w:val="clear" w:color="auto" w:fill="D8D8D8"/>
          </w:tcPr>
          <w:p>
            <w:pPr>
              <w:pStyle w:val="TableParagraph"/>
              <w:spacing w:before="105"/>
              <w:ind w:left="45" w:right="45"/>
              <w:jc w:val="center"/>
              <w:rPr>
                <w:rFonts w:ascii="Calibri"/>
                <w:b/>
                <w:sz w:val="16"/>
              </w:rPr>
            </w:pPr>
            <w:r>
              <w:rPr>
                <w:rFonts w:ascii="Calibri"/>
                <w:b/>
                <w:sz w:val="16"/>
              </w:rPr>
              <w:t>$300,804,449.24</w:t>
            </w:r>
          </w:p>
        </w:tc>
        <w:tc>
          <w:tcPr>
            <w:tcW w:w="1133" w:type="dxa"/>
            <w:tcBorders>
              <w:bottom w:val="single" w:sz="7" w:space="0" w:color="000000"/>
            </w:tcBorders>
            <w:shd w:val="clear" w:color="auto" w:fill="D8D8D8"/>
          </w:tcPr>
          <w:p>
            <w:pPr>
              <w:pStyle w:val="TableParagraph"/>
              <w:spacing w:before="7"/>
              <w:ind w:left="6" w:right="4"/>
              <w:jc w:val="center"/>
              <w:rPr>
                <w:rFonts w:ascii="Calibri"/>
                <w:b/>
                <w:sz w:val="16"/>
              </w:rPr>
            </w:pPr>
            <w:r>
              <w:rPr>
                <w:rFonts w:ascii="Calibri"/>
                <w:b/>
                <w:sz w:val="16"/>
              </w:rPr>
              <w:t>$300,804,449.</w:t>
            </w:r>
          </w:p>
          <w:p>
            <w:pPr>
              <w:pStyle w:val="TableParagraph"/>
              <w:spacing w:before="1"/>
              <w:ind w:left="5" w:right="4"/>
              <w:jc w:val="center"/>
              <w:rPr>
                <w:rFonts w:ascii="Calibri"/>
                <w:b/>
                <w:sz w:val="16"/>
              </w:rPr>
            </w:pPr>
            <w:r>
              <w:rPr>
                <w:rFonts w:ascii="Calibri"/>
                <w:b/>
                <w:sz w:val="16"/>
              </w:rPr>
              <w:t>24</w:t>
            </w:r>
          </w:p>
        </w:tc>
        <w:tc>
          <w:tcPr>
            <w:tcW w:w="1310" w:type="dxa"/>
            <w:tcBorders>
              <w:bottom w:val="single" w:sz="7" w:space="0" w:color="000000"/>
            </w:tcBorders>
            <w:shd w:val="clear" w:color="auto" w:fill="D8D8D8"/>
          </w:tcPr>
          <w:p>
            <w:pPr>
              <w:pStyle w:val="TableParagraph"/>
              <w:spacing w:before="105"/>
              <w:ind w:left="48" w:right="116"/>
              <w:jc w:val="center"/>
              <w:rPr>
                <w:rFonts w:ascii="Calibri"/>
                <w:b/>
                <w:sz w:val="16"/>
              </w:rPr>
            </w:pPr>
            <w:r>
              <w:rPr>
                <w:rFonts w:ascii="Calibri"/>
                <w:b/>
                <w:sz w:val="16"/>
              </w:rPr>
              <w:t>$300,804,449.24</w:t>
            </w:r>
          </w:p>
        </w:tc>
      </w:tr>
      <w:tr>
        <w:trPr>
          <w:trHeight w:val="423" w:hRule="exact"/>
        </w:trPr>
        <w:tc>
          <w:tcPr>
            <w:tcW w:w="10486" w:type="dxa"/>
            <w:gridSpan w:val="8"/>
            <w:tcBorders>
              <w:top w:val="single" w:sz="7" w:space="0" w:color="000000"/>
              <w:left w:val="single" w:sz="7" w:space="0" w:color="000000"/>
              <w:bottom w:val="single" w:sz="7" w:space="0" w:color="000000"/>
              <w:right w:val="nil"/>
            </w:tcBorders>
            <w:shd w:val="clear" w:color="auto" w:fill="003399"/>
          </w:tcPr>
          <w:p>
            <w:pPr>
              <w:pStyle w:val="TableParagraph"/>
              <w:spacing w:before="15"/>
              <w:ind w:left="153" w:right="8783" w:firstLine="208"/>
              <w:rPr>
                <w:rFonts w:ascii="Calibri" w:hAnsi="Calibri"/>
                <w:b/>
                <w:sz w:val="16"/>
              </w:rPr>
            </w:pPr>
            <w:r>
              <w:rPr>
                <w:rFonts w:ascii="Calibri" w:hAnsi="Calibri"/>
                <w:b/>
                <w:color w:val="FFFFFF"/>
                <w:sz w:val="16"/>
              </w:rPr>
              <w:t>BENEFICIOS POR ATENCIONES POR AÑO</w:t>
            </w:r>
          </w:p>
        </w:tc>
      </w:tr>
      <w:tr>
        <w:trPr>
          <w:trHeight w:val="422" w:hRule="exact"/>
        </w:trPr>
        <w:tc>
          <w:tcPr>
            <w:tcW w:w="1843" w:type="dxa"/>
            <w:tcBorders>
              <w:top w:val="single" w:sz="7" w:space="0" w:color="000000"/>
              <w:left w:val="single" w:sz="7" w:space="0" w:color="000000"/>
            </w:tcBorders>
          </w:tcPr>
          <w:p>
            <w:pPr>
              <w:pStyle w:val="TableParagraph"/>
              <w:spacing w:before="9"/>
              <w:ind w:left="686" w:hanging="437"/>
              <w:rPr>
                <w:rFonts w:ascii="Calibri"/>
                <w:sz w:val="16"/>
              </w:rPr>
            </w:pPr>
            <w:r>
              <w:rPr>
                <w:rFonts w:ascii="Calibri"/>
                <w:sz w:val="16"/>
              </w:rPr>
              <w:t>Renta de equipo por evento</w:t>
            </w:r>
          </w:p>
        </w:tc>
        <w:tc>
          <w:tcPr>
            <w:tcW w:w="1274" w:type="dxa"/>
            <w:tcBorders>
              <w:top w:val="single" w:sz="7" w:space="0" w:color="000000"/>
            </w:tcBorders>
          </w:tcPr>
          <w:p>
            <w:pPr>
              <w:pStyle w:val="TableParagraph"/>
              <w:spacing w:before="108"/>
              <w:ind w:left="45" w:right="45"/>
              <w:jc w:val="center"/>
              <w:rPr>
                <w:rFonts w:ascii="Calibri"/>
                <w:sz w:val="16"/>
              </w:rPr>
            </w:pPr>
            <w:r>
              <w:rPr>
                <w:rFonts w:ascii="Calibri"/>
                <w:sz w:val="16"/>
              </w:rPr>
              <w:t>$321,742,542.96</w:t>
            </w:r>
          </w:p>
        </w:tc>
        <w:tc>
          <w:tcPr>
            <w:tcW w:w="1385" w:type="dxa"/>
            <w:tcBorders>
              <w:top w:val="single" w:sz="7" w:space="0" w:color="000000"/>
            </w:tcBorders>
          </w:tcPr>
          <w:p>
            <w:pPr>
              <w:pStyle w:val="TableParagraph"/>
              <w:spacing w:before="108"/>
              <w:ind w:left="67"/>
              <w:rPr>
                <w:rFonts w:ascii="Calibri"/>
                <w:sz w:val="16"/>
              </w:rPr>
            </w:pPr>
            <w:r>
              <w:rPr>
                <w:rFonts w:ascii="Calibri"/>
                <w:sz w:val="16"/>
              </w:rPr>
              <w:t>$321,742,542.96</w:t>
            </w:r>
          </w:p>
        </w:tc>
        <w:tc>
          <w:tcPr>
            <w:tcW w:w="1133" w:type="dxa"/>
            <w:tcBorders>
              <w:top w:val="single" w:sz="7" w:space="0" w:color="000000"/>
            </w:tcBorders>
          </w:tcPr>
          <w:p>
            <w:pPr>
              <w:pStyle w:val="TableParagraph"/>
              <w:spacing w:before="9"/>
              <w:ind w:left="67" w:right="107"/>
              <w:rPr>
                <w:rFonts w:ascii="Calibri"/>
                <w:sz w:val="16"/>
              </w:rPr>
            </w:pPr>
            <w:r>
              <w:rPr>
                <w:rFonts w:ascii="Calibri"/>
                <w:sz w:val="16"/>
              </w:rPr>
              <w:t>$321,742,542. 96</w:t>
            </w:r>
          </w:p>
        </w:tc>
        <w:tc>
          <w:tcPr>
            <w:tcW w:w="1133" w:type="dxa"/>
            <w:tcBorders>
              <w:top w:val="single" w:sz="7" w:space="0" w:color="000000"/>
            </w:tcBorders>
          </w:tcPr>
          <w:p>
            <w:pPr>
              <w:pStyle w:val="TableParagraph"/>
              <w:spacing w:before="9"/>
              <w:ind w:left="67" w:right="107"/>
              <w:rPr>
                <w:rFonts w:ascii="Calibri"/>
                <w:sz w:val="16"/>
              </w:rPr>
            </w:pPr>
            <w:r>
              <w:rPr>
                <w:rFonts w:ascii="Calibri"/>
                <w:sz w:val="16"/>
              </w:rPr>
              <w:t>$321,742,542. 96</w:t>
            </w:r>
          </w:p>
        </w:tc>
        <w:tc>
          <w:tcPr>
            <w:tcW w:w="1274" w:type="dxa"/>
            <w:tcBorders>
              <w:top w:val="single" w:sz="7" w:space="0" w:color="000000"/>
            </w:tcBorders>
          </w:tcPr>
          <w:p>
            <w:pPr>
              <w:pStyle w:val="TableParagraph"/>
              <w:spacing w:before="108"/>
              <w:ind w:left="8" w:right="45"/>
              <w:jc w:val="center"/>
              <w:rPr>
                <w:rFonts w:ascii="Calibri"/>
                <w:sz w:val="16"/>
              </w:rPr>
            </w:pPr>
            <w:r>
              <w:rPr>
                <w:rFonts w:ascii="Calibri"/>
                <w:sz w:val="16"/>
              </w:rPr>
              <w:t>$321,742,542.96</w:t>
            </w:r>
          </w:p>
        </w:tc>
        <w:tc>
          <w:tcPr>
            <w:tcW w:w="1133" w:type="dxa"/>
            <w:tcBorders>
              <w:top w:val="single" w:sz="7" w:space="0" w:color="000000"/>
            </w:tcBorders>
          </w:tcPr>
          <w:p>
            <w:pPr>
              <w:pStyle w:val="TableParagraph"/>
              <w:spacing w:before="9"/>
              <w:ind w:left="67" w:right="107"/>
              <w:rPr>
                <w:rFonts w:ascii="Calibri"/>
                <w:sz w:val="16"/>
              </w:rPr>
            </w:pPr>
            <w:r>
              <w:rPr>
                <w:rFonts w:ascii="Calibri"/>
                <w:sz w:val="16"/>
              </w:rPr>
              <w:t>$321,742,542. 96</w:t>
            </w:r>
          </w:p>
        </w:tc>
        <w:tc>
          <w:tcPr>
            <w:tcW w:w="1310" w:type="dxa"/>
            <w:tcBorders>
              <w:top w:val="single" w:sz="7" w:space="0" w:color="000000"/>
            </w:tcBorders>
          </w:tcPr>
          <w:p>
            <w:pPr>
              <w:pStyle w:val="TableParagraph"/>
              <w:spacing w:before="108"/>
              <w:ind w:left="43" w:right="116"/>
              <w:jc w:val="center"/>
              <w:rPr>
                <w:rFonts w:ascii="Calibri"/>
                <w:sz w:val="16"/>
              </w:rPr>
            </w:pPr>
            <w:r>
              <w:rPr>
                <w:rFonts w:ascii="Calibri"/>
                <w:sz w:val="16"/>
              </w:rPr>
              <w:t>$321,742,542.96</w:t>
            </w:r>
          </w:p>
        </w:tc>
      </w:tr>
      <w:tr>
        <w:trPr>
          <w:trHeight w:val="600" w:hRule="exact"/>
        </w:trPr>
        <w:tc>
          <w:tcPr>
            <w:tcW w:w="1843" w:type="dxa"/>
            <w:tcBorders>
              <w:left w:val="single" w:sz="7" w:space="0" w:color="000000"/>
              <w:bottom w:val="single" w:sz="7" w:space="0" w:color="000000"/>
            </w:tcBorders>
            <w:shd w:val="clear" w:color="auto" w:fill="D8D8D8"/>
          </w:tcPr>
          <w:p>
            <w:pPr>
              <w:pStyle w:val="TableParagraph"/>
              <w:rPr>
                <w:b/>
                <w:sz w:val="16"/>
              </w:rPr>
            </w:pPr>
          </w:p>
          <w:p>
            <w:pPr>
              <w:pStyle w:val="TableParagraph"/>
              <w:rPr>
                <w:b/>
                <w:sz w:val="18"/>
              </w:rPr>
            </w:pPr>
          </w:p>
          <w:p>
            <w:pPr>
              <w:pStyle w:val="TableParagraph"/>
              <w:ind w:left="62"/>
              <w:rPr>
                <w:rFonts w:ascii="Calibri"/>
                <w:b/>
                <w:sz w:val="16"/>
              </w:rPr>
            </w:pPr>
            <w:r>
              <w:rPr>
                <w:rFonts w:ascii="Calibri"/>
                <w:b/>
                <w:sz w:val="16"/>
              </w:rPr>
              <w:t>TOTAL</w:t>
            </w:r>
          </w:p>
        </w:tc>
        <w:tc>
          <w:tcPr>
            <w:tcW w:w="1274" w:type="dxa"/>
            <w:tcBorders>
              <w:bottom w:val="single" w:sz="7" w:space="0" w:color="000000"/>
            </w:tcBorders>
            <w:shd w:val="clear" w:color="auto" w:fill="D8D8D8"/>
          </w:tcPr>
          <w:p>
            <w:pPr>
              <w:pStyle w:val="TableParagraph"/>
              <w:spacing w:before="1"/>
              <w:rPr>
                <w:b/>
                <w:sz w:val="17"/>
              </w:rPr>
            </w:pPr>
          </w:p>
          <w:p>
            <w:pPr>
              <w:pStyle w:val="TableParagraph"/>
              <w:ind w:left="47" w:right="45"/>
              <w:jc w:val="center"/>
              <w:rPr>
                <w:rFonts w:ascii="Calibri"/>
                <w:b/>
                <w:sz w:val="16"/>
              </w:rPr>
            </w:pPr>
            <w:r>
              <w:rPr>
                <w:rFonts w:ascii="Calibri"/>
                <w:b/>
                <w:sz w:val="16"/>
              </w:rPr>
              <w:t>$ 321,742,542.96</w:t>
            </w:r>
          </w:p>
        </w:tc>
        <w:tc>
          <w:tcPr>
            <w:tcW w:w="1385" w:type="dxa"/>
            <w:tcBorders>
              <w:bottom w:val="single" w:sz="7" w:space="0" w:color="000000"/>
            </w:tcBorders>
            <w:shd w:val="clear" w:color="auto" w:fill="D8D8D8"/>
          </w:tcPr>
          <w:p>
            <w:pPr>
              <w:pStyle w:val="TableParagraph"/>
              <w:spacing w:before="1"/>
              <w:rPr>
                <w:b/>
                <w:sz w:val="17"/>
              </w:rPr>
            </w:pPr>
          </w:p>
          <w:p>
            <w:pPr>
              <w:pStyle w:val="TableParagraph"/>
              <w:ind w:left="120"/>
              <w:rPr>
                <w:rFonts w:ascii="Calibri"/>
                <w:b/>
                <w:sz w:val="16"/>
              </w:rPr>
            </w:pPr>
            <w:r>
              <w:rPr>
                <w:rFonts w:ascii="Calibri"/>
                <w:b/>
                <w:sz w:val="16"/>
              </w:rPr>
              <w:t>$ 321,742,542.96</w:t>
            </w:r>
          </w:p>
        </w:tc>
        <w:tc>
          <w:tcPr>
            <w:tcW w:w="1133" w:type="dxa"/>
            <w:tcBorders>
              <w:bottom w:val="single" w:sz="7" w:space="0" w:color="000000"/>
            </w:tcBorders>
            <w:shd w:val="clear" w:color="auto" w:fill="D8D8D8"/>
          </w:tcPr>
          <w:p>
            <w:pPr>
              <w:pStyle w:val="TableParagraph"/>
              <w:ind w:left="95" w:right="91" w:hanging="1"/>
              <w:jc w:val="center"/>
              <w:rPr>
                <w:rFonts w:ascii="Calibri"/>
                <w:b/>
                <w:sz w:val="16"/>
              </w:rPr>
            </w:pPr>
            <w:r>
              <w:rPr>
                <w:rFonts w:ascii="Calibri"/>
                <w:b/>
                <w:sz w:val="16"/>
              </w:rPr>
              <w:t>$          321,742,542.9</w:t>
            </w:r>
          </w:p>
          <w:p>
            <w:pPr>
              <w:pStyle w:val="TableParagraph"/>
              <w:spacing w:line="194" w:lineRule="exact"/>
              <w:ind w:left="2"/>
              <w:jc w:val="center"/>
              <w:rPr>
                <w:rFonts w:ascii="Calibri"/>
                <w:b/>
                <w:sz w:val="16"/>
              </w:rPr>
            </w:pPr>
            <w:r>
              <w:rPr>
                <w:rFonts w:ascii="Calibri"/>
                <w:b/>
                <w:w w:val="100"/>
                <w:sz w:val="16"/>
              </w:rPr>
              <w:t>6</w:t>
            </w:r>
          </w:p>
        </w:tc>
        <w:tc>
          <w:tcPr>
            <w:tcW w:w="1133" w:type="dxa"/>
            <w:tcBorders>
              <w:bottom w:val="single" w:sz="7" w:space="0" w:color="000000"/>
            </w:tcBorders>
            <w:shd w:val="clear" w:color="auto" w:fill="D8D8D8"/>
          </w:tcPr>
          <w:p>
            <w:pPr>
              <w:pStyle w:val="TableParagraph"/>
              <w:ind w:left="96" w:right="91" w:hanging="1"/>
              <w:jc w:val="center"/>
              <w:rPr>
                <w:rFonts w:ascii="Calibri"/>
                <w:b/>
                <w:sz w:val="16"/>
              </w:rPr>
            </w:pPr>
            <w:r>
              <w:rPr>
                <w:rFonts w:ascii="Calibri"/>
                <w:b/>
                <w:sz w:val="16"/>
              </w:rPr>
              <w:t>$          321,742,542.9</w:t>
            </w:r>
          </w:p>
          <w:p>
            <w:pPr>
              <w:pStyle w:val="TableParagraph"/>
              <w:spacing w:line="194" w:lineRule="exact"/>
              <w:ind w:left="2"/>
              <w:jc w:val="center"/>
              <w:rPr>
                <w:rFonts w:ascii="Calibri"/>
                <w:b/>
                <w:sz w:val="16"/>
              </w:rPr>
            </w:pPr>
            <w:r>
              <w:rPr>
                <w:rFonts w:ascii="Calibri"/>
                <w:b/>
                <w:w w:val="100"/>
                <w:sz w:val="16"/>
              </w:rPr>
              <w:t>6</w:t>
            </w:r>
          </w:p>
        </w:tc>
        <w:tc>
          <w:tcPr>
            <w:tcW w:w="1274" w:type="dxa"/>
            <w:tcBorders>
              <w:bottom w:val="single" w:sz="7" w:space="0" w:color="000000"/>
            </w:tcBorders>
            <w:shd w:val="clear" w:color="auto" w:fill="D8D8D8"/>
          </w:tcPr>
          <w:p>
            <w:pPr>
              <w:pStyle w:val="TableParagraph"/>
              <w:spacing w:before="1"/>
              <w:rPr>
                <w:b/>
                <w:sz w:val="17"/>
              </w:rPr>
            </w:pPr>
          </w:p>
          <w:p>
            <w:pPr>
              <w:pStyle w:val="TableParagraph"/>
              <w:ind w:left="47" w:right="45"/>
              <w:jc w:val="center"/>
              <w:rPr>
                <w:rFonts w:ascii="Calibri"/>
                <w:b/>
                <w:sz w:val="16"/>
              </w:rPr>
            </w:pPr>
            <w:r>
              <w:rPr>
                <w:rFonts w:ascii="Calibri"/>
                <w:b/>
                <w:sz w:val="16"/>
              </w:rPr>
              <w:t>$ 321,742,542.96</w:t>
            </w:r>
          </w:p>
        </w:tc>
        <w:tc>
          <w:tcPr>
            <w:tcW w:w="1133" w:type="dxa"/>
            <w:tcBorders>
              <w:bottom w:val="single" w:sz="7" w:space="0" w:color="000000"/>
            </w:tcBorders>
            <w:shd w:val="clear" w:color="auto" w:fill="D8D8D8"/>
          </w:tcPr>
          <w:p>
            <w:pPr>
              <w:pStyle w:val="TableParagraph"/>
              <w:ind w:left="95" w:right="91" w:hanging="1"/>
              <w:jc w:val="center"/>
              <w:rPr>
                <w:rFonts w:ascii="Calibri"/>
                <w:b/>
                <w:sz w:val="16"/>
              </w:rPr>
            </w:pPr>
            <w:r>
              <w:rPr>
                <w:rFonts w:ascii="Calibri"/>
                <w:b/>
                <w:sz w:val="16"/>
              </w:rPr>
              <w:t>$          321,742,542.9</w:t>
            </w:r>
          </w:p>
          <w:p>
            <w:pPr>
              <w:pStyle w:val="TableParagraph"/>
              <w:spacing w:line="194" w:lineRule="exact"/>
              <w:ind w:left="2"/>
              <w:jc w:val="center"/>
              <w:rPr>
                <w:rFonts w:ascii="Calibri"/>
                <w:b/>
                <w:sz w:val="16"/>
              </w:rPr>
            </w:pPr>
            <w:r>
              <w:rPr>
                <w:rFonts w:ascii="Calibri"/>
                <w:b/>
                <w:w w:val="100"/>
                <w:sz w:val="16"/>
              </w:rPr>
              <w:t>6</w:t>
            </w:r>
          </w:p>
        </w:tc>
        <w:tc>
          <w:tcPr>
            <w:tcW w:w="1310" w:type="dxa"/>
            <w:tcBorders>
              <w:bottom w:val="single" w:sz="7" w:space="0" w:color="000000"/>
            </w:tcBorders>
            <w:shd w:val="clear" w:color="auto" w:fill="D8D8D8"/>
          </w:tcPr>
          <w:p>
            <w:pPr>
              <w:pStyle w:val="TableParagraph"/>
              <w:spacing w:before="1"/>
              <w:rPr>
                <w:b/>
                <w:sz w:val="17"/>
              </w:rPr>
            </w:pPr>
          </w:p>
          <w:p>
            <w:pPr>
              <w:pStyle w:val="TableParagraph"/>
              <w:ind w:left="48" w:right="48"/>
              <w:jc w:val="center"/>
              <w:rPr>
                <w:rFonts w:ascii="Calibri"/>
                <w:b/>
                <w:sz w:val="16"/>
              </w:rPr>
            </w:pPr>
            <w:r>
              <w:rPr>
                <w:rFonts w:ascii="Calibri"/>
                <w:b/>
                <w:sz w:val="16"/>
              </w:rPr>
              <w:t>$ 321,742,542.96</w:t>
            </w:r>
          </w:p>
        </w:tc>
      </w:tr>
    </w:tbl>
    <w:p>
      <w:pPr>
        <w:spacing w:after="0"/>
        <w:jc w:val="center"/>
        <w:rPr>
          <w:rFonts w:ascii="Calibri"/>
          <w:sz w:val="16"/>
        </w:rPr>
        <w:sectPr>
          <w:footerReference w:type="default" r:id="rId48"/>
          <w:pgSz w:w="12240" w:h="15840"/>
          <w:pgMar w:footer="0" w:header="0" w:top="1460" w:bottom="280" w:left="1020" w:right="420"/>
        </w:sectPr>
      </w:pPr>
    </w:p>
    <w:tbl>
      <w:tblPr>
        <w:tblW w:w="0" w:type="auto"/>
        <w:jc w:val="left"/>
        <w:tblInd w:w="153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983"/>
        <w:gridCol w:w="2227"/>
        <w:gridCol w:w="1898"/>
      </w:tblGrid>
      <w:tr>
        <w:trPr>
          <w:trHeight w:val="423" w:hRule="exact"/>
        </w:trPr>
        <w:tc>
          <w:tcPr>
            <w:tcW w:w="5210" w:type="dxa"/>
            <w:gridSpan w:val="2"/>
            <w:tcBorders>
              <w:right w:val="single" w:sz="3" w:space="0" w:color="000000"/>
            </w:tcBorders>
            <w:shd w:val="clear" w:color="auto" w:fill="D4CFB5"/>
          </w:tcPr>
          <w:p>
            <w:pPr>
              <w:pStyle w:val="TableParagraph"/>
              <w:tabs>
                <w:tab w:pos="4170" w:val="right" w:leader="none"/>
              </w:tabs>
              <w:spacing w:before="90"/>
              <w:ind w:left="62"/>
              <w:rPr>
                <w:rFonts w:ascii="Calibri"/>
                <w:b/>
                <w:sz w:val="16"/>
              </w:rPr>
            </w:pPr>
            <w:r>
              <w:rPr>
                <w:rFonts w:ascii="Calibri"/>
                <w:b/>
                <w:sz w:val="16"/>
              </w:rPr>
              <w:t>PERIODO</w:t>
            </w:r>
            <w:r>
              <w:rPr>
                <w:rFonts w:ascii="Calibri"/>
                <w:b/>
                <w:position w:val="11"/>
                <w:sz w:val="16"/>
              </w:rPr>
              <w:tab/>
              <w:t>14</w:t>
            </w:r>
          </w:p>
        </w:tc>
        <w:tc>
          <w:tcPr>
            <w:tcW w:w="1898" w:type="dxa"/>
            <w:tcBorders>
              <w:left w:val="single" w:sz="3" w:space="0" w:color="000000"/>
            </w:tcBorders>
            <w:shd w:val="clear" w:color="auto" w:fill="D4CFB5"/>
          </w:tcPr>
          <w:p>
            <w:pPr>
              <w:pStyle w:val="TableParagraph"/>
              <w:spacing w:before="95"/>
              <w:ind w:left="36" w:right="32"/>
              <w:jc w:val="center"/>
              <w:rPr>
                <w:rFonts w:ascii="Calibri"/>
                <w:b/>
                <w:sz w:val="16"/>
              </w:rPr>
            </w:pPr>
            <w:r>
              <w:rPr>
                <w:rFonts w:ascii="Calibri"/>
                <w:b/>
                <w:sz w:val="16"/>
              </w:rPr>
              <w:t>15</w:t>
            </w:r>
          </w:p>
        </w:tc>
      </w:tr>
      <w:tr>
        <w:trPr>
          <w:trHeight w:val="425" w:hRule="exact"/>
        </w:trPr>
        <w:tc>
          <w:tcPr>
            <w:tcW w:w="7109" w:type="dxa"/>
            <w:gridSpan w:val="3"/>
            <w:shd w:val="clear" w:color="auto" w:fill="003399"/>
          </w:tcPr>
          <w:p>
            <w:pPr>
              <w:pStyle w:val="TableParagraph"/>
              <w:spacing w:before="6"/>
              <w:rPr>
                <w:b/>
                <w:sz w:val="17"/>
              </w:rPr>
            </w:pPr>
          </w:p>
          <w:p>
            <w:pPr>
              <w:pStyle w:val="TableParagraph"/>
              <w:ind w:left="62"/>
              <w:rPr>
                <w:rFonts w:ascii="Calibri" w:hAnsi="Calibri"/>
                <w:b/>
                <w:sz w:val="16"/>
              </w:rPr>
            </w:pPr>
            <w:r>
              <w:rPr>
                <w:rFonts w:ascii="Calibri" w:hAnsi="Calibri"/>
                <w:b/>
                <w:color w:val="FFFFFF"/>
                <w:sz w:val="16"/>
              </w:rPr>
              <w:t>NUMERO DE PROCEDIMIENTOS POR AÑO</w:t>
            </w:r>
          </w:p>
        </w:tc>
      </w:tr>
      <w:tr>
        <w:trPr>
          <w:trHeight w:val="422" w:hRule="exact"/>
        </w:trPr>
        <w:tc>
          <w:tcPr>
            <w:tcW w:w="2983" w:type="dxa"/>
            <w:tcBorders>
              <w:bottom w:val="single" w:sz="3" w:space="0" w:color="000000"/>
              <w:right w:val="single" w:sz="3" w:space="0" w:color="000000"/>
            </w:tcBorders>
          </w:tcPr>
          <w:p>
            <w:pPr>
              <w:pStyle w:val="TableParagraph"/>
              <w:spacing w:before="6"/>
              <w:rPr>
                <w:b/>
                <w:sz w:val="17"/>
              </w:rPr>
            </w:pPr>
          </w:p>
          <w:p>
            <w:pPr>
              <w:pStyle w:val="TableParagraph"/>
              <w:ind w:left="62"/>
              <w:rPr>
                <w:rFonts w:ascii="Calibri" w:hAnsi="Calibri"/>
                <w:sz w:val="16"/>
              </w:rPr>
            </w:pPr>
            <w:r>
              <w:rPr>
                <w:rFonts w:ascii="Calibri" w:hAnsi="Calibri"/>
                <w:sz w:val="16"/>
              </w:rPr>
              <w:t>Número de eventos</w:t>
            </w:r>
          </w:p>
        </w:tc>
        <w:tc>
          <w:tcPr>
            <w:tcW w:w="2227" w:type="dxa"/>
            <w:tcBorders>
              <w:left w:val="single" w:sz="3" w:space="0" w:color="000000"/>
              <w:bottom w:val="single" w:sz="3" w:space="0" w:color="000000"/>
              <w:right w:val="single" w:sz="3" w:space="0" w:color="000000"/>
            </w:tcBorders>
          </w:tcPr>
          <w:p>
            <w:pPr>
              <w:pStyle w:val="TableParagraph"/>
              <w:spacing w:before="6"/>
              <w:rPr>
                <w:b/>
                <w:sz w:val="17"/>
              </w:rPr>
            </w:pPr>
          </w:p>
          <w:p>
            <w:pPr>
              <w:pStyle w:val="TableParagraph"/>
              <w:ind w:left="828" w:right="825"/>
              <w:jc w:val="center"/>
              <w:rPr>
                <w:rFonts w:ascii="Calibri"/>
                <w:sz w:val="16"/>
              </w:rPr>
            </w:pPr>
            <w:r>
              <w:rPr>
                <w:rFonts w:ascii="Calibri"/>
                <w:sz w:val="16"/>
              </w:rPr>
              <w:t>228.125</w:t>
            </w:r>
          </w:p>
        </w:tc>
        <w:tc>
          <w:tcPr>
            <w:tcW w:w="1898" w:type="dxa"/>
            <w:tcBorders>
              <w:left w:val="single" w:sz="3" w:space="0" w:color="000000"/>
              <w:bottom w:val="single" w:sz="3" w:space="0" w:color="000000"/>
            </w:tcBorders>
          </w:tcPr>
          <w:p>
            <w:pPr>
              <w:pStyle w:val="TableParagraph"/>
              <w:spacing w:before="6"/>
              <w:rPr>
                <w:b/>
                <w:sz w:val="17"/>
              </w:rPr>
            </w:pPr>
          </w:p>
          <w:p>
            <w:pPr>
              <w:pStyle w:val="TableParagraph"/>
              <w:ind w:left="36" w:right="31"/>
              <w:jc w:val="center"/>
              <w:rPr>
                <w:rFonts w:ascii="Calibri"/>
                <w:sz w:val="16"/>
              </w:rPr>
            </w:pPr>
            <w:r>
              <w:rPr>
                <w:rFonts w:ascii="Calibri"/>
                <w:sz w:val="16"/>
              </w:rPr>
              <w:t>228.125</w:t>
            </w:r>
          </w:p>
        </w:tc>
      </w:tr>
      <w:tr>
        <w:trPr>
          <w:trHeight w:val="419" w:hRule="exact"/>
        </w:trPr>
        <w:tc>
          <w:tcPr>
            <w:tcW w:w="2983" w:type="dxa"/>
            <w:tcBorders>
              <w:top w:val="single" w:sz="3" w:space="0" w:color="000000"/>
              <w:right w:val="single" w:sz="3" w:space="0" w:color="000000"/>
            </w:tcBorders>
            <w:shd w:val="clear" w:color="auto" w:fill="D8D8D8"/>
          </w:tcPr>
          <w:p>
            <w:pPr>
              <w:pStyle w:val="TableParagraph"/>
              <w:spacing w:before="4"/>
              <w:rPr>
                <w:b/>
                <w:sz w:val="17"/>
              </w:rPr>
            </w:pPr>
          </w:p>
          <w:p>
            <w:pPr>
              <w:pStyle w:val="TableParagraph"/>
              <w:ind w:left="62"/>
              <w:rPr>
                <w:rFonts w:ascii="Calibri"/>
                <w:b/>
                <w:sz w:val="16"/>
              </w:rPr>
            </w:pPr>
            <w:r>
              <w:rPr>
                <w:rFonts w:ascii="Calibri"/>
                <w:b/>
                <w:sz w:val="16"/>
              </w:rPr>
              <w:t>TOTAL</w:t>
            </w:r>
          </w:p>
        </w:tc>
        <w:tc>
          <w:tcPr>
            <w:tcW w:w="2227" w:type="dxa"/>
            <w:tcBorders>
              <w:top w:val="single" w:sz="3" w:space="0" w:color="000000"/>
              <w:left w:val="single" w:sz="3" w:space="0" w:color="000000"/>
            </w:tcBorders>
            <w:shd w:val="clear" w:color="auto" w:fill="D8D8D8"/>
          </w:tcPr>
          <w:p>
            <w:pPr>
              <w:pStyle w:val="TableParagraph"/>
              <w:spacing w:before="4"/>
              <w:rPr>
                <w:b/>
                <w:sz w:val="17"/>
              </w:rPr>
            </w:pPr>
          </w:p>
          <w:p>
            <w:pPr>
              <w:pStyle w:val="TableParagraph"/>
              <w:ind w:left="825" w:right="820"/>
              <w:jc w:val="center"/>
              <w:rPr>
                <w:rFonts w:ascii="Calibri"/>
                <w:b/>
                <w:sz w:val="16"/>
              </w:rPr>
            </w:pPr>
            <w:r>
              <w:rPr>
                <w:rFonts w:ascii="Calibri"/>
                <w:b/>
                <w:sz w:val="16"/>
              </w:rPr>
              <w:t>228.125</w:t>
            </w:r>
          </w:p>
        </w:tc>
        <w:tc>
          <w:tcPr>
            <w:tcW w:w="1898" w:type="dxa"/>
            <w:tcBorders>
              <w:top w:val="single" w:sz="3" w:space="0" w:color="000000"/>
            </w:tcBorders>
            <w:shd w:val="clear" w:color="auto" w:fill="D8D8D8"/>
          </w:tcPr>
          <w:p>
            <w:pPr>
              <w:pStyle w:val="TableParagraph"/>
              <w:spacing w:before="4"/>
              <w:rPr>
                <w:b/>
                <w:sz w:val="17"/>
              </w:rPr>
            </w:pPr>
          </w:p>
          <w:p>
            <w:pPr>
              <w:pStyle w:val="TableParagraph"/>
              <w:ind w:left="655" w:right="656"/>
              <w:jc w:val="center"/>
              <w:rPr>
                <w:rFonts w:ascii="Calibri"/>
                <w:b/>
                <w:sz w:val="16"/>
              </w:rPr>
            </w:pPr>
            <w:r>
              <w:rPr>
                <w:rFonts w:ascii="Calibri"/>
                <w:b/>
                <w:sz w:val="16"/>
              </w:rPr>
              <w:t>228.125</w:t>
            </w:r>
          </w:p>
        </w:tc>
      </w:tr>
      <w:tr>
        <w:trPr>
          <w:trHeight w:val="423" w:hRule="exact"/>
        </w:trPr>
        <w:tc>
          <w:tcPr>
            <w:tcW w:w="7109" w:type="dxa"/>
            <w:gridSpan w:val="3"/>
            <w:shd w:val="clear" w:color="auto" w:fill="003399"/>
          </w:tcPr>
          <w:p>
            <w:pPr>
              <w:pStyle w:val="TableParagraph"/>
              <w:spacing w:before="4"/>
              <w:rPr>
                <w:b/>
                <w:sz w:val="17"/>
              </w:rPr>
            </w:pPr>
          </w:p>
          <w:p>
            <w:pPr>
              <w:pStyle w:val="TableParagraph"/>
              <w:ind w:left="62"/>
              <w:rPr>
                <w:rFonts w:ascii="Calibri" w:hAnsi="Calibri"/>
                <w:b/>
                <w:sz w:val="16"/>
              </w:rPr>
            </w:pPr>
            <w:r>
              <w:rPr>
                <w:rFonts w:ascii="Calibri" w:hAnsi="Calibri"/>
                <w:b/>
                <w:color w:val="FFFFFF"/>
                <w:sz w:val="16"/>
              </w:rPr>
              <w:t>COSTO DE PROCEDIMIENTOS POR AÑO</w:t>
            </w:r>
          </w:p>
        </w:tc>
      </w:tr>
      <w:tr>
        <w:trPr>
          <w:trHeight w:val="423" w:hRule="exact"/>
        </w:trPr>
        <w:tc>
          <w:tcPr>
            <w:tcW w:w="2983" w:type="dxa"/>
            <w:tcBorders>
              <w:bottom w:val="single" w:sz="3" w:space="0" w:color="000000"/>
              <w:right w:val="single" w:sz="3" w:space="0" w:color="000000"/>
            </w:tcBorders>
          </w:tcPr>
          <w:p>
            <w:pPr>
              <w:pStyle w:val="TableParagraph"/>
              <w:spacing w:before="6"/>
              <w:rPr>
                <w:b/>
                <w:sz w:val="17"/>
              </w:rPr>
            </w:pPr>
          </w:p>
          <w:p>
            <w:pPr>
              <w:pStyle w:val="TableParagraph"/>
              <w:ind w:left="62"/>
              <w:rPr>
                <w:rFonts w:ascii="Calibri"/>
                <w:sz w:val="16"/>
              </w:rPr>
            </w:pPr>
            <w:r>
              <w:rPr>
                <w:rFonts w:ascii="Calibri"/>
                <w:sz w:val="16"/>
              </w:rPr>
              <w:t>Costo por evento</w:t>
            </w:r>
          </w:p>
        </w:tc>
        <w:tc>
          <w:tcPr>
            <w:tcW w:w="2227" w:type="dxa"/>
            <w:tcBorders>
              <w:left w:val="single" w:sz="3" w:space="0" w:color="000000"/>
              <w:bottom w:val="single" w:sz="3" w:space="0" w:color="000000"/>
              <w:right w:val="single" w:sz="3" w:space="0" w:color="000000"/>
            </w:tcBorders>
          </w:tcPr>
          <w:p>
            <w:pPr>
              <w:pStyle w:val="TableParagraph"/>
              <w:spacing w:before="6"/>
              <w:rPr>
                <w:b/>
                <w:sz w:val="17"/>
              </w:rPr>
            </w:pPr>
          </w:p>
          <w:p>
            <w:pPr>
              <w:pStyle w:val="TableParagraph"/>
              <w:tabs>
                <w:tab w:pos="690" w:val="left" w:leader="none"/>
              </w:tabs>
              <w:ind w:left="103"/>
              <w:rPr>
                <w:rFonts w:ascii="Calibri"/>
                <w:sz w:val="16"/>
              </w:rPr>
            </w:pPr>
            <w:r>
              <w:rPr>
                <w:rFonts w:ascii="Calibri"/>
                <w:sz w:val="16"/>
              </w:rPr>
              <w:t>$</w:t>
              <w:tab/>
              <w:t>300,804,449.24</w:t>
            </w:r>
          </w:p>
        </w:tc>
        <w:tc>
          <w:tcPr>
            <w:tcW w:w="1898" w:type="dxa"/>
            <w:tcBorders>
              <w:left w:val="single" w:sz="3" w:space="0" w:color="000000"/>
              <w:bottom w:val="single" w:sz="3" w:space="0" w:color="000000"/>
            </w:tcBorders>
          </w:tcPr>
          <w:p>
            <w:pPr>
              <w:pStyle w:val="TableParagraph"/>
              <w:spacing w:before="6"/>
              <w:rPr>
                <w:b/>
                <w:sz w:val="17"/>
              </w:rPr>
            </w:pPr>
          </w:p>
          <w:p>
            <w:pPr>
              <w:pStyle w:val="TableParagraph"/>
              <w:tabs>
                <w:tab w:pos="586" w:val="left" w:leader="none"/>
              </w:tabs>
              <w:ind w:right="76"/>
              <w:jc w:val="center"/>
              <w:rPr>
                <w:rFonts w:ascii="Calibri"/>
                <w:sz w:val="16"/>
              </w:rPr>
            </w:pPr>
            <w:r>
              <w:rPr>
                <w:rFonts w:ascii="Calibri"/>
                <w:sz w:val="16"/>
              </w:rPr>
              <w:t>$</w:t>
              <w:tab/>
              <w:t>300,804,449.24</w:t>
            </w:r>
          </w:p>
        </w:tc>
      </w:tr>
      <w:tr>
        <w:trPr>
          <w:trHeight w:val="418" w:hRule="exact"/>
        </w:trPr>
        <w:tc>
          <w:tcPr>
            <w:tcW w:w="2983" w:type="dxa"/>
            <w:tcBorders>
              <w:top w:val="single" w:sz="3" w:space="0" w:color="000000"/>
              <w:right w:val="single" w:sz="3" w:space="0" w:color="000000"/>
            </w:tcBorders>
            <w:shd w:val="clear" w:color="auto" w:fill="D8D8D8"/>
          </w:tcPr>
          <w:p>
            <w:pPr>
              <w:pStyle w:val="TableParagraph"/>
              <w:spacing w:before="3"/>
              <w:rPr>
                <w:b/>
                <w:sz w:val="17"/>
              </w:rPr>
            </w:pPr>
          </w:p>
          <w:p>
            <w:pPr>
              <w:pStyle w:val="TableParagraph"/>
              <w:ind w:left="62"/>
              <w:rPr>
                <w:rFonts w:ascii="Calibri"/>
                <w:b/>
                <w:sz w:val="16"/>
              </w:rPr>
            </w:pPr>
            <w:r>
              <w:rPr>
                <w:rFonts w:ascii="Calibri"/>
                <w:b/>
                <w:sz w:val="16"/>
              </w:rPr>
              <w:t>TOTAL</w:t>
            </w:r>
          </w:p>
        </w:tc>
        <w:tc>
          <w:tcPr>
            <w:tcW w:w="2227" w:type="dxa"/>
            <w:tcBorders>
              <w:top w:val="single" w:sz="3" w:space="0" w:color="000000"/>
              <w:left w:val="single" w:sz="3" w:space="0" w:color="000000"/>
              <w:right w:val="single" w:sz="3" w:space="0" w:color="000000"/>
            </w:tcBorders>
            <w:shd w:val="clear" w:color="auto" w:fill="D8D8D8"/>
          </w:tcPr>
          <w:p>
            <w:pPr>
              <w:pStyle w:val="TableParagraph"/>
              <w:spacing w:before="3"/>
              <w:rPr>
                <w:b/>
                <w:sz w:val="17"/>
              </w:rPr>
            </w:pPr>
          </w:p>
          <w:p>
            <w:pPr>
              <w:pStyle w:val="TableParagraph"/>
              <w:tabs>
                <w:tab w:pos="690" w:val="left" w:leader="none"/>
              </w:tabs>
              <w:ind w:left="103"/>
              <w:rPr>
                <w:rFonts w:ascii="Calibri"/>
                <w:b/>
                <w:sz w:val="16"/>
              </w:rPr>
            </w:pPr>
            <w:r>
              <w:rPr>
                <w:rFonts w:ascii="Calibri"/>
                <w:b/>
                <w:sz w:val="16"/>
              </w:rPr>
              <w:t>$</w:t>
              <w:tab/>
              <w:t>300,804,449.24</w:t>
            </w:r>
          </w:p>
        </w:tc>
        <w:tc>
          <w:tcPr>
            <w:tcW w:w="1898" w:type="dxa"/>
            <w:tcBorders>
              <w:top w:val="single" w:sz="3" w:space="0" w:color="000000"/>
              <w:left w:val="single" w:sz="3" w:space="0" w:color="000000"/>
            </w:tcBorders>
            <w:shd w:val="clear" w:color="auto" w:fill="D8D8D8"/>
          </w:tcPr>
          <w:p>
            <w:pPr>
              <w:pStyle w:val="TableParagraph"/>
              <w:spacing w:before="3"/>
              <w:rPr>
                <w:b/>
                <w:sz w:val="17"/>
              </w:rPr>
            </w:pPr>
          </w:p>
          <w:p>
            <w:pPr>
              <w:pStyle w:val="TableParagraph"/>
              <w:tabs>
                <w:tab w:pos="586" w:val="left" w:leader="none"/>
              </w:tabs>
              <w:ind w:right="71"/>
              <w:jc w:val="center"/>
              <w:rPr>
                <w:rFonts w:ascii="Calibri"/>
                <w:b/>
                <w:sz w:val="16"/>
              </w:rPr>
            </w:pPr>
            <w:r>
              <w:rPr>
                <w:rFonts w:ascii="Calibri"/>
                <w:b/>
                <w:sz w:val="16"/>
              </w:rPr>
              <w:t>$</w:t>
              <w:tab/>
              <w:t>300,804,449.24</w:t>
            </w:r>
          </w:p>
        </w:tc>
      </w:tr>
      <w:tr>
        <w:trPr>
          <w:trHeight w:val="424" w:hRule="exact"/>
        </w:trPr>
        <w:tc>
          <w:tcPr>
            <w:tcW w:w="7109" w:type="dxa"/>
            <w:gridSpan w:val="3"/>
            <w:shd w:val="clear" w:color="auto" w:fill="003399"/>
          </w:tcPr>
          <w:p>
            <w:pPr>
              <w:pStyle w:val="TableParagraph"/>
              <w:spacing w:before="5"/>
              <w:rPr>
                <w:b/>
                <w:sz w:val="17"/>
              </w:rPr>
            </w:pPr>
          </w:p>
          <w:p>
            <w:pPr>
              <w:pStyle w:val="TableParagraph"/>
              <w:ind w:left="62"/>
              <w:rPr>
                <w:rFonts w:ascii="Calibri" w:hAnsi="Calibri"/>
                <w:b/>
                <w:sz w:val="16"/>
              </w:rPr>
            </w:pPr>
            <w:r>
              <w:rPr>
                <w:rFonts w:ascii="Calibri" w:hAnsi="Calibri"/>
                <w:b/>
                <w:color w:val="FFFFFF"/>
                <w:sz w:val="16"/>
              </w:rPr>
              <w:t>BENEFICIOS POR ATENCIONES POR AÑO</w:t>
            </w:r>
          </w:p>
        </w:tc>
      </w:tr>
      <w:tr>
        <w:trPr>
          <w:trHeight w:val="422" w:hRule="exact"/>
        </w:trPr>
        <w:tc>
          <w:tcPr>
            <w:tcW w:w="2983" w:type="dxa"/>
            <w:tcBorders>
              <w:bottom w:val="single" w:sz="3" w:space="0" w:color="000000"/>
              <w:right w:val="single" w:sz="3" w:space="0" w:color="000000"/>
            </w:tcBorders>
          </w:tcPr>
          <w:p>
            <w:pPr>
              <w:pStyle w:val="TableParagraph"/>
              <w:spacing w:before="6"/>
              <w:rPr>
                <w:b/>
                <w:sz w:val="17"/>
              </w:rPr>
            </w:pPr>
          </w:p>
          <w:p>
            <w:pPr>
              <w:pStyle w:val="TableParagraph"/>
              <w:ind w:left="62"/>
              <w:rPr>
                <w:rFonts w:ascii="Calibri"/>
                <w:sz w:val="16"/>
              </w:rPr>
            </w:pPr>
            <w:r>
              <w:rPr>
                <w:rFonts w:ascii="Calibri"/>
                <w:sz w:val="16"/>
              </w:rPr>
              <w:t>Renta de equipo por evento</w:t>
            </w:r>
          </w:p>
        </w:tc>
        <w:tc>
          <w:tcPr>
            <w:tcW w:w="2227" w:type="dxa"/>
            <w:tcBorders>
              <w:left w:val="single" w:sz="3" w:space="0" w:color="000000"/>
              <w:bottom w:val="single" w:sz="3" w:space="0" w:color="000000"/>
              <w:right w:val="single" w:sz="3" w:space="0" w:color="000000"/>
            </w:tcBorders>
          </w:tcPr>
          <w:p>
            <w:pPr>
              <w:pStyle w:val="TableParagraph"/>
              <w:spacing w:before="6"/>
              <w:rPr>
                <w:b/>
                <w:sz w:val="17"/>
              </w:rPr>
            </w:pPr>
          </w:p>
          <w:p>
            <w:pPr>
              <w:pStyle w:val="TableParagraph"/>
              <w:tabs>
                <w:tab w:pos="690" w:val="left" w:leader="none"/>
              </w:tabs>
              <w:ind w:left="103"/>
              <w:rPr>
                <w:rFonts w:ascii="Calibri"/>
                <w:sz w:val="16"/>
              </w:rPr>
            </w:pPr>
            <w:r>
              <w:rPr>
                <w:rFonts w:ascii="Calibri"/>
                <w:sz w:val="16"/>
              </w:rPr>
              <w:t>$</w:t>
              <w:tab/>
              <w:t>321,742,542.96</w:t>
            </w:r>
          </w:p>
        </w:tc>
        <w:tc>
          <w:tcPr>
            <w:tcW w:w="1898" w:type="dxa"/>
            <w:tcBorders>
              <w:left w:val="single" w:sz="3" w:space="0" w:color="000000"/>
              <w:bottom w:val="single" w:sz="3" w:space="0" w:color="000000"/>
              <w:right w:val="single" w:sz="3" w:space="0" w:color="000000"/>
            </w:tcBorders>
          </w:tcPr>
          <w:p>
            <w:pPr>
              <w:pStyle w:val="TableParagraph"/>
              <w:spacing w:before="6"/>
              <w:rPr>
                <w:b/>
                <w:sz w:val="17"/>
              </w:rPr>
            </w:pPr>
          </w:p>
          <w:p>
            <w:pPr>
              <w:pStyle w:val="TableParagraph"/>
              <w:tabs>
                <w:tab w:pos="586" w:val="left" w:leader="none"/>
              </w:tabs>
              <w:ind w:right="81"/>
              <w:jc w:val="center"/>
              <w:rPr>
                <w:rFonts w:ascii="Calibri"/>
                <w:sz w:val="16"/>
              </w:rPr>
            </w:pPr>
            <w:r>
              <w:rPr>
                <w:rFonts w:ascii="Calibri"/>
                <w:sz w:val="16"/>
              </w:rPr>
              <w:t>$</w:t>
              <w:tab/>
              <w:t>321,742,542.96</w:t>
            </w:r>
          </w:p>
        </w:tc>
      </w:tr>
      <w:tr>
        <w:trPr>
          <w:trHeight w:val="418" w:hRule="exact"/>
        </w:trPr>
        <w:tc>
          <w:tcPr>
            <w:tcW w:w="2983" w:type="dxa"/>
            <w:tcBorders>
              <w:top w:val="single" w:sz="3" w:space="0" w:color="000000"/>
              <w:right w:val="single" w:sz="3" w:space="0" w:color="000000"/>
            </w:tcBorders>
            <w:shd w:val="clear" w:color="auto" w:fill="D8D8D8"/>
          </w:tcPr>
          <w:p>
            <w:pPr>
              <w:pStyle w:val="TableParagraph"/>
              <w:spacing w:before="3"/>
              <w:rPr>
                <w:b/>
                <w:sz w:val="17"/>
              </w:rPr>
            </w:pPr>
          </w:p>
          <w:p>
            <w:pPr>
              <w:pStyle w:val="TableParagraph"/>
              <w:spacing w:before="1"/>
              <w:ind w:left="62"/>
              <w:rPr>
                <w:rFonts w:ascii="Calibri"/>
                <w:b/>
                <w:sz w:val="16"/>
              </w:rPr>
            </w:pPr>
            <w:r>
              <w:rPr>
                <w:rFonts w:ascii="Calibri"/>
                <w:b/>
                <w:sz w:val="16"/>
              </w:rPr>
              <w:t>TOTAL</w:t>
            </w:r>
          </w:p>
        </w:tc>
        <w:tc>
          <w:tcPr>
            <w:tcW w:w="2227" w:type="dxa"/>
            <w:tcBorders>
              <w:top w:val="single" w:sz="3" w:space="0" w:color="000000"/>
              <w:left w:val="single" w:sz="3" w:space="0" w:color="000000"/>
              <w:right w:val="single" w:sz="3" w:space="0" w:color="000000"/>
            </w:tcBorders>
            <w:shd w:val="clear" w:color="auto" w:fill="D8D8D8"/>
          </w:tcPr>
          <w:p>
            <w:pPr>
              <w:pStyle w:val="TableParagraph"/>
              <w:spacing w:before="3"/>
              <w:rPr>
                <w:b/>
                <w:sz w:val="17"/>
              </w:rPr>
            </w:pPr>
          </w:p>
          <w:p>
            <w:pPr>
              <w:pStyle w:val="TableParagraph"/>
              <w:tabs>
                <w:tab w:pos="910" w:val="left" w:leader="none"/>
              </w:tabs>
              <w:spacing w:before="1"/>
              <w:ind w:left="323"/>
              <w:rPr>
                <w:rFonts w:ascii="Calibri"/>
                <w:b/>
                <w:sz w:val="16"/>
              </w:rPr>
            </w:pPr>
            <w:r>
              <w:rPr>
                <w:rFonts w:ascii="Calibri"/>
                <w:b/>
                <w:sz w:val="16"/>
              </w:rPr>
              <w:t>$</w:t>
              <w:tab/>
              <w:t>321,742,542.96</w:t>
            </w:r>
          </w:p>
        </w:tc>
        <w:tc>
          <w:tcPr>
            <w:tcW w:w="1898" w:type="dxa"/>
            <w:tcBorders>
              <w:top w:val="single" w:sz="3" w:space="0" w:color="000000"/>
              <w:left w:val="single" w:sz="3" w:space="0" w:color="000000"/>
            </w:tcBorders>
            <w:shd w:val="clear" w:color="auto" w:fill="D8D8D8"/>
          </w:tcPr>
          <w:p>
            <w:pPr>
              <w:pStyle w:val="TableParagraph"/>
              <w:spacing w:before="3"/>
              <w:rPr>
                <w:b/>
                <w:sz w:val="17"/>
              </w:rPr>
            </w:pPr>
          </w:p>
          <w:p>
            <w:pPr>
              <w:pStyle w:val="TableParagraph"/>
              <w:tabs>
                <w:tab w:pos="623" w:val="left" w:leader="none"/>
              </w:tabs>
              <w:spacing w:before="1"/>
              <w:ind w:left="36"/>
              <w:jc w:val="center"/>
              <w:rPr>
                <w:rFonts w:ascii="Calibri"/>
                <w:b/>
                <w:sz w:val="16"/>
              </w:rPr>
            </w:pPr>
            <w:r>
              <w:rPr>
                <w:rFonts w:ascii="Calibri"/>
                <w:b/>
                <w:sz w:val="16"/>
              </w:rPr>
              <w:t>$</w:t>
              <w:tab/>
              <w:t>321,742,542.96</w:t>
            </w:r>
          </w:p>
        </w:tc>
      </w:tr>
    </w:tbl>
    <w:p>
      <w:pPr>
        <w:pStyle w:val="BodyText"/>
        <w:rPr>
          <w:b/>
          <w:sz w:val="20"/>
        </w:rPr>
      </w:pPr>
    </w:p>
    <w:p>
      <w:pPr>
        <w:pStyle w:val="BodyText"/>
        <w:spacing w:before="10"/>
        <w:rPr>
          <w:b/>
          <w:sz w:val="10"/>
        </w:rPr>
      </w:pPr>
    </w:p>
    <w:tbl>
      <w:tblPr>
        <w:tblW w:w="0" w:type="auto"/>
        <w:jc w:val="left"/>
        <w:tblInd w:w="10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274"/>
        <w:gridCol w:w="1299"/>
        <w:gridCol w:w="1421"/>
        <w:gridCol w:w="1416"/>
        <w:gridCol w:w="1277"/>
        <w:gridCol w:w="1397"/>
        <w:gridCol w:w="1394"/>
        <w:gridCol w:w="1276"/>
      </w:tblGrid>
      <w:tr>
        <w:trPr>
          <w:trHeight w:val="423" w:hRule="exact"/>
        </w:trPr>
        <w:tc>
          <w:tcPr>
            <w:tcW w:w="1274" w:type="dxa"/>
            <w:shd w:val="clear" w:color="auto" w:fill="D8D8D8"/>
          </w:tcPr>
          <w:p>
            <w:pPr>
              <w:pStyle w:val="TableParagraph"/>
              <w:spacing w:before="105"/>
              <w:ind w:left="321"/>
              <w:rPr>
                <w:rFonts w:ascii="Calibri"/>
                <w:b/>
                <w:sz w:val="16"/>
              </w:rPr>
            </w:pPr>
            <w:r>
              <w:rPr>
                <w:rFonts w:ascii="Calibri"/>
                <w:b/>
                <w:sz w:val="16"/>
              </w:rPr>
              <w:t>PERIODO</w:t>
            </w:r>
          </w:p>
        </w:tc>
        <w:tc>
          <w:tcPr>
            <w:tcW w:w="1299" w:type="dxa"/>
            <w:tcBorders>
              <w:right w:val="single" w:sz="3" w:space="0" w:color="000000"/>
            </w:tcBorders>
            <w:shd w:val="clear" w:color="auto" w:fill="D8D8D8"/>
          </w:tcPr>
          <w:p>
            <w:pPr>
              <w:pStyle w:val="TableParagraph"/>
              <w:spacing w:before="105"/>
              <w:ind w:right="2"/>
              <w:jc w:val="center"/>
              <w:rPr>
                <w:rFonts w:ascii="Calibri"/>
                <w:b/>
                <w:sz w:val="16"/>
              </w:rPr>
            </w:pPr>
            <w:r>
              <w:rPr>
                <w:rFonts w:ascii="Calibri"/>
                <w:b/>
                <w:w w:val="100"/>
                <w:sz w:val="16"/>
              </w:rPr>
              <w:t>0</w:t>
            </w:r>
          </w:p>
        </w:tc>
        <w:tc>
          <w:tcPr>
            <w:tcW w:w="1421"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1</w:t>
            </w:r>
          </w:p>
        </w:tc>
        <w:tc>
          <w:tcPr>
            <w:tcW w:w="1416"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2</w:t>
            </w:r>
          </w:p>
        </w:tc>
        <w:tc>
          <w:tcPr>
            <w:tcW w:w="1277"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3</w:t>
            </w:r>
          </w:p>
        </w:tc>
        <w:tc>
          <w:tcPr>
            <w:tcW w:w="1397"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4</w:t>
            </w:r>
          </w:p>
        </w:tc>
        <w:tc>
          <w:tcPr>
            <w:tcW w:w="1394"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5</w:t>
            </w:r>
          </w:p>
        </w:tc>
        <w:tc>
          <w:tcPr>
            <w:tcW w:w="1276" w:type="dxa"/>
            <w:tcBorders>
              <w:left w:val="single" w:sz="3" w:space="0" w:color="000000"/>
              <w:right w:val="single" w:sz="3" w:space="0" w:color="000000"/>
            </w:tcBorders>
            <w:shd w:val="clear" w:color="auto" w:fill="D8D8D8"/>
          </w:tcPr>
          <w:p>
            <w:pPr>
              <w:pStyle w:val="TableParagraph"/>
              <w:spacing w:before="105"/>
              <w:jc w:val="center"/>
              <w:rPr>
                <w:rFonts w:ascii="Calibri"/>
                <w:b/>
                <w:sz w:val="16"/>
              </w:rPr>
            </w:pPr>
            <w:r>
              <w:rPr>
                <w:rFonts w:ascii="Calibri"/>
                <w:b/>
                <w:w w:val="100"/>
                <w:sz w:val="16"/>
              </w:rPr>
              <w:t>6</w:t>
            </w:r>
          </w:p>
        </w:tc>
      </w:tr>
      <w:tr>
        <w:trPr>
          <w:trHeight w:val="426" w:hRule="exact"/>
        </w:trPr>
        <w:tc>
          <w:tcPr>
            <w:tcW w:w="10754" w:type="dxa"/>
            <w:gridSpan w:val="8"/>
            <w:tcBorders>
              <w:right w:val="nil"/>
            </w:tcBorders>
          </w:tcPr>
          <w:p>
            <w:pPr/>
          </w:p>
        </w:tc>
      </w:tr>
      <w:tr>
        <w:trPr>
          <w:trHeight w:val="425" w:hRule="exact"/>
        </w:trPr>
        <w:tc>
          <w:tcPr>
            <w:tcW w:w="1274" w:type="dxa"/>
            <w:shd w:val="clear" w:color="auto" w:fill="D8D8D8"/>
          </w:tcPr>
          <w:p>
            <w:pPr>
              <w:pStyle w:val="TableParagraph"/>
              <w:spacing w:before="107"/>
              <w:ind w:left="259"/>
              <w:rPr>
                <w:rFonts w:ascii="Calibri"/>
                <w:b/>
                <w:sz w:val="16"/>
              </w:rPr>
            </w:pPr>
            <w:r>
              <w:rPr>
                <w:rFonts w:ascii="Calibri"/>
                <w:b/>
                <w:sz w:val="16"/>
              </w:rPr>
              <w:t>INVERSION</w:t>
            </w:r>
          </w:p>
        </w:tc>
        <w:tc>
          <w:tcPr>
            <w:tcW w:w="1299" w:type="dxa"/>
            <w:tcBorders>
              <w:right w:val="single" w:sz="3" w:space="0" w:color="000000"/>
            </w:tcBorders>
          </w:tcPr>
          <w:p>
            <w:pPr>
              <w:pStyle w:val="TableParagraph"/>
              <w:spacing w:before="5"/>
              <w:rPr>
                <w:b/>
                <w:sz w:val="18"/>
              </w:rPr>
            </w:pPr>
          </w:p>
          <w:p>
            <w:pPr>
              <w:pStyle w:val="TableParagraph"/>
              <w:ind w:left="89" w:right="61"/>
              <w:jc w:val="center"/>
              <w:rPr>
                <w:rFonts w:ascii="Calibri"/>
                <w:sz w:val="16"/>
              </w:rPr>
            </w:pPr>
            <w:r>
              <w:rPr>
                <w:rFonts w:ascii="Calibri"/>
                <w:sz w:val="16"/>
              </w:rPr>
              <w:t>$37,562,201.68</w:t>
            </w:r>
          </w:p>
        </w:tc>
        <w:tc>
          <w:tcPr>
            <w:tcW w:w="1421" w:type="dxa"/>
            <w:tcBorders>
              <w:left w:val="single" w:sz="3" w:space="0" w:color="000000"/>
              <w:right w:val="single" w:sz="3" w:space="0" w:color="000000"/>
            </w:tcBorders>
          </w:tcPr>
          <w:p>
            <w:pPr/>
          </w:p>
        </w:tc>
        <w:tc>
          <w:tcPr>
            <w:tcW w:w="1416" w:type="dxa"/>
            <w:tcBorders>
              <w:left w:val="single" w:sz="3" w:space="0" w:color="000000"/>
              <w:right w:val="single" w:sz="3" w:space="0" w:color="000000"/>
            </w:tcBorders>
          </w:tcPr>
          <w:p>
            <w:pPr/>
          </w:p>
        </w:tc>
        <w:tc>
          <w:tcPr>
            <w:tcW w:w="1277" w:type="dxa"/>
            <w:tcBorders>
              <w:left w:val="single" w:sz="3" w:space="0" w:color="000000"/>
              <w:right w:val="single" w:sz="3" w:space="0" w:color="000000"/>
            </w:tcBorders>
          </w:tcPr>
          <w:p>
            <w:pPr/>
          </w:p>
        </w:tc>
        <w:tc>
          <w:tcPr>
            <w:tcW w:w="1397" w:type="dxa"/>
            <w:tcBorders>
              <w:left w:val="single" w:sz="3" w:space="0" w:color="000000"/>
              <w:right w:val="single" w:sz="3" w:space="0" w:color="000000"/>
            </w:tcBorders>
          </w:tcPr>
          <w:p>
            <w:pPr/>
          </w:p>
        </w:tc>
        <w:tc>
          <w:tcPr>
            <w:tcW w:w="1394" w:type="dxa"/>
            <w:tcBorders>
              <w:left w:val="single" w:sz="3" w:space="0" w:color="000000"/>
              <w:right w:val="single" w:sz="3" w:space="0" w:color="000000"/>
            </w:tcBorders>
          </w:tcPr>
          <w:p>
            <w:pPr/>
          </w:p>
        </w:tc>
        <w:tc>
          <w:tcPr>
            <w:tcW w:w="1276" w:type="dxa"/>
            <w:tcBorders>
              <w:left w:val="single" w:sz="3" w:space="0" w:color="000000"/>
              <w:right w:val="single" w:sz="3" w:space="0" w:color="000000"/>
            </w:tcBorders>
          </w:tcPr>
          <w:p>
            <w:pPr/>
          </w:p>
        </w:tc>
      </w:tr>
      <w:tr>
        <w:trPr>
          <w:trHeight w:val="427" w:hRule="exact"/>
        </w:trPr>
        <w:tc>
          <w:tcPr>
            <w:tcW w:w="10754" w:type="dxa"/>
            <w:gridSpan w:val="8"/>
            <w:tcBorders>
              <w:bottom w:val="nil"/>
              <w:right w:val="nil"/>
            </w:tcBorders>
          </w:tcPr>
          <w:p>
            <w:pPr/>
          </w:p>
        </w:tc>
      </w:tr>
      <w:tr>
        <w:trPr>
          <w:trHeight w:val="422" w:hRule="exact"/>
        </w:trPr>
        <w:tc>
          <w:tcPr>
            <w:tcW w:w="1274" w:type="dxa"/>
            <w:shd w:val="clear" w:color="auto" w:fill="D8D8D8"/>
          </w:tcPr>
          <w:p>
            <w:pPr>
              <w:pStyle w:val="TableParagraph"/>
              <w:spacing w:before="104"/>
              <w:ind w:left="362"/>
              <w:rPr>
                <w:rFonts w:ascii="Calibri"/>
                <w:b/>
                <w:sz w:val="16"/>
              </w:rPr>
            </w:pPr>
            <w:r>
              <w:rPr>
                <w:rFonts w:ascii="Calibri"/>
                <w:b/>
                <w:sz w:val="16"/>
              </w:rPr>
              <w:t>COSTOS</w:t>
            </w:r>
          </w:p>
        </w:tc>
        <w:tc>
          <w:tcPr>
            <w:tcW w:w="9480" w:type="dxa"/>
            <w:gridSpan w:val="7"/>
            <w:tcBorders>
              <w:top w:val="nil"/>
              <w:right w:val="nil"/>
            </w:tcBorders>
          </w:tcPr>
          <w:p>
            <w:pPr/>
          </w:p>
        </w:tc>
      </w:tr>
      <w:tr>
        <w:trPr>
          <w:trHeight w:val="422" w:hRule="exact"/>
        </w:trPr>
        <w:tc>
          <w:tcPr>
            <w:tcW w:w="1274" w:type="dxa"/>
            <w:tcBorders>
              <w:bottom w:val="single" w:sz="3" w:space="0" w:color="000000"/>
              <w:right w:val="single" w:sz="3" w:space="0" w:color="000000"/>
            </w:tcBorders>
          </w:tcPr>
          <w:p>
            <w:pPr>
              <w:pStyle w:val="TableParagraph"/>
              <w:spacing w:before="109"/>
              <w:ind w:left="292"/>
              <w:rPr>
                <w:rFonts w:ascii="Calibri" w:hAnsi="Calibri"/>
                <w:sz w:val="16"/>
              </w:rPr>
            </w:pPr>
            <w:r>
              <w:rPr>
                <w:rFonts w:ascii="Calibri" w:hAnsi="Calibri"/>
                <w:sz w:val="16"/>
              </w:rPr>
              <w:t>Operación</w:t>
            </w:r>
          </w:p>
        </w:tc>
        <w:tc>
          <w:tcPr>
            <w:tcW w:w="1299" w:type="dxa"/>
            <w:tcBorders>
              <w:left w:val="single" w:sz="3" w:space="0" w:color="000000"/>
              <w:bottom w:val="single" w:sz="3" w:space="0" w:color="000000"/>
              <w:right w:val="single" w:sz="3" w:space="0" w:color="000000"/>
            </w:tcBorders>
          </w:tcPr>
          <w:p>
            <w:pPr/>
          </w:p>
        </w:tc>
        <w:tc>
          <w:tcPr>
            <w:tcW w:w="1421" w:type="dxa"/>
            <w:tcBorders>
              <w:left w:val="single" w:sz="3" w:space="0" w:color="000000"/>
              <w:bottom w:val="single" w:sz="3" w:space="0" w:color="000000"/>
              <w:right w:val="single" w:sz="3" w:space="0" w:color="000000"/>
            </w:tcBorders>
          </w:tcPr>
          <w:p>
            <w:pPr>
              <w:pStyle w:val="TableParagraph"/>
              <w:spacing w:before="109"/>
              <w:ind w:left="119" w:right="119"/>
              <w:jc w:val="center"/>
              <w:rPr>
                <w:rFonts w:ascii="Calibri"/>
                <w:sz w:val="16"/>
              </w:rPr>
            </w:pPr>
            <w:r>
              <w:rPr>
                <w:rFonts w:ascii="Calibri"/>
                <w:sz w:val="16"/>
              </w:rPr>
              <w:t>$ 300,804,449.24</w:t>
            </w:r>
          </w:p>
        </w:tc>
        <w:tc>
          <w:tcPr>
            <w:tcW w:w="1416" w:type="dxa"/>
            <w:tcBorders>
              <w:left w:val="single" w:sz="3" w:space="0" w:color="000000"/>
              <w:bottom w:val="single" w:sz="3" w:space="0" w:color="000000"/>
              <w:right w:val="single" w:sz="3" w:space="0" w:color="000000"/>
            </w:tcBorders>
          </w:tcPr>
          <w:p>
            <w:pPr>
              <w:pStyle w:val="TableParagraph"/>
              <w:spacing w:before="109"/>
              <w:ind w:left="115" w:right="118"/>
              <w:jc w:val="center"/>
              <w:rPr>
                <w:rFonts w:ascii="Calibri"/>
                <w:sz w:val="16"/>
              </w:rPr>
            </w:pPr>
            <w:r>
              <w:rPr>
                <w:rFonts w:ascii="Calibri"/>
                <w:sz w:val="16"/>
              </w:rPr>
              <w:t>$ 300,804,449.24</w:t>
            </w:r>
          </w:p>
        </w:tc>
        <w:tc>
          <w:tcPr>
            <w:tcW w:w="1277" w:type="dxa"/>
            <w:tcBorders>
              <w:left w:val="single" w:sz="3" w:space="0" w:color="000000"/>
              <w:bottom w:val="single" w:sz="3" w:space="0" w:color="000000"/>
              <w:right w:val="single" w:sz="3" w:space="0" w:color="000000"/>
            </w:tcBorders>
          </w:tcPr>
          <w:p>
            <w:pPr>
              <w:pStyle w:val="TableParagraph"/>
              <w:spacing w:before="109"/>
              <w:ind w:right="68"/>
              <w:jc w:val="right"/>
              <w:rPr>
                <w:rFonts w:ascii="Calibri"/>
                <w:sz w:val="16"/>
              </w:rPr>
            </w:pPr>
            <w:r>
              <w:rPr>
                <w:rFonts w:ascii="Calibri"/>
                <w:sz w:val="16"/>
              </w:rPr>
              <w:t>$ 300,804,449.24</w:t>
            </w:r>
          </w:p>
        </w:tc>
        <w:tc>
          <w:tcPr>
            <w:tcW w:w="1397" w:type="dxa"/>
            <w:tcBorders>
              <w:left w:val="single" w:sz="3" w:space="0" w:color="000000"/>
              <w:bottom w:val="single" w:sz="3" w:space="0" w:color="000000"/>
              <w:right w:val="single" w:sz="3" w:space="0" w:color="000000"/>
            </w:tcBorders>
          </w:tcPr>
          <w:p>
            <w:pPr>
              <w:pStyle w:val="TableParagraph"/>
              <w:spacing w:before="109"/>
              <w:ind w:right="128"/>
              <w:jc w:val="right"/>
              <w:rPr>
                <w:rFonts w:ascii="Calibri"/>
                <w:sz w:val="16"/>
              </w:rPr>
            </w:pPr>
            <w:r>
              <w:rPr>
                <w:rFonts w:ascii="Calibri"/>
                <w:sz w:val="16"/>
              </w:rPr>
              <w:t>$ 300,804,449.24</w:t>
            </w:r>
          </w:p>
        </w:tc>
        <w:tc>
          <w:tcPr>
            <w:tcW w:w="1394" w:type="dxa"/>
            <w:tcBorders>
              <w:left w:val="single" w:sz="3" w:space="0" w:color="000000"/>
              <w:bottom w:val="single" w:sz="3" w:space="0" w:color="000000"/>
              <w:right w:val="single" w:sz="3" w:space="0" w:color="000000"/>
            </w:tcBorders>
          </w:tcPr>
          <w:p>
            <w:pPr>
              <w:pStyle w:val="TableParagraph"/>
              <w:spacing w:before="109"/>
              <w:ind w:left="106" w:right="105"/>
              <w:jc w:val="center"/>
              <w:rPr>
                <w:rFonts w:ascii="Calibri"/>
                <w:sz w:val="16"/>
              </w:rPr>
            </w:pPr>
            <w:r>
              <w:rPr>
                <w:rFonts w:ascii="Calibri"/>
                <w:sz w:val="16"/>
              </w:rPr>
              <w:t>$ 300,804,449.24</w:t>
            </w:r>
          </w:p>
        </w:tc>
        <w:tc>
          <w:tcPr>
            <w:tcW w:w="1276" w:type="dxa"/>
            <w:tcBorders>
              <w:left w:val="single" w:sz="3" w:space="0" w:color="000000"/>
              <w:bottom w:val="single" w:sz="3" w:space="0" w:color="000000"/>
              <w:right w:val="single" w:sz="3" w:space="0" w:color="000000"/>
            </w:tcBorders>
          </w:tcPr>
          <w:p>
            <w:pPr>
              <w:pStyle w:val="TableParagraph"/>
              <w:spacing w:before="109"/>
              <w:ind w:right="67"/>
              <w:jc w:val="right"/>
              <w:rPr>
                <w:rFonts w:ascii="Calibri"/>
                <w:sz w:val="16"/>
              </w:rPr>
            </w:pPr>
            <w:r>
              <w:rPr>
                <w:rFonts w:ascii="Calibri"/>
                <w:sz w:val="16"/>
              </w:rPr>
              <w:t>$ 300,804,449.24</w:t>
            </w:r>
          </w:p>
        </w:tc>
      </w:tr>
      <w:tr>
        <w:trPr>
          <w:trHeight w:val="413" w:hRule="exact"/>
        </w:trPr>
        <w:tc>
          <w:tcPr>
            <w:tcW w:w="1274" w:type="dxa"/>
            <w:tcBorders>
              <w:top w:val="single" w:sz="3" w:space="0" w:color="000000"/>
              <w:bottom w:val="single" w:sz="3" w:space="0" w:color="000000"/>
              <w:right w:val="single" w:sz="3" w:space="0" w:color="000000"/>
            </w:tcBorders>
          </w:tcPr>
          <w:p>
            <w:pPr>
              <w:pStyle w:val="TableParagraph"/>
              <w:spacing w:before="104"/>
              <w:ind w:left="120"/>
              <w:rPr>
                <w:rFonts w:ascii="Calibri"/>
                <w:sz w:val="16"/>
              </w:rPr>
            </w:pPr>
            <w:r>
              <w:rPr>
                <w:rFonts w:ascii="Calibri"/>
                <w:sz w:val="16"/>
              </w:rPr>
              <w:t>Mantenimiento</w:t>
            </w:r>
          </w:p>
        </w:tc>
        <w:tc>
          <w:tcPr>
            <w:tcW w:w="1299" w:type="dxa"/>
            <w:tcBorders>
              <w:top w:val="single" w:sz="3" w:space="0" w:color="000000"/>
              <w:left w:val="single" w:sz="3" w:space="0" w:color="000000"/>
              <w:bottom w:val="single" w:sz="3" w:space="0" w:color="000000"/>
              <w:right w:val="single" w:sz="3" w:space="0" w:color="000000"/>
            </w:tcBorders>
          </w:tcPr>
          <w:p>
            <w:pPr/>
          </w:p>
        </w:tc>
        <w:tc>
          <w:tcPr>
            <w:tcW w:w="1421" w:type="dxa"/>
            <w:tcBorders>
              <w:top w:val="single" w:sz="3" w:space="0" w:color="000000"/>
              <w:left w:val="single" w:sz="3" w:space="0" w:color="000000"/>
              <w:bottom w:val="single" w:sz="3" w:space="0" w:color="000000"/>
              <w:right w:val="single" w:sz="3" w:space="0" w:color="000000"/>
            </w:tcBorders>
          </w:tcPr>
          <w:p>
            <w:pPr>
              <w:pStyle w:val="TableParagraph"/>
              <w:spacing w:before="3"/>
              <w:rPr>
                <w:b/>
                <w:sz w:val="18"/>
              </w:rPr>
            </w:pPr>
          </w:p>
          <w:p>
            <w:pPr>
              <w:pStyle w:val="TableParagraph"/>
              <w:jc w:val="center"/>
              <w:rPr>
                <w:rFonts w:ascii="Calibri"/>
                <w:sz w:val="16"/>
              </w:rPr>
            </w:pPr>
            <w:r>
              <w:rPr>
                <w:rFonts w:ascii="Calibri"/>
                <w:w w:val="100"/>
                <w:sz w:val="16"/>
              </w:rPr>
              <w:t>0</w:t>
            </w:r>
          </w:p>
        </w:tc>
        <w:tc>
          <w:tcPr>
            <w:tcW w:w="1416" w:type="dxa"/>
            <w:tcBorders>
              <w:top w:val="single" w:sz="3" w:space="0" w:color="000000"/>
              <w:left w:val="single" w:sz="3" w:space="0" w:color="000000"/>
              <w:bottom w:val="single" w:sz="3" w:space="0" w:color="000000"/>
              <w:right w:val="single" w:sz="3" w:space="0" w:color="000000"/>
            </w:tcBorders>
          </w:tcPr>
          <w:p>
            <w:pPr>
              <w:pStyle w:val="TableParagraph"/>
              <w:spacing w:before="104"/>
              <w:ind w:left="115" w:right="118"/>
              <w:jc w:val="center"/>
              <w:rPr>
                <w:rFonts w:ascii="Calibri"/>
                <w:sz w:val="16"/>
              </w:rPr>
            </w:pPr>
            <w:r>
              <w:rPr>
                <w:rFonts w:ascii="Calibri"/>
                <w:sz w:val="16"/>
              </w:rPr>
              <w:t>$ 4,357,215.39</w:t>
            </w:r>
          </w:p>
        </w:tc>
        <w:tc>
          <w:tcPr>
            <w:tcW w:w="1277" w:type="dxa"/>
            <w:tcBorders>
              <w:top w:val="single" w:sz="3" w:space="0" w:color="000000"/>
              <w:left w:val="single" w:sz="3" w:space="0" w:color="000000"/>
              <w:bottom w:val="single" w:sz="3" w:space="0" w:color="000000"/>
              <w:right w:val="single" w:sz="3" w:space="0" w:color="000000"/>
            </w:tcBorders>
          </w:tcPr>
          <w:p>
            <w:pPr>
              <w:pStyle w:val="TableParagraph"/>
              <w:spacing w:before="104"/>
              <w:ind w:right="149"/>
              <w:jc w:val="right"/>
              <w:rPr>
                <w:rFonts w:ascii="Calibri"/>
                <w:sz w:val="16"/>
              </w:rPr>
            </w:pPr>
            <w:r>
              <w:rPr>
                <w:rFonts w:ascii="Calibri"/>
                <w:sz w:val="16"/>
              </w:rPr>
              <w:t>$ 4,357,215.39</w:t>
            </w:r>
          </w:p>
        </w:tc>
        <w:tc>
          <w:tcPr>
            <w:tcW w:w="1397" w:type="dxa"/>
            <w:tcBorders>
              <w:top w:val="single" w:sz="3" w:space="0" w:color="000000"/>
              <w:left w:val="single" w:sz="3" w:space="0" w:color="000000"/>
              <w:bottom w:val="single" w:sz="3" w:space="0" w:color="000000"/>
              <w:right w:val="single" w:sz="3" w:space="0" w:color="000000"/>
            </w:tcBorders>
          </w:tcPr>
          <w:p>
            <w:pPr>
              <w:pStyle w:val="TableParagraph"/>
              <w:spacing w:before="104"/>
              <w:ind w:right="209"/>
              <w:jc w:val="right"/>
              <w:rPr>
                <w:rFonts w:ascii="Calibri"/>
                <w:sz w:val="16"/>
              </w:rPr>
            </w:pPr>
            <w:r>
              <w:rPr>
                <w:rFonts w:ascii="Calibri"/>
                <w:sz w:val="16"/>
              </w:rPr>
              <w:t>$ 4,357,215.39</w:t>
            </w:r>
          </w:p>
        </w:tc>
        <w:tc>
          <w:tcPr>
            <w:tcW w:w="1394" w:type="dxa"/>
            <w:tcBorders>
              <w:top w:val="single" w:sz="3" w:space="0" w:color="000000"/>
              <w:left w:val="single" w:sz="3" w:space="0" w:color="000000"/>
              <w:bottom w:val="single" w:sz="3" w:space="0" w:color="000000"/>
              <w:right w:val="single" w:sz="3" w:space="0" w:color="000000"/>
            </w:tcBorders>
          </w:tcPr>
          <w:p>
            <w:pPr>
              <w:pStyle w:val="TableParagraph"/>
              <w:spacing w:before="104"/>
              <w:ind w:left="107" w:right="105"/>
              <w:jc w:val="center"/>
              <w:rPr>
                <w:rFonts w:ascii="Calibri"/>
                <w:sz w:val="16"/>
              </w:rPr>
            </w:pPr>
            <w:r>
              <w:rPr>
                <w:rFonts w:ascii="Calibri"/>
                <w:sz w:val="16"/>
              </w:rPr>
              <w:t>$ 4,357,215.39</w:t>
            </w:r>
          </w:p>
        </w:tc>
        <w:tc>
          <w:tcPr>
            <w:tcW w:w="1276" w:type="dxa"/>
            <w:tcBorders>
              <w:top w:val="single" w:sz="3" w:space="0" w:color="000000"/>
              <w:left w:val="single" w:sz="3" w:space="0" w:color="000000"/>
              <w:bottom w:val="single" w:sz="3" w:space="0" w:color="000000"/>
              <w:right w:val="single" w:sz="3" w:space="0" w:color="000000"/>
            </w:tcBorders>
          </w:tcPr>
          <w:p>
            <w:pPr>
              <w:pStyle w:val="TableParagraph"/>
              <w:spacing w:before="104"/>
              <w:ind w:right="148"/>
              <w:jc w:val="right"/>
              <w:rPr>
                <w:rFonts w:ascii="Calibri"/>
                <w:sz w:val="16"/>
              </w:rPr>
            </w:pPr>
            <w:r>
              <w:rPr>
                <w:rFonts w:ascii="Calibri"/>
                <w:sz w:val="16"/>
              </w:rPr>
              <w:t>$ 4,357,215.39</w:t>
            </w:r>
          </w:p>
        </w:tc>
      </w:tr>
      <w:tr>
        <w:trPr>
          <w:trHeight w:val="423" w:hRule="exact"/>
        </w:trPr>
        <w:tc>
          <w:tcPr>
            <w:tcW w:w="1274" w:type="dxa"/>
            <w:tcBorders>
              <w:top w:val="single" w:sz="3" w:space="0" w:color="000000"/>
              <w:right w:val="single" w:sz="3" w:space="0" w:color="000000"/>
            </w:tcBorders>
          </w:tcPr>
          <w:p>
            <w:pPr>
              <w:pStyle w:val="TableParagraph"/>
              <w:spacing w:before="107"/>
              <w:ind w:left="347"/>
              <w:rPr>
                <w:rFonts w:ascii="Calibri"/>
                <w:sz w:val="16"/>
              </w:rPr>
            </w:pPr>
            <w:r>
              <w:rPr>
                <w:rFonts w:ascii="Calibri"/>
                <w:sz w:val="16"/>
              </w:rPr>
              <w:t>Personal</w:t>
            </w:r>
          </w:p>
        </w:tc>
        <w:tc>
          <w:tcPr>
            <w:tcW w:w="1299" w:type="dxa"/>
            <w:tcBorders>
              <w:top w:val="single" w:sz="3" w:space="0" w:color="000000"/>
              <w:left w:val="single" w:sz="3" w:space="0" w:color="000000"/>
              <w:right w:val="single" w:sz="3" w:space="0" w:color="000000"/>
            </w:tcBorders>
          </w:tcPr>
          <w:p>
            <w:pPr/>
          </w:p>
        </w:tc>
        <w:tc>
          <w:tcPr>
            <w:tcW w:w="1421" w:type="dxa"/>
            <w:tcBorders>
              <w:top w:val="single" w:sz="3" w:space="0" w:color="000000"/>
              <w:left w:val="single" w:sz="3" w:space="0" w:color="000000"/>
              <w:right w:val="single" w:sz="3" w:space="0" w:color="000000"/>
            </w:tcBorders>
          </w:tcPr>
          <w:p>
            <w:pPr>
              <w:pStyle w:val="TableParagraph"/>
              <w:spacing w:before="107"/>
              <w:ind w:left="119" w:right="119"/>
              <w:jc w:val="center"/>
              <w:rPr>
                <w:rFonts w:ascii="Calibri"/>
                <w:sz w:val="16"/>
              </w:rPr>
            </w:pPr>
            <w:r>
              <w:rPr>
                <w:rFonts w:ascii="Calibri"/>
                <w:sz w:val="16"/>
              </w:rPr>
              <w:t>$ 920,942.40</w:t>
            </w:r>
          </w:p>
        </w:tc>
        <w:tc>
          <w:tcPr>
            <w:tcW w:w="1416" w:type="dxa"/>
            <w:tcBorders>
              <w:top w:val="single" w:sz="3" w:space="0" w:color="000000"/>
              <w:left w:val="single" w:sz="3" w:space="0" w:color="000000"/>
              <w:right w:val="single" w:sz="3" w:space="0" w:color="000000"/>
            </w:tcBorders>
          </w:tcPr>
          <w:p>
            <w:pPr>
              <w:pStyle w:val="TableParagraph"/>
              <w:spacing w:before="107"/>
              <w:ind w:left="115" w:right="117"/>
              <w:jc w:val="center"/>
              <w:rPr>
                <w:rFonts w:ascii="Calibri"/>
                <w:sz w:val="16"/>
              </w:rPr>
            </w:pPr>
            <w:r>
              <w:rPr>
                <w:rFonts w:ascii="Calibri"/>
                <w:sz w:val="16"/>
              </w:rPr>
              <w:t>$ 920,942.40</w:t>
            </w:r>
          </w:p>
        </w:tc>
        <w:tc>
          <w:tcPr>
            <w:tcW w:w="1277" w:type="dxa"/>
            <w:tcBorders>
              <w:top w:val="single" w:sz="3" w:space="0" w:color="000000"/>
              <w:left w:val="single" w:sz="3" w:space="0" w:color="000000"/>
              <w:right w:val="single" w:sz="3" w:space="0" w:color="000000"/>
            </w:tcBorders>
          </w:tcPr>
          <w:p>
            <w:pPr>
              <w:pStyle w:val="TableParagraph"/>
              <w:spacing w:before="107"/>
              <w:ind w:left="211"/>
              <w:rPr>
                <w:rFonts w:ascii="Calibri"/>
                <w:sz w:val="16"/>
              </w:rPr>
            </w:pPr>
            <w:r>
              <w:rPr>
                <w:rFonts w:ascii="Calibri"/>
                <w:sz w:val="16"/>
              </w:rPr>
              <w:t>$ 920,942.40</w:t>
            </w:r>
          </w:p>
        </w:tc>
        <w:tc>
          <w:tcPr>
            <w:tcW w:w="1397" w:type="dxa"/>
            <w:tcBorders>
              <w:top w:val="single" w:sz="3" w:space="0" w:color="000000"/>
              <w:left w:val="single" w:sz="3" w:space="0" w:color="000000"/>
              <w:right w:val="single" w:sz="3" w:space="0" w:color="000000"/>
            </w:tcBorders>
          </w:tcPr>
          <w:p>
            <w:pPr>
              <w:pStyle w:val="TableParagraph"/>
              <w:spacing w:before="107"/>
              <w:ind w:left="271"/>
              <w:rPr>
                <w:rFonts w:ascii="Calibri"/>
                <w:sz w:val="16"/>
              </w:rPr>
            </w:pPr>
            <w:r>
              <w:rPr>
                <w:rFonts w:ascii="Calibri"/>
                <w:sz w:val="16"/>
              </w:rPr>
              <w:t>$ 920,942.40</w:t>
            </w:r>
          </w:p>
        </w:tc>
        <w:tc>
          <w:tcPr>
            <w:tcW w:w="1394" w:type="dxa"/>
            <w:tcBorders>
              <w:top w:val="single" w:sz="3" w:space="0" w:color="000000"/>
              <w:left w:val="single" w:sz="3" w:space="0" w:color="000000"/>
              <w:right w:val="single" w:sz="3" w:space="0" w:color="000000"/>
            </w:tcBorders>
          </w:tcPr>
          <w:p>
            <w:pPr>
              <w:pStyle w:val="TableParagraph"/>
              <w:spacing w:before="107"/>
              <w:ind w:left="107" w:right="105"/>
              <w:jc w:val="center"/>
              <w:rPr>
                <w:rFonts w:ascii="Calibri"/>
                <w:sz w:val="16"/>
              </w:rPr>
            </w:pPr>
            <w:r>
              <w:rPr>
                <w:rFonts w:ascii="Calibri"/>
                <w:sz w:val="16"/>
              </w:rPr>
              <w:t>$ 920,942.40</w:t>
            </w:r>
          </w:p>
        </w:tc>
        <w:tc>
          <w:tcPr>
            <w:tcW w:w="1276" w:type="dxa"/>
            <w:tcBorders>
              <w:top w:val="single" w:sz="3" w:space="0" w:color="000000"/>
              <w:left w:val="single" w:sz="3" w:space="0" w:color="000000"/>
              <w:right w:val="single" w:sz="3" w:space="0" w:color="000000"/>
            </w:tcBorders>
          </w:tcPr>
          <w:p>
            <w:pPr>
              <w:pStyle w:val="TableParagraph"/>
              <w:spacing w:before="107"/>
              <w:ind w:left="211"/>
              <w:rPr>
                <w:rFonts w:ascii="Calibri"/>
                <w:sz w:val="16"/>
              </w:rPr>
            </w:pPr>
            <w:r>
              <w:rPr>
                <w:rFonts w:ascii="Calibri"/>
                <w:sz w:val="16"/>
              </w:rPr>
              <w:t>$ 920,942.40</w:t>
            </w:r>
          </w:p>
        </w:tc>
      </w:tr>
      <w:tr>
        <w:trPr>
          <w:trHeight w:val="421" w:hRule="exact"/>
        </w:trPr>
        <w:tc>
          <w:tcPr>
            <w:tcW w:w="1274" w:type="dxa"/>
            <w:tcBorders>
              <w:right w:val="single" w:sz="3" w:space="0" w:color="000000"/>
            </w:tcBorders>
            <w:shd w:val="clear" w:color="auto" w:fill="D8D8D8"/>
          </w:tcPr>
          <w:p>
            <w:pPr>
              <w:pStyle w:val="TableParagraph"/>
              <w:spacing w:before="104"/>
              <w:ind w:left="412"/>
              <w:rPr>
                <w:rFonts w:ascii="Calibri"/>
                <w:b/>
                <w:sz w:val="16"/>
              </w:rPr>
            </w:pPr>
            <w:r>
              <w:rPr>
                <w:rFonts w:ascii="Calibri"/>
                <w:b/>
                <w:sz w:val="16"/>
              </w:rPr>
              <w:t>TOTAL</w:t>
            </w:r>
          </w:p>
        </w:tc>
        <w:tc>
          <w:tcPr>
            <w:tcW w:w="1299" w:type="dxa"/>
            <w:tcBorders>
              <w:left w:val="single" w:sz="3" w:space="0" w:color="000000"/>
              <w:right w:val="single" w:sz="3" w:space="0" w:color="000000"/>
            </w:tcBorders>
            <w:shd w:val="clear" w:color="auto" w:fill="D8D8D8"/>
          </w:tcPr>
          <w:p>
            <w:pPr>
              <w:pStyle w:val="TableParagraph"/>
              <w:spacing w:before="104"/>
              <w:ind w:left="99" w:right="99"/>
              <w:jc w:val="center"/>
              <w:rPr>
                <w:rFonts w:ascii="Calibri"/>
                <w:b/>
                <w:sz w:val="16"/>
              </w:rPr>
            </w:pPr>
            <w:r>
              <w:rPr>
                <w:rFonts w:ascii="Calibri"/>
                <w:b/>
                <w:sz w:val="16"/>
              </w:rPr>
              <w:t>$ 37,562,201.68</w:t>
            </w:r>
          </w:p>
        </w:tc>
        <w:tc>
          <w:tcPr>
            <w:tcW w:w="1421" w:type="dxa"/>
            <w:tcBorders>
              <w:left w:val="single" w:sz="3" w:space="0" w:color="000000"/>
              <w:right w:val="single" w:sz="3" w:space="0" w:color="000000"/>
            </w:tcBorders>
            <w:shd w:val="clear" w:color="auto" w:fill="D8D8D8"/>
          </w:tcPr>
          <w:p>
            <w:pPr>
              <w:pStyle w:val="TableParagraph"/>
              <w:spacing w:before="104"/>
              <w:ind w:left="119" w:right="119"/>
              <w:jc w:val="center"/>
              <w:rPr>
                <w:rFonts w:ascii="Calibri"/>
                <w:b/>
                <w:sz w:val="16"/>
              </w:rPr>
            </w:pPr>
            <w:r>
              <w:rPr>
                <w:rFonts w:ascii="Calibri"/>
                <w:b/>
                <w:sz w:val="16"/>
              </w:rPr>
              <w:t>$ 301,725,391.64</w:t>
            </w:r>
          </w:p>
        </w:tc>
        <w:tc>
          <w:tcPr>
            <w:tcW w:w="1416" w:type="dxa"/>
            <w:tcBorders>
              <w:left w:val="single" w:sz="3" w:space="0" w:color="000000"/>
              <w:right w:val="single" w:sz="3" w:space="0" w:color="000000"/>
            </w:tcBorders>
            <w:shd w:val="clear" w:color="auto" w:fill="D8D8D8"/>
          </w:tcPr>
          <w:p>
            <w:pPr>
              <w:pStyle w:val="TableParagraph"/>
              <w:spacing w:before="104"/>
              <w:ind w:left="115" w:right="118"/>
              <w:jc w:val="center"/>
              <w:rPr>
                <w:rFonts w:ascii="Calibri"/>
                <w:b/>
                <w:sz w:val="16"/>
              </w:rPr>
            </w:pPr>
            <w:r>
              <w:rPr>
                <w:rFonts w:ascii="Calibri"/>
                <w:b/>
                <w:sz w:val="16"/>
              </w:rPr>
              <w:t>$ 306,082,607.04</w:t>
            </w:r>
          </w:p>
        </w:tc>
        <w:tc>
          <w:tcPr>
            <w:tcW w:w="1277" w:type="dxa"/>
            <w:tcBorders>
              <w:left w:val="single" w:sz="3" w:space="0" w:color="000000"/>
              <w:right w:val="single" w:sz="3" w:space="0" w:color="000000"/>
            </w:tcBorders>
            <w:shd w:val="clear" w:color="auto" w:fill="D8D8D8"/>
          </w:tcPr>
          <w:p>
            <w:pPr>
              <w:pStyle w:val="TableParagraph"/>
              <w:spacing w:before="104"/>
              <w:ind w:right="65"/>
              <w:jc w:val="right"/>
              <w:rPr>
                <w:rFonts w:ascii="Calibri"/>
                <w:b/>
                <w:sz w:val="16"/>
              </w:rPr>
            </w:pPr>
            <w:r>
              <w:rPr>
                <w:rFonts w:ascii="Calibri"/>
                <w:b/>
                <w:sz w:val="16"/>
              </w:rPr>
              <w:t>$ 306,082,607.04</w:t>
            </w:r>
          </w:p>
        </w:tc>
        <w:tc>
          <w:tcPr>
            <w:tcW w:w="1397" w:type="dxa"/>
            <w:tcBorders>
              <w:left w:val="single" w:sz="3" w:space="0" w:color="000000"/>
              <w:right w:val="single" w:sz="3" w:space="0" w:color="000000"/>
            </w:tcBorders>
            <w:shd w:val="clear" w:color="auto" w:fill="D8D8D8"/>
          </w:tcPr>
          <w:p>
            <w:pPr>
              <w:pStyle w:val="TableParagraph"/>
              <w:spacing w:before="104"/>
              <w:ind w:right="125"/>
              <w:jc w:val="right"/>
              <w:rPr>
                <w:rFonts w:ascii="Calibri"/>
                <w:b/>
                <w:sz w:val="16"/>
              </w:rPr>
            </w:pPr>
            <w:r>
              <w:rPr>
                <w:rFonts w:ascii="Calibri"/>
                <w:b/>
                <w:sz w:val="16"/>
              </w:rPr>
              <w:t>$ 306,082,607.04</w:t>
            </w:r>
          </w:p>
        </w:tc>
        <w:tc>
          <w:tcPr>
            <w:tcW w:w="1394" w:type="dxa"/>
            <w:tcBorders>
              <w:left w:val="single" w:sz="3" w:space="0" w:color="000000"/>
              <w:right w:val="single" w:sz="3" w:space="0" w:color="000000"/>
            </w:tcBorders>
            <w:shd w:val="clear" w:color="auto" w:fill="D8D8D8"/>
          </w:tcPr>
          <w:p>
            <w:pPr>
              <w:pStyle w:val="TableParagraph"/>
              <w:spacing w:before="104"/>
              <w:ind w:left="107" w:right="105"/>
              <w:jc w:val="center"/>
              <w:rPr>
                <w:rFonts w:ascii="Calibri"/>
                <w:b/>
                <w:sz w:val="16"/>
              </w:rPr>
            </w:pPr>
            <w:r>
              <w:rPr>
                <w:rFonts w:ascii="Calibri"/>
                <w:b/>
                <w:sz w:val="16"/>
              </w:rPr>
              <w:t>$ 306,082,607.04</w:t>
            </w:r>
          </w:p>
        </w:tc>
        <w:tc>
          <w:tcPr>
            <w:tcW w:w="1276" w:type="dxa"/>
            <w:tcBorders>
              <w:left w:val="single" w:sz="3" w:space="0" w:color="000000"/>
              <w:right w:val="single" w:sz="3" w:space="0" w:color="000000"/>
            </w:tcBorders>
            <w:shd w:val="clear" w:color="auto" w:fill="D8D8D8"/>
          </w:tcPr>
          <w:p>
            <w:pPr>
              <w:pStyle w:val="TableParagraph"/>
              <w:spacing w:before="104"/>
              <w:ind w:right="65"/>
              <w:jc w:val="right"/>
              <w:rPr>
                <w:rFonts w:ascii="Calibri"/>
                <w:b/>
                <w:sz w:val="16"/>
              </w:rPr>
            </w:pPr>
            <w:r>
              <w:rPr>
                <w:rFonts w:ascii="Calibri"/>
                <w:b/>
                <w:sz w:val="16"/>
              </w:rPr>
              <w:t>$ 306,082,607.04</w:t>
            </w:r>
          </w:p>
        </w:tc>
      </w:tr>
      <w:tr>
        <w:trPr>
          <w:trHeight w:val="430" w:hRule="exact"/>
        </w:trPr>
        <w:tc>
          <w:tcPr>
            <w:tcW w:w="10754" w:type="dxa"/>
            <w:gridSpan w:val="8"/>
            <w:tcBorders>
              <w:bottom w:val="nil"/>
              <w:right w:val="nil"/>
            </w:tcBorders>
          </w:tcPr>
          <w:p>
            <w:pPr/>
          </w:p>
        </w:tc>
      </w:tr>
      <w:tr>
        <w:trPr>
          <w:trHeight w:val="423" w:hRule="exact"/>
        </w:trPr>
        <w:tc>
          <w:tcPr>
            <w:tcW w:w="1274" w:type="dxa"/>
            <w:shd w:val="clear" w:color="auto" w:fill="D8D8D8"/>
          </w:tcPr>
          <w:p>
            <w:pPr>
              <w:pStyle w:val="TableParagraph"/>
              <w:spacing w:before="105"/>
              <w:ind w:left="239"/>
              <w:rPr>
                <w:rFonts w:ascii="Calibri"/>
                <w:b/>
                <w:sz w:val="16"/>
              </w:rPr>
            </w:pPr>
            <w:r>
              <w:rPr>
                <w:rFonts w:ascii="Calibri"/>
                <w:b/>
                <w:sz w:val="16"/>
              </w:rPr>
              <w:t>BENEFICIOS</w:t>
            </w:r>
          </w:p>
        </w:tc>
        <w:tc>
          <w:tcPr>
            <w:tcW w:w="9480" w:type="dxa"/>
            <w:gridSpan w:val="7"/>
            <w:tcBorders>
              <w:top w:val="nil"/>
              <w:right w:val="nil"/>
            </w:tcBorders>
          </w:tcPr>
          <w:p>
            <w:pPr/>
          </w:p>
        </w:tc>
      </w:tr>
      <w:tr>
        <w:trPr>
          <w:trHeight w:val="606" w:hRule="exact"/>
        </w:trPr>
        <w:tc>
          <w:tcPr>
            <w:tcW w:w="1274" w:type="dxa"/>
            <w:tcBorders>
              <w:right w:val="single" w:sz="3" w:space="0" w:color="000000"/>
            </w:tcBorders>
          </w:tcPr>
          <w:p>
            <w:pPr>
              <w:pStyle w:val="TableParagraph"/>
              <w:spacing w:before="1"/>
              <w:ind w:left="196" w:right="201"/>
              <w:jc w:val="center"/>
              <w:rPr>
                <w:rFonts w:ascii="Calibri"/>
                <w:sz w:val="16"/>
              </w:rPr>
            </w:pPr>
            <w:r>
              <w:rPr>
                <w:rFonts w:ascii="Calibri"/>
                <w:sz w:val="16"/>
              </w:rPr>
              <w:t>Beneficio por nuevas atenciones</w:t>
            </w:r>
          </w:p>
        </w:tc>
        <w:tc>
          <w:tcPr>
            <w:tcW w:w="1299" w:type="dxa"/>
            <w:tcBorders>
              <w:left w:val="single" w:sz="3" w:space="0" w:color="000000"/>
              <w:right w:val="single" w:sz="3" w:space="0" w:color="000000"/>
            </w:tcBorders>
          </w:tcPr>
          <w:p>
            <w:pPr/>
          </w:p>
        </w:tc>
        <w:tc>
          <w:tcPr>
            <w:tcW w:w="1421" w:type="dxa"/>
            <w:tcBorders>
              <w:left w:val="single" w:sz="3" w:space="0" w:color="000000"/>
              <w:right w:val="single" w:sz="3" w:space="0" w:color="000000"/>
            </w:tcBorders>
          </w:tcPr>
          <w:p>
            <w:pPr>
              <w:pStyle w:val="TableParagraph"/>
              <w:rPr>
                <w:b/>
                <w:sz w:val="17"/>
              </w:rPr>
            </w:pPr>
          </w:p>
          <w:p>
            <w:pPr>
              <w:pStyle w:val="TableParagraph"/>
              <w:ind w:left="119" w:right="119"/>
              <w:jc w:val="center"/>
              <w:rPr>
                <w:rFonts w:ascii="Calibri"/>
                <w:sz w:val="16"/>
              </w:rPr>
            </w:pPr>
            <w:r>
              <w:rPr>
                <w:rFonts w:ascii="Calibri"/>
                <w:sz w:val="16"/>
              </w:rPr>
              <w:t>$ 321,742,542.96</w:t>
            </w:r>
          </w:p>
        </w:tc>
        <w:tc>
          <w:tcPr>
            <w:tcW w:w="1416" w:type="dxa"/>
            <w:tcBorders>
              <w:left w:val="single" w:sz="3" w:space="0" w:color="000000"/>
              <w:right w:val="single" w:sz="3" w:space="0" w:color="000000"/>
            </w:tcBorders>
          </w:tcPr>
          <w:p>
            <w:pPr>
              <w:pStyle w:val="TableParagraph"/>
              <w:rPr>
                <w:b/>
                <w:sz w:val="17"/>
              </w:rPr>
            </w:pPr>
          </w:p>
          <w:p>
            <w:pPr>
              <w:pStyle w:val="TableParagraph"/>
              <w:ind w:left="115" w:right="118"/>
              <w:jc w:val="center"/>
              <w:rPr>
                <w:rFonts w:ascii="Calibri"/>
                <w:sz w:val="16"/>
              </w:rPr>
            </w:pPr>
            <w:r>
              <w:rPr>
                <w:rFonts w:ascii="Calibri"/>
                <w:sz w:val="16"/>
              </w:rPr>
              <w:t>$ 321,742,542.96</w:t>
            </w:r>
          </w:p>
        </w:tc>
        <w:tc>
          <w:tcPr>
            <w:tcW w:w="1277" w:type="dxa"/>
            <w:tcBorders>
              <w:left w:val="single" w:sz="3" w:space="0" w:color="000000"/>
              <w:right w:val="single" w:sz="3" w:space="0" w:color="000000"/>
            </w:tcBorders>
          </w:tcPr>
          <w:p>
            <w:pPr>
              <w:pStyle w:val="TableParagraph"/>
              <w:rPr>
                <w:b/>
                <w:sz w:val="17"/>
              </w:rPr>
            </w:pPr>
          </w:p>
          <w:p>
            <w:pPr>
              <w:pStyle w:val="TableParagraph"/>
              <w:ind w:right="68"/>
              <w:jc w:val="right"/>
              <w:rPr>
                <w:rFonts w:ascii="Calibri"/>
                <w:sz w:val="16"/>
              </w:rPr>
            </w:pPr>
            <w:r>
              <w:rPr>
                <w:rFonts w:ascii="Calibri"/>
                <w:sz w:val="16"/>
              </w:rPr>
              <w:t>$ 321,742,542.96</w:t>
            </w:r>
          </w:p>
        </w:tc>
        <w:tc>
          <w:tcPr>
            <w:tcW w:w="1397" w:type="dxa"/>
            <w:tcBorders>
              <w:left w:val="single" w:sz="3" w:space="0" w:color="000000"/>
              <w:right w:val="single" w:sz="3" w:space="0" w:color="000000"/>
            </w:tcBorders>
          </w:tcPr>
          <w:p>
            <w:pPr>
              <w:pStyle w:val="TableParagraph"/>
              <w:rPr>
                <w:b/>
                <w:sz w:val="17"/>
              </w:rPr>
            </w:pPr>
          </w:p>
          <w:p>
            <w:pPr>
              <w:pStyle w:val="TableParagraph"/>
              <w:ind w:right="128"/>
              <w:jc w:val="right"/>
              <w:rPr>
                <w:rFonts w:ascii="Calibri"/>
                <w:sz w:val="16"/>
              </w:rPr>
            </w:pPr>
            <w:r>
              <w:rPr>
                <w:rFonts w:ascii="Calibri"/>
                <w:sz w:val="16"/>
              </w:rPr>
              <w:t>$ 321,742,542.96</w:t>
            </w:r>
          </w:p>
        </w:tc>
        <w:tc>
          <w:tcPr>
            <w:tcW w:w="1394" w:type="dxa"/>
            <w:tcBorders>
              <w:left w:val="single" w:sz="3" w:space="0" w:color="000000"/>
              <w:right w:val="single" w:sz="3" w:space="0" w:color="000000"/>
            </w:tcBorders>
          </w:tcPr>
          <w:p>
            <w:pPr>
              <w:pStyle w:val="TableParagraph"/>
              <w:rPr>
                <w:b/>
                <w:sz w:val="17"/>
              </w:rPr>
            </w:pPr>
          </w:p>
          <w:p>
            <w:pPr>
              <w:pStyle w:val="TableParagraph"/>
              <w:ind w:left="106" w:right="105"/>
              <w:jc w:val="center"/>
              <w:rPr>
                <w:rFonts w:ascii="Calibri"/>
                <w:sz w:val="16"/>
              </w:rPr>
            </w:pPr>
            <w:r>
              <w:rPr>
                <w:rFonts w:ascii="Calibri"/>
                <w:sz w:val="16"/>
              </w:rPr>
              <w:t>$ 321,742,542.96</w:t>
            </w:r>
          </w:p>
        </w:tc>
        <w:tc>
          <w:tcPr>
            <w:tcW w:w="1276" w:type="dxa"/>
            <w:tcBorders>
              <w:left w:val="single" w:sz="3" w:space="0" w:color="000000"/>
              <w:right w:val="single" w:sz="3" w:space="0" w:color="000000"/>
            </w:tcBorders>
          </w:tcPr>
          <w:p>
            <w:pPr>
              <w:pStyle w:val="TableParagraph"/>
              <w:rPr>
                <w:b/>
                <w:sz w:val="17"/>
              </w:rPr>
            </w:pPr>
          </w:p>
          <w:p>
            <w:pPr>
              <w:pStyle w:val="TableParagraph"/>
              <w:ind w:right="67"/>
              <w:jc w:val="right"/>
              <w:rPr>
                <w:rFonts w:ascii="Calibri"/>
                <w:sz w:val="16"/>
              </w:rPr>
            </w:pPr>
            <w:r>
              <w:rPr>
                <w:rFonts w:ascii="Calibri"/>
                <w:sz w:val="16"/>
              </w:rPr>
              <w:t>$ 321,742,542.96</w:t>
            </w:r>
          </w:p>
        </w:tc>
      </w:tr>
      <w:tr>
        <w:trPr>
          <w:trHeight w:val="334" w:hRule="exact"/>
        </w:trPr>
        <w:tc>
          <w:tcPr>
            <w:tcW w:w="1274" w:type="dxa"/>
            <w:tcBorders>
              <w:right w:val="single" w:sz="3" w:space="0" w:color="000000"/>
            </w:tcBorders>
            <w:shd w:val="clear" w:color="auto" w:fill="D8D8D8"/>
          </w:tcPr>
          <w:p>
            <w:pPr>
              <w:pStyle w:val="TableParagraph"/>
              <w:spacing w:before="60"/>
              <w:ind w:left="412"/>
              <w:rPr>
                <w:rFonts w:ascii="Calibri"/>
                <w:b/>
                <w:sz w:val="16"/>
              </w:rPr>
            </w:pPr>
            <w:r>
              <w:rPr>
                <w:rFonts w:ascii="Calibri"/>
                <w:b/>
                <w:sz w:val="16"/>
              </w:rPr>
              <w:t>TOTAL</w:t>
            </w:r>
          </w:p>
        </w:tc>
        <w:tc>
          <w:tcPr>
            <w:tcW w:w="1299" w:type="dxa"/>
            <w:tcBorders>
              <w:left w:val="single" w:sz="3" w:space="0" w:color="000000"/>
              <w:right w:val="single" w:sz="3" w:space="0" w:color="000000"/>
            </w:tcBorders>
            <w:shd w:val="clear" w:color="auto" w:fill="D8D8D8"/>
          </w:tcPr>
          <w:p>
            <w:pPr/>
          </w:p>
        </w:tc>
        <w:tc>
          <w:tcPr>
            <w:tcW w:w="1421" w:type="dxa"/>
            <w:tcBorders>
              <w:left w:val="single" w:sz="3" w:space="0" w:color="000000"/>
              <w:right w:val="single" w:sz="3" w:space="0" w:color="000000"/>
            </w:tcBorders>
            <w:shd w:val="clear" w:color="auto" w:fill="D8D8D8"/>
          </w:tcPr>
          <w:p>
            <w:pPr>
              <w:pStyle w:val="TableParagraph"/>
              <w:spacing w:before="60"/>
              <w:ind w:left="119" w:right="119"/>
              <w:jc w:val="center"/>
              <w:rPr>
                <w:rFonts w:ascii="Calibri"/>
                <w:b/>
                <w:sz w:val="16"/>
              </w:rPr>
            </w:pPr>
            <w:r>
              <w:rPr>
                <w:rFonts w:ascii="Calibri"/>
                <w:b/>
                <w:sz w:val="16"/>
              </w:rPr>
              <w:t>$ 321,742,542.96</w:t>
            </w:r>
          </w:p>
        </w:tc>
        <w:tc>
          <w:tcPr>
            <w:tcW w:w="1416" w:type="dxa"/>
            <w:tcBorders>
              <w:left w:val="single" w:sz="3" w:space="0" w:color="000000"/>
              <w:right w:val="single" w:sz="3" w:space="0" w:color="000000"/>
            </w:tcBorders>
            <w:shd w:val="clear" w:color="auto" w:fill="D8D8D8"/>
          </w:tcPr>
          <w:p>
            <w:pPr>
              <w:pStyle w:val="TableParagraph"/>
              <w:spacing w:before="60"/>
              <w:ind w:left="115" w:right="118"/>
              <w:jc w:val="center"/>
              <w:rPr>
                <w:rFonts w:ascii="Calibri"/>
                <w:b/>
                <w:sz w:val="16"/>
              </w:rPr>
            </w:pPr>
            <w:r>
              <w:rPr>
                <w:rFonts w:ascii="Calibri"/>
                <w:b/>
                <w:sz w:val="16"/>
              </w:rPr>
              <w:t>$ 321,742,542.96</w:t>
            </w:r>
          </w:p>
        </w:tc>
        <w:tc>
          <w:tcPr>
            <w:tcW w:w="1277" w:type="dxa"/>
            <w:tcBorders>
              <w:left w:val="single" w:sz="3" w:space="0" w:color="000000"/>
              <w:right w:val="single" w:sz="3" w:space="0" w:color="000000"/>
            </w:tcBorders>
            <w:shd w:val="clear" w:color="auto" w:fill="D8D8D8"/>
          </w:tcPr>
          <w:p>
            <w:pPr>
              <w:pStyle w:val="TableParagraph"/>
              <w:spacing w:before="60"/>
              <w:ind w:right="65"/>
              <w:jc w:val="right"/>
              <w:rPr>
                <w:rFonts w:ascii="Calibri"/>
                <w:b/>
                <w:sz w:val="16"/>
              </w:rPr>
            </w:pPr>
            <w:r>
              <w:rPr>
                <w:rFonts w:ascii="Calibri"/>
                <w:b/>
                <w:sz w:val="16"/>
              </w:rPr>
              <w:t>$ 321,742,542.96</w:t>
            </w:r>
          </w:p>
        </w:tc>
        <w:tc>
          <w:tcPr>
            <w:tcW w:w="1397" w:type="dxa"/>
            <w:tcBorders>
              <w:left w:val="single" w:sz="3" w:space="0" w:color="000000"/>
              <w:right w:val="single" w:sz="3" w:space="0" w:color="000000"/>
            </w:tcBorders>
            <w:shd w:val="clear" w:color="auto" w:fill="D8D8D8"/>
          </w:tcPr>
          <w:p>
            <w:pPr>
              <w:pStyle w:val="TableParagraph"/>
              <w:spacing w:before="60"/>
              <w:ind w:right="125"/>
              <w:jc w:val="right"/>
              <w:rPr>
                <w:rFonts w:ascii="Calibri"/>
                <w:b/>
                <w:sz w:val="16"/>
              </w:rPr>
            </w:pPr>
            <w:r>
              <w:rPr>
                <w:rFonts w:ascii="Calibri"/>
                <w:b/>
                <w:sz w:val="16"/>
              </w:rPr>
              <w:t>$ 321,742,542.96</w:t>
            </w:r>
          </w:p>
        </w:tc>
        <w:tc>
          <w:tcPr>
            <w:tcW w:w="1394" w:type="dxa"/>
            <w:tcBorders>
              <w:left w:val="single" w:sz="3" w:space="0" w:color="000000"/>
              <w:right w:val="single" w:sz="3" w:space="0" w:color="000000"/>
            </w:tcBorders>
            <w:shd w:val="clear" w:color="auto" w:fill="D8D8D8"/>
          </w:tcPr>
          <w:p>
            <w:pPr>
              <w:pStyle w:val="TableParagraph"/>
              <w:spacing w:before="60"/>
              <w:ind w:left="107" w:right="105"/>
              <w:jc w:val="center"/>
              <w:rPr>
                <w:rFonts w:ascii="Calibri"/>
                <w:b/>
                <w:sz w:val="16"/>
              </w:rPr>
            </w:pPr>
            <w:r>
              <w:rPr>
                <w:rFonts w:ascii="Calibri"/>
                <w:b/>
                <w:sz w:val="16"/>
              </w:rPr>
              <w:t>$ 321,742,542.96</w:t>
            </w:r>
          </w:p>
        </w:tc>
        <w:tc>
          <w:tcPr>
            <w:tcW w:w="1276" w:type="dxa"/>
            <w:tcBorders>
              <w:left w:val="single" w:sz="3" w:space="0" w:color="000000"/>
              <w:right w:val="single" w:sz="3" w:space="0" w:color="000000"/>
            </w:tcBorders>
            <w:shd w:val="clear" w:color="auto" w:fill="D8D8D8"/>
          </w:tcPr>
          <w:p>
            <w:pPr>
              <w:pStyle w:val="TableParagraph"/>
              <w:spacing w:before="60"/>
              <w:ind w:right="65"/>
              <w:jc w:val="right"/>
              <w:rPr>
                <w:rFonts w:ascii="Calibri"/>
                <w:b/>
                <w:sz w:val="16"/>
              </w:rPr>
            </w:pPr>
            <w:r>
              <w:rPr>
                <w:rFonts w:ascii="Calibri"/>
                <w:b/>
                <w:sz w:val="16"/>
              </w:rPr>
              <w:t>$ 321,742,542.96</w:t>
            </w:r>
          </w:p>
        </w:tc>
      </w:tr>
      <w:tr>
        <w:trPr>
          <w:trHeight w:val="336" w:hRule="exact"/>
        </w:trPr>
        <w:tc>
          <w:tcPr>
            <w:tcW w:w="10754" w:type="dxa"/>
            <w:gridSpan w:val="8"/>
            <w:tcBorders>
              <w:right w:val="nil"/>
            </w:tcBorders>
          </w:tcPr>
          <w:p>
            <w:pPr/>
          </w:p>
        </w:tc>
      </w:tr>
      <w:tr>
        <w:trPr>
          <w:trHeight w:val="332" w:hRule="exact"/>
        </w:trPr>
        <w:tc>
          <w:tcPr>
            <w:tcW w:w="1274" w:type="dxa"/>
            <w:shd w:val="clear" w:color="auto" w:fill="D8D8D8"/>
          </w:tcPr>
          <w:p>
            <w:pPr>
              <w:pStyle w:val="TableParagraph"/>
              <w:spacing w:before="121"/>
              <w:ind w:left="62"/>
              <w:rPr>
                <w:rFonts w:ascii="Calibri"/>
                <w:b/>
                <w:sz w:val="16"/>
              </w:rPr>
            </w:pPr>
            <w:r>
              <w:rPr>
                <w:rFonts w:ascii="Calibri"/>
                <w:b/>
                <w:sz w:val="16"/>
              </w:rPr>
              <w:t>FLUJO</w:t>
            </w:r>
          </w:p>
        </w:tc>
        <w:tc>
          <w:tcPr>
            <w:tcW w:w="1299" w:type="dxa"/>
            <w:tcBorders>
              <w:right w:val="single" w:sz="3" w:space="0" w:color="000000"/>
            </w:tcBorders>
            <w:shd w:val="clear" w:color="auto" w:fill="D8D8D8"/>
          </w:tcPr>
          <w:p>
            <w:pPr>
              <w:pStyle w:val="TableParagraph"/>
              <w:spacing w:before="61"/>
              <w:ind w:left="89" w:right="91"/>
              <w:jc w:val="center"/>
              <w:rPr>
                <w:rFonts w:ascii="Calibri"/>
                <w:b/>
                <w:sz w:val="16"/>
              </w:rPr>
            </w:pPr>
            <w:r>
              <w:rPr>
                <w:rFonts w:ascii="Calibri"/>
                <w:b/>
                <w:sz w:val="16"/>
              </w:rPr>
              <w:t>$-37,562,201.68</w:t>
            </w:r>
          </w:p>
        </w:tc>
        <w:tc>
          <w:tcPr>
            <w:tcW w:w="1421" w:type="dxa"/>
            <w:tcBorders>
              <w:left w:val="single" w:sz="3" w:space="0" w:color="000000"/>
              <w:right w:val="single" w:sz="3" w:space="0" w:color="000000"/>
            </w:tcBorders>
            <w:shd w:val="clear" w:color="auto" w:fill="D8D8D8"/>
          </w:tcPr>
          <w:p>
            <w:pPr>
              <w:pStyle w:val="TableParagraph"/>
              <w:spacing w:before="61"/>
              <w:ind w:left="118" w:right="119"/>
              <w:jc w:val="center"/>
              <w:rPr>
                <w:rFonts w:ascii="Calibri"/>
                <w:b/>
                <w:sz w:val="16"/>
              </w:rPr>
            </w:pPr>
            <w:r>
              <w:rPr>
                <w:rFonts w:ascii="Calibri"/>
                <w:b/>
                <w:sz w:val="16"/>
              </w:rPr>
              <w:t>$20,017,151.32</w:t>
            </w:r>
          </w:p>
        </w:tc>
        <w:tc>
          <w:tcPr>
            <w:tcW w:w="1416" w:type="dxa"/>
            <w:tcBorders>
              <w:left w:val="single" w:sz="3" w:space="0" w:color="000000"/>
              <w:right w:val="single" w:sz="3" w:space="0" w:color="000000"/>
            </w:tcBorders>
            <w:shd w:val="clear" w:color="auto" w:fill="D8D8D8"/>
          </w:tcPr>
          <w:p>
            <w:pPr>
              <w:pStyle w:val="TableParagraph"/>
              <w:spacing w:before="61"/>
              <w:ind w:left="115" w:right="117"/>
              <w:jc w:val="center"/>
              <w:rPr>
                <w:rFonts w:ascii="Calibri"/>
                <w:b/>
                <w:sz w:val="16"/>
              </w:rPr>
            </w:pPr>
            <w:r>
              <w:rPr>
                <w:rFonts w:ascii="Calibri"/>
                <w:b/>
                <w:sz w:val="16"/>
              </w:rPr>
              <w:t>$ 15,659,935.92</w:t>
            </w:r>
          </w:p>
        </w:tc>
        <w:tc>
          <w:tcPr>
            <w:tcW w:w="1277" w:type="dxa"/>
            <w:tcBorders>
              <w:left w:val="single" w:sz="3" w:space="0" w:color="000000"/>
              <w:right w:val="single" w:sz="3" w:space="0" w:color="000000"/>
            </w:tcBorders>
            <w:shd w:val="clear" w:color="auto" w:fill="D8D8D8"/>
          </w:tcPr>
          <w:p>
            <w:pPr>
              <w:pStyle w:val="TableParagraph"/>
              <w:spacing w:before="61"/>
              <w:ind w:right="106"/>
              <w:jc w:val="right"/>
              <w:rPr>
                <w:rFonts w:ascii="Calibri"/>
                <w:b/>
                <w:sz w:val="16"/>
              </w:rPr>
            </w:pPr>
            <w:r>
              <w:rPr>
                <w:rFonts w:ascii="Calibri"/>
                <w:b/>
                <w:sz w:val="16"/>
              </w:rPr>
              <w:t>$ 15,659,935.92</w:t>
            </w:r>
          </w:p>
        </w:tc>
        <w:tc>
          <w:tcPr>
            <w:tcW w:w="1397" w:type="dxa"/>
            <w:tcBorders>
              <w:left w:val="single" w:sz="3" w:space="0" w:color="000000"/>
              <w:right w:val="single" w:sz="3" w:space="0" w:color="000000"/>
            </w:tcBorders>
            <w:shd w:val="clear" w:color="auto" w:fill="D8D8D8"/>
          </w:tcPr>
          <w:p>
            <w:pPr>
              <w:pStyle w:val="TableParagraph"/>
              <w:spacing w:before="61"/>
              <w:ind w:right="166"/>
              <w:jc w:val="right"/>
              <w:rPr>
                <w:rFonts w:ascii="Calibri"/>
                <w:b/>
                <w:sz w:val="16"/>
              </w:rPr>
            </w:pPr>
            <w:r>
              <w:rPr>
                <w:rFonts w:ascii="Calibri"/>
                <w:b/>
                <w:sz w:val="16"/>
              </w:rPr>
              <w:t>$ 15,659,935.92</w:t>
            </w:r>
          </w:p>
        </w:tc>
        <w:tc>
          <w:tcPr>
            <w:tcW w:w="1394" w:type="dxa"/>
            <w:tcBorders>
              <w:left w:val="single" w:sz="3" w:space="0" w:color="000000"/>
              <w:right w:val="single" w:sz="3" w:space="0" w:color="000000"/>
            </w:tcBorders>
            <w:shd w:val="clear" w:color="auto" w:fill="D8D8D8"/>
          </w:tcPr>
          <w:p>
            <w:pPr>
              <w:pStyle w:val="TableParagraph"/>
              <w:spacing w:before="61"/>
              <w:ind w:left="107" w:right="105"/>
              <w:jc w:val="center"/>
              <w:rPr>
                <w:rFonts w:ascii="Calibri"/>
                <w:b/>
                <w:sz w:val="16"/>
              </w:rPr>
            </w:pPr>
            <w:r>
              <w:rPr>
                <w:rFonts w:ascii="Calibri"/>
                <w:b/>
                <w:sz w:val="16"/>
              </w:rPr>
              <w:t>$ 15,659,935.92</w:t>
            </w:r>
          </w:p>
        </w:tc>
        <w:tc>
          <w:tcPr>
            <w:tcW w:w="1276" w:type="dxa"/>
            <w:tcBorders>
              <w:left w:val="single" w:sz="3" w:space="0" w:color="000000"/>
              <w:right w:val="single" w:sz="3" w:space="0" w:color="000000"/>
            </w:tcBorders>
            <w:shd w:val="clear" w:color="auto" w:fill="D8D8D8"/>
          </w:tcPr>
          <w:p>
            <w:pPr>
              <w:pStyle w:val="TableParagraph"/>
              <w:spacing w:before="61"/>
              <w:ind w:right="105"/>
              <w:jc w:val="right"/>
              <w:rPr>
                <w:rFonts w:ascii="Calibri"/>
                <w:b/>
                <w:sz w:val="16"/>
              </w:rPr>
            </w:pPr>
            <w:r>
              <w:rPr>
                <w:rFonts w:ascii="Calibri"/>
                <w:b/>
                <w:sz w:val="16"/>
              </w:rPr>
              <w:t>$ 15,659,935.92</w:t>
            </w:r>
          </w:p>
        </w:tc>
      </w:tr>
    </w:tbl>
    <w:p>
      <w:pPr>
        <w:pStyle w:val="BodyText"/>
        <w:rPr>
          <w:b/>
          <w:sz w:val="20"/>
        </w:rPr>
      </w:pPr>
    </w:p>
    <w:p>
      <w:pPr>
        <w:pStyle w:val="BodyText"/>
        <w:rPr>
          <w:b/>
          <w:sz w:val="20"/>
        </w:rPr>
      </w:pPr>
    </w:p>
    <w:p>
      <w:pPr>
        <w:pStyle w:val="BodyText"/>
        <w:spacing w:before="1" w:after="1"/>
        <w:rPr>
          <w:b/>
          <w:sz w:val="23"/>
        </w:rPr>
      </w:pPr>
    </w:p>
    <w:tbl>
      <w:tblPr>
        <w:tblW w:w="0" w:type="auto"/>
        <w:jc w:val="left"/>
        <w:tblInd w:w="10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412"/>
        <w:gridCol w:w="1412"/>
        <w:gridCol w:w="1411"/>
        <w:gridCol w:w="1414"/>
        <w:gridCol w:w="1411"/>
        <w:gridCol w:w="1411"/>
        <w:gridCol w:w="1238"/>
      </w:tblGrid>
      <w:tr>
        <w:trPr>
          <w:trHeight w:val="421" w:hRule="exact"/>
        </w:trPr>
        <w:tc>
          <w:tcPr>
            <w:tcW w:w="1412" w:type="dxa"/>
            <w:shd w:val="clear" w:color="auto" w:fill="D8D8D8"/>
          </w:tcPr>
          <w:p>
            <w:pPr>
              <w:pStyle w:val="TableParagraph"/>
              <w:spacing w:before="104"/>
              <w:ind w:left="306" w:right="305"/>
              <w:jc w:val="center"/>
              <w:rPr>
                <w:rFonts w:ascii="Calibri"/>
                <w:b/>
                <w:sz w:val="16"/>
              </w:rPr>
            </w:pPr>
            <w:r>
              <w:rPr>
                <w:rFonts w:ascii="Calibri"/>
                <w:b/>
                <w:sz w:val="16"/>
              </w:rPr>
              <w:t>PERIODO</w:t>
            </w:r>
          </w:p>
        </w:tc>
        <w:tc>
          <w:tcPr>
            <w:tcW w:w="1412" w:type="dxa"/>
            <w:tcBorders>
              <w:right w:val="single" w:sz="3" w:space="0" w:color="000000"/>
            </w:tcBorders>
            <w:shd w:val="clear" w:color="auto" w:fill="D8D8D8"/>
          </w:tcPr>
          <w:p>
            <w:pPr>
              <w:pStyle w:val="TableParagraph"/>
              <w:spacing w:before="104"/>
              <w:ind w:right="4"/>
              <w:jc w:val="center"/>
              <w:rPr>
                <w:rFonts w:ascii="Calibri"/>
                <w:b/>
                <w:sz w:val="16"/>
              </w:rPr>
            </w:pPr>
            <w:r>
              <w:rPr>
                <w:rFonts w:ascii="Calibri"/>
                <w:b/>
                <w:w w:val="100"/>
                <w:sz w:val="16"/>
              </w:rPr>
              <w:t>7</w:t>
            </w:r>
          </w:p>
        </w:tc>
        <w:tc>
          <w:tcPr>
            <w:tcW w:w="1411" w:type="dxa"/>
            <w:tcBorders>
              <w:left w:val="single" w:sz="3" w:space="0" w:color="000000"/>
              <w:right w:val="single" w:sz="3" w:space="0" w:color="000000"/>
            </w:tcBorders>
            <w:shd w:val="clear" w:color="auto" w:fill="D8D8D8"/>
          </w:tcPr>
          <w:p>
            <w:pPr>
              <w:pStyle w:val="TableParagraph"/>
              <w:spacing w:before="104"/>
              <w:ind w:left="2"/>
              <w:jc w:val="center"/>
              <w:rPr>
                <w:rFonts w:ascii="Calibri"/>
                <w:b/>
                <w:sz w:val="16"/>
              </w:rPr>
            </w:pPr>
            <w:r>
              <w:rPr>
                <w:rFonts w:ascii="Calibri"/>
                <w:b/>
                <w:w w:val="100"/>
                <w:sz w:val="16"/>
              </w:rPr>
              <w:t>8</w:t>
            </w:r>
          </w:p>
        </w:tc>
        <w:tc>
          <w:tcPr>
            <w:tcW w:w="1414" w:type="dxa"/>
            <w:tcBorders>
              <w:left w:val="single" w:sz="3" w:space="0" w:color="000000"/>
              <w:right w:val="single" w:sz="3" w:space="0" w:color="000000"/>
            </w:tcBorders>
            <w:shd w:val="clear" w:color="auto" w:fill="D8D8D8"/>
          </w:tcPr>
          <w:p>
            <w:pPr>
              <w:pStyle w:val="TableParagraph"/>
              <w:spacing w:before="104"/>
              <w:jc w:val="center"/>
              <w:rPr>
                <w:rFonts w:ascii="Calibri"/>
                <w:b/>
                <w:sz w:val="16"/>
              </w:rPr>
            </w:pPr>
            <w:r>
              <w:rPr>
                <w:rFonts w:ascii="Calibri"/>
                <w:b/>
                <w:w w:val="100"/>
                <w:sz w:val="16"/>
              </w:rPr>
              <w:t>9</w:t>
            </w:r>
          </w:p>
        </w:tc>
        <w:tc>
          <w:tcPr>
            <w:tcW w:w="1411" w:type="dxa"/>
            <w:tcBorders>
              <w:left w:val="single" w:sz="3" w:space="0" w:color="000000"/>
            </w:tcBorders>
            <w:shd w:val="clear" w:color="auto" w:fill="D8D8D8"/>
          </w:tcPr>
          <w:p>
            <w:pPr>
              <w:pStyle w:val="TableParagraph"/>
              <w:spacing w:before="104"/>
              <w:ind w:left="149" w:right="148"/>
              <w:jc w:val="center"/>
              <w:rPr>
                <w:rFonts w:ascii="Calibri"/>
                <w:b/>
                <w:sz w:val="16"/>
              </w:rPr>
            </w:pPr>
            <w:r>
              <w:rPr>
                <w:rFonts w:ascii="Calibri"/>
                <w:b/>
                <w:sz w:val="16"/>
              </w:rPr>
              <w:t>10</w:t>
            </w:r>
          </w:p>
        </w:tc>
        <w:tc>
          <w:tcPr>
            <w:tcW w:w="1411" w:type="dxa"/>
            <w:tcBorders>
              <w:right w:val="single" w:sz="3" w:space="0" w:color="000000"/>
            </w:tcBorders>
            <w:shd w:val="clear" w:color="auto" w:fill="D8D8D8"/>
          </w:tcPr>
          <w:p>
            <w:pPr>
              <w:pStyle w:val="TableParagraph"/>
              <w:spacing w:before="104"/>
              <w:ind w:left="149" w:right="150"/>
              <w:jc w:val="center"/>
              <w:rPr>
                <w:rFonts w:ascii="Calibri"/>
                <w:b/>
                <w:sz w:val="16"/>
              </w:rPr>
            </w:pPr>
            <w:r>
              <w:rPr>
                <w:rFonts w:ascii="Calibri"/>
                <w:b/>
                <w:sz w:val="16"/>
              </w:rPr>
              <w:t>11</w:t>
            </w:r>
          </w:p>
        </w:tc>
        <w:tc>
          <w:tcPr>
            <w:tcW w:w="1238" w:type="dxa"/>
            <w:tcBorders>
              <w:left w:val="single" w:sz="3" w:space="0" w:color="000000"/>
            </w:tcBorders>
            <w:shd w:val="clear" w:color="auto" w:fill="D8D8D8"/>
          </w:tcPr>
          <w:p>
            <w:pPr>
              <w:pStyle w:val="TableParagraph"/>
              <w:spacing w:before="104"/>
              <w:ind w:left="515" w:right="508"/>
              <w:jc w:val="center"/>
              <w:rPr>
                <w:rFonts w:ascii="Calibri"/>
                <w:b/>
                <w:sz w:val="16"/>
              </w:rPr>
            </w:pPr>
            <w:r>
              <w:rPr>
                <w:rFonts w:ascii="Calibri"/>
                <w:b/>
                <w:sz w:val="16"/>
              </w:rPr>
              <w:t>12</w:t>
            </w:r>
          </w:p>
        </w:tc>
      </w:tr>
      <w:tr>
        <w:trPr>
          <w:trHeight w:val="426" w:hRule="exact"/>
        </w:trPr>
        <w:tc>
          <w:tcPr>
            <w:tcW w:w="9710" w:type="dxa"/>
            <w:gridSpan w:val="7"/>
            <w:tcBorders>
              <w:right w:val="nil"/>
            </w:tcBorders>
          </w:tcPr>
          <w:p>
            <w:pPr/>
          </w:p>
        </w:tc>
      </w:tr>
      <w:tr>
        <w:trPr>
          <w:trHeight w:val="427" w:hRule="exact"/>
        </w:trPr>
        <w:tc>
          <w:tcPr>
            <w:tcW w:w="1412" w:type="dxa"/>
            <w:shd w:val="clear" w:color="auto" w:fill="D8D8D8"/>
          </w:tcPr>
          <w:p>
            <w:pPr>
              <w:pStyle w:val="TableParagraph"/>
              <w:spacing w:before="107"/>
              <w:ind w:left="306" w:right="306"/>
              <w:jc w:val="center"/>
              <w:rPr>
                <w:rFonts w:ascii="Calibri"/>
                <w:b/>
                <w:sz w:val="16"/>
              </w:rPr>
            </w:pPr>
            <w:r>
              <w:rPr>
                <w:rFonts w:ascii="Calibri"/>
                <w:b/>
                <w:sz w:val="16"/>
              </w:rPr>
              <w:t>INVERSION</w:t>
            </w:r>
          </w:p>
        </w:tc>
        <w:tc>
          <w:tcPr>
            <w:tcW w:w="1412" w:type="dxa"/>
            <w:tcBorders>
              <w:right w:val="single" w:sz="3" w:space="0" w:color="000000"/>
            </w:tcBorders>
          </w:tcPr>
          <w:p>
            <w:pPr/>
          </w:p>
        </w:tc>
        <w:tc>
          <w:tcPr>
            <w:tcW w:w="1411" w:type="dxa"/>
            <w:tcBorders>
              <w:left w:val="single" w:sz="3" w:space="0" w:color="000000"/>
              <w:right w:val="single" w:sz="3" w:space="0" w:color="000000"/>
            </w:tcBorders>
          </w:tcPr>
          <w:p>
            <w:pPr/>
          </w:p>
        </w:tc>
        <w:tc>
          <w:tcPr>
            <w:tcW w:w="1414" w:type="dxa"/>
            <w:tcBorders>
              <w:left w:val="single" w:sz="3" w:space="0" w:color="000000"/>
              <w:right w:val="single" w:sz="3" w:space="0" w:color="000000"/>
            </w:tcBorders>
          </w:tcPr>
          <w:p>
            <w:pPr/>
          </w:p>
        </w:tc>
        <w:tc>
          <w:tcPr>
            <w:tcW w:w="1411" w:type="dxa"/>
            <w:tcBorders>
              <w:left w:val="single" w:sz="3" w:space="0" w:color="000000"/>
            </w:tcBorders>
          </w:tcPr>
          <w:p>
            <w:pPr/>
          </w:p>
        </w:tc>
        <w:tc>
          <w:tcPr>
            <w:tcW w:w="1411" w:type="dxa"/>
            <w:tcBorders>
              <w:right w:val="single" w:sz="3" w:space="0" w:color="000000"/>
            </w:tcBorders>
          </w:tcPr>
          <w:p>
            <w:pPr/>
          </w:p>
        </w:tc>
        <w:tc>
          <w:tcPr>
            <w:tcW w:w="1238" w:type="dxa"/>
            <w:tcBorders>
              <w:left w:val="single" w:sz="3" w:space="0" w:color="000000"/>
            </w:tcBorders>
          </w:tcPr>
          <w:p>
            <w:pPr/>
          </w:p>
        </w:tc>
      </w:tr>
    </w:tbl>
    <w:p>
      <w:pPr>
        <w:spacing w:after="0"/>
        <w:sectPr>
          <w:footerReference w:type="default" r:id="rId49"/>
          <w:pgSz w:w="12240" w:h="15840"/>
          <w:pgMar w:footer="0" w:header="0" w:top="1440" w:bottom="280" w:left="1020" w:right="24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4"/>
        <w:gridCol w:w="1411"/>
        <w:gridCol w:w="1411"/>
        <w:gridCol w:w="1414"/>
        <w:gridCol w:w="1411"/>
        <w:gridCol w:w="1411"/>
        <w:gridCol w:w="1238"/>
      </w:tblGrid>
      <w:tr>
        <w:trPr>
          <w:trHeight w:val="415" w:hRule="exact"/>
        </w:trPr>
        <w:tc>
          <w:tcPr>
            <w:tcW w:w="9710" w:type="dxa"/>
            <w:gridSpan w:val="7"/>
            <w:tcBorders>
              <w:left w:val="single" w:sz="7" w:space="0" w:color="000000"/>
            </w:tcBorders>
          </w:tcPr>
          <w:p>
            <w:pPr/>
          </w:p>
        </w:tc>
      </w:tr>
      <w:tr>
        <w:trPr>
          <w:trHeight w:val="424" w:hRule="exact"/>
        </w:trPr>
        <w:tc>
          <w:tcPr>
            <w:tcW w:w="1414" w:type="dxa"/>
            <w:tcBorders>
              <w:top w:val="single" w:sz="7" w:space="0" w:color="000000"/>
              <w:left w:val="single" w:sz="7" w:space="0" w:color="000000"/>
              <w:bottom w:val="single" w:sz="7" w:space="0" w:color="000000"/>
              <w:right w:val="single" w:sz="7" w:space="0" w:color="000000"/>
            </w:tcBorders>
            <w:shd w:val="clear" w:color="auto" w:fill="D8D8D8"/>
          </w:tcPr>
          <w:p>
            <w:pPr>
              <w:pStyle w:val="TableParagraph"/>
              <w:spacing w:before="106"/>
              <w:ind w:left="288" w:right="289"/>
              <w:jc w:val="center"/>
              <w:rPr>
                <w:rFonts w:ascii="Calibri"/>
                <w:b/>
                <w:sz w:val="16"/>
              </w:rPr>
            </w:pPr>
            <w:r>
              <w:rPr>
                <w:rFonts w:ascii="Calibri"/>
                <w:b/>
                <w:sz w:val="16"/>
              </w:rPr>
              <w:t>COSTOS</w:t>
            </w:r>
          </w:p>
        </w:tc>
        <w:tc>
          <w:tcPr>
            <w:tcW w:w="8296" w:type="dxa"/>
            <w:gridSpan w:val="6"/>
            <w:tcBorders>
              <w:left w:val="single" w:sz="7" w:space="0" w:color="000000"/>
              <w:bottom w:val="single" w:sz="7" w:space="0" w:color="000000"/>
            </w:tcBorders>
          </w:tcPr>
          <w:p>
            <w:pPr/>
          </w:p>
        </w:tc>
      </w:tr>
      <w:tr>
        <w:trPr>
          <w:trHeight w:val="420" w:hRule="exact"/>
        </w:trPr>
        <w:tc>
          <w:tcPr>
            <w:tcW w:w="1414" w:type="dxa"/>
            <w:tcBorders>
              <w:top w:val="single" w:sz="7" w:space="0" w:color="000000"/>
              <w:left w:val="single" w:sz="7" w:space="0" w:color="000000"/>
              <w:bottom w:val="single" w:sz="3" w:space="0" w:color="000000"/>
              <w:right w:val="single" w:sz="3" w:space="0" w:color="000000"/>
            </w:tcBorders>
          </w:tcPr>
          <w:p>
            <w:pPr>
              <w:pStyle w:val="TableParagraph"/>
              <w:spacing w:before="107"/>
              <w:ind w:left="167" w:right="174"/>
              <w:jc w:val="center"/>
              <w:rPr>
                <w:rFonts w:ascii="Calibri" w:hAnsi="Calibri"/>
                <w:sz w:val="16"/>
              </w:rPr>
            </w:pPr>
            <w:r>
              <w:rPr>
                <w:rFonts w:ascii="Calibri" w:hAnsi="Calibri"/>
                <w:sz w:val="16"/>
              </w:rPr>
              <w:t>Operación</w:t>
            </w:r>
          </w:p>
        </w:tc>
        <w:tc>
          <w:tcPr>
            <w:tcW w:w="1411" w:type="dxa"/>
            <w:tcBorders>
              <w:top w:val="single" w:sz="7" w:space="0" w:color="000000"/>
              <w:left w:val="single" w:sz="3" w:space="0" w:color="000000"/>
              <w:bottom w:val="single" w:sz="3" w:space="0" w:color="000000"/>
              <w:right w:val="single" w:sz="3" w:space="0" w:color="000000"/>
            </w:tcBorders>
          </w:tcPr>
          <w:p>
            <w:pPr>
              <w:pStyle w:val="TableParagraph"/>
              <w:spacing w:before="107"/>
              <w:ind w:left="111" w:right="114"/>
              <w:jc w:val="center"/>
              <w:rPr>
                <w:rFonts w:ascii="Calibri"/>
                <w:sz w:val="16"/>
              </w:rPr>
            </w:pPr>
            <w:r>
              <w:rPr>
                <w:rFonts w:ascii="Calibri"/>
                <w:sz w:val="16"/>
              </w:rPr>
              <w:t>$ 300,804,449.24</w:t>
            </w:r>
          </w:p>
        </w:tc>
        <w:tc>
          <w:tcPr>
            <w:tcW w:w="1411" w:type="dxa"/>
            <w:tcBorders>
              <w:top w:val="single" w:sz="7" w:space="0" w:color="000000"/>
              <w:left w:val="single" w:sz="3" w:space="0" w:color="000000"/>
              <w:bottom w:val="single" w:sz="3" w:space="0" w:color="000000"/>
              <w:right w:val="single" w:sz="3" w:space="0" w:color="000000"/>
            </w:tcBorders>
          </w:tcPr>
          <w:p>
            <w:pPr>
              <w:pStyle w:val="TableParagraph"/>
              <w:spacing w:before="107"/>
              <w:ind w:left="113" w:right="113"/>
              <w:jc w:val="center"/>
              <w:rPr>
                <w:rFonts w:ascii="Calibri"/>
                <w:sz w:val="16"/>
              </w:rPr>
            </w:pPr>
            <w:r>
              <w:rPr>
                <w:rFonts w:ascii="Calibri"/>
                <w:sz w:val="16"/>
              </w:rPr>
              <w:t>$ 300,804,449.24</w:t>
            </w:r>
          </w:p>
        </w:tc>
        <w:tc>
          <w:tcPr>
            <w:tcW w:w="1414" w:type="dxa"/>
            <w:tcBorders>
              <w:top w:val="single" w:sz="7" w:space="0" w:color="000000"/>
              <w:left w:val="single" w:sz="3" w:space="0" w:color="000000"/>
              <w:bottom w:val="single" w:sz="3" w:space="0" w:color="000000"/>
              <w:right w:val="single" w:sz="3" w:space="0" w:color="000000"/>
            </w:tcBorders>
          </w:tcPr>
          <w:p>
            <w:pPr>
              <w:pStyle w:val="TableParagraph"/>
              <w:spacing w:before="107"/>
              <w:ind w:left="114" w:right="115"/>
              <w:jc w:val="center"/>
              <w:rPr>
                <w:rFonts w:ascii="Calibri"/>
                <w:sz w:val="16"/>
              </w:rPr>
            </w:pPr>
            <w:r>
              <w:rPr>
                <w:rFonts w:ascii="Calibri"/>
                <w:sz w:val="16"/>
              </w:rPr>
              <w:t>$ 300,804,449.24</w:t>
            </w:r>
          </w:p>
        </w:tc>
        <w:tc>
          <w:tcPr>
            <w:tcW w:w="1411" w:type="dxa"/>
            <w:tcBorders>
              <w:top w:val="single" w:sz="7" w:space="0" w:color="000000"/>
              <w:left w:val="single" w:sz="3" w:space="0" w:color="000000"/>
              <w:bottom w:val="single" w:sz="3" w:space="0" w:color="000000"/>
              <w:right w:val="single" w:sz="7" w:space="0" w:color="000000"/>
            </w:tcBorders>
          </w:tcPr>
          <w:p>
            <w:pPr>
              <w:pStyle w:val="TableParagraph"/>
              <w:spacing w:before="107"/>
              <w:ind w:right="133"/>
              <w:jc w:val="right"/>
              <w:rPr>
                <w:rFonts w:ascii="Calibri"/>
                <w:sz w:val="16"/>
              </w:rPr>
            </w:pPr>
            <w:r>
              <w:rPr>
                <w:rFonts w:ascii="Calibri"/>
                <w:sz w:val="16"/>
              </w:rPr>
              <w:t>$ 300,804,449.24</w:t>
            </w:r>
          </w:p>
        </w:tc>
        <w:tc>
          <w:tcPr>
            <w:tcW w:w="1411" w:type="dxa"/>
            <w:tcBorders>
              <w:top w:val="single" w:sz="7" w:space="0" w:color="000000"/>
              <w:left w:val="single" w:sz="7" w:space="0" w:color="000000"/>
              <w:bottom w:val="single" w:sz="3" w:space="0" w:color="000000"/>
              <w:right w:val="single" w:sz="7" w:space="0" w:color="000000"/>
            </w:tcBorders>
          </w:tcPr>
          <w:p>
            <w:pPr>
              <w:pStyle w:val="TableParagraph"/>
              <w:spacing w:before="107"/>
              <w:ind w:left="112" w:right="112"/>
              <w:jc w:val="center"/>
              <w:rPr>
                <w:rFonts w:ascii="Calibri"/>
                <w:sz w:val="16"/>
              </w:rPr>
            </w:pPr>
            <w:r>
              <w:rPr>
                <w:rFonts w:ascii="Calibri"/>
                <w:sz w:val="16"/>
              </w:rPr>
              <w:t>$ 300,804,449.24</w:t>
            </w:r>
          </w:p>
        </w:tc>
        <w:tc>
          <w:tcPr>
            <w:tcW w:w="1238" w:type="dxa"/>
            <w:tcBorders>
              <w:top w:val="single" w:sz="7" w:space="0" w:color="000000"/>
              <w:left w:val="single" w:sz="7" w:space="0" w:color="000000"/>
              <w:bottom w:val="single" w:sz="3" w:space="0" w:color="000000"/>
              <w:right w:val="single" w:sz="7" w:space="0" w:color="000000"/>
            </w:tcBorders>
          </w:tcPr>
          <w:p>
            <w:pPr>
              <w:pStyle w:val="TableParagraph"/>
              <w:spacing w:before="107"/>
              <w:ind w:left="44" w:right="42"/>
              <w:jc w:val="center"/>
              <w:rPr>
                <w:rFonts w:ascii="Calibri"/>
                <w:sz w:val="16"/>
              </w:rPr>
            </w:pPr>
            <w:r>
              <w:rPr>
                <w:rFonts w:ascii="Calibri"/>
                <w:sz w:val="16"/>
              </w:rPr>
              <w:t>$300,804,449.24</w:t>
            </w:r>
          </w:p>
        </w:tc>
      </w:tr>
      <w:tr>
        <w:trPr>
          <w:trHeight w:val="415" w:hRule="exact"/>
        </w:trPr>
        <w:tc>
          <w:tcPr>
            <w:tcW w:w="1414" w:type="dxa"/>
            <w:tcBorders>
              <w:top w:val="single" w:sz="3" w:space="0" w:color="000000"/>
              <w:left w:val="single" w:sz="7" w:space="0" w:color="000000"/>
              <w:bottom w:val="single" w:sz="3" w:space="0" w:color="000000"/>
              <w:right w:val="single" w:sz="3" w:space="0" w:color="000000"/>
            </w:tcBorders>
          </w:tcPr>
          <w:p>
            <w:pPr>
              <w:pStyle w:val="TableParagraph"/>
              <w:spacing w:before="107"/>
              <w:ind w:left="169" w:right="174"/>
              <w:jc w:val="center"/>
              <w:rPr>
                <w:rFonts w:ascii="Calibri"/>
                <w:sz w:val="16"/>
              </w:rPr>
            </w:pPr>
            <w:r>
              <w:rPr>
                <w:rFonts w:ascii="Calibri"/>
                <w:sz w:val="16"/>
              </w:rPr>
              <w:t>Mantenimiento</w:t>
            </w:r>
          </w:p>
        </w:tc>
        <w:tc>
          <w:tcPr>
            <w:tcW w:w="1411" w:type="dxa"/>
            <w:tcBorders>
              <w:top w:val="single" w:sz="3" w:space="0" w:color="000000"/>
              <w:left w:val="single" w:sz="3" w:space="0" w:color="000000"/>
              <w:bottom w:val="single" w:sz="3" w:space="0" w:color="000000"/>
              <w:right w:val="single" w:sz="3" w:space="0" w:color="000000"/>
            </w:tcBorders>
          </w:tcPr>
          <w:p>
            <w:pPr>
              <w:pStyle w:val="TableParagraph"/>
              <w:spacing w:before="107"/>
              <w:ind w:left="111" w:right="114"/>
              <w:jc w:val="center"/>
              <w:rPr>
                <w:rFonts w:ascii="Calibri"/>
                <w:sz w:val="16"/>
              </w:rPr>
            </w:pPr>
            <w:r>
              <w:rPr>
                <w:rFonts w:ascii="Calibri"/>
                <w:sz w:val="16"/>
              </w:rPr>
              <w:t>$ 4,357,215.39</w:t>
            </w:r>
          </w:p>
        </w:tc>
        <w:tc>
          <w:tcPr>
            <w:tcW w:w="1411" w:type="dxa"/>
            <w:tcBorders>
              <w:top w:val="single" w:sz="3" w:space="0" w:color="000000"/>
              <w:left w:val="single" w:sz="3" w:space="0" w:color="000000"/>
              <w:bottom w:val="single" w:sz="3" w:space="0" w:color="000000"/>
              <w:right w:val="single" w:sz="3" w:space="0" w:color="000000"/>
            </w:tcBorders>
          </w:tcPr>
          <w:p>
            <w:pPr>
              <w:pStyle w:val="TableParagraph"/>
              <w:spacing w:before="107"/>
              <w:ind w:left="113" w:right="113"/>
              <w:jc w:val="center"/>
              <w:rPr>
                <w:rFonts w:ascii="Calibri"/>
                <w:sz w:val="16"/>
              </w:rPr>
            </w:pPr>
            <w:r>
              <w:rPr>
                <w:rFonts w:ascii="Calibri"/>
                <w:sz w:val="16"/>
              </w:rPr>
              <w:t>$ 4,357,215.39</w:t>
            </w:r>
          </w:p>
        </w:tc>
        <w:tc>
          <w:tcPr>
            <w:tcW w:w="1414" w:type="dxa"/>
            <w:tcBorders>
              <w:top w:val="single" w:sz="3" w:space="0" w:color="000000"/>
              <w:left w:val="single" w:sz="3" w:space="0" w:color="000000"/>
              <w:bottom w:val="single" w:sz="3" w:space="0" w:color="000000"/>
              <w:right w:val="single" w:sz="3" w:space="0" w:color="000000"/>
            </w:tcBorders>
          </w:tcPr>
          <w:p>
            <w:pPr>
              <w:pStyle w:val="TableParagraph"/>
              <w:spacing w:before="107"/>
              <w:ind w:left="115" w:right="115"/>
              <w:jc w:val="center"/>
              <w:rPr>
                <w:rFonts w:ascii="Calibri"/>
                <w:sz w:val="16"/>
              </w:rPr>
            </w:pPr>
            <w:r>
              <w:rPr>
                <w:rFonts w:ascii="Calibri"/>
                <w:sz w:val="16"/>
              </w:rPr>
              <w:t>$ 4,357,215.39</w:t>
            </w:r>
          </w:p>
        </w:tc>
        <w:tc>
          <w:tcPr>
            <w:tcW w:w="1411" w:type="dxa"/>
            <w:tcBorders>
              <w:top w:val="single" w:sz="3" w:space="0" w:color="000000"/>
              <w:left w:val="single" w:sz="3" w:space="0" w:color="000000"/>
              <w:bottom w:val="single" w:sz="3" w:space="0" w:color="000000"/>
              <w:right w:val="single" w:sz="7" w:space="0" w:color="000000"/>
            </w:tcBorders>
          </w:tcPr>
          <w:p>
            <w:pPr>
              <w:pStyle w:val="TableParagraph"/>
              <w:spacing w:before="107"/>
              <w:ind w:right="214"/>
              <w:jc w:val="right"/>
              <w:rPr>
                <w:rFonts w:ascii="Calibri"/>
                <w:sz w:val="16"/>
              </w:rPr>
            </w:pPr>
            <w:r>
              <w:rPr>
                <w:rFonts w:ascii="Calibri"/>
                <w:sz w:val="16"/>
              </w:rPr>
              <w:t>$ 4,357,215.39</w:t>
            </w:r>
          </w:p>
        </w:tc>
        <w:tc>
          <w:tcPr>
            <w:tcW w:w="1411" w:type="dxa"/>
            <w:tcBorders>
              <w:top w:val="single" w:sz="3" w:space="0" w:color="000000"/>
              <w:left w:val="single" w:sz="7" w:space="0" w:color="000000"/>
              <w:bottom w:val="single" w:sz="3" w:space="0" w:color="000000"/>
              <w:right w:val="single" w:sz="7" w:space="0" w:color="000000"/>
            </w:tcBorders>
          </w:tcPr>
          <w:p>
            <w:pPr>
              <w:pStyle w:val="TableParagraph"/>
              <w:spacing w:before="107"/>
              <w:ind w:left="112" w:right="112"/>
              <w:jc w:val="center"/>
              <w:rPr>
                <w:rFonts w:ascii="Calibri"/>
                <w:sz w:val="16"/>
              </w:rPr>
            </w:pPr>
            <w:r>
              <w:rPr>
                <w:rFonts w:ascii="Calibri"/>
                <w:sz w:val="16"/>
              </w:rPr>
              <w:t>$ 4,357,215.39</w:t>
            </w:r>
          </w:p>
        </w:tc>
        <w:tc>
          <w:tcPr>
            <w:tcW w:w="1238" w:type="dxa"/>
            <w:tcBorders>
              <w:top w:val="single" w:sz="3" w:space="0" w:color="000000"/>
              <w:left w:val="single" w:sz="7" w:space="0" w:color="000000"/>
              <w:bottom w:val="single" w:sz="3" w:space="0" w:color="000000"/>
              <w:right w:val="single" w:sz="7" w:space="0" w:color="000000"/>
            </w:tcBorders>
          </w:tcPr>
          <w:p>
            <w:pPr>
              <w:pStyle w:val="TableParagraph"/>
              <w:spacing w:before="107"/>
              <w:ind w:left="42" w:right="42"/>
              <w:jc w:val="center"/>
              <w:rPr>
                <w:rFonts w:ascii="Calibri"/>
                <w:sz w:val="16"/>
              </w:rPr>
            </w:pPr>
            <w:r>
              <w:rPr>
                <w:rFonts w:ascii="Calibri"/>
                <w:sz w:val="16"/>
              </w:rPr>
              <w:t>$ 4,357,215.39</w:t>
            </w:r>
          </w:p>
        </w:tc>
      </w:tr>
      <w:tr>
        <w:trPr>
          <w:trHeight w:val="421" w:hRule="exact"/>
        </w:trPr>
        <w:tc>
          <w:tcPr>
            <w:tcW w:w="1414" w:type="dxa"/>
            <w:tcBorders>
              <w:top w:val="single" w:sz="3" w:space="0" w:color="000000"/>
              <w:left w:val="single" w:sz="7" w:space="0" w:color="000000"/>
              <w:bottom w:val="single" w:sz="7" w:space="0" w:color="000000"/>
              <w:right w:val="single" w:sz="3" w:space="0" w:color="000000"/>
            </w:tcBorders>
          </w:tcPr>
          <w:p>
            <w:pPr>
              <w:pStyle w:val="TableParagraph"/>
              <w:spacing w:before="107"/>
              <w:ind w:left="169" w:right="171"/>
              <w:jc w:val="center"/>
              <w:rPr>
                <w:rFonts w:ascii="Calibri"/>
                <w:sz w:val="16"/>
              </w:rPr>
            </w:pPr>
            <w:r>
              <w:rPr>
                <w:rFonts w:ascii="Calibri"/>
                <w:sz w:val="16"/>
              </w:rPr>
              <w:t>Personal</w:t>
            </w:r>
          </w:p>
        </w:tc>
        <w:tc>
          <w:tcPr>
            <w:tcW w:w="1411" w:type="dxa"/>
            <w:tcBorders>
              <w:top w:val="single" w:sz="3" w:space="0" w:color="000000"/>
              <w:left w:val="single" w:sz="3" w:space="0" w:color="000000"/>
              <w:bottom w:val="single" w:sz="7" w:space="0" w:color="000000"/>
              <w:right w:val="single" w:sz="3" w:space="0" w:color="000000"/>
            </w:tcBorders>
          </w:tcPr>
          <w:p>
            <w:pPr>
              <w:pStyle w:val="TableParagraph"/>
              <w:spacing w:before="107"/>
              <w:ind w:left="112" w:right="114"/>
              <w:jc w:val="center"/>
              <w:rPr>
                <w:rFonts w:ascii="Calibri"/>
                <w:sz w:val="16"/>
              </w:rPr>
            </w:pPr>
            <w:r>
              <w:rPr>
                <w:rFonts w:ascii="Calibri"/>
                <w:sz w:val="16"/>
              </w:rPr>
              <w:t>$ 920,942.40</w:t>
            </w:r>
          </w:p>
        </w:tc>
        <w:tc>
          <w:tcPr>
            <w:tcW w:w="1411" w:type="dxa"/>
            <w:tcBorders>
              <w:top w:val="single" w:sz="3" w:space="0" w:color="000000"/>
              <w:left w:val="single" w:sz="3" w:space="0" w:color="000000"/>
              <w:bottom w:val="single" w:sz="7" w:space="0" w:color="000000"/>
              <w:right w:val="single" w:sz="3" w:space="0" w:color="000000"/>
            </w:tcBorders>
          </w:tcPr>
          <w:p>
            <w:pPr>
              <w:pStyle w:val="TableParagraph"/>
              <w:spacing w:before="107"/>
              <w:ind w:left="113" w:right="113"/>
              <w:jc w:val="center"/>
              <w:rPr>
                <w:rFonts w:ascii="Calibri"/>
                <w:sz w:val="16"/>
              </w:rPr>
            </w:pPr>
            <w:r>
              <w:rPr>
                <w:rFonts w:ascii="Calibri"/>
                <w:sz w:val="16"/>
              </w:rPr>
              <w:t>$ 920,942.40</w:t>
            </w:r>
          </w:p>
        </w:tc>
        <w:tc>
          <w:tcPr>
            <w:tcW w:w="1414" w:type="dxa"/>
            <w:tcBorders>
              <w:top w:val="single" w:sz="3" w:space="0" w:color="000000"/>
              <w:left w:val="single" w:sz="3" w:space="0" w:color="000000"/>
              <w:bottom w:val="single" w:sz="7" w:space="0" w:color="000000"/>
              <w:right w:val="single" w:sz="3" w:space="0" w:color="000000"/>
            </w:tcBorders>
          </w:tcPr>
          <w:p>
            <w:pPr>
              <w:pStyle w:val="TableParagraph"/>
              <w:spacing w:before="107"/>
              <w:ind w:left="115" w:right="115"/>
              <w:jc w:val="center"/>
              <w:rPr>
                <w:rFonts w:ascii="Calibri"/>
                <w:sz w:val="16"/>
              </w:rPr>
            </w:pPr>
            <w:r>
              <w:rPr>
                <w:rFonts w:ascii="Calibri"/>
                <w:sz w:val="16"/>
              </w:rPr>
              <w:t>$ 920,942.40</w:t>
            </w:r>
          </w:p>
        </w:tc>
        <w:tc>
          <w:tcPr>
            <w:tcW w:w="1411" w:type="dxa"/>
            <w:tcBorders>
              <w:top w:val="single" w:sz="3" w:space="0" w:color="000000"/>
              <w:left w:val="single" w:sz="3" w:space="0" w:color="000000"/>
              <w:bottom w:val="single" w:sz="7" w:space="0" w:color="000000"/>
              <w:right w:val="single" w:sz="7" w:space="0" w:color="000000"/>
            </w:tcBorders>
          </w:tcPr>
          <w:p>
            <w:pPr>
              <w:pStyle w:val="TableParagraph"/>
              <w:spacing w:before="107"/>
              <w:ind w:left="276"/>
              <w:rPr>
                <w:rFonts w:ascii="Calibri"/>
                <w:sz w:val="16"/>
              </w:rPr>
            </w:pPr>
            <w:r>
              <w:rPr>
                <w:rFonts w:ascii="Calibri"/>
                <w:sz w:val="16"/>
              </w:rPr>
              <w:t>$ 920,942.40</w:t>
            </w:r>
          </w:p>
        </w:tc>
        <w:tc>
          <w:tcPr>
            <w:tcW w:w="1411" w:type="dxa"/>
            <w:tcBorders>
              <w:top w:val="single" w:sz="3" w:space="0" w:color="000000"/>
              <w:left w:val="single" w:sz="7" w:space="0" w:color="000000"/>
              <w:bottom w:val="single" w:sz="7" w:space="0" w:color="000000"/>
              <w:right w:val="single" w:sz="7" w:space="0" w:color="000000"/>
            </w:tcBorders>
          </w:tcPr>
          <w:p>
            <w:pPr>
              <w:pStyle w:val="TableParagraph"/>
              <w:spacing w:before="107"/>
              <w:ind w:left="112" w:right="112"/>
              <w:jc w:val="center"/>
              <w:rPr>
                <w:rFonts w:ascii="Calibri"/>
                <w:sz w:val="16"/>
              </w:rPr>
            </w:pPr>
            <w:r>
              <w:rPr>
                <w:rFonts w:ascii="Calibri"/>
                <w:sz w:val="16"/>
              </w:rPr>
              <w:t>$ 920,942.40</w:t>
            </w:r>
          </w:p>
        </w:tc>
        <w:tc>
          <w:tcPr>
            <w:tcW w:w="1238" w:type="dxa"/>
            <w:tcBorders>
              <w:top w:val="single" w:sz="3" w:space="0" w:color="000000"/>
              <w:left w:val="single" w:sz="7" w:space="0" w:color="000000"/>
              <w:bottom w:val="single" w:sz="7" w:space="0" w:color="000000"/>
              <w:right w:val="single" w:sz="7" w:space="0" w:color="000000"/>
            </w:tcBorders>
          </w:tcPr>
          <w:p>
            <w:pPr>
              <w:pStyle w:val="TableParagraph"/>
              <w:spacing w:before="107"/>
              <w:ind w:left="42" w:right="42"/>
              <w:jc w:val="center"/>
              <w:rPr>
                <w:rFonts w:ascii="Calibri"/>
                <w:sz w:val="16"/>
              </w:rPr>
            </w:pPr>
            <w:r>
              <w:rPr>
                <w:rFonts w:ascii="Calibri"/>
                <w:sz w:val="16"/>
              </w:rPr>
              <w:t>$ 920,942.40</w:t>
            </w:r>
          </w:p>
        </w:tc>
      </w:tr>
      <w:tr>
        <w:trPr>
          <w:trHeight w:val="423" w:hRule="exact"/>
        </w:trPr>
        <w:tc>
          <w:tcPr>
            <w:tcW w:w="1414" w:type="dxa"/>
            <w:tcBorders>
              <w:top w:val="single" w:sz="7" w:space="0" w:color="000000"/>
              <w:left w:val="single" w:sz="7" w:space="0" w:color="000000"/>
              <w:bottom w:val="single" w:sz="7" w:space="0" w:color="000000"/>
              <w:right w:val="single" w:sz="3" w:space="0" w:color="000000"/>
            </w:tcBorders>
            <w:shd w:val="clear" w:color="auto" w:fill="D8D8D8"/>
          </w:tcPr>
          <w:p>
            <w:pPr>
              <w:pStyle w:val="TableParagraph"/>
              <w:spacing w:before="106"/>
              <w:ind w:left="169" w:right="171"/>
              <w:jc w:val="center"/>
              <w:rPr>
                <w:rFonts w:ascii="Calibri"/>
                <w:b/>
                <w:sz w:val="16"/>
              </w:rPr>
            </w:pPr>
            <w:r>
              <w:rPr>
                <w:rFonts w:ascii="Calibri"/>
                <w:b/>
                <w:sz w:val="16"/>
              </w:rPr>
              <w:t>TOTAL</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106"/>
              <w:ind w:left="111" w:right="114"/>
              <w:jc w:val="center"/>
              <w:rPr>
                <w:rFonts w:ascii="Calibri"/>
                <w:b/>
                <w:sz w:val="16"/>
              </w:rPr>
            </w:pPr>
            <w:r>
              <w:rPr>
                <w:rFonts w:ascii="Calibri"/>
                <w:b/>
                <w:sz w:val="16"/>
              </w:rPr>
              <w:t>$ 306,082,607.04</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106"/>
              <w:ind w:left="113" w:right="112"/>
              <w:jc w:val="center"/>
              <w:rPr>
                <w:rFonts w:ascii="Calibri"/>
                <w:b/>
                <w:sz w:val="16"/>
              </w:rPr>
            </w:pPr>
            <w:r>
              <w:rPr>
                <w:rFonts w:ascii="Calibri"/>
                <w:b/>
                <w:sz w:val="16"/>
              </w:rPr>
              <w:t>$ 306,082,607.04</w:t>
            </w:r>
          </w:p>
        </w:tc>
        <w:tc>
          <w:tcPr>
            <w:tcW w:w="1414"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106"/>
              <w:ind w:left="115" w:right="115"/>
              <w:jc w:val="center"/>
              <w:rPr>
                <w:rFonts w:ascii="Calibri"/>
                <w:b/>
                <w:sz w:val="16"/>
              </w:rPr>
            </w:pPr>
            <w:r>
              <w:rPr>
                <w:rFonts w:ascii="Calibri"/>
                <w:b/>
                <w:sz w:val="16"/>
              </w:rPr>
              <w:t>$ 306,082,607.04</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106"/>
              <w:ind w:right="135"/>
              <w:jc w:val="right"/>
              <w:rPr>
                <w:rFonts w:ascii="Calibri"/>
                <w:b/>
                <w:sz w:val="16"/>
              </w:rPr>
            </w:pPr>
            <w:r>
              <w:rPr>
                <w:rFonts w:ascii="Calibri"/>
                <w:b/>
                <w:sz w:val="16"/>
              </w:rPr>
              <w:t>$ 306,082,607.04</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106"/>
              <w:ind w:left="113" w:right="113"/>
              <w:jc w:val="center"/>
              <w:rPr>
                <w:rFonts w:ascii="Calibri"/>
                <w:b/>
                <w:sz w:val="16"/>
              </w:rPr>
            </w:pPr>
            <w:r>
              <w:rPr>
                <w:rFonts w:ascii="Calibri"/>
                <w:b/>
                <w:sz w:val="16"/>
              </w:rPr>
              <w:t>$ 306,082,607.04</w:t>
            </w:r>
          </w:p>
        </w:tc>
        <w:tc>
          <w:tcPr>
            <w:tcW w:w="1238"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7"/>
              <w:ind w:left="107" w:right="86" w:firstLine="468"/>
              <w:rPr>
                <w:rFonts w:ascii="Calibri"/>
                <w:b/>
                <w:sz w:val="16"/>
              </w:rPr>
            </w:pPr>
            <w:r>
              <w:rPr>
                <w:rFonts w:ascii="Calibri"/>
                <w:b/>
                <w:sz w:val="16"/>
              </w:rPr>
              <w:t>$ 306,082,607.04</w:t>
            </w:r>
          </w:p>
        </w:tc>
      </w:tr>
      <w:tr>
        <w:trPr>
          <w:trHeight w:val="428" w:hRule="exact"/>
        </w:trPr>
        <w:tc>
          <w:tcPr>
            <w:tcW w:w="9710" w:type="dxa"/>
            <w:gridSpan w:val="7"/>
            <w:tcBorders>
              <w:top w:val="single" w:sz="7" w:space="0" w:color="000000"/>
              <w:left w:val="single" w:sz="7" w:space="0" w:color="000000"/>
            </w:tcBorders>
          </w:tcPr>
          <w:p>
            <w:pPr/>
          </w:p>
        </w:tc>
      </w:tr>
      <w:tr>
        <w:trPr>
          <w:trHeight w:val="423" w:hRule="exact"/>
        </w:trPr>
        <w:tc>
          <w:tcPr>
            <w:tcW w:w="1414" w:type="dxa"/>
            <w:tcBorders>
              <w:top w:val="single" w:sz="7" w:space="0" w:color="000000"/>
              <w:left w:val="single" w:sz="7" w:space="0" w:color="000000"/>
              <w:bottom w:val="single" w:sz="7" w:space="0" w:color="000000"/>
              <w:right w:val="single" w:sz="7" w:space="0" w:color="000000"/>
            </w:tcBorders>
            <w:shd w:val="clear" w:color="auto" w:fill="D8D8D8"/>
          </w:tcPr>
          <w:p>
            <w:pPr>
              <w:pStyle w:val="TableParagraph"/>
              <w:spacing w:before="105"/>
              <w:ind w:left="289" w:right="289"/>
              <w:jc w:val="center"/>
              <w:rPr>
                <w:rFonts w:ascii="Calibri"/>
                <w:b/>
                <w:sz w:val="16"/>
              </w:rPr>
            </w:pPr>
            <w:r>
              <w:rPr>
                <w:rFonts w:ascii="Calibri"/>
                <w:b/>
                <w:sz w:val="16"/>
              </w:rPr>
              <w:t>BENEFICIOS</w:t>
            </w:r>
          </w:p>
        </w:tc>
        <w:tc>
          <w:tcPr>
            <w:tcW w:w="8296" w:type="dxa"/>
            <w:gridSpan w:val="6"/>
            <w:tcBorders>
              <w:left w:val="single" w:sz="7" w:space="0" w:color="000000"/>
              <w:bottom w:val="single" w:sz="7" w:space="0" w:color="000000"/>
            </w:tcBorders>
          </w:tcPr>
          <w:p>
            <w:pPr/>
          </w:p>
        </w:tc>
      </w:tr>
      <w:tr>
        <w:trPr>
          <w:trHeight w:val="427" w:hRule="exact"/>
        </w:trPr>
        <w:tc>
          <w:tcPr>
            <w:tcW w:w="1414" w:type="dxa"/>
            <w:tcBorders>
              <w:top w:val="single" w:sz="7" w:space="0" w:color="000000"/>
              <w:left w:val="single" w:sz="7" w:space="0" w:color="000000"/>
              <w:bottom w:val="single" w:sz="7" w:space="0" w:color="000000"/>
              <w:right w:val="single" w:sz="3" w:space="0" w:color="000000"/>
            </w:tcBorders>
          </w:tcPr>
          <w:p>
            <w:pPr>
              <w:pStyle w:val="TableParagraph"/>
              <w:spacing w:before="11"/>
              <w:ind w:left="95" w:right="82" w:firstLine="170"/>
              <w:rPr>
                <w:rFonts w:ascii="Calibri"/>
                <w:sz w:val="16"/>
              </w:rPr>
            </w:pPr>
            <w:r>
              <w:rPr>
                <w:rFonts w:ascii="Calibri"/>
                <w:sz w:val="16"/>
              </w:rPr>
              <w:t>Beneficio por nuevas atenciones</w:t>
            </w:r>
          </w:p>
        </w:tc>
        <w:tc>
          <w:tcPr>
            <w:tcW w:w="1411" w:type="dxa"/>
            <w:tcBorders>
              <w:top w:val="single" w:sz="7" w:space="0" w:color="000000"/>
              <w:left w:val="single" w:sz="3" w:space="0" w:color="000000"/>
              <w:bottom w:val="single" w:sz="7" w:space="0" w:color="000000"/>
              <w:right w:val="single" w:sz="3" w:space="0" w:color="000000"/>
            </w:tcBorders>
          </w:tcPr>
          <w:p>
            <w:pPr>
              <w:pStyle w:val="TableParagraph"/>
              <w:spacing w:before="107"/>
              <w:ind w:left="111" w:right="114"/>
              <w:jc w:val="center"/>
              <w:rPr>
                <w:rFonts w:ascii="Calibri"/>
                <w:sz w:val="16"/>
              </w:rPr>
            </w:pPr>
            <w:r>
              <w:rPr>
                <w:rFonts w:ascii="Calibri"/>
                <w:sz w:val="16"/>
              </w:rPr>
              <w:t>$ 321,742,542.96</w:t>
            </w:r>
          </w:p>
        </w:tc>
        <w:tc>
          <w:tcPr>
            <w:tcW w:w="1411" w:type="dxa"/>
            <w:tcBorders>
              <w:top w:val="single" w:sz="7" w:space="0" w:color="000000"/>
              <w:left w:val="single" w:sz="3" w:space="0" w:color="000000"/>
              <w:bottom w:val="single" w:sz="7" w:space="0" w:color="000000"/>
              <w:right w:val="single" w:sz="3" w:space="0" w:color="000000"/>
            </w:tcBorders>
          </w:tcPr>
          <w:p>
            <w:pPr>
              <w:pStyle w:val="TableParagraph"/>
              <w:spacing w:before="107"/>
              <w:ind w:left="113" w:right="113"/>
              <w:jc w:val="center"/>
              <w:rPr>
                <w:rFonts w:ascii="Calibri"/>
                <w:sz w:val="16"/>
              </w:rPr>
            </w:pPr>
            <w:r>
              <w:rPr>
                <w:rFonts w:ascii="Calibri"/>
                <w:sz w:val="16"/>
              </w:rPr>
              <w:t>$ 321,742,542.96</w:t>
            </w:r>
          </w:p>
        </w:tc>
        <w:tc>
          <w:tcPr>
            <w:tcW w:w="1414" w:type="dxa"/>
            <w:tcBorders>
              <w:top w:val="single" w:sz="7" w:space="0" w:color="000000"/>
              <w:left w:val="single" w:sz="3" w:space="0" w:color="000000"/>
              <w:bottom w:val="single" w:sz="7" w:space="0" w:color="000000"/>
              <w:right w:val="single" w:sz="3" w:space="0" w:color="000000"/>
            </w:tcBorders>
          </w:tcPr>
          <w:p>
            <w:pPr>
              <w:pStyle w:val="TableParagraph"/>
              <w:spacing w:before="107"/>
              <w:ind w:left="114" w:right="115"/>
              <w:jc w:val="center"/>
              <w:rPr>
                <w:rFonts w:ascii="Calibri"/>
                <w:sz w:val="16"/>
              </w:rPr>
            </w:pPr>
            <w:r>
              <w:rPr>
                <w:rFonts w:ascii="Calibri"/>
                <w:sz w:val="16"/>
              </w:rPr>
              <w:t>$ 321,742,542.96</w:t>
            </w:r>
          </w:p>
        </w:tc>
        <w:tc>
          <w:tcPr>
            <w:tcW w:w="1411" w:type="dxa"/>
            <w:tcBorders>
              <w:top w:val="single" w:sz="7" w:space="0" w:color="000000"/>
              <w:left w:val="single" w:sz="3" w:space="0" w:color="000000"/>
              <w:bottom w:val="single" w:sz="7" w:space="0" w:color="000000"/>
              <w:right w:val="single" w:sz="7" w:space="0" w:color="000000"/>
            </w:tcBorders>
          </w:tcPr>
          <w:p>
            <w:pPr>
              <w:pStyle w:val="TableParagraph"/>
              <w:spacing w:before="107"/>
              <w:ind w:right="133"/>
              <w:jc w:val="right"/>
              <w:rPr>
                <w:rFonts w:ascii="Calibri"/>
                <w:sz w:val="16"/>
              </w:rPr>
            </w:pPr>
            <w:r>
              <w:rPr>
                <w:rFonts w:ascii="Calibri"/>
                <w:sz w:val="16"/>
              </w:rPr>
              <w:t>$ 321,742,542.96</w:t>
            </w:r>
          </w:p>
        </w:tc>
        <w:tc>
          <w:tcPr>
            <w:tcW w:w="1411" w:type="dxa"/>
            <w:tcBorders>
              <w:top w:val="single" w:sz="7" w:space="0" w:color="000000"/>
              <w:left w:val="single" w:sz="7" w:space="0" w:color="000000"/>
              <w:bottom w:val="single" w:sz="7" w:space="0" w:color="000000"/>
              <w:right w:val="single" w:sz="7" w:space="0" w:color="000000"/>
            </w:tcBorders>
          </w:tcPr>
          <w:p>
            <w:pPr>
              <w:pStyle w:val="TableParagraph"/>
              <w:spacing w:before="107"/>
              <w:ind w:left="112" w:right="112"/>
              <w:jc w:val="center"/>
              <w:rPr>
                <w:rFonts w:ascii="Calibri"/>
                <w:sz w:val="16"/>
              </w:rPr>
            </w:pPr>
            <w:r>
              <w:rPr>
                <w:rFonts w:ascii="Calibri"/>
                <w:sz w:val="16"/>
              </w:rPr>
              <w:t>$ 321,742,542.96</w:t>
            </w:r>
          </w:p>
        </w:tc>
        <w:tc>
          <w:tcPr>
            <w:tcW w:w="1238" w:type="dxa"/>
            <w:tcBorders>
              <w:top w:val="single" w:sz="7" w:space="0" w:color="000000"/>
              <w:left w:val="single" w:sz="7" w:space="0" w:color="000000"/>
              <w:bottom w:val="single" w:sz="7" w:space="0" w:color="000000"/>
              <w:right w:val="single" w:sz="3" w:space="0" w:color="000000"/>
            </w:tcBorders>
          </w:tcPr>
          <w:p>
            <w:pPr>
              <w:pStyle w:val="TableParagraph"/>
              <w:spacing w:before="107"/>
              <w:ind w:left="43" w:right="43"/>
              <w:jc w:val="center"/>
              <w:rPr>
                <w:rFonts w:ascii="Calibri"/>
                <w:sz w:val="16"/>
              </w:rPr>
            </w:pPr>
            <w:r>
              <w:rPr>
                <w:rFonts w:ascii="Calibri"/>
                <w:sz w:val="16"/>
              </w:rPr>
              <w:t>$321,742,542.96</w:t>
            </w:r>
          </w:p>
        </w:tc>
      </w:tr>
      <w:tr>
        <w:trPr>
          <w:trHeight w:val="332" w:hRule="exact"/>
        </w:trPr>
        <w:tc>
          <w:tcPr>
            <w:tcW w:w="1414" w:type="dxa"/>
            <w:tcBorders>
              <w:top w:val="single" w:sz="7" w:space="0" w:color="000000"/>
              <w:left w:val="single" w:sz="7" w:space="0" w:color="000000"/>
              <w:bottom w:val="single" w:sz="7" w:space="0" w:color="000000"/>
              <w:right w:val="single" w:sz="3" w:space="0" w:color="000000"/>
            </w:tcBorders>
            <w:shd w:val="clear" w:color="auto" w:fill="D8D8D8"/>
          </w:tcPr>
          <w:p>
            <w:pPr>
              <w:pStyle w:val="TableParagraph"/>
              <w:spacing w:before="61"/>
              <w:ind w:left="169" w:right="171"/>
              <w:jc w:val="center"/>
              <w:rPr>
                <w:rFonts w:ascii="Calibri"/>
                <w:b/>
                <w:sz w:val="16"/>
              </w:rPr>
            </w:pPr>
            <w:r>
              <w:rPr>
                <w:rFonts w:ascii="Calibri"/>
                <w:b/>
                <w:sz w:val="16"/>
              </w:rPr>
              <w:t>TOTAL</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61"/>
              <w:ind w:left="113" w:right="113"/>
              <w:jc w:val="center"/>
              <w:rPr>
                <w:rFonts w:ascii="Calibri"/>
                <w:b/>
                <w:sz w:val="16"/>
              </w:rPr>
            </w:pPr>
            <w:r>
              <w:rPr>
                <w:rFonts w:ascii="Calibri"/>
                <w:b/>
                <w:sz w:val="16"/>
              </w:rPr>
              <w:t>$321,742,542.96</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61"/>
              <w:ind w:left="113" w:right="112"/>
              <w:jc w:val="center"/>
              <w:rPr>
                <w:rFonts w:ascii="Calibri"/>
                <w:b/>
                <w:sz w:val="16"/>
              </w:rPr>
            </w:pPr>
            <w:r>
              <w:rPr>
                <w:rFonts w:ascii="Calibri"/>
                <w:b/>
                <w:sz w:val="16"/>
              </w:rPr>
              <w:t>$321,742,542.96</w:t>
            </w:r>
          </w:p>
        </w:tc>
        <w:tc>
          <w:tcPr>
            <w:tcW w:w="1414"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61"/>
              <w:ind w:left="115" w:right="115"/>
              <w:jc w:val="center"/>
              <w:rPr>
                <w:rFonts w:ascii="Calibri"/>
                <w:b/>
                <w:sz w:val="16"/>
              </w:rPr>
            </w:pPr>
            <w:r>
              <w:rPr>
                <w:rFonts w:ascii="Calibri"/>
                <w:b/>
                <w:sz w:val="16"/>
              </w:rPr>
              <w:t>$321,742,542.96</w:t>
            </w:r>
          </w:p>
        </w:tc>
        <w:tc>
          <w:tcPr>
            <w:tcW w:w="1411" w:type="dxa"/>
            <w:tcBorders>
              <w:top w:val="single" w:sz="7" w:space="0" w:color="000000"/>
              <w:left w:val="single" w:sz="3" w:space="0" w:color="000000"/>
              <w:bottom w:val="single" w:sz="7" w:space="0" w:color="000000"/>
              <w:right w:val="single" w:sz="7" w:space="0" w:color="000000"/>
            </w:tcBorders>
            <w:shd w:val="clear" w:color="auto" w:fill="D8D8D8"/>
          </w:tcPr>
          <w:p>
            <w:pPr>
              <w:pStyle w:val="TableParagraph"/>
              <w:spacing w:before="61"/>
              <w:ind w:right="147"/>
              <w:jc w:val="right"/>
              <w:rPr>
                <w:rFonts w:ascii="Calibri"/>
                <w:b/>
                <w:sz w:val="16"/>
              </w:rPr>
            </w:pPr>
            <w:r>
              <w:rPr>
                <w:rFonts w:ascii="Calibri"/>
                <w:b/>
                <w:sz w:val="16"/>
              </w:rPr>
              <w:t>$321,742,542.96</w:t>
            </w:r>
          </w:p>
        </w:tc>
        <w:tc>
          <w:tcPr>
            <w:tcW w:w="1411" w:type="dxa"/>
            <w:tcBorders>
              <w:top w:val="single" w:sz="7" w:space="0" w:color="000000"/>
              <w:left w:val="single" w:sz="7" w:space="0" w:color="000000"/>
              <w:bottom w:val="single" w:sz="7" w:space="0" w:color="000000"/>
              <w:right w:val="single" w:sz="7" w:space="0" w:color="000000"/>
            </w:tcBorders>
            <w:shd w:val="clear" w:color="auto" w:fill="D8D8D8"/>
          </w:tcPr>
          <w:p>
            <w:pPr>
              <w:pStyle w:val="TableParagraph"/>
              <w:spacing w:before="61"/>
              <w:ind w:left="112" w:right="111"/>
              <w:jc w:val="center"/>
              <w:rPr>
                <w:rFonts w:ascii="Calibri"/>
                <w:b/>
                <w:sz w:val="16"/>
              </w:rPr>
            </w:pPr>
            <w:r>
              <w:rPr>
                <w:rFonts w:ascii="Calibri"/>
                <w:b/>
                <w:sz w:val="16"/>
              </w:rPr>
              <w:t>$321,742,542.96</w:t>
            </w:r>
          </w:p>
        </w:tc>
        <w:tc>
          <w:tcPr>
            <w:tcW w:w="1238" w:type="dxa"/>
            <w:tcBorders>
              <w:top w:val="single" w:sz="7" w:space="0" w:color="000000"/>
              <w:left w:val="single" w:sz="7" w:space="0" w:color="000000"/>
              <w:bottom w:val="single" w:sz="7" w:space="0" w:color="000000"/>
              <w:right w:val="single" w:sz="3" w:space="0" w:color="000000"/>
            </w:tcBorders>
            <w:shd w:val="clear" w:color="auto" w:fill="D8D8D8"/>
          </w:tcPr>
          <w:p>
            <w:pPr>
              <w:pStyle w:val="TableParagraph"/>
              <w:spacing w:before="61"/>
              <w:ind w:left="43" w:right="43"/>
              <w:jc w:val="center"/>
              <w:rPr>
                <w:rFonts w:ascii="Calibri"/>
                <w:b/>
                <w:sz w:val="16"/>
              </w:rPr>
            </w:pPr>
            <w:r>
              <w:rPr>
                <w:rFonts w:ascii="Calibri"/>
                <w:b/>
                <w:sz w:val="16"/>
              </w:rPr>
              <w:t>$321,742,542.96</w:t>
            </w:r>
          </w:p>
        </w:tc>
      </w:tr>
      <w:tr>
        <w:trPr>
          <w:trHeight w:val="339" w:hRule="exact"/>
        </w:trPr>
        <w:tc>
          <w:tcPr>
            <w:tcW w:w="9710" w:type="dxa"/>
            <w:gridSpan w:val="7"/>
            <w:tcBorders>
              <w:top w:val="single" w:sz="7" w:space="0" w:color="000000"/>
              <w:left w:val="single" w:sz="7" w:space="0" w:color="000000"/>
              <w:bottom w:val="single" w:sz="7" w:space="0" w:color="000000"/>
            </w:tcBorders>
          </w:tcPr>
          <w:p>
            <w:pPr/>
          </w:p>
        </w:tc>
      </w:tr>
      <w:tr>
        <w:trPr>
          <w:trHeight w:val="332" w:hRule="exact"/>
        </w:trPr>
        <w:tc>
          <w:tcPr>
            <w:tcW w:w="1414" w:type="dxa"/>
            <w:tcBorders>
              <w:top w:val="single" w:sz="7" w:space="0" w:color="000000"/>
              <w:left w:val="single" w:sz="7" w:space="0" w:color="000000"/>
              <w:bottom w:val="single" w:sz="7" w:space="0" w:color="000000"/>
              <w:right w:val="single" w:sz="7" w:space="0" w:color="000000"/>
            </w:tcBorders>
            <w:shd w:val="clear" w:color="auto" w:fill="D8D8D8"/>
          </w:tcPr>
          <w:p>
            <w:pPr>
              <w:pStyle w:val="TableParagraph"/>
              <w:spacing w:before="60"/>
              <w:ind w:left="289" w:right="289"/>
              <w:jc w:val="center"/>
              <w:rPr>
                <w:rFonts w:ascii="Calibri"/>
                <w:b/>
                <w:sz w:val="16"/>
              </w:rPr>
            </w:pPr>
            <w:r>
              <w:rPr>
                <w:rFonts w:ascii="Calibri"/>
                <w:b/>
                <w:sz w:val="16"/>
              </w:rPr>
              <w:t>FLUJO</w:t>
            </w:r>
          </w:p>
        </w:tc>
        <w:tc>
          <w:tcPr>
            <w:tcW w:w="1411" w:type="dxa"/>
            <w:tcBorders>
              <w:top w:val="single" w:sz="7" w:space="0" w:color="000000"/>
              <w:left w:val="single" w:sz="7" w:space="0" w:color="000000"/>
              <w:bottom w:val="single" w:sz="7" w:space="0" w:color="000000"/>
              <w:right w:val="single" w:sz="3" w:space="0" w:color="000000"/>
            </w:tcBorders>
            <w:shd w:val="clear" w:color="auto" w:fill="D8D8D8"/>
          </w:tcPr>
          <w:p>
            <w:pPr>
              <w:pStyle w:val="TableParagraph"/>
              <w:spacing w:before="60"/>
              <w:ind w:left="149" w:right="156"/>
              <w:jc w:val="center"/>
              <w:rPr>
                <w:rFonts w:ascii="Calibri"/>
                <w:b/>
                <w:sz w:val="16"/>
              </w:rPr>
            </w:pPr>
            <w:r>
              <w:rPr>
                <w:rFonts w:ascii="Calibri"/>
                <w:b/>
                <w:sz w:val="16"/>
              </w:rPr>
              <w:t>$ 15,659,935.92</w:t>
            </w:r>
          </w:p>
        </w:tc>
        <w:tc>
          <w:tcPr>
            <w:tcW w:w="1411"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60"/>
              <w:ind w:left="113" w:right="113"/>
              <w:jc w:val="center"/>
              <w:rPr>
                <w:rFonts w:ascii="Calibri"/>
                <w:b/>
                <w:sz w:val="16"/>
              </w:rPr>
            </w:pPr>
            <w:r>
              <w:rPr>
                <w:rFonts w:ascii="Calibri"/>
                <w:b/>
                <w:sz w:val="16"/>
              </w:rPr>
              <w:t>$ 15,659,935.92</w:t>
            </w:r>
          </w:p>
        </w:tc>
        <w:tc>
          <w:tcPr>
            <w:tcW w:w="1414" w:type="dxa"/>
            <w:tcBorders>
              <w:top w:val="single" w:sz="7" w:space="0" w:color="000000"/>
              <w:left w:val="single" w:sz="3" w:space="0" w:color="000000"/>
              <w:bottom w:val="single" w:sz="7" w:space="0" w:color="000000"/>
              <w:right w:val="single" w:sz="3" w:space="0" w:color="000000"/>
            </w:tcBorders>
            <w:shd w:val="clear" w:color="auto" w:fill="D8D8D8"/>
          </w:tcPr>
          <w:p>
            <w:pPr>
              <w:pStyle w:val="TableParagraph"/>
              <w:spacing w:before="60"/>
              <w:ind w:left="115" w:right="115"/>
              <w:jc w:val="center"/>
              <w:rPr>
                <w:rFonts w:ascii="Calibri"/>
                <w:b/>
                <w:sz w:val="16"/>
              </w:rPr>
            </w:pPr>
            <w:r>
              <w:rPr>
                <w:rFonts w:ascii="Calibri"/>
                <w:b/>
                <w:sz w:val="16"/>
              </w:rPr>
              <w:t>$ 15,659,935.92</w:t>
            </w:r>
          </w:p>
        </w:tc>
        <w:tc>
          <w:tcPr>
            <w:tcW w:w="1411" w:type="dxa"/>
            <w:tcBorders>
              <w:top w:val="single" w:sz="7" w:space="0" w:color="000000"/>
              <w:left w:val="single" w:sz="3" w:space="0" w:color="000000"/>
              <w:bottom w:val="single" w:sz="7" w:space="0" w:color="000000"/>
              <w:right w:val="single" w:sz="7" w:space="0" w:color="000000"/>
            </w:tcBorders>
            <w:shd w:val="clear" w:color="auto" w:fill="D8D8D8"/>
          </w:tcPr>
          <w:p>
            <w:pPr>
              <w:pStyle w:val="TableParagraph"/>
              <w:spacing w:before="60"/>
              <w:ind w:right="170"/>
              <w:jc w:val="right"/>
              <w:rPr>
                <w:rFonts w:ascii="Calibri"/>
                <w:b/>
                <w:sz w:val="16"/>
              </w:rPr>
            </w:pPr>
            <w:r>
              <w:rPr>
                <w:rFonts w:ascii="Calibri"/>
                <w:b/>
                <w:sz w:val="16"/>
              </w:rPr>
              <w:t>$ 15,659,935.92</w:t>
            </w:r>
          </w:p>
        </w:tc>
        <w:tc>
          <w:tcPr>
            <w:tcW w:w="1411" w:type="dxa"/>
            <w:tcBorders>
              <w:top w:val="single" w:sz="7" w:space="0" w:color="000000"/>
              <w:left w:val="single" w:sz="7" w:space="0" w:color="000000"/>
              <w:bottom w:val="single" w:sz="7" w:space="0" w:color="000000"/>
              <w:right w:val="single" w:sz="7" w:space="0" w:color="000000"/>
            </w:tcBorders>
            <w:shd w:val="clear" w:color="auto" w:fill="D8D8D8"/>
          </w:tcPr>
          <w:p>
            <w:pPr>
              <w:pStyle w:val="TableParagraph"/>
              <w:spacing w:before="60"/>
              <w:ind w:left="112" w:right="112"/>
              <w:jc w:val="center"/>
              <w:rPr>
                <w:rFonts w:ascii="Calibri"/>
                <w:b/>
                <w:sz w:val="16"/>
              </w:rPr>
            </w:pPr>
            <w:r>
              <w:rPr>
                <w:rFonts w:ascii="Calibri"/>
                <w:b/>
                <w:sz w:val="16"/>
              </w:rPr>
              <w:t>$ 15,659,935.92</w:t>
            </w:r>
          </w:p>
        </w:tc>
        <w:tc>
          <w:tcPr>
            <w:tcW w:w="1238" w:type="dxa"/>
            <w:tcBorders>
              <w:top w:val="single" w:sz="7" w:space="0" w:color="000000"/>
              <w:left w:val="single" w:sz="7" w:space="0" w:color="000000"/>
              <w:bottom w:val="single" w:sz="7" w:space="0" w:color="000000"/>
              <w:right w:val="single" w:sz="3" w:space="0" w:color="000000"/>
            </w:tcBorders>
            <w:shd w:val="clear" w:color="auto" w:fill="D8D8D8"/>
          </w:tcPr>
          <w:p>
            <w:pPr>
              <w:pStyle w:val="TableParagraph"/>
              <w:spacing w:before="60"/>
              <w:ind w:left="41" w:right="43"/>
              <w:jc w:val="center"/>
              <w:rPr>
                <w:rFonts w:ascii="Calibri"/>
                <w:b/>
                <w:sz w:val="16"/>
              </w:rPr>
            </w:pPr>
            <w:r>
              <w:rPr>
                <w:rFonts w:ascii="Calibri"/>
                <w:b/>
                <w:sz w:val="16"/>
              </w:rPr>
              <w:t>$ 15,659,935.92</w:t>
            </w:r>
          </w:p>
        </w:tc>
      </w:tr>
    </w:tbl>
    <w:p>
      <w:pPr>
        <w:pStyle w:val="BodyText"/>
        <w:rPr>
          <w:b/>
          <w:sz w:val="20"/>
        </w:rPr>
      </w:pPr>
    </w:p>
    <w:p>
      <w:pPr>
        <w:pStyle w:val="BodyText"/>
        <w:spacing w:before="6"/>
        <w:rPr>
          <w:b/>
          <w:sz w:val="12"/>
        </w:rPr>
      </w:pPr>
    </w:p>
    <w:tbl>
      <w:tblPr>
        <w:tblW w:w="0" w:type="auto"/>
        <w:jc w:val="left"/>
        <w:tblInd w:w="105"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418"/>
        <w:gridCol w:w="1512"/>
        <w:gridCol w:w="1512"/>
        <w:gridCol w:w="1514"/>
      </w:tblGrid>
      <w:tr>
        <w:trPr>
          <w:trHeight w:val="422" w:hRule="exact"/>
        </w:trPr>
        <w:tc>
          <w:tcPr>
            <w:tcW w:w="1418" w:type="dxa"/>
            <w:shd w:val="clear" w:color="auto" w:fill="D8D8D8"/>
          </w:tcPr>
          <w:p>
            <w:pPr>
              <w:pStyle w:val="TableParagraph"/>
              <w:spacing w:before="1"/>
              <w:rPr>
                <w:b/>
                <w:sz w:val="18"/>
              </w:rPr>
            </w:pPr>
          </w:p>
          <w:p>
            <w:pPr>
              <w:pStyle w:val="TableParagraph"/>
              <w:ind w:left="62"/>
              <w:rPr>
                <w:rFonts w:ascii="Calibri"/>
                <w:b/>
                <w:sz w:val="16"/>
              </w:rPr>
            </w:pPr>
            <w:r>
              <w:rPr>
                <w:rFonts w:ascii="Calibri"/>
                <w:b/>
                <w:sz w:val="16"/>
              </w:rPr>
              <w:t>PERIODO</w:t>
            </w:r>
          </w:p>
        </w:tc>
        <w:tc>
          <w:tcPr>
            <w:tcW w:w="1512" w:type="dxa"/>
            <w:tcBorders>
              <w:right w:val="single" w:sz="3" w:space="0" w:color="000000"/>
            </w:tcBorders>
            <w:shd w:val="clear" w:color="auto" w:fill="D8D8D8"/>
          </w:tcPr>
          <w:p>
            <w:pPr>
              <w:pStyle w:val="TableParagraph"/>
              <w:spacing w:before="105"/>
              <w:ind w:left="180" w:right="180"/>
              <w:jc w:val="center"/>
              <w:rPr>
                <w:rFonts w:ascii="Calibri"/>
                <w:b/>
                <w:sz w:val="16"/>
              </w:rPr>
            </w:pPr>
            <w:r>
              <w:rPr>
                <w:rFonts w:ascii="Calibri"/>
                <w:b/>
                <w:sz w:val="16"/>
              </w:rPr>
              <w:t>13</w:t>
            </w:r>
          </w:p>
        </w:tc>
        <w:tc>
          <w:tcPr>
            <w:tcW w:w="1512" w:type="dxa"/>
            <w:tcBorders>
              <w:left w:val="single" w:sz="3" w:space="0" w:color="000000"/>
            </w:tcBorders>
            <w:shd w:val="clear" w:color="auto" w:fill="D8D8D8"/>
          </w:tcPr>
          <w:p>
            <w:pPr>
              <w:pStyle w:val="TableParagraph"/>
              <w:spacing w:before="105"/>
              <w:ind w:left="651" w:right="645"/>
              <w:jc w:val="center"/>
              <w:rPr>
                <w:rFonts w:ascii="Calibri"/>
                <w:b/>
                <w:sz w:val="16"/>
              </w:rPr>
            </w:pPr>
            <w:r>
              <w:rPr>
                <w:rFonts w:ascii="Calibri"/>
                <w:b/>
                <w:sz w:val="16"/>
              </w:rPr>
              <w:t>14</w:t>
            </w:r>
          </w:p>
        </w:tc>
        <w:tc>
          <w:tcPr>
            <w:tcW w:w="1514" w:type="dxa"/>
            <w:shd w:val="clear" w:color="auto" w:fill="D8D8D8"/>
          </w:tcPr>
          <w:p>
            <w:pPr>
              <w:pStyle w:val="TableParagraph"/>
              <w:spacing w:before="105"/>
              <w:ind w:left="182" w:right="182"/>
              <w:jc w:val="center"/>
              <w:rPr>
                <w:rFonts w:ascii="Calibri"/>
                <w:b/>
                <w:sz w:val="16"/>
              </w:rPr>
            </w:pPr>
            <w:r>
              <w:rPr>
                <w:rFonts w:ascii="Calibri"/>
                <w:b/>
                <w:sz w:val="16"/>
              </w:rPr>
              <w:t>15</w:t>
            </w:r>
          </w:p>
        </w:tc>
      </w:tr>
      <w:tr>
        <w:trPr>
          <w:trHeight w:val="426" w:hRule="exact"/>
        </w:trPr>
        <w:tc>
          <w:tcPr>
            <w:tcW w:w="5957" w:type="dxa"/>
            <w:gridSpan w:val="4"/>
          </w:tcPr>
          <w:p>
            <w:pPr/>
          </w:p>
        </w:tc>
      </w:tr>
      <w:tr>
        <w:trPr>
          <w:trHeight w:val="425" w:hRule="exact"/>
        </w:trPr>
        <w:tc>
          <w:tcPr>
            <w:tcW w:w="1418" w:type="dxa"/>
            <w:shd w:val="clear" w:color="auto" w:fill="D8D8D8"/>
          </w:tcPr>
          <w:p>
            <w:pPr>
              <w:pStyle w:val="TableParagraph"/>
              <w:spacing w:before="3"/>
              <w:rPr>
                <w:b/>
                <w:sz w:val="18"/>
              </w:rPr>
            </w:pPr>
          </w:p>
          <w:p>
            <w:pPr>
              <w:pStyle w:val="TableParagraph"/>
              <w:ind w:left="62"/>
              <w:rPr>
                <w:rFonts w:ascii="Calibri"/>
                <w:b/>
                <w:sz w:val="16"/>
              </w:rPr>
            </w:pPr>
            <w:r>
              <w:rPr>
                <w:rFonts w:ascii="Calibri"/>
                <w:b/>
                <w:sz w:val="16"/>
              </w:rPr>
              <w:t>INVERSION</w:t>
            </w:r>
          </w:p>
        </w:tc>
        <w:tc>
          <w:tcPr>
            <w:tcW w:w="1512" w:type="dxa"/>
            <w:tcBorders>
              <w:right w:val="single" w:sz="3" w:space="0" w:color="000000"/>
            </w:tcBorders>
          </w:tcPr>
          <w:p>
            <w:pPr/>
          </w:p>
        </w:tc>
        <w:tc>
          <w:tcPr>
            <w:tcW w:w="1512" w:type="dxa"/>
            <w:tcBorders>
              <w:left w:val="single" w:sz="3" w:space="0" w:color="000000"/>
            </w:tcBorders>
          </w:tcPr>
          <w:p>
            <w:pPr/>
          </w:p>
        </w:tc>
        <w:tc>
          <w:tcPr>
            <w:tcW w:w="1514" w:type="dxa"/>
          </w:tcPr>
          <w:p>
            <w:pPr/>
          </w:p>
        </w:tc>
      </w:tr>
      <w:tr>
        <w:trPr>
          <w:trHeight w:val="426" w:hRule="exact"/>
        </w:trPr>
        <w:tc>
          <w:tcPr>
            <w:tcW w:w="5957" w:type="dxa"/>
            <w:gridSpan w:val="4"/>
            <w:tcBorders>
              <w:bottom w:val="nil"/>
            </w:tcBorders>
          </w:tcPr>
          <w:p>
            <w:pPr/>
          </w:p>
        </w:tc>
      </w:tr>
      <w:tr>
        <w:trPr>
          <w:trHeight w:val="424" w:hRule="exact"/>
        </w:trPr>
        <w:tc>
          <w:tcPr>
            <w:tcW w:w="1418" w:type="dxa"/>
            <w:shd w:val="clear" w:color="auto" w:fill="D8D8D8"/>
          </w:tcPr>
          <w:p>
            <w:pPr>
              <w:pStyle w:val="TableParagraph"/>
              <w:spacing w:before="4"/>
              <w:rPr>
                <w:b/>
                <w:sz w:val="18"/>
              </w:rPr>
            </w:pPr>
          </w:p>
          <w:p>
            <w:pPr>
              <w:pStyle w:val="TableParagraph"/>
              <w:ind w:left="62"/>
              <w:rPr>
                <w:rFonts w:ascii="Calibri"/>
                <w:b/>
                <w:sz w:val="16"/>
              </w:rPr>
            </w:pPr>
            <w:r>
              <w:rPr>
                <w:rFonts w:ascii="Calibri"/>
                <w:b/>
                <w:sz w:val="16"/>
              </w:rPr>
              <w:t>COSTOS</w:t>
            </w:r>
          </w:p>
        </w:tc>
        <w:tc>
          <w:tcPr>
            <w:tcW w:w="4539" w:type="dxa"/>
            <w:gridSpan w:val="3"/>
            <w:tcBorders>
              <w:top w:val="nil"/>
            </w:tcBorders>
          </w:tcPr>
          <w:p>
            <w:pPr/>
          </w:p>
        </w:tc>
      </w:tr>
      <w:tr>
        <w:trPr>
          <w:trHeight w:val="420" w:hRule="exact"/>
        </w:trPr>
        <w:tc>
          <w:tcPr>
            <w:tcW w:w="1418" w:type="dxa"/>
            <w:tcBorders>
              <w:bottom w:val="single" w:sz="3" w:space="0" w:color="000000"/>
              <w:right w:val="single" w:sz="3" w:space="0" w:color="000000"/>
            </w:tcBorders>
          </w:tcPr>
          <w:p>
            <w:pPr>
              <w:pStyle w:val="TableParagraph"/>
              <w:spacing w:before="5"/>
              <w:rPr>
                <w:b/>
                <w:sz w:val="18"/>
              </w:rPr>
            </w:pPr>
          </w:p>
          <w:p>
            <w:pPr>
              <w:pStyle w:val="TableParagraph"/>
              <w:ind w:left="62"/>
              <w:rPr>
                <w:rFonts w:ascii="Calibri" w:hAnsi="Calibri"/>
                <w:sz w:val="16"/>
              </w:rPr>
            </w:pPr>
            <w:r>
              <w:rPr>
                <w:rFonts w:ascii="Calibri" w:hAnsi="Calibri"/>
                <w:sz w:val="16"/>
              </w:rPr>
              <w:t>Operación</w:t>
            </w:r>
          </w:p>
        </w:tc>
        <w:tc>
          <w:tcPr>
            <w:tcW w:w="1512" w:type="dxa"/>
            <w:tcBorders>
              <w:left w:val="single" w:sz="3" w:space="0" w:color="000000"/>
              <w:bottom w:val="single" w:sz="3" w:space="0" w:color="000000"/>
            </w:tcBorders>
          </w:tcPr>
          <w:p>
            <w:pPr>
              <w:pStyle w:val="TableParagraph"/>
              <w:spacing w:before="107"/>
              <w:ind w:left="186" w:right="180"/>
              <w:jc w:val="center"/>
              <w:rPr>
                <w:rFonts w:ascii="Calibri"/>
                <w:sz w:val="16"/>
              </w:rPr>
            </w:pPr>
            <w:r>
              <w:rPr>
                <w:rFonts w:ascii="Calibri"/>
                <w:sz w:val="16"/>
              </w:rPr>
              <w:t>$300,804,449.24</w:t>
            </w:r>
          </w:p>
        </w:tc>
        <w:tc>
          <w:tcPr>
            <w:tcW w:w="1512" w:type="dxa"/>
            <w:tcBorders>
              <w:bottom w:val="single" w:sz="3" w:space="0" w:color="000000"/>
            </w:tcBorders>
          </w:tcPr>
          <w:p>
            <w:pPr>
              <w:pStyle w:val="TableParagraph"/>
              <w:spacing w:before="107"/>
              <w:ind w:left="181" w:right="180"/>
              <w:jc w:val="center"/>
              <w:rPr>
                <w:rFonts w:ascii="Calibri"/>
                <w:sz w:val="16"/>
              </w:rPr>
            </w:pPr>
            <w:r>
              <w:rPr>
                <w:rFonts w:ascii="Calibri"/>
                <w:sz w:val="16"/>
              </w:rPr>
              <w:t>$300,804,449.24</w:t>
            </w:r>
          </w:p>
        </w:tc>
        <w:tc>
          <w:tcPr>
            <w:tcW w:w="1514" w:type="dxa"/>
            <w:tcBorders>
              <w:bottom w:val="single" w:sz="3" w:space="0" w:color="000000"/>
            </w:tcBorders>
          </w:tcPr>
          <w:p>
            <w:pPr>
              <w:pStyle w:val="TableParagraph"/>
              <w:spacing w:before="107"/>
              <w:ind w:left="182" w:right="182"/>
              <w:jc w:val="center"/>
              <w:rPr>
                <w:rFonts w:ascii="Calibri"/>
                <w:sz w:val="16"/>
              </w:rPr>
            </w:pPr>
            <w:r>
              <w:rPr>
                <w:rFonts w:ascii="Calibri"/>
                <w:sz w:val="16"/>
              </w:rPr>
              <w:t>$300,804,449.24</w:t>
            </w:r>
          </w:p>
        </w:tc>
      </w:tr>
      <w:tr>
        <w:trPr>
          <w:trHeight w:val="415" w:hRule="exact"/>
        </w:trPr>
        <w:tc>
          <w:tcPr>
            <w:tcW w:w="1418" w:type="dxa"/>
            <w:tcBorders>
              <w:top w:val="single" w:sz="3" w:space="0" w:color="000000"/>
              <w:bottom w:val="single" w:sz="3" w:space="0" w:color="000000"/>
              <w:right w:val="single" w:sz="3" w:space="0" w:color="000000"/>
            </w:tcBorders>
          </w:tcPr>
          <w:p>
            <w:pPr>
              <w:pStyle w:val="TableParagraph"/>
              <w:spacing w:before="5"/>
              <w:rPr>
                <w:b/>
                <w:sz w:val="18"/>
              </w:rPr>
            </w:pPr>
          </w:p>
          <w:p>
            <w:pPr>
              <w:pStyle w:val="TableParagraph"/>
              <w:ind w:left="62"/>
              <w:rPr>
                <w:rFonts w:ascii="Calibri"/>
                <w:sz w:val="16"/>
              </w:rPr>
            </w:pPr>
            <w:r>
              <w:rPr>
                <w:rFonts w:ascii="Calibri"/>
                <w:sz w:val="16"/>
              </w:rPr>
              <w:t>Mantenimiento</w:t>
            </w:r>
          </w:p>
        </w:tc>
        <w:tc>
          <w:tcPr>
            <w:tcW w:w="1512" w:type="dxa"/>
            <w:tcBorders>
              <w:top w:val="single" w:sz="3" w:space="0" w:color="000000"/>
              <w:left w:val="single" w:sz="3" w:space="0" w:color="000000"/>
              <w:bottom w:val="single" w:sz="3" w:space="0" w:color="000000"/>
            </w:tcBorders>
          </w:tcPr>
          <w:p>
            <w:pPr>
              <w:pStyle w:val="TableParagraph"/>
              <w:spacing w:before="107"/>
              <w:ind w:left="185" w:right="180"/>
              <w:jc w:val="center"/>
              <w:rPr>
                <w:rFonts w:ascii="Calibri"/>
                <w:sz w:val="16"/>
              </w:rPr>
            </w:pPr>
            <w:r>
              <w:rPr>
                <w:rFonts w:ascii="Calibri"/>
                <w:sz w:val="16"/>
              </w:rPr>
              <w:t>$ 4,357,215.39</w:t>
            </w:r>
          </w:p>
        </w:tc>
        <w:tc>
          <w:tcPr>
            <w:tcW w:w="1512" w:type="dxa"/>
            <w:tcBorders>
              <w:top w:val="single" w:sz="3" w:space="0" w:color="000000"/>
              <w:bottom w:val="single" w:sz="3" w:space="0" w:color="000000"/>
            </w:tcBorders>
          </w:tcPr>
          <w:p>
            <w:pPr>
              <w:pStyle w:val="TableParagraph"/>
              <w:spacing w:before="107"/>
              <w:ind w:left="180" w:right="180"/>
              <w:jc w:val="center"/>
              <w:rPr>
                <w:rFonts w:ascii="Calibri"/>
                <w:sz w:val="16"/>
              </w:rPr>
            </w:pPr>
            <w:r>
              <w:rPr>
                <w:rFonts w:ascii="Calibri"/>
                <w:sz w:val="16"/>
              </w:rPr>
              <w:t>$ 4,357,215.39</w:t>
            </w:r>
          </w:p>
        </w:tc>
        <w:tc>
          <w:tcPr>
            <w:tcW w:w="1514" w:type="dxa"/>
            <w:tcBorders>
              <w:top w:val="single" w:sz="3" w:space="0" w:color="000000"/>
              <w:bottom w:val="single" w:sz="3" w:space="0" w:color="000000"/>
            </w:tcBorders>
          </w:tcPr>
          <w:p>
            <w:pPr>
              <w:pStyle w:val="TableParagraph"/>
              <w:spacing w:before="107"/>
              <w:ind w:left="182" w:right="182"/>
              <w:jc w:val="center"/>
              <w:rPr>
                <w:rFonts w:ascii="Calibri"/>
                <w:sz w:val="16"/>
              </w:rPr>
            </w:pPr>
            <w:r>
              <w:rPr>
                <w:rFonts w:ascii="Calibri"/>
                <w:sz w:val="16"/>
              </w:rPr>
              <w:t>$ 4,357,215.39</w:t>
            </w:r>
          </w:p>
        </w:tc>
      </w:tr>
      <w:tr>
        <w:trPr>
          <w:trHeight w:val="421" w:hRule="exact"/>
        </w:trPr>
        <w:tc>
          <w:tcPr>
            <w:tcW w:w="1418" w:type="dxa"/>
            <w:tcBorders>
              <w:top w:val="single" w:sz="3" w:space="0" w:color="000000"/>
              <w:right w:val="single" w:sz="3" w:space="0" w:color="000000"/>
            </w:tcBorders>
          </w:tcPr>
          <w:p>
            <w:pPr>
              <w:pStyle w:val="TableParagraph"/>
              <w:spacing w:before="5"/>
              <w:rPr>
                <w:b/>
                <w:sz w:val="18"/>
              </w:rPr>
            </w:pPr>
          </w:p>
          <w:p>
            <w:pPr>
              <w:pStyle w:val="TableParagraph"/>
              <w:ind w:left="62"/>
              <w:rPr>
                <w:rFonts w:ascii="Calibri"/>
                <w:sz w:val="16"/>
              </w:rPr>
            </w:pPr>
            <w:r>
              <w:rPr>
                <w:rFonts w:ascii="Calibri"/>
                <w:sz w:val="16"/>
              </w:rPr>
              <w:t>Personal</w:t>
            </w:r>
          </w:p>
        </w:tc>
        <w:tc>
          <w:tcPr>
            <w:tcW w:w="1512" w:type="dxa"/>
            <w:tcBorders>
              <w:top w:val="single" w:sz="3" w:space="0" w:color="000000"/>
              <w:left w:val="single" w:sz="3" w:space="0" w:color="000000"/>
            </w:tcBorders>
          </w:tcPr>
          <w:p>
            <w:pPr>
              <w:pStyle w:val="TableParagraph"/>
              <w:spacing w:before="107"/>
              <w:ind w:left="185" w:right="180"/>
              <w:jc w:val="center"/>
              <w:rPr>
                <w:rFonts w:ascii="Calibri"/>
                <w:sz w:val="16"/>
              </w:rPr>
            </w:pPr>
            <w:r>
              <w:rPr>
                <w:rFonts w:ascii="Calibri"/>
                <w:sz w:val="16"/>
              </w:rPr>
              <w:t>$ 920,942.40</w:t>
            </w:r>
          </w:p>
        </w:tc>
        <w:tc>
          <w:tcPr>
            <w:tcW w:w="1512" w:type="dxa"/>
            <w:tcBorders>
              <w:top w:val="single" w:sz="3" w:space="0" w:color="000000"/>
            </w:tcBorders>
          </w:tcPr>
          <w:p>
            <w:pPr>
              <w:pStyle w:val="TableParagraph"/>
              <w:spacing w:before="107"/>
              <w:ind w:left="180" w:right="180"/>
              <w:jc w:val="center"/>
              <w:rPr>
                <w:rFonts w:ascii="Calibri"/>
                <w:sz w:val="16"/>
              </w:rPr>
            </w:pPr>
            <w:r>
              <w:rPr>
                <w:rFonts w:ascii="Calibri"/>
                <w:sz w:val="16"/>
              </w:rPr>
              <w:t>$ 920,942.40</w:t>
            </w:r>
          </w:p>
        </w:tc>
        <w:tc>
          <w:tcPr>
            <w:tcW w:w="1514" w:type="dxa"/>
            <w:tcBorders>
              <w:top w:val="single" w:sz="3" w:space="0" w:color="000000"/>
            </w:tcBorders>
          </w:tcPr>
          <w:p>
            <w:pPr>
              <w:pStyle w:val="TableParagraph"/>
              <w:spacing w:before="107"/>
              <w:ind w:left="182" w:right="182"/>
              <w:jc w:val="center"/>
              <w:rPr>
                <w:rFonts w:ascii="Calibri"/>
                <w:sz w:val="16"/>
              </w:rPr>
            </w:pPr>
            <w:r>
              <w:rPr>
                <w:rFonts w:ascii="Calibri"/>
                <w:sz w:val="16"/>
              </w:rPr>
              <w:t>$ 920,942.40</w:t>
            </w:r>
          </w:p>
        </w:tc>
      </w:tr>
      <w:tr>
        <w:trPr>
          <w:trHeight w:val="423" w:hRule="exact"/>
        </w:trPr>
        <w:tc>
          <w:tcPr>
            <w:tcW w:w="1418" w:type="dxa"/>
            <w:tcBorders>
              <w:right w:val="single" w:sz="3" w:space="0" w:color="000000"/>
            </w:tcBorders>
            <w:shd w:val="clear" w:color="auto" w:fill="D8D8D8"/>
          </w:tcPr>
          <w:p>
            <w:pPr>
              <w:pStyle w:val="TableParagraph"/>
              <w:spacing w:before="4"/>
              <w:rPr>
                <w:b/>
                <w:sz w:val="18"/>
              </w:rPr>
            </w:pPr>
          </w:p>
          <w:p>
            <w:pPr>
              <w:pStyle w:val="TableParagraph"/>
              <w:ind w:left="62"/>
              <w:rPr>
                <w:rFonts w:ascii="Calibri"/>
                <w:b/>
                <w:sz w:val="16"/>
              </w:rPr>
            </w:pPr>
            <w:r>
              <w:rPr>
                <w:rFonts w:ascii="Calibri"/>
                <w:b/>
                <w:sz w:val="16"/>
              </w:rPr>
              <w:t>TOTAL</w:t>
            </w:r>
          </w:p>
        </w:tc>
        <w:tc>
          <w:tcPr>
            <w:tcW w:w="1512" w:type="dxa"/>
            <w:tcBorders>
              <w:left w:val="single" w:sz="3" w:space="0" w:color="000000"/>
              <w:right w:val="single" w:sz="3" w:space="0" w:color="000000"/>
            </w:tcBorders>
            <w:shd w:val="clear" w:color="auto" w:fill="D8D8D8"/>
          </w:tcPr>
          <w:p>
            <w:pPr>
              <w:pStyle w:val="TableParagraph"/>
              <w:spacing w:before="106"/>
              <w:ind w:left="184" w:right="182"/>
              <w:jc w:val="center"/>
              <w:rPr>
                <w:rFonts w:ascii="Calibri"/>
                <w:b/>
                <w:sz w:val="16"/>
              </w:rPr>
            </w:pPr>
            <w:r>
              <w:rPr>
                <w:rFonts w:ascii="Calibri"/>
                <w:b/>
                <w:sz w:val="16"/>
              </w:rPr>
              <w:t>$306,082,607.04</w:t>
            </w:r>
          </w:p>
        </w:tc>
        <w:tc>
          <w:tcPr>
            <w:tcW w:w="1512" w:type="dxa"/>
            <w:tcBorders>
              <w:left w:val="single" w:sz="3" w:space="0" w:color="000000"/>
              <w:right w:val="single" w:sz="3" w:space="0" w:color="000000"/>
            </w:tcBorders>
            <w:shd w:val="clear" w:color="auto" w:fill="D8D8D8"/>
          </w:tcPr>
          <w:p>
            <w:pPr>
              <w:pStyle w:val="TableParagraph"/>
              <w:spacing w:before="106"/>
              <w:ind w:left="183" w:right="182"/>
              <w:jc w:val="center"/>
              <w:rPr>
                <w:rFonts w:ascii="Calibri"/>
                <w:b/>
                <w:sz w:val="16"/>
              </w:rPr>
            </w:pPr>
            <w:r>
              <w:rPr>
                <w:rFonts w:ascii="Calibri"/>
                <w:b/>
                <w:sz w:val="16"/>
              </w:rPr>
              <w:t>$306,082,607.04</w:t>
            </w:r>
          </w:p>
        </w:tc>
        <w:tc>
          <w:tcPr>
            <w:tcW w:w="1514" w:type="dxa"/>
            <w:tcBorders>
              <w:left w:val="single" w:sz="3" w:space="0" w:color="000000"/>
            </w:tcBorders>
            <w:shd w:val="clear" w:color="auto" w:fill="D8D8D8"/>
          </w:tcPr>
          <w:p>
            <w:pPr>
              <w:pStyle w:val="TableParagraph"/>
              <w:spacing w:before="106"/>
              <w:ind w:left="184" w:right="180"/>
              <w:jc w:val="center"/>
              <w:rPr>
                <w:rFonts w:ascii="Calibri"/>
                <w:b/>
                <w:sz w:val="16"/>
              </w:rPr>
            </w:pPr>
            <w:r>
              <w:rPr>
                <w:rFonts w:ascii="Calibri"/>
                <w:b/>
                <w:sz w:val="16"/>
              </w:rPr>
              <w:t>$306,082,607.04</w:t>
            </w:r>
          </w:p>
        </w:tc>
      </w:tr>
      <w:tr>
        <w:trPr>
          <w:trHeight w:val="427" w:hRule="exact"/>
        </w:trPr>
        <w:tc>
          <w:tcPr>
            <w:tcW w:w="5957" w:type="dxa"/>
            <w:gridSpan w:val="4"/>
            <w:tcBorders>
              <w:bottom w:val="nil"/>
            </w:tcBorders>
          </w:tcPr>
          <w:p>
            <w:pPr/>
          </w:p>
        </w:tc>
      </w:tr>
      <w:tr>
        <w:trPr>
          <w:trHeight w:val="424" w:hRule="exact"/>
        </w:trPr>
        <w:tc>
          <w:tcPr>
            <w:tcW w:w="1418" w:type="dxa"/>
            <w:shd w:val="clear" w:color="auto" w:fill="D8D8D8"/>
          </w:tcPr>
          <w:p>
            <w:pPr>
              <w:pStyle w:val="TableParagraph"/>
              <w:spacing w:before="4"/>
              <w:rPr>
                <w:b/>
                <w:sz w:val="18"/>
              </w:rPr>
            </w:pPr>
          </w:p>
          <w:p>
            <w:pPr>
              <w:pStyle w:val="TableParagraph"/>
              <w:ind w:left="62"/>
              <w:rPr>
                <w:rFonts w:ascii="Calibri"/>
                <w:b/>
                <w:sz w:val="16"/>
              </w:rPr>
            </w:pPr>
            <w:r>
              <w:rPr>
                <w:rFonts w:ascii="Calibri"/>
                <w:b/>
                <w:sz w:val="16"/>
              </w:rPr>
              <w:t>BENEFICIOS</w:t>
            </w:r>
          </w:p>
        </w:tc>
        <w:tc>
          <w:tcPr>
            <w:tcW w:w="4539" w:type="dxa"/>
            <w:gridSpan w:val="3"/>
            <w:tcBorders>
              <w:top w:val="nil"/>
            </w:tcBorders>
          </w:tcPr>
          <w:p>
            <w:pPr/>
          </w:p>
        </w:tc>
      </w:tr>
      <w:tr>
        <w:trPr>
          <w:trHeight w:val="427" w:hRule="exact"/>
        </w:trPr>
        <w:tc>
          <w:tcPr>
            <w:tcW w:w="1418" w:type="dxa"/>
            <w:tcBorders>
              <w:right w:val="single" w:sz="3" w:space="0" w:color="000000"/>
            </w:tcBorders>
          </w:tcPr>
          <w:p>
            <w:pPr>
              <w:pStyle w:val="TableParagraph"/>
              <w:tabs>
                <w:tab w:pos="1112" w:val="left" w:leader="none"/>
              </w:tabs>
              <w:spacing w:before="15"/>
              <w:ind w:left="62" w:right="64"/>
              <w:rPr>
                <w:rFonts w:ascii="Calibri"/>
                <w:sz w:val="16"/>
              </w:rPr>
            </w:pPr>
            <w:r>
              <w:rPr>
                <w:rFonts w:ascii="Calibri"/>
                <w:sz w:val="16"/>
              </w:rPr>
              <w:t>Beneficio</w:t>
              <w:tab/>
              <w:t>por nuevas</w:t>
            </w:r>
            <w:r>
              <w:rPr>
                <w:rFonts w:ascii="Calibri"/>
                <w:spacing w:val="-9"/>
                <w:sz w:val="16"/>
              </w:rPr>
              <w:t> </w:t>
            </w:r>
            <w:r>
              <w:rPr>
                <w:rFonts w:ascii="Calibri"/>
                <w:sz w:val="16"/>
              </w:rPr>
              <w:t>atenciones</w:t>
            </w:r>
          </w:p>
        </w:tc>
        <w:tc>
          <w:tcPr>
            <w:tcW w:w="1512" w:type="dxa"/>
            <w:tcBorders>
              <w:left w:val="single" w:sz="3" w:space="0" w:color="000000"/>
              <w:right w:val="single" w:sz="3" w:space="0" w:color="000000"/>
            </w:tcBorders>
          </w:tcPr>
          <w:p>
            <w:pPr>
              <w:pStyle w:val="TableParagraph"/>
              <w:spacing w:before="107"/>
              <w:ind w:left="184" w:right="182"/>
              <w:jc w:val="center"/>
              <w:rPr>
                <w:rFonts w:ascii="Calibri"/>
                <w:sz w:val="16"/>
              </w:rPr>
            </w:pPr>
            <w:r>
              <w:rPr>
                <w:rFonts w:ascii="Calibri"/>
                <w:sz w:val="16"/>
              </w:rPr>
              <w:t>$321,742,542.96</w:t>
            </w:r>
          </w:p>
        </w:tc>
        <w:tc>
          <w:tcPr>
            <w:tcW w:w="1512" w:type="dxa"/>
            <w:tcBorders>
              <w:left w:val="single" w:sz="3" w:space="0" w:color="000000"/>
              <w:right w:val="single" w:sz="3" w:space="0" w:color="000000"/>
            </w:tcBorders>
          </w:tcPr>
          <w:p>
            <w:pPr>
              <w:pStyle w:val="TableParagraph"/>
              <w:spacing w:before="107"/>
              <w:ind w:left="183" w:right="182"/>
              <w:jc w:val="center"/>
              <w:rPr>
                <w:rFonts w:ascii="Calibri"/>
                <w:sz w:val="16"/>
              </w:rPr>
            </w:pPr>
            <w:r>
              <w:rPr>
                <w:rFonts w:ascii="Calibri"/>
                <w:sz w:val="16"/>
              </w:rPr>
              <w:t>$321,742,542.96</w:t>
            </w:r>
          </w:p>
        </w:tc>
        <w:tc>
          <w:tcPr>
            <w:tcW w:w="1514" w:type="dxa"/>
            <w:tcBorders>
              <w:left w:val="single" w:sz="3" w:space="0" w:color="000000"/>
            </w:tcBorders>
          </w:tcPr>
          <w:p>
            <w:pPr>
              <w:pStyle w:val="TableParagraph"/>
              <w:spacing w:before="107"/>
              <w:ind w:left="184" w:right="180"/>
              <w:jc w:val="center"/>
              <w:rPr>
                <w:rFonts w:ascii="Calibri"/>
                <w:sz w:val="16"/>
              </w:rPr>
            </w:pPr>
            <w:r>
              <w:rPr>
                <w:rFonts w:ascii="Calibri"/>
                <w:sz w:val="16"/>
              </w:rPr>
              <w:t>$321,742,542.96</w:t>
            </w:r>
          </w:p>
        </w:tc>
      </w:tr>
      <w:tr>
        <w:trPr>
          <w:trHeight w:val="332" w:hRule="exact"/>
        </w:trPr>
        <w:tc>
          <w:tcPr>
            <w:tcW w:w="1418" w:type="dxa"/>
            <w:tcBorders>
              <w:right w:val="single" w:sz="3" w:space="0" w:color="000000"/>
            </w:tcBorders>
            <w:shd w:val="clear" w:color="auto" w:fill="D8D8D8"/>
          </w:tcPr>
          <w:p>
            <w:pPr>
              <w:pStyle w:val="TableParagraph"/>
              <w:spacing w:before="119"/>
              <w:ind w:left="62"/>
              <w:rPr>
                <w:rFonts w:ascii="Calibri"/>
                <w:b/>
                <w:sz w:val="16"/>
              </w:rPr>
            </w:pPr>
            <w:r>
              <w:rPr>
                <w:rFonts w:ascii="Calibri"/>
                <w:b/>
                <w:sz w:val="16"/>
              </w:rPr>
              <w:t>TOTAL</w:t>
            </w:r>
          </w:p>
        </w:tc>
        <w:tc>
          <w:tcPr>
            <w:tcW w:w="1512" w:type="dxa"/>
            <w:tcBorders>
              <w:left w:val="single" w:sz="3" w:space="0" w:color="000000"/>
              <w:right w:val="single" w:sz="3" w:space="0" w:color="000000"/>
            </w:tcBorders>
            <w:shd w:val="clear" w:color="auto" w:fill="D8D8D8"/>
          </w:tcPr>
          <w:p>
            <w:pPr>
              <w:pStyle w:val="TableParagraph"/>
              <w:spacing w:before="61"/>
              <w:ind w:left="184" w:right="182"/>
              <w:jc w:val="center"/>
              <w:rPr>
                <w:rFonts w:ascii="Calibri"/>
                <w:b/>
                <w:sz w:val="16"/>
              </w:rPr>
            </w:pPr>
            <w:r>
              <w:rPr>
                <w:rFonts w:ascii="Calibri"/>
                <w:b/>
                <w:sz w:val="16"/>
              </w:rPr>
              <w:t>$321,742,542.96</w:t>
            </w:r>
          </w:p>
        </w:tc>
        <w:tc>
          <w:tcPr>
            <w:tcW w:w="1512" w:type="dxa"/>
            <w:tcBorders>
              <w:left w:val="single" w:sz="3" w:space="0" w:color="000000"/>
              <w:right w:val="single" w:sz="3" w:space="0" w:color="000000"/>
            </w:tcBorders>
            <w:shd w:val="clear" w:color="auto" w:fill="D8D8D8"/>
          </w:tcPr>
          <w:p>
            <w:pPr>
              <w:pStyle w:val="TableParagraph"/>
              <w:spacing w:before="61"/>
              <w:ind w:left="183" w:right="182"/>
              <w:jc w:val="center"/>
              <w:rPr>
                <w:rFonts w:ascii="Calibri"/>
                <w:b/>
                <w:sz w:val="16"/>
              </w:rPr>
            </w:pPr>
            <w:r>
              <w:rPr>
                <w:rFonts w:ascii="Calibri"/>
                <w:b/>
                <w:sz w:val="16"/>
              </w:rPr>
              <w:t>$321,742,542.96</w:t>
            </w:r>
          </w:p>
        </w:tc>
        <w:tc>
          <w:tcPr>
            <w:tcW w:w="1514" w:type="dxa"/>
            <w:tcBorders>
              <w:left w:val="single" w:sz="3" w:space="0" w:color="000000"/>
            </w:tcBorders>
            <w:shd w:val="clear" w:color="auto" w:fill="D8D8D8"/>
          </w:tcPr>
          <w:p>
            <w:pPr>
              <w:pStyle w:val="TableParagraph"/>
              <w:spacing w:before="61"/>
              <w:ind w:left="184" w:right="180"/>
              <w:jc w:val="center"/>
              <w:rPr>
                <w:rFonts w:ascii="Calibri"/>
                <w:b/>
                <w:sz w:val="16"/>
              </w:rPr>
            </w:pPr>
            <w:r>
              <w:rPr>
                <w:rFonts w:ascii="Calibri"/>
                <w:b/>
                <w:sz w:val="16"/>
              </w:rPr>
              <w:t>$321,742,542.96</w:t>
            </w:r>
          </w:p>
        </w:tc>
      </w:tr>
      <w:tr>
        <w:trPr>
          <w:trHeight w:val="337" w:hRule="exact"/>
        </w:trPr>
        <w:tc>
          <w:tcPr>
            <w:tcW w:w="5957" w:type="dxa"/>
            <w:gridSpan w:val="4"/>
          </w:tcPr>
          <w:p>
            <w:pPr/>
          </w:p>
        </w:tc>
      </w:tr>
      <w:tr>
        <w:trPr>
          <w:trHeight w:val="409" w:hRule="exact"/>
        </w:trPr>
        <w:tc>
          <w:tcPr>
            <w:tcW w:w="1418" w:type="dxa"/>
            <w:shd w:val="clear" w:color="auto" w:fill="D8D8D8"/>
          </w:tcPr>
          <w:p>
            <w:pPr>
              <w:pStyle w:val="TableParagraph"/>
              <w:rPr>
                <w:b/>
                <w:sz w:val="17"/>
              </w:rPr>
            </w:pPr>
          </w:p>
          <w:p>
            <w:pPr>
              <w:pStyle w:val="TableParagraph"/>
              <w:ind w:left="62"/>
              <w:rPr>
                <w:rFonts w:ascii="Calibri"/>
                <w:b/>
                <w:sz w:val="16"/>
              </w:rPr>
            </w:pPr>
            <w:r>
              <w:rPr>
                <w:rFonts w:ascii="Calibri"/>
                <w:b/>
                <w:sz w:val="16"/>
              </w:rPr>
              <w:t>FLUJO</w:t>
            </w:r>
          </w:p>
        </w:tc>
        <w:tc>
          <w:tcPr>
            <w:tcW w:w="1512" w:type="dxa"/>
            <w:tcBorders>
              <w:right w:val="single" w:sz="3" w:space="0" w:color="000000"/>
            </w:tcBorders>
            <w:shd w:val="clear" w:color="auto" w:fill="D8D8D8"/>
          </w:tcPr>
          <w:p>
            <w:pPr>
              <w:pStyle w:val="TableParagraph"/>
              <w:spacing w:before="1"/>
              <w:ind w:left="278" w:right="266" w:firstLine="446"/>
              <w:rPr>
                <w:rFonts w:ascii="Calibri"/>
                <w:b/>
                <w:sz w:val="16"/>
              </w:rPr>
            </w:pPr>
            <w:r>
              <w:rPr>
                <w:rFonts w:ascii="Calibri"/>
                <w:b/>
                <w:sz w:val="16"/>
              </w:rPr>
              <w:t>$ 15,659,935.92</w:t>
            </w:r>
          </w:p>
        </w:tc>
        <w:tc>
          <w:tcPr>
            <w:tcW w:w="1512" w:type="dxa"/>
            <w:tcBorders>
              <w:left w:val="single" w:sz="3" w:space="0" w:color="000000"/>
              <w:right w:val="single" w:sz="3" w:space="0" w:color="000000"/>
            </w:tcBorders>
            <w:shd w:val="clear" w:color="auto" w:fill="D8D8D8"/>
          </w:tcPr>
          <w:p>
            <w:pPr>
              <w:pStyle w:val="TableParagraph"/>
              <w:spacing w:before="1"/>
              <w:ind w:left="283" w:right="265" w:firstLine="446"/>
              <w:rPr>
                <w:rFonts w:ascii="Calibri"/>
                <w:b/>
                <w:sz w:val="16"/>
              </w:rPr>
            </w:pPr>
            <w:r>
              <w:rPr>
                <w:rFonts w:ascii="Calibri"/>
                <w:b/>
                <w:sz w:val="16"/>
              </w:rPr>
              <w:t>$ 15,659,935.92</w:t>
            </w:r>
          </w:p>
        </w:tc>
        <w:tc>
          <w:tcPr>
            <w:tcW w:w="1514" w:type="dxa"/>
            <w:tcBorders>
              <w:left w:val="single" w:sz="3" w:space="0" w:color="000000"/>
            </w:tcBorders>
            <w:shd w:val="clear" w:color="auto" w:fill="D8D8D8"/>
          </w:tcPr>
          <w:p>
            <w:pPr>
              <w:pStyle w:val="TableParagraph"/>
              <w:spacing w:before="1"/>
              <w:ind w:left="283" w:right="263" w:firstLine="446"/>
              <w:rPr>
                <w:rFonts w:ascii="Calibri"/>
                <w:b/>
                <w:sz w:val="16"/>
              </w:rPr>
            </w:pPr>
            <w:r>
              <w:rPr>
                <w:rFonts w:ascii="Calibri"/>
                <w:b/>
                <w:sz w:val="16"/>
              </w:rPr>
              <w:t>$ 15,659,935.92</w:t>
            </w:r>
          </w:p>
        </w:tc>
      </w:tr>
    </w:tbl>
    <w:p>
      <w:pPr>
        <w:spacing w:after="0"/>
        <w:rPr>
          <w:rFonts w:ascii="Calibri"/>
          <w:sz w:val="16"/>
        </w:rPr>
        <w:sectPr>
          <w:footerReference w:type="default" r:id="rId50"/>
          <w:pgSz w:w="12240" w:h="15840"/>
          <w:pgMar w:footer="0" w:header="0" w:top="1420" w:bottom="280" w:left="1020" w:right="1260"/>
        </w:sectPr>
      </w:pPr>
    </w:p>
    <w:p>
      <w:pPr>
        <w:spacing w:before="50" w:after="4"/>
        <w:ind w:left="2565" w:right="0" w:firstLine="0"/>
        <w:jc w:val="left"/>
        <w:rPr>
          <w:b/>
          <w:sz w:val="24"/>
        </w:rPr>
      </w:pPr>
      <w:r>
        <w:rPr>
          <w:b/>
          <w:sz w:val="24"/>
        </w:rPr>
        <w:t>Calculo del costo de los Recursos Humanos</w:t>
      </w:r>
    </w:p>
    <w:tbl>
      <w:tblPr>
        <w:tblW w:w="0" w:type="auto"/>
        <w:jc w:val="left"/>
        <w:tblInd w:w="1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06"/>
        <w:gridCol w:w="536"/>
        <w:gridCol w:w="923"/>
        <w:gridCol w:w="1004"/>
        <w:gridCol w:w="1004"/>
        <w:gridCol w:w="1006"/>
        <w:gridCol w:w="844"/>
        <w:gridCol w:w="826"/>
        <w:gridCol w:w="841"/>
        <w:gridCol w:w="888"/>
        <w:gridCol w:w="888"/>
        <w:gridCol w:w="888"/>
      </w:tblGrid>
      <w:tr>
        <w:trPr>
          <w:trHeight w:val="304" w:hRule="exact"/>
        </w:trPr>
        <w:tc>
          <w:tcPr>
            <w:tcW w:w="10454" w:type="dxa"/>
            <w:gridSpan w:val="12"/>
            <w:tcBorders>
              <w:bottom w:val="nil"/>
            </w:tcBorders>
            <w:shd w:val="clear" w:color="auto" w:fill="A5A5A5"/>
          </w:tcPr>
          <w:p>
            <w:pPr>
              <w:pStyle w:val="TableParagraph"/>
              <w:spacing w:before="11"/>
              <w:rPr>
                <w:b/>
                <w:sz w:val="11"/>
              </w:rPr>
            </w:pPr>
          </w:p>
          <w:p>
            <w:pPr>
              <w:pStyle w:val="TableParagraph"/>
              <w:ind w:left="4266" w:right="4266"/>
              <w:jc w:val="center"/>
              <w:rPr>
                <w:b/>
                <w:sz w:val="14"/>
              </w:rPr>
            </w:pPr>
            <w:r>
              <w:rPr>
                <w:b/>
                <w:sz w:val="14"/>
              </w:rPr>
              <w:t>COSTO ANUAL POR PLAZA</w:t>
            </w:r>
          </w:p>
        </w:tc>
      </w:tr>
      <w:tr>
        <w:trPr>
          <w:trHeight w:val="286" w:hRule="exact"/>
        </w:trPr>
        <w:tc>
          <w:tcPr>
            <w:tcW w:w="10454" w:type="dxa"/>
            <w:gridSpan w:val="12"/>
            <w:tcBorders>
              <w:top w:val="nil"/>
              <w:bottom w:val="nil"/>
            </w:tcBorders>
          </w:tcPr>
          <w:p>
            <w:pPr/>
          </w:p>
        </w:tc>
      </w:tr>
      <w:tr>
        <w:trPr>
          <w:trHeight w:val="328" w:hRule="exact"/>
        </w:trPr>
        <w:tc>
          <w:tcPr>
            <w:tcW w:w="806" w:type="dxa"/>
            <w:tcBorders>
              <w:top w:val="nil"/>
              <w:bottom w:val="single" w:sz="7" w:space="0" w:color="000000"/>
              <w:right w:val="nil"/>
            </w:tcBorders>
            <w:shd w:val="clear" w:color="auto" w:fill="A5A5A5"/>
          </w:tcPr>
          <w:p>
            <w:pPr>
              <w:pStyle w:val="TableParagraph"/>
              <w:spacing w:before="6"/>
              <w:rPr>
                <w:b/>
                <w:sz w:val="13"/>
              </w:rPr>
            </w:pPr>
          </w:p>
          <w:p>
            <w:pPr>
              <w:pStyle w:val="TableParagraph"/>
              <w:ind w:left="160"/>
              <w:rPr>
                <w:b/>
                <w:sz w:val="14"/>
              </w:rPr>
            </w:pPr>
            <w:r>
              <w:rPr>
                <w:b/>
                <w:sz w:val="14"/>
              </w:rPr>
              <w:t>RANGO</w:t>
            </w:r>
          </w:p>
        </w:tc>
        <w:tc>
          <w:tcPr>
            <w:tcW w:w="536" w:type="dxa"/>
            <w:tcBorders>
              <w:top w:val="nil"/>
              <w:left w:val="nil"/>
              <w:bottom w:val="single" w:sz="7" w:space="0" w:color="000000"/>
              <w:right w:val="nil"/>
            </w:tcBorders>
            <w:shd w:val="clear" w:color="auto" w:fill="A5A5A5"/>
          </w:tcPr>
          <w:p>
            <w:pPr>
              <w:pStyle w:val="TableParagraph"/>
              <w:ind w:left="123" w:right="141" w:firstLine="62"/>
              <w:rPr>
                <w:b/>
                <w:sz w:val="14"/>
              </w:rPr>
            </w:pPr>
            <w:r>
              <w:rPr>
                <w:b/>
                <w:sz w:val="14"/>
              </w:rPr>
              <w:t>N. </w:t>
            </w:r>
            <w:r>
              <w:rPr>
                <w:b/>
                <w:w w:val="95"/>
                <w:sz w:val="14"/>
              </w:rPr>
              <w:t>S.P.</w:t>
            </w:r>
          </w:p>
        </w:tc>
        <w:tc>
          <w:tcPr>
            <w:tcW w:w="923" w:type="dxa"/>
            <w:tcBorders>
              <w:top w:val="nil"/>
              <w:left w:val="nil"/>
              <w:bottom w:val="single" w:sz="7" w:space="0" w:color="000000"/>
              <w:right w:val="nil"/>
            </w:tcBorders>
            <w:shd w:val="clear" w:color="auto" w:fill="A5A5A5"/>
          </w:tcPr>
          <w:p>
            <w:pPr>
              <w:pStyle w:val="TableParagraph"/>
              <w:ind w:left="149" w:firstLine="45"/>
              <w:rPr>
                <w:b/>
                <w:sz w:val="14"/>
              </w:rPr>
            </w:pPr>
            <w:r>
              <w:rPr>
                <w:b/>
                <w:sz w:val="14"/>
              </w:rPr>
              <w:t>Sueldo </w:t>
            </w:r>
            <w:r>
              <w:rPr>
                <w:b/>
                <w:w w:val="95"/>
                <w:sz w:val="14"/>
              </w:rPr>
              <w:t>Mensual</w:t>
            </w:r>
          </w:p>
        </w:tc>
        <w:tc>
          <w:tcPr>
            <w:tcW w:w="1004"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right="70"/>
              <w:jc w:val="right"/>
              <w:rPr>
                <w:b/>
                <w:sz w:val="14"/>
              </w:rPr>
            </w:pPr>
            <w:r>
              <w:rPr>
                <w:b/>
                <w:sz w:val="14"/>
              </w:rPr>
              <w:t>P.Vacacional</w:t>
            </w:r>
          </w:p>
        </w:tc>
        <w:tc>
          <w:tcPr>
            <w:tcW w:w="1004"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right="69"/>
              <w:jc w:val="right"/>
              <w:rPr>
                <w:b/>
                <w:sz w:val="14"/>
              </w:rPr>
            </w:pPr>
            <w:r>
              <w:rPr>
                <w:b/>
                <w:sz w:val="14"/>
              </w:rPr>
              <w:t>P.Vacacional</w:t>
            </w:r>
          </w:p>
        </w:tc>
        <w:tc>
          <w:tcPr>
            <w:tcW w:w="1006"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right="72"/>
              <w:jc w:val="right"/>
              <w:rPr>
                <w:b/>
                <w:sz w:val="14"/>
              </w:rPr>
            </w:pPr>
            <w:r>
              <w:rPr>
                <w:b/>
                <w:sz w:val="14"/>
              </w:rPr>
              <w:t>P.Vacacional</w:t>
            </w:r>
          </w:p>
        </w:tc>
        <w:tc>
          <w:tcPr>
            <w:tcW w:w="844"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left="49" w:right="50"/>
              <w:jc w:val="center"/>
              <w:rPr>
                <w:b/>
                <w:sz w:val="14"/>
              </w:rPr>
            </w:pPr>
            <w:r>
              <w:rPr>
                <w:b/>
                <w:sz w:val="14"/>
              </w:rPr>
              <w:t>Aguinaldo</w:t>
            </w:r>
          </w:p>
        </w:tc>
        <w:tc>
          <w:tcPr>
            <w:tcW w:w="826"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left="50" w:right="50"/>
              <w:jc w:val="center"/>
              <w:rPr>
                <w:b/>
                <w:sz w:val="14"/>
              </w:rPr>
            </w:pPr>
            <w:r>
              <w:rPr>
                <w:b/>
                <w:sz w:val="14"/>
              </w:rPr>
              <w:t>Aguinaldo</w:t>
            </w:r>
          </w:p>
        </w:tc>
        <w:tc>
          <w:tcPr>
            <w:tcW w:w="841"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left="49" w:right="50"/>
              <w:jc w:val="center"/>
              <w:rPr>
                <w:b/>
                <w:sz w:val="14"/>
              </w:rPr>
            </w:pPr>
            <w:r>
              <w:rPr>
                <w:b/>
                <w:sz w:val="14"/>
              </w:rPr>
              <w:t>Aguinaldo</w:t>
            </w:r>
          </w:p>
        </w:tc>
        <w:tc>
          <w:tcPr>
            <w:tcW w:w="888"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right="68"/>
              <w:jc w:val="right"/>
              <w:rPr>
                <w:b/>
                <w:sz w:val="14"/>
              </w:rPr>
            </w:pPr>
            <w:r>
              <w:rPr>
                <w:b/>
                <w:sz w:val="14"/>
              </w:rPr>
              <w:t>Grat * conv</w:t>
            </w:r>
          </w:p>
        </w:tc>
        <w:tc>
          <w:tcPr>
            <w:tcW w:w="888" w:type="dxa"/>
            <w:tcBorders>
              <w:top w:val="nil"/>
              <w:left w:val="nil"/>
              <w:bottom w:val="single" w:sz="7" w:space="0" w:color="000000"/>
              <w:right w:val="nil"/>
            </w:tcBorders>
            <w:shd w:val="clear" w:color="auto" w:fill="A5A5A5"/>
          </w:tcPr>
          <w:p>
            <w:pPr>
              <w:pStyle w:val="TableParagraph"/>
              <w:spacing w:before="6"/>
              <w:rPr>
                <w:b/>
                <w:sz w:val="13"/>
              </w:rPr>
            </w:pPr>
          </w:p>
          <w:p>
            <w:pPr>
              <w:pStyle w:val="TableParagraph"/>
              <w:ind w:left="50" w:right="50"/>
              <w:jc w:val="center"/>
              <w:rPr>
                <w:b/>
                <w:sz w:val="14"/>
              </w:rPr>
            </w:pPr>
            <w:r>
              <w:rPr>
                <w:b/>
                <w:sz w:val="14"/>
              </w:rPr>
              <w:t>Grat * conv</w:t>
            </w:r>
          </w:p>
        </w:tc>
        <w:tc>
          <w:tcPr>
            <w:tcW w:w="888" w:type="dxa"/>
            <w:tcBorders>
              <w:top w:val="nil"/>
              <w:left w:val="nil"/>
              <w:bottom w:val="single" w:sz="7" w:space="0" w:color="000000"/>
            </w:tcBorders>
            <w:shd w:val="clear" w:color="auto" w:fill="A5A5A5"/>
          </w:tcPr>
          <w:p>
            <w:pPr>
              <w:pStyle w:val="TableParagraph"/>
              <w:spacing w:before="6"/>
              <w:rPr>
                <w:b/>
                <w:sz w:val="13"/>
              </w:rPr>
            </w:pPr>
          </w:p>
          <w:p>
            <w:pPr>
              <w:pStyle w:val="TableParagraph"/>
              <w:ind w:right="65"/>
              <w:jc w:val="right"/>
              <w:rPr>
                <w:b/>
                <w:sz w:val="14"/>
              </w:rPr>
            </w:pPr>
            <w:r>
              <w:rPr>
                <w:b/>
                <w:sz w:val="14"/>
              </w:rPr>
              <w:t>Grat * conv</w:t>
            </w:r>
          </w:p>
        </w:tc>
      </w:tr>
      <w:tr>
        <w:trPr>
          <w:trHeight w:val="652" w:hRule="exact"/>
        </w:trPr>
        <w:tc>
          <w:tcPr>
            <w:tcW w:w="806" w:type="dxa"/>
            <w:tcBorders>
              <w:top w:val="single" w:sz="7" w:space="0" w:color="000000"/>
              <w:bottom w:val="nil"/>
              <w:right w:val="nil"/>
            </w:tcBorders>
          </w:tcPr>
          <w:p>
            <w:pPr>
              <w:pStyle w:val="TableParagraph"/>
              <w:rPr>
                <w:b/>
                <w:sz w:val="14"/>
              </w:rPr>
            </w:pPr>
          </w:p>
          <w:p>
            <w:pPr>
              <w:pStyle w:val="TableParagraph"/>
              <w:rPr>
                <w:b/>
                <w:sz w:val="14"/>
              </w:rPr>
            </w:pPr>
          </w:p>
          <w:p>
            <w:pPr>
              <w:pStyle w:val="TableParagraph"/>
              <w:spacing w:before="90"/>
              <w:ind w:left="67"/>
              <w:rPr>
                <w:sz w:val="14"/>
              </w:rPr>
            </w:pPr>
            <w:r>
              <w:rPr>
                <w:sz w:val="14"/>
              </w:rPr>
              <w:t>28-D</w:t>
            </w:r>
          </w:p>
        </w:tc>
        <w:tc>
          <w:tcPr>
            <w:tcW w:w="536"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22"/>
              <w:jc w:val="center"/>
              <w:rPr>
                <w:sz w:val="14"/>
              </w:rPr>
            </w:pPr>
            <w:r>
              <w:rPr>
                <w:w w:val="99"/>
                <w:sz w:val="14"/>
              </w:rPr>
              <w:t>1</w:t>
            </w:r>
          </w:p>
        </w:tc>
        <w:tc>
          <w:tcPr>
            <w:tcW w:w="923"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68"/>
              <w:jc w:val="right"/>
              <w:rPr>
                <w:sz w:val="14"/>
              </w:rPr>
            </w:pPr>
            <w:r>
              <w:rPr>
                <w:sz w:val="14"/>
              </w:rPr>
              <w:t>35,873.20</w:t>
            </w:r>
          </w:p>
        </w:tc>
        <w:tc>
          <w:tcPr>
            <w:tcW w:w="1004"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71"/>
              <w:jc w:val="right"/>
              <w:rPr>
                <w:sz w:val="14"/>
              </w:rPr>
            </w:pPr>
            <w:r>
              <w:rPr>
                <w:sz w:val="14"/>
              </w:rPr>
              <w:t>29,500.99</w:t>
            </w:r>
          </w:p>
        </w:tc>
        <w:tc>
          <w:tcPr>
            <w:tcW w:w="1004"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68"/>
              <w:jc w:val="right"/>
              <w:rPr>
                <w:sz w:val="14"/>
              </w:rPr>
            </w:pPr>
            <w:r>
              <w:rPr>
                <w:sz w:val="14"/>
              </w:rPr>
              <w:t>14,750.49</w:t>
            </w:r>
          </w:p>
        </w:tc>
        <w:tc>
          <w:tcPr>
            <w:tcW w:w="1006"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71"/>
              <w:jc w:val="right"/>
              <w:rPr>
                <w:sz w:val="14"/>
              </w:rPr>
            </w:pPr>
            <w:r>
              <w:rPr>
                <w:sz w:val="14"/>
              </w:rPr>
              <w:t>14,750.49</w:t>
            </w:r>
          </w:p>
        </w:tc>
        <w:tc>
          <w:tcPr>
            <w:tcW w:w="844"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left="127" w:right="50"/>
              <w:jc w:val="center"/>
              <w:rPr>
                <w:sz w:val="14"/>
              </w:rPr>
            </w:pPr>
            <w:r>
              <w:rPr>
                <w:sz w:val="14"/>
              </w:rPr>
              <w:t>70,802.37</w:t>
            </w:r>
          </w:p>
        </w:tc>
        <w:tc>
          <w:tcPr>
            <w:tcW w:w="826"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left="109" w:right="50"/>
              <w:jc w:val="center"/>
              <w:rPr>
                <w:sz w:val="14"/>
              </w:rPr>
            </w:pPr>
            <w:r>
              <w:rPr>
                <w:sz w:val="14"/>
              </w:rPr>
              <w:t>23,600.79</w:t>
            </w:r>
          </w:p>
        </w:tc>
        <w:tc>
          <w:tcPr>
            <w:tcW w:w="841"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left="127" w:right="50"/>
              <w:jc w:val="center"/>
              <w:rPr>
                <w:sz w:val="14"/>
              </w:rPr>
            </w:pPr>
            <w:r>
              <w:rPr>
                <w:sz w:val="14"/>
              </w:rPr>
              <w:t>47,201.58</w:t>
            </w:r>
          </w:p>
        </w:tc>
        <w:tc>
          <w:tcPr>
            <w:tcW w:w="888"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right="68"/>
              <w:jc w:val="right"/>
              <w:rPr>
                <w:sz w:val="14"/>
              </w:rPr>
            </w:pPr>
            <w:r>
              <w:rPr>
                <w:sz w:val="14"/>
              </w:rPr>
              <w:t>23,600.79</w:t>
            </w:r>
          </w:p>
        </w:tc>
        <w:tc>
          <w:tcPr>
            <w:tcW w:w="888" w:type="dxa"/>
            <w:tcBorders>
              <w:top w:val="single" w:sz="7" w:space="0" w:color="000000"/>
              <w:left w:val="nil"/>
              <w:bottom w:val="nil"/>
              <w:right w:val="nil"/>
            </w:tcBorders>
          </w:tcPr>
          <w:p>
            <w:pPr>
              <w:pStyle w:val="TableParagraph"/>
              <w:rPr>
                <w:b/>
                <w:sz w:val="14"/>
              </w:rPr>
            </w:pPr>
          </w:p>
          <w:p>
            <w:pPr>
              <w:pStyle w:val="TableParagraph"/>
              <w:rPr>
                <w:b/>
                <w:sz w:val="14"/>
              </w:rPr>
            </w:pPr>
          </w:p>
          <w:p>
            <w:pPr>
              <w:pStyle w:val="TableParagraph"/>
              <w:spacing w:before="90"/>
              <w:ind w:left="174" w:right="50"/>
              <w:jc w:val="center"/>
              <w:rPr>
                <w:sz w:val="14"/>
              </w:rPr>
            </w:pPr>
            <w:r>
              <w:rPr>
                <w:sz w:val="14"/>
              </w:rPr>
              <w:t>11,800.39</w:t>
            </w:r>
          </w:p>
        </w:tc>
        <w:tc>
          <w:tcPr>
            <w:tcW w:w="888" w:type="dxa"/>
            <w:tcBorders>
              <w:top w:val="single" w:sz="7" w:space="0" w:color="000000"/>
              <w:left w:val="nil"/>
              <w:bottom w:val="nil"/>
            </w:tcBorders>
          </w:tcPr>
          <w:p>
            <w:pPr>
              <w:pStyle w:val="TableParagraph"/>
              <w:rPr>
                <w:b/>
                <w:sz w:val="14"/>
              </w:rPr>
            </w:pPr>
          </w:p>
          <w:p>
            <w:pPr>
              <w:pStyle w:val="TableParagraph"/>
              <w:rPr>
                <w:b/>
                <w:sz w:val="14"/>
              </w:rPr>
            </w:pPr>
          </w:p>
          <w:p>
            <w:pPr>
              <w:pStyle w:val="TableParagraph"/>
              <w:spacing w:before="90"/>
              <w:ind w:right="65"/>
              <w:jc w:val="right"/>
              <w:rPr>
                <w:sz w:val="14"/>
              </w:rPr>
            </w:pPr>
            <w:r>
              <w:rPr>
                <w:sz w:val="14"/>
              </w:rPr>
              <w:t>11,800.39</w:t>
            </w:r>
          </w:p>
        </w:tc>
      </w:tr>
      <w:tr>
        <w:trPr>
          <w:trHeight w:val="527" w:hRule="exact"/>
        </w:trPr>
        <w:tc>
          <w:tcPr>
            <w:tcW w:w="806" w:type="dxa"/>
            <w:tcBorders>
              <w:top w:val="nil"/>
              <w:bottom w:val="single" w:sz="7" w:space="0" w:color="000000"/>
              <w:right w:val="nil"/>
            </w:tcBorders>
          </w:tcPr>
          <w:p>
            <w:pPr>
              <w:pStyle w:val="TableParagraph"/>
              <w:spacing w:before="54"/>
              <w:ind w:left="67"/>
              <w:rPr>
                <w:sz w:val="14"/>
              </w:rPr>
            </w:pPr>
            <w:r>
              <w:rPr>
                <w:sz w:val="14"/>
              </w:rPr>
              <w:t>26-D</w:t>
            </w:r>
          </w:p>
        </w:tc>
        <w:tc>
          <w:tcPr>
            <w:tcW w:w="536" w:type="dxa"/>
            <w:tcBorders>
              <w:top w:val="nil"/>
              <w:left w:val="nil"/>
              <w:bottom w:val="single" w:sz="7" w:space="0" w:color="000000"/>
              <w:right w:val="nil"/>
            </w:tcBorders>
          </w:tcPr>
          <w:p>
            <w:pPr>
              <w:pStyle w:val="TableParagraph"/>
              <w:spacing w:before="54"/>
              <w:ind w:right="22"/>
              <w:jc w:val="center"/>
              <w:rPr>
                <w:sz w:val="14"/>
              </w:rPr>
            </w:pPr>
            <w:r>
              <w:rPr>
                <w:w w:val="99"/>
                <w:sz w:val="14"/>
              </w:rPr>
              <w:t>2</w:t>
            </w:r>
          </w:p>
        </w:tc>
        <w:tc>
          <w:tcPr>
            <w:tcW w:w="923" w:type="dxa"/>
            <w:tcBorders>
              <w:top w:val="nil"/>
              <w:left w:val="nil"/>
              <w:bottom w:val="single" w:sz="7" w:space="0" w:color="000000"/>
              <w:right w:val="nil"/>
            </w:tcBorders>
          </w:tcPr>
          <w:p>
            <w:pPr>
              <w:pStyle w:val="TableParagraph"/>
              <w:spacing w:before="54"/>
              <w:ind w:right="68"/>
              <w:jc w:val="right"/>
              <w:rPr>
                <w:sz w:val="14"/>
              </w:rPr>
            </w:pPr>
            <w:r>
              <w:rPr>
                <w:sz w:val="14"/>
              </w:rPr>
              <w:t>20,436.00</w:t>
            </w:r>
          </w:p>
        </w:tc>
        <w:tc>
          <w:tcPr>
            <w:tcW w:w="1004" w:type="dxa"/>
            <w:tcBorders>
              <w:top w:val="nil"/>
              <w:left w:val="nil"/>
              <w:bottom w:val="single" w:sz="7" w:space="0" w:color="000000"/>
              <w:right w:val="nil"/>
            </w:tcBorders>
          </w:tcPr>
          <w:p>
            <w:pPr>
              <w:pStyle w:val="TableParagraph"/>
              <w:spacing w:before="54"/>
              <w:ind w:right="71"/>
              <w:jc w:val="right"/>
              <w:rPr>
                <w:sz w:val="14"/>
              </w:rPr>
            </w:pPr>
            <w:r>
              <w:rPr>
                <w:sz w:val="14"/>
              </w:rPr>
              <w:t>33,611.84</w:t>
            </w:r>
          </w:p>
        </w:tc>
        <w:tc>
          <w:tcPr>
            <w:tcW w:w="1004" w:type="dxa"/>
            <w:tcBorders>
              <w:top w:val="nil"/>
              <w:left w:val="nil"/>
              <w:bottom w:val="single" w:sz="7" w:space="0" w:color="000000"/>
              <w:right w:val="nil"/>
            </w:tcBorders>
          </w:tcPr>
          <w:p>
            <w:pPr>
              <w:pStyle w:val="TableParagraph"/>
              <w:spacing w:before="54"/>
              <w:ind w:right="68"/>
              <w:jc w:val="right"/>
              <w:rPr>
                <w:sz w:val="14"/>
              </w:rPr>
            </w:pPr>
            <w:r>
              <w:rPr>
                <w:sz w:val="14"/>
              </w:rPr>
              <w:t>16,805.92</w:t>
            </w:r>
          </w:p>
        </w:tc>
        <w:tc>
          <w:tcPr>
            <w:tcW w:w="1006" w:type="dxa"/>
            <w:tcBorders>
              <w:top w:val="nil"/>
              <w:left w:val="nil"/>
              <w:bottom w:val="single" w:sz="7" w:space="0" w:color="000000"/>
              <w:right w:val="nil"/>
            </w:tcBorders>
          </w:tcPr>
          <w:p>
            <w:pPr>
              <w:pStyle w:val="TableParagraph"/>
              <w:spacing w:before="54"/>
              <w:ind w:right="71"/>
              <w:jc w:val="right"/>
              <w:rPr>
                <w:sz w:val="14"/>
              </w:rPr>
            </w:pPr>
            <w:r>
              <w:rPr>
                <w:sz w:val="14"/>
              </w:rPr>
              <w:t>16,805.92</w:t>
            </w:r>
          </w:p>
        </w:tc>
        <w:tc>
          <w:tcPr>
            <w:tcW w:w="844" w:type="dxa"/>
            <w:tcBorders>
              <w:top w:val="nil"/>
              <w:left w:val="nil"/>
              <w:bottom w:val="single" w:sz="7" w:space="0" w:color="000000"/>
              <w:right w:val="nil"/>
            </w:tcBorders>
          </w:tcPr>
          <w:p>
            <w:pPr>
              <w:pStyle w:val="TableParagraph"/>
              <w:spacing w:before="54"/>
              <w:ind w:left="127" w:right="50"/>
              <w:jc w:val="center"/>
              <w:rPr>
                <w:sz w:val="14"/>
              </w:rPr>
            </w:pPr>
            <w:r>
              <w:rPr>
                <w:sz w:val="14"/>
              </w:rPr>
              <w:t>80,668.42</w:t>
            </w:r>
          </w:p>
        </w:tc>
        <w:tc>
          <w:tcPr>
            <w:tcW w:w="826" w:type="dxa"/>
            <w:tcBorders>
              <w:top w:val="nil"/>
              <w:left w:val="nil"/>
              <w:bottom w:val="single" w:sz="7" w:space="0" w:color="000000"/>
              <w:right w:val="nil"/>
            </w:tcBorders>
          </w:tcPr>
          <w:p>
            <w:pPr>
              <w:pStyle w:val="TableParagraph"/>
              <w:spacing w:before="54"/>
              <w:ind w:left="109" w:right="50"/>
              <w:jc w:val="center"/>
              <w:rPr>
                <w:sz w:val="14"/>
              </w:rPr>
            </w:pPr>
            <w:r>
              <w:rPr>
                <w:sz w:val="14"/>
              </w:rPr>
              <w:t>26,889.47</w:t>
            </w:r>
          </w:p>
        </w:tc>
        <w:tc>
          <w:tcPr>
            <w:tcW w:w="841" w:type="dxa"/>
            <w:tcBorders>
              <w:top w:val="nil"/>
              <w:left w:val="nil"/>
              <w:bottom w:val="single" w:sz="7" w:space="0" w:color="000000"/>
              <w:right w:val="nil"/>
            </w:tcBorders>
          </w:tcPr>
          <w:p>
            <w:pPr>
              <w:pStyle w:val="TableParagraph"/>
              <w:spacing w:before="54"/>
              <w:ind w:left="127" w:right="50"/>
              <w:jc w:val="center"/>
              <w:rPr>
                <w:sz w:val="14"/>
              </w:rPr>
            </w:pPr>
            <w:r>
              <w:rPr>
                <w:sz w:val="14"/>
              </w:rPr>
              <w:t>53,778.95</w:t>
            </w:r>
          </w:p>
        </w:tc>
        <w:tc>
          <w:tcPr>
            <w:tcW w:w="888" w:type="dxa"/>
            <w:tcBorders>
              <w:top w:val="nil"/>
              <w:left w:val="nil"/>
              <w:bottom w:val="single" w:sz="7" w:space="0" w:color="000000"/>
              <w:right w:val="nil"/>
            </w:tcBorders>
          </w:tcPr>
          <w:p>
            <w:pPr>
              <w:pStyle w:val="TableParagraph"/>
              <w:spacing w:before="54"/>
              <w:ind w:right="68"/>
              <w:jc w:val="right"/>
              <w:rPr>
                <w:sz w:val="14"/>
              </w:rPr>
            </w:pPr>
            <w:r>
              <w:rPr>
                <w:sz w:val="14"/>
              </w:rPr>
              <w:t>26,889.47</w:t>
            </w:r>
          </w:p>
        </w:tc>
        <w:tc>
          <w:tcPr>
            <w:tcW w:w="888" w:type="dxa"/>
            <w:tcBorders>
              <w:top w:val="nil"/>
              <w:left w:val="nil"/>
              <w:bottom w:val="single" w:sz="7" w:space="0" w:color="000000"/>
              <w:right w:val="nil"/>
            </w:tcBorders>
          </w:tcPr>
          <w:p>
            <w:pPr>
              <w:pStyle w:val="TableParagraph"/>
              <w:spacing w:before="54"/>
              <w:ind w:left="174" w:right="50"/>
              <w:jc w:val="center"/>
              <w:rPr>
                <w:sz w:val="14"/>
              </w:rPr>
            </w:pPr>
            <w:r>
              <w:rPr>
                <w:sz w:val="14"/>
              </w:rPr>
              <w:t>13,444.74</w:t>
            </w:r>
          </w:p>
        </w:tc>
        <w:tc>
          <w:tcPr>
            <w:tcW w:w="888" w:type="dxa"/>
            <w:tcBorders>
              <w:top w:val="nil"/>
              <w:left w:val="nil"/>
              <w:bottom w:val="single" w:sz="7" w:space="0" w:color="000000"/>
            </w:tcBorders>
          </w:tcPr>
          <w:p>
            <w:pPr>
              <w:pStyle w:val="TableParagraph"/>
              <w:spacing w:before="54"/>
              <w:ind w:right="65"/>
              <w:jc w:val="right"/>
              <w:rPr>
                <w:sz w:val="14"/>
              </w:rPr>
            </w:pPr>
            <w:r>
              <w:rPr>
                <w:sz w:val="14"/>
              </w:rPr>
              <w:t>13,444.74</w:t>
            </w:r>
          </w:p>
        </w:tc>
      </w:tr>
      <w:tr>
        <w:trPr>
          <w:trHeight w:val="329" w:hRule="exact"/>
        </w:trPr>
        <w:tc>
          <w:tcPr>
            <w:tcW w:w="806" w:type="dxa"/>
            <w:tcBorders>
              <w:top w:val="single" w:sz="7" w:space="0" w:color="000000"/>
              <w:right w:val="nil"/>
            </w:tcBorders>
            <w:shd w:val="clear" w:color="auto" w:fill="A5A5A5"/>
          </w:tcPr>
          <w:p>
            <w:pPr>
              <w:pStyle w:val="TableParagraph"/>
              <w:spacing w:before="3"/>
              <w:rPr>
                <w:b/>
                <w:sz w:val="13"/>
              </w:rPr>
            </w:pPr>
          </w:p>
          <w:p>
            <w:pPr>
              <w:pStyle w:val="TableParagraph"/>
              <w:ind w:left="254"/>
              <w:rPr>
                <w:b/>
                <w:sz w:val="14"/>
              </w:rPr>
            </w:pPr>
            <w:r>
              <w:rPr>
                <w:b/>
                <w:sz w:val="14"/>
              </w:rPr>
              <w:t>Total</w:t>
            </w:r>
          </w:p>
        </w:tc>
        <w:tc>
          <w:tcPr>
            <w:tcW w:w="536" w:type="dxa"/>
            <w:tcBorders>
              <w:top w:val="single" w:sz="7" w:space="0" w:color="000000"/>
              <w:left w:val="nil"/>
              <w:right w:val="nil"/>
            </w:tcBorders>
            <w:shd w:val="clear" w:color="auto" w:fill="A5A5A5"/>
          </w:tcPr>
          <w:p>
            <w:pPr>
              <w:pStyle w:val="TableParagraph"/>
              <w:spacing w:before="3"/>
              <w:rPr>
                <w:b/>
                <w:sz w:val="13"/>
              </w:rPr>
            </w:pPr>
          </w:p>
          <w:p>
            <w:pPr>
              <w:pStyle w:val="TableParagraph"/>
              <w:ind w:right="22"/>
              <w:jc w:val="center"/>
              <w:rPr>
                <w:b/>
                <w:sz w:val="14"/>
              </w:rPr>
            </w:pPr>
            <w:r>
              <w:rPr>
                <w:b/>
                <w:w w:val="99"/>
                <w:sz w:val="14"/>
              </w:rPr>
              <w:t>3</w:t>
            </w:r>
          </w:p>
        </w:tc>
        <w:tc>
          <w:tcPr>
            <w:tcW w:w="923" w:type="dxa"/>
            <w:tcBorders>
              <w:top w:val="single" w:sz="7" w:space="0" w:color="000000"/>
              <w:left w:val="nil"/>
              <w:right w:val="nil"/>
            </w:tcBorders>
            <w:shd w:val="clear" w:color="auto" w:fill="A5A5A5"/>
          </w:tcPr>
          <w:p>
            <w:pPr>
              <w:pStyle w:val="TableParagraph"/>
              <w:spacing w:before="3"/>
              <w:rPr>
                <w:b/>
                <w:sz w:val="13"/>
              </w:rPr>
            </w:pPr>
          </w:p>
          <w:p>
            <w:pPr>
              <w:pStyle w:val="TableParagraph"/>
              <w:ind w:right="68"/>
              <w:jc w:val="right"/>
              <w:rPr>
                <w:b/>
                <w:sz w:val="14"/>
              </w:rPr>
            </w:pPr>
            <w:r>
              <w:rPr>
                <w:b/>
                <w:sz w:val="14"/>
              </w:rPr>
              <w:t>56,309.20</w:t>
            </w:r>
          </w:p>
        </w:tc>
        <w:tc>
          <w:tcPr>
            <w:tcW w:w="1004" w:type="dxa"/>
            <w:tcBorders>
              <w:top w:val="single" w:sz="7" w:space="0" w:color="000000"/>
              <w:left w:val="nil"/>
              <w:right w:val="nil"/>
            </w:tcBorders>
            <w:shd w:val="clear" w:color="auto" w:fill="A5A5A5"/>
          </w:tcPr>
          <w:p>
            <w:pPr>
              <w:pStyle w:val="TableParagraph"/>
              <w:spacing w:before="3"/>
              <w:rPr>
                <w:b/>
                <w:sz w:val="13"/>
              </w:rPr>
            </w:pPr>
          </w:p>
          <w:p>
            <w:pPr>
              <w:pStyle w:val="TableParagraph"/>
              <w:ind w:right="71"/>
              <w:jc w:val="right"/>
              <w:rPr>
                <w:b/>
                <w:sz w:val="14"/>
              </w:rPr>
            </w:pPr>
            <w:r>
              <w:rPr>
                <w:b/>
                <w:sz w:val="14"/>
              </w:rPr>
              <w:t>63,112.83</w:t>
            </w:r>
          </w:p>
        </w:tc>
        <w:tc>
          <w:tcPr>
            <w:tcW w:w="1004" w:type="dxa"/>
            <w:tcBorders>
              <w:top w:val="single" w:sz="7" w:space="0" w:color="000000"/>
              <w:left w:val="nil"/>
              <w:right w:val="nil"/>
            </w:tcBorders>
            <w:shd w:val="clear" w:color="auto" w:fill="A5A5A5"/>
          </w:tcPr>
          <w:p>
            <w:pPr>
              <w:pStyle w:val="TableParagraph"/>
              <w:spacing w:before="3"/>
              <w:rPr>
                <w:b/>
                <w:sz w:val="13"/>
              </w:rPr>
            </w:pPr>
          </w:p>
          <w:p>
            <w:pPr>
              <w:pStyle w:val="TableParagraph"/>
              <w:ind w:right="68"/>
              <w:jc w:val="right"/>
              <w:rPr>
                <w:b/>
                <w:sz w:val="14"/>
              </w:rPr>
            </w:pPr>
            <w:r>
              <w:rPr>
                <w:b/>
                <w:sz w:val="14"/>
              </w:rPr>
              <w:t>31,556.41</w:t>
            </w:r>
          </w:p>
        </w:tc>
        <w:tc>
          <w:tcPr>
            <w:tcW w:w="1006" w:type="dxa"/>
            <w:tcBorders>
              <w:top w:val="single" w:sz="7" w:space="0" w:color="000000"/>
              <w:left w:val="nil"/>
              <w:right w:val="nil"/>
            </w:tcBorders>
            <w:shd w:val="clear" w:color="auto" w:fill="A5A5A5"/>
          </w:tcPr>
          <w:p>
            <w:pPr>
              <w:pStyle w:val="TableParagraph"/>
              <w:spacing w:before="3"/>
              <w:rPr>
                <w:b/>
                <w:sz w:val="13"/>
              </w:rPr>
            </w:pPr>
          </w:p>
          <w:p>
            <w:pPr>
              <w:pStyle w:val="TableParagraph"/>
              <w:ind w:right="71"/>
              <w:jc w:val="right"/>
              <w:rPr>
                <w:b/>
                <w:sz w:val="14"/>
              </w:rPr>
            </w:pPr>
            <w:r>
              <w:rPr>
                <w:b/>
                <w:sz w:val="14"/>
              </w:rPr>
              <w:t>31,556.41</w:t>
            </w:r>
          </w:p>
        </w:tc>
        <w:tc>
          <w:tcPr>
            <w:tcW w:w="844" w:type="dxa"/>
            <w:tcBorders>
              <w:top w:val="single" w:sz="7" w:space="0" w:color="000000"/>
              <w:left w:val="nil"/>
              <w:right w:val="nil"/>
            </w:tcBorders>
            <w:shd w:val="clear" w:color="auto" w:fill="A5A5A5"/>
          </w:tcPr>
          <w:p>
            <w:pPr>
              <w:pStyle w:val="TableParagraph"/>
              <w:spacing w:before="3"/>
              <w:rPr>
                <w:b/>
                <w:sz w:val="13"/>
              </w:rPr>
            </w:pPr>
          </w:p>
          <w:p>
            <w:pPr>
              <w:pStyle w:val="TableParagraph"/>
              <w:ind w:left="51" w:right="50"/>
              <w:jc w:val="center"/>
              <w:rPr>
                <w:b/>
                <w:sz w:val="14"/>
              </w:rPr>
            </w:pPr>
            <w:r>
              <w:rPr>
                <w:b/>
                <w:sz w:val="14"/>
              </w:rPr>
              <w:t>151,470.79</w:t>
            </w:r>
          </w:p>
        </w:tc>
        <w:tc>
          <w:tcPr>
            <w:tcW w:w="826" w:type="dxa"/>
            <w:tcBorders>
              <w:top w:val="single" w:sz="7" w:space="0" w:color="000000"/>
              <w:left w:val="nil"/>
              <w:right w:val="nil"/>
            </w:tcBorders>
            <w:shd w:val="clear" w:color="auto" w:fill="A5A5A5"/>
          </w:tcPr>
          <w:p>
            <w:pPr>
              <w:pStyle w:val="TableParagraph"/>
              <w:spacing w:before="3"/>
              <w:rPr>
                <w:b/>
                <w:sz w:val="13"/>
              </w:rPr>
            </w:pPr>
          </w:p>
          <w:p>
            <w:pPr>
              <w:pStyle w:val="TableParagraph"/>
              <w:ind w:left="110" w:right="50"/>
              <w:jc w:val="center"/>
              <w:rPr>
                <w:b/>
                <w:sz w:val="14"/>
              </w:rPr>
            </w:pPr>
            <w:r>
              <w:rPr>
                <w:b/>
                <w:sz w:val="14"/>
              </w:rPr>
              <w:t>50,490.26</w:t>
            </w:r>
          </w:p>
        </w:tc>
        <w:tc>
          <w:tcPr>
            <w:tcW w:w="841" w:type="dxa"/>
            <w:tcBorders>
              <w:top w:val="single" w:sz="7" w:space="0" w:color="000000"/>
              <w:left w:val="nil"/>
              <w:right w:val="nil"/>
            </w:tcBorders>
            <w:shd w:val="clear" w:color="auto" w:fill="A5A5A5"/>
          </w:tcPr>
          <w:p>
            <w:pPr>
              <w:pStyle w:val="TableParagraph"/>
              <w:spacing w:before="3"/>
              <w:rPr>
                <w:b/>
                <w:sz w:val="13"/>
              </w:rPr>
            </w:pPr>
          </w:p>
          <w:p>
            <w:pPr>
              <w:pStyle w:val="TableParagraph"/>
              <w:ind w:left="50" w:right="50"/>
              <w:jc w:val="center"/>
              <w:rPr>
                <w:b/>
                <w:sz w:val="14"/>
              </w:rPr>
            </w:pPr>
            <w:r>
              <w:rPr>
                <w:b/>
                <w:sz w:val="14"/>
              </w:rPr>
              <w:t>100,980.53</w:t>
            </w:r>
          </w:p>
        </w:tc>
        <w:tc>
          <w:tcPr>
            <w:tcW w:w="888" w:type="dxa"/>
            <w:tcBorders>
              <w:top w:val="single" w:sz="7" w:space="0" w:color="000000"/>
              <w:left w:val="nil"/>
              <w:right w:val="nil"/>
            </w:tcBorders>
            <w:shd w:val="clear" w:color="auto" w:fill="A5A5A5"/>
          </w:tcPr>
          <w:p>
            <w:pPr>
              <w:pStyle w:val="TableParagraph"/>
              <w:spacing w:before="3"/>
              <w:rPr>
                <w:b/>
                <w:sz w:val="13"/>
              </w:rPr>
            </w:pPr>
          </w:p>
          <w:p>
            <w:pPr>
              <w:pStyle w:val="TableParagraph"/>
              <w:ind w:right="68"/>
              <w:jc w:val="right"/>
              <w:rPr>
                <w:b/>
                <w:sz w:val="14"/>
              </w:rPr>
            </w:pPr>
            <w:r>
              <w:rPr>
                <w:b/>
                <w:sz w:val="14"/>
              </w:rPr>
              <w:t>50,490.26</w:t>
            </w:r>
          </w:p>
        </w:tc>
        <w:tc>
          <w:tcPr>
            <w:tcW w:w="888" w:type="dxa"/>
            <w:tcBorders>
              <w:top w:val="single" w:sz="7" w:space="0" w:color="000000"/>
              <w:left w:val="nil"/>
              <w:right w:val="nil"/>
            </w:tcBorders>
            <w:shd w:val="clear" w:color="auto" w:fill="A5A5A5"/>
          </w:tcPr>
          <w:p>
            <w:pPr>
              <w:pStyle w:val="TableParagraph"/>
              <w:spacing w:before="3"/>
              <w:rPr>
                <w:b/>
                <w:sz w:val="13"/>
              </w:rPr>
            </w:pPr>
          </w:p>
          <w:p>
            <w:pPr>
              <w:pStyle w:val="TableParagraph"/>
              <w:ind w:left="174" w:right="50"/>
              <w:jc w:val="center"/>
              <w:rPr>
                <w:b/>
                <w:sz w:val="14"/>
              </w:rPr>
            </w:pPr>
            <w:r>
              <w:rPr>
                <w:b/>
                <w:sz w:val="14"/>
              </w:rPr>
              <w:t>25,245.13</w:t>
            </w:r>
          </w:p>
        </w:tc>
        <w:tc>
          <w:tcPr>
            <w:tcW w:w="888" w:type="dxa"/>
            <w:tcBorders>
              <w:top w:val="single" w:sz="7" w:space="0" w:color="000000"/>
              <w:left w:val="nil"/>
            </w:tcBorders>
            <w:shd w:val="clear" w:color="auto" w:fill="A5A5A5"/>
          </w:tcPr>
          <w:p>
            <w:pPr>
              <w:pStyle w:val="TableParagraph"/>
              <w:spacing w:before="3"/>
              <w:rPr>
                <w:b/>
                <w:sz w:val="13"/>
              </w:rPr>
            </w:pPr>
          </w:p>
          <w:p>
            <w:pPr>
              <w:pStyle w:val="TableParagraph"/>
              <w:ind w:right="65"/>
              <w:jc w:val="right"/>
              <w:rPr>
                <w:b/>
                <w:sz w:val="14"/>
              </w:rPr>
            </w:pPr>
            <w:r>
              <w:rPr>
                <w:b/>
                <w:sz w:val="14"/>
              </w:rPr>
              <w:t>25,245.13</w:t>
            </w:r>
          </w:p>
        </w:tc>
      </w:tr>
    </w:tbl>
    <w:p>
      <w:pPr>
        <w:pStyle w:val="BodyText"/>
        <w:rPr>
          <w:b/>
          <w:sz w:val="20"/>
        </w:rPr>
      </w:pPr>
    </w:p>
    <w:p>
      <w:pPr>
        <w:pStyle w:val="BodyText"/>
        <w:spacing w:before="4"/>
        <w:rPr>
          <w:b/>
          <w:sz w:val="18"/>
        </w:rPr>
      </w:pPr>
    </w:p>
    <w:p>
      <w:pPr>
        <w:tabs>
          <w:tab w:pos="1687" w:val="left" w:leader="none"/>
          <w:tab w:pos="2690" w:val="left" w:leader="none"/>
          <w:tab w:pos="5467" w:val="left" w:leader="none"/>
          <w:tab w:pos="8099" w:val="left" w:leader="none"/>
          <w:tab w:pos="9799" w:val="left" w:leader="none"/>
        </w:tabs>
        <w:spacing w:before="0" w:after="4"/>
        <w:ind w:left="383" w:right="0" w:firstLine="0"/>
        <w:jc w:val="left"/>
        <w:rPr>
          <w:b/>
          <w:sz w:val="14"/>
        </w:rPr>
      </w:pPr>
      <w:r>
        <w:rPr>
          <w:b/>
          <w:sz w:val="14"/>
        </w:rPr>
        <w:t>Neto</w:t>
        <w:tab/>
      </w:r>
      <w:r>
        <w:rPr>
          <w:sz w:val="14"/>
        </w:rPr>
        <w:t>56,309.20</w:t>
        <w:tab/>
        <w:t>63,112.83</w:t>
        <w:tab/>
        <w:t>151,470.79</w:t>
        <w:tab/>
        <w:t>50,490.26</w:t>
        <w:tab/>
      </w:r>
      <w:r>
        <w:rPr>
          <w:b/>
          <w:sz w:val="14"/>
        </w:rPr>
        <w:t>321,383.08</w:t>
      </w:r>
    </w:p>
    <w:p>
      <w:pPr>
        <w:pStyle w:val="BodyText"/>
        <w:spacing w:line="40" w:lineRule="exact"/>
        <w:ind w:left="9661"/>
        <w:rPr>
          <w:sz w:val="4"/>
        </w:rPr>
      </w:pPr>
      <w:r>
        <w:rPr>
          <w:position w:val="0"/>
          <w:sz w:val="4"/>
        </w:rPr>
        <w:pict>
          <v:group style="width:45.6pt;height:2.050pt;mso-position-horizontal-relative:char;mso-position-vertical-relative:line" coordorigin="0,0" coordsize="912,41">
            <v:line style="position:absolute" from="6,35" to="906,35" stroked="true" strokeweight=".6pt" strokecolor="#000000"/>
            <v:line style="position:absolute" from="6,6" to="906,6" stroked="true" strokeweight=".6pt" strokecolor="#000000"/>
          </v:group>
        </w:pict>
      </w:r>
      <w:r>
        <w:rPr>
          <w:position w:val="0"/>
          <w:sz w:val="4"/>
        </w:rPr>
      </w:r>
    </w:p>
    <w:p>
      <w:pPr>
        <w:pStyle w:val="BodyText"/>
        <w:rPr>
          <w:b/>
          <w:sz w:val="20"/>
        </w:rPr>
      </w:pPr>
    </w:p>
    <w:p>
      <w:pPr>
        <w:pStyle w:val="BodyText"/>
        <w:spacing w:before="6"/>
        <w:rPr>
          <w:b/>
          <w:sz w:val="19"/>
        </w:rPr>
      </w:pPr>
    </w:p>
    <w:p>
      <w:pPr>
        <w:spacing w:before="80" w:after="2"/>
        <w:ind w:left="4009" w:right="4488" w:firstLine="0"/>
        <w:jc w:val="center"/>
        <w:rPr>
          <w:b/>
          <w:sz w:val="16"/>
        </w:rPr>
      </w:pPr>
      <w:r>
        <w:rPr>
          <w:b/>
          <w:sz w:val="16"/>
        </w:rPr>
        <w:t>Fuente: Gaceta de Gobierno</w:t>
      </w:r>
    </w:p>
    <w:p>
      <w:pPr>
        <w:pStyle w:val="BodyText"/>
        <w:ind w:left="681"/>
        <w:rPr>
          <w:sz w:val="20"/>
        </w:rPr>
      </w:pPr>
      <w:r>
        <w:rPr>
          <w:sz w:val="20"/>
        </w:rPr>
        <w:drawing>
          <wp:inline distT="0" distB="0" distL="0" distR="0">
            <wp:extent cx="5607742" cy="4066032"/>
            <wp:effectExtent l="0" t="0" r="0" b="0"/>
            <wp:docPr id="119" name="image29.png" descr=""/>
            <wp:cNvGraphicFramePr>
              <a:graphicFrameLocks noChangeAspect="1"/>
            </wp:cNvGraphicFramePr>
            <a:graphic>
              <a:graphicData uri="http://schemas.openxmlformats.org/drawingml/2006/picture">
                <pic:pic>
                  <pic:nvPicPr>
                    <pic:cNvPr id="120" name="image29.png"/>
                    <pic:cNvPicPr/>
                  </pic:nvPicPr>
                  <pic:blipFill>
                    <a:blip r:embed="rId52" cstate="print"/>
                    <a:stretch>
                      <a:fillRect/>
                    </a:stretch>
                  </pic:blipFill>
                  <pic:spPr>
                    <a:xfrm>
                      <a:off x="0" y="0"/>
                      <a:ext cx="5607742" cy="4066032"/>
                    </a:xfrm>
                    <a:prstGeom prst="rect">
                      <a:avLst/>
                    </a:prstGeom>
                  </pic:spPr>
                </pic:pic>
              </a:graphicData>
            </a:graphic>
          </wp:inline>
        </w:drawing>
      </w:r>
      <w:r>
        <w:rPr>
          <w:sz w:val="20"/>
        </w:rPr>
      </w:r>
    </w:p>
    <w:p>
      <w:pPr>
        <w:spacing w:after="0"/>
        <w:rPr>
          <w:sz w:val="20"/>
        </w:rPr>
        <w:sectPr>
          <w:footerReference w:type="default" r:id="rId51"/>
          <w:pgSz w:w="12240" w:h="15840"/>
          <w:pgMar w:footer="0" w:header="0" w:top="1460" w:bottom="280" w:left="1020" w:right="540"/>
        </w:sectPr>
      </w:pPr>
    </w:p>
    <w:p>
      <w:pPr>
        <w:pStyle w:val="Heading1"/>
        <w:spacing w:before="50" w:after="5"/>
        <w:ind w:left="3114" w:right="3060"/>
        <w:jc w:val="center"/>
      </w:pPr>
      <w:r>
        <w:rPr/>
        <w:t>Costo  de Operaciones</w:t>
      </w:r>
    </w:p>
    <w:tbl>
      <w:tblPr>
        <w:tblW w:w="0" w:type="auto"/>
        <w:jc w:val="left"/>
        <w:tblInd w:w="85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240"/>
        <w:gridCol w:w="1274"/>
        <w:gridCol w:w="1274"/>
        <w:gridCol w:w="1411"/>
      </w:tblGrid>
      <w:tr>
        <w:trPr>
          <w:trHeight w:val="319" w:hRule="exact"/>
        </w:trPr>
        <w:tc>
          <w:tcPr>
            <w:tcW w:w="3240" w:type="dxa"/>
            <w:vMerge w:val="restart"/>
            <w:shd w:val="clear" w:color="auto" w:fill="F9BF8E"/>
          </w:tcPr>
          <w:p>
            <w:pPr>
              <w:pStyle w:val="TableParagraph"/>
              <w:rPr>
                <w:b/>
                <w:sz w:val="12"/>
              </w:rPr>
            </w:pPr>
          </w:p>
          <w:p>
            <w:pPr>
              <w:pStyle w:val="TableParagraph"/>
              <w:spacing w:before="99"/>
              <w:ind w:left="1174" w:right="1174"/>
              <w:jc w:val="center"/>
              <w:rPr>
                <w:b/>
                <w:sz w:val="12"/>
              </w:rPr>
            </w:pPr>
            <w:r>
              <w:rPr>
                <w:b/>
                <w:sz w:val="12"/>
              </w:rPr>
              <w:t>Procedimiento</w:t>
            </w:r>
          </w:p>
        </w:tc>
        <w:tc>
          <w:tcPr>
            <w:tcW w:w="3960" w:type="dxa"/>
            <w:gridSpan w:val="3"/>
            <w:shd w:val="clear" w:color="auto" w:fill="F9BF8E"/>
          </w:tcPr>
          <w:p>
            <w:pPr>
              <w:pStyle w:val="TableParagraph"/>
              <w:spacing w:before="79"/>
              <w:ind w:left="1783" w:right="1780"/>
              <w:jc w:val="center"/>
              <w:rPr>
                <w:b/>
                <w:sz w:val="12"/>
              </w:rPr>
            </w:pPr>
            <w:r>
              <w:rPr>
                <w:b/>
                <w:sz w:val="12"/>
              </w:rPr>
              <w:t>Costo</w:t>
            </w:r>
          </w:p>
        </w:tc>
      </w:tr>
      <w:tr>
        <w:trPr>
          <w:trHeight w:val="71" w:hRule="exact"/>
        </w:trPr>
        <w:tc>
          <w:tcPr>
            <w:tcW w:w="3240" w:type="dxa"/>
            <w:vMerge/>
            <w:tcBorders>
              <w:bottom w:val="single" w:sz="2" w:space="0" w:color="FFFFFF"/>
            </w:tcBorders>
            <w:shd w:val="clear" w:color="auto" w:fill="F9BF8E"/>
          </w:tcPr>
          <w:p>
            <w:pPr/>
          </w:p>
        </w:tc>
        <w:tc>
          <w:tcPr>
            <w:tcW w:w="1274" w:type="dxa"/>
            <w:vMerge w:val="restart"/>
            <w:shd w:val="clear" w:color="auto" w:fill="F9BF8E"/>
          </w:tcPr>
          <w:p>
            <w:pPr>
              <w:pStyle w:val="TableParagraph"/>
              <w:spacing w:before="79"/>
              <w:ind w:left="341" w:right="342"/>
              <w:jc w:val="center"/>
              <w:rPr>
                <w:b/>
                <w:sz w:val="12"/>
              </w:rPr>
            </w:pPr>
            <w:r>
              <w:rPr>
                <w:b/>
                <w:sz w:val="12"/>
              </w:rPr>
              <w:t>Fijo</w:t>
            </w:r>
          </w:p>
        </w:tc>
        <w:tc>
          <w:tcPr>
            <w:tcW w:w="1274" w:type="dxa"/>
            <w:vMerge w:val="restart"/>
            <w:shd w:val="clear" w:color="auto" w:fill="F9BF8E"/>
          </w:tcPr>
          <w:p>
            <w:pPr>
              <w:pStyle w:val="TableParagraph"/>
              <w:spacing w:before="79"/>
              <w:ind w:left="393"/>
              <w:rPr>
                <w:b/>
                <w:sz w:val="12"/>
              </w:rPr>
            </w:pPr>
            <w:r>
              <w:rPr>
                <w:b/>
                <w:sz w:val="12"/>
              </w:rPr>
              <w:t>Variable</w:t>
            </w:r>
          </w:p>
        </w:tc>
        <w:tc>
          <w:tcPr>
            <w:tcW w:w="1411" w:type="dxa"/>
            <w:vMerge w:val="restart"/>
            <w:shd w:val="clear" w:color="auto" w:fill="F9BF8E"/>
          </w:tcPr>
          <w:p>
            <w:pPr>
              <w:pStyle w:val="TableParagraph"/>
              <w:spacing w:before="79"/>
              <w:ind w:left="112" w:right="111"/>
              <w:jc w:val="center"/>
              <w:rPr>
                <w:b/>
                <w:sz w:val="12"/>
              </w:rPr>
            </w:pPr>
            <w:r>
              <w:rPr>
                <w:b/>
                <w:sz w:val="12"/>
              </w:rPr>
              <w:t>Total</w:t>
            </w:r>
          </w:p>
        </w:tc>
      </w:tr>
      <w:tr>
        <w:trPr>
          <w:trHeight w:val="247" w:hRule="exact"/>
        </w:trPr>
        <w:tc>
          <w:tcPr>
            <w:tcW w:w="3240" w:type="dxa"/>
            <w:tcBorders>
              <w:top w:val="single" w:sz="2" w:space="0" w:color="FFFFFF"/>
            </w:tcBorders>
            <w:shd w:val="clear" w:color="auto" w:fill="F9BF8E"/>
          </w:tcPr>
          <w:p>
            <w:pPr/>
          </w:p>
        </w:tc>
        <w:tc>
          <w:tcPr>
            <w:tcW w:w="1274" w:type="dxa"/>
            <w:vMerge/>
            <w:shd w:val="clear" w:color="auto" w:fill="F9BF8E"/>
          </w:tcPr>
          <w:p>
            <w:pPr/>
          </w:p>
        </w:tc>
        <w:tc>
          <w:tcPr>
            <w:tcW w:w="1274" w:type="dxa"/>
            <w:vMerge/>
            <w:shd w:val="clear" w:color="auto" w:fill="F9BF8E"/>
          </w:tcPr>
          <w:p>
            <w:pPr/>
          </w:p>
        </w:tc>
        <w:tc>
          <w:tcPr>
            <w:tcW w:w="1411" w:type="dxa"/>
            <w:vMerge/>
            <w:shd w:val="clear" w:color="auto" w:fill="F9BF8E"/>
          </w:tcPr>
          <w:p>
            <w:pPr/>
          </w:p>
        </w:tc>
      </w:tr>
      <w:tr>
        <w:trPr>
          <w:trHeight w:val="321" w:hRule="exact"/>
        </w:trPr>
        <w:tc>
          <w:tcPr>
            <w:tcW w:w="3240" w:type="dxa"/>
          </w:tcPr>
          <w:p>
            <w:pPr>
              <w:pStyle w:val="TableParagraph"/>
              <w:spacing w:before="83"/>
              <w:ind w:left="62" w:right="92"/>
              <w:rPr>
                <w:sz w:val="12"/>
              </w:rPr>
            </w:pPr>
            <w:r>
              <w:rPr>
                <w:sz w:val="12"/>
              </w:rPr>
              <w:t>Reducción quirúrgica de Fractura de Tibia y Peroné</w:t>
            </w:r>
          </w:p>
        </w:tc>
        <w:tc>
          <w:tcPr>
            <w:tcW w:w="1274" w:type="dxa"/>
          </w:tcPr>
          <w:p>
            <w:pPr>
              <w:pStyle w:val="TableParagraph"/>
              <w:spacing w:before="83"/>
              <w:ind w:right="326"/>
              <w:jc w:val="right"/>
              <w:rPr>
                <w:sz w:val="12"/>
              </w:rPr>
            </w:pPr>
            <w:r>
              <w:rPr>
                <w:sz w:val="12"/>
              </w:rPr>
              <w:t>$13,014.49</w:t>
            </w:r>
          </w:p>
        </w:tc>
        <w:tc>
          <w:tcPr>
            <w:tcW w:w="1274" w:type="dxa"/>
          </w:tcPr>
          <w:p>
            <w:pPr>
              <w:pStyle w:val="TableParagraph"/>
              <w:spacing w:before="83"/>
              <w:ind w:right="326"/>
              <w:jc w:val="right"/>
              <w:rPr>
                <w:sz w:val="12"/>
              </w:rPr>
            </w:pPr>
            <w:r>
              <w:rPr>
                <w:sz w:val="12"/>
              </w:rPr>
              <w:t>$10,079.29</w:t>
            </w:r>
          </w:p>
        </w:tc>
        <w:tc>
          <w:tcPr>
            <w:tcW w:w="1411" w:type="dxa"/>
          </w:tcPr>
          <w:p>
            <w:pPr>
              <w:pStyle w:val="TableParagraph"/>
              <w:spacing w:before="83"/>
              <w:ind w:left="398"/>
              <w:rPr>
                <w:sz w:val="12"/>
              </w:rPr>
            </w:pPr>
            <w:r>
              <w:rPr>
                <w:sz w:val="12"/>
              </w:rPr>
              <w:t>$23,093.78</w:t>
            </w:r>
          </w:p>
        </w:tc>
      </w:tr>
      <w:tr>
        <w:trPr>
          <w:trHeight w:val="322" w:hRule="exact"/>
        </w:trPr>
        <w:tc>
          <w:tcPr>
            <w:tcW w:w="3240" w:type="dxa"/>
          </w:tcPr>
          <w:p>
            <w:pPr>
              <w:pStyle w:val="TableParagraph"/>
              <w:spacing w:before="84"/>
              <w:ind w:left="62" w:right="92"/>
              <w:rPr>
                <w:sz w:val="12"/>
              </w:rPr>
            </w:pPr>
            <w:r>
              <w:rPr>
                <w:sz w:val="12"/>
              </w:rPr>
              <w:t>Reducción quirúrgica de Fractura de Húmero</w:t>
            </w:r>
          </w:p>
        </w:tc>
        <w:tc>
          <w:tcPr>
            <w:tcW w:w="1274" w:type="dxa"/>
          </w:tcPr>
          <w:p>
            <w:pPr>
              <w:pStyle w:val="TableParagraph"/>
              <w:spacing w:before="84"/>
              <w:ind w:right="359"/>
              <w:jc w:val="right"/>
              <w:rPr>
                <w:sz w:val="12"/>
              </w:rPr>
            </w:pPr>
            <w:r>
              <w:rPr>
                <w:sz w:val="12"/>
              </w:rPr>
              <w:t>$8,893.22</w:t>
            </w:r>
          </w:p>
        </w:tc>
        <w:tc>
          <w:tcPr>
            <w:tcW w:w="1274" w:type="dxa"/>
          </w:tcPr>
          <w:p>
            <w:pPr>
              <w:pStyle w:val="TableParagraph"/>
              <w:spacing w:before="84"/>
              <w:ind w:right="326"/>
              <w:jc w:val="right"/>
              <w:rPr>
                <w:sz w:val="12"/>
              </w:rPr>
            </w:pPr>
            <w:r>
              <w:rPr>
                <w:sz w:val="12"/>
              </w:rPr>
              <w:t>$10,935.20</w:t>
            </w:r>
          </w:p>
        </w:tc>
        <w:tc>
          <w:tcPr>
            <w:tcW w:w="1411" w:type="dxa"/>
          </w:tcPr>
          <w:p>
            <w:pPr>
              <w:pStyle w:val="TableParagraph"/>
              <w:spacing w:before="84"/>
              <w:ind w:left="398"/>
              <w:rPr>
                <w:sz w:val="12"/>
              </w:rPr>
            </w:pPr>
            <w:r>
              <w:rPr>
                <w:sz w:val="12"/>
              </w:rPr>
              <w:t>$19,828.42</w:t>
            </w:r>
          </w:p>
        </w:tc>
      </w:tr>
      <w:tr>
        <w:trPr>
          <w:trHeight w:val="319" w:hRule="exact"/>
        </w:trPr>
        <w:tc>
          <w:tcPr>
            <w:tcW w:w="3240" w:type="dxa"/>
          </w:tcPr>
          <w:p>
            <w:pPr>
              <w:pStyle w:val="TableParagraph"/>
              <w:spacing w:before="82"/>
              <w:ind w:left="62" w:right="92"/>
              <w:rPr>
                <w:sz w:val="12"/>
              </w:rPr>
            </w:pPr>
            <w:r>
              <w:rPr>
                <w:sz w:val="12"/>
              </w:rPr>
              <w:t>Reducción quirúrgica de Fractura de Tobillo y Pie</w:t>
            </w:r>
          </w:p>
        </w:tc>
        <w:tc>
          <w:tcPr>
            <w:tcW w:w="1274" w:type="dxa"/>
          </w:tcPr>
          <w:p>
            <w:pPr>
              <w:pStyle w:val="TableParagraph"/>
              <w:spacing w:before="82"/>
              <w:ind w:right="326"/>
              <w:jc w:val="right"/>
              <w:rPr>
                <w:sz w:val="12"/>
              </w:rPr>
            </w:pPr>
            <w:r>
              <w:rPr>
                <w:sz w:val="12"/>
              </w:rPr>
              <w:t>$12,767.25</w:t>
            </w:r>
          </w:p>
        </w:tc>
        <w:tc>
          <w:tcPr>
            <w:tcW w:w="1274" w:type="dxa"/>
          </w:tcPr>
          <w:p>
            <w:pPr>
              <w:pStyle w:val="TableParagraph"/>
              <w:spacing w:before="82"/>
              <w:ind w:right="359"/>
              <w:jc w:val="right"/>
              <w:rPr>
                <w:sz w:val="12"/>
              </w:rPr>
            </w:pPr>
            <w:r>
              <w:rPr>
                <w:sz w:val="12"/>
              </w:rPr>
              <w:t>$3,324.67</w:t>
            </w:r>
          </w:p>
        </w:tc>
        <w:tc>
          <w:tcPr>
            <w:tcW w:w="1411" w:type="dxa"/>
          </w:tcPr>
          <w:p>
            <w:pPr>
              <w:pStyle w:val="TableParagraph"/>
              <w:spacing w:before="82"/>
              <w:ind w:left="398"/>
              <w:rPr>
                <w:sz w:val="12"/>
              </w:rPr>
            </w:pPr>
            <w:r>
              <w:rPr>
                <w:sz w:val="12"/>
              </w:rPr>
              <w:t>$16,091.92</w:t>
            </w:r>
          </w:p>
        </w:tc>
      </w:tr>
      <w:tr>
        <w:trPr>
          <w:trHeight w:val="319" w:hRule="exact"/>
        </w:trPr>
        <w:tc>
          <w:tcPr>
            <w:tcW w:w="3240" w:type="dxa"/>
          </w:tcPr>
          <w:p>
            <w:pPr>
              <w:pStyle w:val="TableParagraph"/>
              <w:spacing w:before="82"/>
              <w:ind w:left="62" w:right="92"/>
              <w:rPr>
                <w:sz w:val="12"/>
              </w:rPr>
            </w:pPr>
            <w:r>
              <w:rPr>
                <w:sz w:val="12"/>
              </w:rPr>
              <w:t>Reducción quirúrgica de Fractura de Cúbito y Radio</w:t>
            </w:r>
          </w:p>
        </w:tc>
        <w:tc>
          <w:tcPr>
            <w:tcW w:w="1274" w:type="dxa"/>
          </w:tcPr>
          <w:p>
            <w:pPr>
              <w:pStyle w:val="TableParagraph"/>
              <w:spacing w:before="82"/>
              <w:ind w:right="326"/>
              <w:jc w:val="right"/>
              <w:rPr>
                <w:sz w:val="12"/>
              </w:rPr>
            </w:pPr>
            <w:r>
              <w:rPr>
                <w:sz w:val="12"/>
              </w:rPr>
              <w:t>$10,353.15</w:t>
            </w:r>
          </w:p>
        </w:tc>
        <w:tc>
          <w:tcPr>
            <w:tcW w:w="1274" w:type="dxa"/>
          </w:tcPr>
          <w:p>
            <w:pPr>
              <w:pStyle w:val="TableParagraph"/>
              <w:spacing w:before="82"/>
              <w:ind w:right="359"/>
              <w:jc w:val="right"/>
              <w:rPr>
                <w:sz w:val="12"/>
              </w:rPr>
            </w:pPr>
            <w:r>
              <w:rPr>
                <w:sz w:val="12"/>
              </w:rPr>
              <w:t>$4,712.12</w:t>
            </w:r>
          </w:p>
        </w:tc>
        <w:tc>
          <w:tcPr>
            <w:tcW w:w="1411" w:type="dxa"/>
          </w:tcPr>
          <w:p>
            <w:pPr>
              <w:pStyle w:val="TableParagraph"/>
              <w:spacing w:before="82"/>
              <w:ind w:left="398"/>
              <w:rPr>
                <w:sz w:val="12"/>
              </w:rPr>
            </w:pPr>
            <w:r>
              <w:rPr>
                <w:sz w:val="12"/>
              </w:rPr>
              <w:t>$15,065.28</w:t>
            </w:r>
          </w:p>
        </w:tc>
      </w:tr>
      <w:tr>
        <w:trPr>
          <w:trHeight w:val="322" w:hRule="exact"/>
        </w:trPr>
        <w:tc>
          <w:tcPr>
            <w:tcW w:w="3240" w:type="dxa"/>
          </w:tcPr>
          <w:p>
            <w:pPr>
              <w:pStyle w:val="TableParagraph"/>
              <w:spacing w:before="84"/>
              <w:ind w:left="62" w:right="92"/>
              <w:rPr>
                <w:sz w:val="12"/>
              </w:rPr>
            </w:pPr>
            <w:r>
              <w:rPr>
                <w:sz w:val="12"/>
              </w:rPr>
              <w:t>Reducción quirúrgica de Fractura de Mano</w:t>
            </w:r>
          </w:p>
        </w:tc>
        <w:tc>
          <w:tcPr>
            <w:tcW w:w="1274" w:type="dxa"/>
          </w:tcPr>
          <w:p>
            <w:pPr>
              <w:pStyle w:val="TableParagraph"/>
              <w:spacing w:before="84"/>
              <w:ind w:right="359"/>
              <w:jc w:val="right"/>
              <w:rPr>
                <w:sz w:val="12"/>
              </w:rPr>
            </w:pPr>
            <w:r>
              <w:rPr>
                <w:sz w:val="12"/>
              </w:rPr>
              <w:t>$8,726.75</w:t>
            </w:r>
          </w:p>
        </w:tc>
        <w:tc>
          <w:tcPr>
            <w:tcW w:w="1274" w:type="dxa"/>
          </w:tcPr>
          <w:p>
            <w:pPr>
              <w:pStyle w:val="TableParagraph"/>
              <w:spacing w:before="84"/>
              <w:ind w:right="359"/>
              <w:jc w:val="right"/>
              <w:rPr>
                <w:sz w:val="12"/>
              </w:rPr>
            </w:pPr>
            <w:r>
              <w:rPr>
                <w:sz w:val="12"/>
              </w:rPr>
              <w:t>$6,187.37</w:t>
            </w:r>
          </w:p>
        </w:tc>
        <w:tc>
          <w:tcPr>
            <w:tcW w:w="1411" w:type="dxa"/>
          </w:tcPr>
          <w:p>
            <w:pPr>
              <w:pStyle w:val="TableParagraph"/>
              <w:spacing w:before="84"/>
              <w:ind w:left="398"/>
              <w:rPr>
                <w:sz w:val="12"/>
              </w:rPr>
            </w:pPr>
            <w:r>
              <w:rPr>
                <w:sz w:val="12"/>
              </w:rPr>
              <w:t>$14,914.12</w:t>
            </w:r>
          </w:p>
        </w:tc>
      </w:tr>
      <w:tr>
        <w:trPr>
          <w:trHeight w:val="319" w:hRule="exact"/>
        </w:trPr>
        <w:tc>
          <w:tcPr>
            <w:tcW w:w="3240" w:type="dxa"/>
          </w:tcPr>
          <w:p>
            <w:pPr>
              <w:pStyle w:val="TableParagraph"/>
              <w:spacing w:before="82"/>
              <w:ind w:left="62" w:right="92"/>
              <w:rPr>
                <w:sz w:val="12"/>
              </w:rPr>
            </w:pPr>
            <w:r>
              <w:rPr>
                <w:sz w:val="12"/>
              </w:rPr>
              <w:t>Reducción quirúrgica de Fractura de Fémur</w:t>
            </w:r>
          </w:p>
        </w:tc>
        <w:tc>
          <w:tcPr>
            <w:tcW w:w="1274" w:type="dxa"/>
          </w:tcPr>
          <w:p>
            <w:pPr>
              <w:pStyle w:val="TableParagraph"/>
              <w:spacing w:before="82"/>
              <w:ind w:right="326"/>
              <w:jc w:val="right"/>
              <w:rPr>
                <w:sz w:val="12"/>
              </w:rPr>
            </w:pPr>
            <w:r>
              <w:rPr>
                <w:sz w:val="12"/>
              </w:rPr>
              <w:t>$17,000.79</w:t>
            </w:r>
          </w:p>
        </w:tc>
        <w:tc>
          <w:tcPr>
            <w:tcW w:w="1274" w:type="dxa"/>
          </w:tcPr>
          <w:p>
            <w:pPr>
              <w:pStyle w:val="TableParagraph"/>
              <w:spacing w:before="82"/>
              <w:ind w:right="359"/>
              <w:jc w:val="right"/>
              <w:rPr>
                <w:sz w:val="12"/>
              </w:rPr>
            </w:pPr>
            <w:r>
              <w:rPr>
                <w:sz w:val="12"/>
              </w:rPr>
              <w:t>$8,376.65</w:t>
            </w:r>
          </w:p>
        </w:tc>
        <w:tc>
          <w:tcPr>
            <w:tcW w:w="1411" w:type="dxa"/>
          </w:tcPr>
          <w:p>
            <w:pPr>
              <w:pStyle w:val="TableParagraph"/>
              <w:spacing w:before="82"/>
              <w:ind w:left="398"/>
              <w:rPr>
                <w:sz w:val="12"/>
              </w:rPr>
            </w:pPr>
            <w:r>
              <w:rPr>
                <w:sz w:val="12"/>
              </w:rPr>
              <w:t>$14,914.12</w:t>
            </w:r>
          </w:p>
        </w:tc>
      </w:tr>
      <w:tr>
        <w:trPr>
          <w:trHeight w:val="319" w:hRule="exact"/>
        </w:trPr>
        <w:tc>
          <w:tcPr>
            <w:tcW w:w="3240" w:type="dxa"/>
          </w:tcPr>
          <w:p>
            <w:pPr>
              <w:pStyle w:val="TableParagraph"/>
              <w:spacing w:before="82"/>
              <w:ind w:left="62" w:right="92"/>
              <w:rPr>
                <w:sz w:val="12"/>
              </w:rPr>
            </w:pPr>
            <w:r>
              <w:rPr>
                <w:sz w:val="12"/>
              </w:rPr>
              <w:t>Terapia intensiva (costo por día)</w:t>
            </w:r>
          </w:p>
        </w:tc>
        <w:tc>
          <w:tcPr>
            <w:tcW w:w="1274" w:type="dxa"/>
          </w:tcPr>
          <w:p>
            <w:pPr>
              <w:pStyle w:val="TableParagraph"/>
              <w:spacing w:before="82"/>
              <w:ind w:right="359"/>
              <w:jc w:val="right"/>
              <w:rPr>
                <w:sz w:val="12"/>
              </w:rPr>
            </w:pPr>
            <w:r>
              <w:rPr>
                <w:sz w:val="12"/>
              </w:rPr>
              <w:t>$6,456.07</w:t>
            </w:r>
          </w:p>
        </w:tc>
        <w:tc>
          <w:tcPr>
            <w:tcW w:w="1274" w:type="dxa"/>
          </w:tcPr>
          <w:p>
            <w:pPr>
              <w:pStyle w:val="TableParagraph"/>
              <w:spacing w:before="82"/>
              <w:ind w:right="359"/>
              <w:jc w:val="right"/>
              <w:rPr>
                <w:sz w:val="12"/>
              </w:rPr>
            </w:pPr>
            <w:r>
              <w:rPr>
                <w:sz w:val="12"/>
              </w:rPr>
              <w:t>$6,665.89</w:t>
            </w:r>
          </w:p>
        </w:tc>
        <w:tc>
          <w:tcPr>
            <w:tcW w:w="1411" w:type="dxa"/>
          </w:tcPr>
          <w:p>
            <w:pPr>
              <w:pStyle w:val="TableParagraph"/>
              <w:spacing w:before="82"/>
              <w:ind w:left="398"/>
              <w:rPr>
                <w:sz w:val="12"/>
              </w:rPr>
            </w:pPr>
            <w:r>
              <w:rPr>
                <w:sz w:val="12"/>
              </w:rPr>
              <w:t>$13,121.96</w:t>
            </w:r>
          </w:p>
        </w:tc>
      </w:tr>
      <w:tr>
        <w:trPr>
          <w:trHeight w:val="322" w:hRule="exact"/>
        </w:trPr>
        <w:tc>
          <w:tcPr>
            <w:tcW w:w="3240" w:type="dxa"/>
          </w:tcPr>
          <w:p>
            <w:pPr>
              <w:pStyle w:val="TableParagraph"/>
              <w:spacing w:before="84"/>
              <w:ind w:left="62" w:right="92"/>
              <w:rPr>
                <w:sz w:val="12"/>
              </w:rPr>
            </w:pPr>
            <w:r>
              <w:rPr>
                <w:sz w:val="12"/>
              </w:rPr>
              <w:t>Reducción qurúrgica de Fractura de Clavícula</w:t>
            </w:r>
          </w:p>
        </w:tc>
        <w:tc>
          <w:tcPr>
            <w:tcW w:w="1274" w:type="dxa"/>
          </w:tcPr>
          <w:p>
            <w:pPr>
              <w:pStyle w:val="TableParagraph"/>
              <w:spacing w:before="84"/>
              <w:ind w:right="359"/>
              <w:jc w:val="right"/>
              <w:rPr>
                <w:sz w:val="12"/>
              </w:rPr>
            </w:pPr>
            <w:r>
              <w:rPr>
                <w:sz w:val="12"/>
              </w:rPr>
              <w:t>$5,938.89</w:t>
            </w:r>
          </w:p>
        </w:tc>
        <w:tc>
          <w:tcPr>
            <w:tcW w:w="1274" w:type="dxa"/>
          </w:tcPr>
          <w:p>
            <w:pPr>
              <w:pStyle w:val="TableParagraph"/>
              <w:spacing w:before="84"/>
              <w:ind w:right="359"/>
              <w:jc w:val="right"/>
              <w:rPr>
                <w:sz w:val="12"/>
              </w:rPr>
            </w:pPr>
            <w:r>
              <w:rPr>
                <w:sz w:val="12"/>
              </w:rPr>
              <w:t>$2,555.53</w:t>
            </w:r>
          </w:p>
        </w:tc>
        <w:tc>
          <w:tcPr>
            <w:tcW w:w="1411" w:type="dxa"/>
          </w:tcPr>
          <w:p>
            <w:pPr>
              <w:pStyle w:val="TableParagraph"/>
              <w:spacing w:before="84"/>
              <w:ind w:left="432"/>
              <w:rPr>
                <w:sz w:val="12"/>
              </w:rPr>
            </w:pPr>
            <w:r>
              <w:rPr>
                <w:sz w:val="12"/>
              </w:rPr>
              <w:t>$8,494.42</w:t>
            </w:r>
          </w:p>
        </w:tc>
      </w:tr>
      <w:tr>
        <w:trPr>
          <w:trHeight w:val="319" w:hRule="exact"/>
        </w:trPr>
        <w:tc>
          <w:tcPr>
            <w:tcW w:w="3240" w:type="dxa"/>
          </w:tcPr>
          <w:p>
            <w:pPr>
              <w:pStyle w:val="TableParagraph"/>
              <w:spacing w:before="82"/>
              <w:ind w:left="62" w:right="92"/>
              <w:rPr>
                <w:sz w:val="12"/>
              </w:rPr>
            </w:pPr>
            <w:r>
              <w:rPr>
                <w:sz w:val="12"/>
              </w:rPr>
              <w:t>Reducción qurúrgica por Luxaciones</w:t>
            </w:r>
          </w:p>
        </w:tc>
        <w:tc>
          <w:tcPr>
            <w:tcW w:w="1274" w:type="dxa"/>
          </w:tcPr>
          <w:p>
            <w:pPr>
              <w:pStyle w:val="TableParagraph"/>
              <w:spacing w:before="82"/>
              <w:ind w:right="359"/>
              <w:jc w:val="right"/>
              <w:rPr>
                <w:sz w:val="12"/>
              </w:rPr>
            </w:pPr>
            <w:r>
              <w:rPr>
                <w:sz w:val="12"/>
              </w:rPr>
              <w:t>$3,434.62</w:t>
            </w:r>
          </w:p>
        </w:tc>
        <w:tc>
          <w:tcPr>
            <w:tcW w:w="1274" w:type="dxa"/>
          </w:tcPr>
          <w:p>
            <w:pPr>
              <w:pStyle w:val="TableParagraph"/>
              <w:spacing w:before="82"/>
              <w:ind w:right="359"/>
              <w:jc w:val="right"/>
              <w:rPr>
                <w:sz w:val="12"/>
              </w:rPr>
            </w:pPr>
            <w:r>
              <w:rPr>
                <w:sz w:val="12"/>
              </w:rPr>
              <w:t>$2,082.91</w:t>
            </w:r>
          </w:p>
        </w:tc>
        <w:tc>
          <w:tcPr>
            <w:tcW w:w="1411" w:type="dxa"/>
          </w:tcPr>
          <w:p>
            <w:pPr>
              <w:pStyle w:val="TableParagraph"/>
              <w:spacing w:before="82"/>
              <w:ind w:left="432"/>
              <w:rPr>
                <w:sz w:val="12"/>
              </w:rPr>
            </w:pPr>
            <w:r>
              <w:rPr>
                <w:sz w:val="12"/>
              </w:rPr>
              <w:t>$5,517.53</w:t>
            </w:r>
          </w:p>
        </w:tc>
      </w:tr>
      <w:tr>
        <w:trPr>
          <w:trHeight w:val="319" w:hRule="exact"/>
        </w:trPr>
        <w:tc>
          <w:tcPr>
            <w:tcW w:w="3240" w:type="dxa"/>
          </w:tcPr>
          <w:p>
            <w:pPr>
              <w:pStyle w:val="TableParagraph"/>
              <w:spacing w:before="82"/>
              <w:ind w:left="62" w:right="92"/>
              <w:rPr>
                <w:sz w:val="12"/>
              </w:rPr>
            </w:pPr>
            <w:r>
              <w:rPr>
                <w:sz w:val="12"/>
              </w:rPr>
              <w:t>Estabilización de urgencias</w:t>
            </w:r>
          </w:p>
        </w:tc>
        <w:tc>
          <w:tcPr>
            <w:tcW w:w="1274" w:type="dxa"/>
          </w:tcPr>
          <w:p>
            <w:pPr>
              <w:pStyle w:val="TableParagraph"/>
              <w:spacing w:before="82"/>
              <w:ind w:right="409"/>
              <w:jc w:val="right"/>
              <w:rPr>
                <w:sz w:val="12"/>
              </w:rPr>
            </w:pPr>
            <w:r>
              <w:rPr>
                <w:sz w:val="12"/>
              </w:rPr>
              <w:t>$501.22</w:t>
            </w:r>
          </w:p>
        </w:tc>
        <w:tc>
          <w:tcPr>
            <w:tcW w:w="1274" w:type="dxa"/>
          </w:tcPr>
          <w:p>
            <w:pPr>
              <w:pStyle w:val="TableParagraph"/>
              <w:spacing w:before="82"/>
              <w:ind w:right="359"/>
              <w:jc w:val="right"/>
              <w:rPr>
                <w:sz w:val="12"/>
              </w:rPr>
            </w:pPr>
            <w:r>
              <w:rPr>
                <w:sz w:val="12"/>
              </w:rPr>
              <w:t>$1,855.78</w:t>
            </w:r>
          </w:p>
        </w:tc>
        <w:tc>
          <w:tcPr>
            <w:tcW w:w="1411" w:type="dxa"/>
          </w:tcPr>
          <w:p>
            <w:pPr>
              <w:pStyle w:val="TableParagraph"/>
              <w:spacing w:before="82"/>
              <w:ind w:left="432"/>
              <w:rPr>
                <w:sz w:val="12"/>
              </w:rPr>
            </w:pPr>
            <w:r>
              <w:rPr>
                <w:sz w:val="12"/>
              </w:rPr>
              <w:t>$2,357.00</w:t>
            </w:r>
          </w:p>
        </w:tc>
      </w:tr>
      <w:tr>
        <w:trPr>
          <w:trHeight w:val="322" w:hRule="exact"/>
        </w:trPr>
        <w:tc>
          <w:tcPr>
            <w:tcW w:w="3240" w:type="dxa"/>
          </w:tcPr>
          <w:p>
            <w:pPr>
              <w:pStyle w:val="TableParagraph"/>
              <w:spacing w:before="84"/>
              <w:ind w:left="62" w:right="92"/>
              <w:rPr>
                <w:sz w:val="12"/>
              </w:rPr>
            </w:pPr>
            <w:r>
              <w:rPr>
                <w:sz w:val="12"/>
              </w:rPr>
              <w:t>Diagnóstico y tratamiento de Esguince de Codo</w:t>
            </w:r>
          </w:p>
        </w:tc>
        <w:tc>
          <w:tcPr>
            <w:tcW w:w="1274" w:type="dxa"/>
          </w:tcPr>
          <w:p>
            <w:pPr>
              <w:pStyle w:val="TableParagraph"/>
              <w:spacing w:before="84"/>
              <w:ind w:right="359"/>
              <w:jc w:val="right"/>
              <w:rPr>
                <w:sz w:val="12"/>
              </w:rPr>
            </w:pPr>
            <w:r>
              <w:rPr>
                <w:sz w:val="12"/>
              </w:rPr>
              <w:t>$1,601.26</w:t>
            </w:r>
          </w:p>
        </w:tc>
        <w:tc>
          <w:tcPr>
            <w:tcW w:w="1274" w:type="dxa"/>
          </w:tcPr>
          <w:p>
            <w:pPr>
              <w:pStyle w:val="TableParagraph"/>
              <w:spacing w:before="84"/>
              <w:ind w:right="409"/>
              <w:jc w:val="right"/>
              <w:rPr>
                <w:sz w:val="12"/>
              </w:rPr>
            </w:pPr>
            <w:r>
              <w:rPr>
                <w:sz w:val="12"/>
              </w:rPr>
              <w:t>$741.02</w:t>
            </w:r>
          </w:p>
        </w:tc>
        <w:tc>
          <w:tcPr>
            <w:tcW w:w="1411" w:type="dxa"/>
          </w:tcPr>
          <w:p>
            <w:pPr>
              <w:pStyle w:val="TableParagraph"/>
              <w:spacing w:before="84"/>
              <w:ind w:left="432"/>
              <w:rPr>
                <w:sz w:val="12"/>
              </w:rPr>
            </w:pPr>
            <w:r>
              <w:rPr>
                <w:sz w:val="12"/>
              </w:rPr>
              <w:t>$2,342.28</w:t>
            </w:r>
          </w:p>
        </w:tc>
      </w:tr>
      <w:tr>
        <w:trPr>
          <w:trHeight w:val="319" w:hRule="exact"/>
        </w:trPr>
        <w:tc>
          <w:tcPr>
            <w:tcW w:w="3240" w:type="dxa"/>
          </w:tcPr>
          <w:p>
            <w:pPr>
              <w:pStyle w:val="TableParagraph"/>
              <w:spacing w:before="82"/>
              <w:ind w:left="62" w:right="92"/>
              <w:rPr>
                <w:sz w:val="12"/>
              </w:rPr>
            </w:pPr>
            <w:r>
              <w:rPr>
                <w:sz w:val="12"/>
              </w:rPr>
              <w:t>Diagnóstico y tratamiento de Esguince de Tobillo y Pie</w:t>
            </w:r>
          </w:p>
        </w:tc>
        <w:tc>
          <w:tcPr>
            <w:tcW w:w="1274" w:type="dxa"/>
          </w:tcPr>
          <w:p>
            <w:pPr>
              <w:pStyle w:val="TableParagraph"/>
              <w:spacing w:before="82"/>
              <w:ind w:right="359"/>
              <w:jc w:val="right"/>
              <w:rPr>
                <w:sz w:val="12"/>
              </w:rPr>
            </w:pPr>
            <w:r>
              <w:rPr>
                <w:sz w:val="12"/>
              </w:rPr>
              <w:t>$1,726.57</w:t>
            </w:r>
          </w:p>
        </w:tc>
        <w:tc>
          <w:tcPr>
            <w:tcW w:w="1274" w:type="dxa"/>
          </w:tcPr>
          <w:p>
            <w:pPr>
              <w:pStyle w:val="TableParagraph"/>
              <w:spacing w:before="82"/>
              <w:ind w:right="409"/>
              <w:jc w:val="right"/>
              <w:rPr>
                <w:sz w:val="12"/>
              </w:rPr>
            </w:pPr>
            <w:r>
              <w:rPr>
                <w:sz w:val="12"/>
              </w:rPr>
              <w:t>$579.93</w:t>
            </w:r>
          </w:p>
        </w:tc>
        <w:tc>
          <w:tcPr>
            <w:tcW w:w="1411" w:type="dxa"/>
          </w:tcPr>
          <w:p>
            <w:pPr>
              <w:pStyle w:val="TableParagraph"/>
              <w:spacing w:before="82"/>
              <w:ind w:left="432"/>
              <w:rPr>
                <w:sz w:val="12"/>
              </w:rPr>
            </w:pPr>
            <w:r>
              <w:rPr>
                <w:sz w:val="12"/>
              </w:rPr>
              <w:t>$2,306.50</w:t>
            </w:r>
          </w:p>
        </w:tc>
      </w:tr>
      <w:tr>
        <w:trPr>
          <w:trHeight w:val="319" w:hRule="exact"/>
        </w:trPr>
        <w:tc>
          <w:tcPr>
            <w:tcW w:w="3240" w:type="dxa"/>
          </w:tcPr>
          <w:p>
            <w:pPr>
              <w:pStyle w:val="TableParagraph"/>
              <w:spacing w:before="82"/>
              <w:ind w:left="62" w:right="92"/>
              <w:rPr>
                <w:sz w:val="12"/>
              </w:rPr>
            </w:pPr>
            <w:r>
              <w:rPr>
                <w:sz w:val="12"/>
              </w:rPr>
              <w:t>Diagnóstico y tratamiento de Esguince de Hombro</w:t>
            </w:r>
          </w:p>
        </w:tc>
        <w:tc>
          <w:tcPr>
            <w:tcW w:w="1274" w:type="dxa"/>
          </w:tcPr>
          <w:p>
            <w:pPr>
              <w:pStyle w:val="TableParagraph"/>
              <w:spacing w:before="82"/>
              <w:ind w:right="359"/>
              <w:jc w:val="right"/>
              <w:rPr>
                <w:sz w:val="12"/>
              </w:rPr>
            </w:pPr>
            <w:r>
              <w:rPr>
                <w:sz w:val="12"/>
              </w:rPr>
              <w:t>$1,288.05</w:t>
            </w:r>
          </w:p>
        </w:tc>
        <w:tc>
          <w:tcPr>
            <w:tcW w:w="1274" w:type="dxa"/>
          </w:tcPr>
          <w:p>
            <w:pPr>
              <w:pStyle w:val="TableParagraph"/>
              <w:spacing w:before="82"/>
              <w:ind w:right="409"/>
              <w:jc w:val="right"/>
              <w:rPr>
                <w:sz w:val="12"/>
              </w:rPr>
            </w:pPr>
            <w:r>
              <w:rPr>
                <w:sz w:val="12"/>
              </w:rPr>
              <w:t>$634.98</w:t>
            </w:r>
          </w:p>
        </w:tc>
        <w:tc>
          <w:tcPr>
            <w:tcW w:w="1411" w:type="dxa"/>
          </w:tcPr>
          <w:p>
            <w:pPr>
              <w:pStyle w:val="TableParagraph"/>
              <w:spacing w:before="82"/>
              <w:ind w:left="432"/>
              <w:rPr>
                <w:sz w:val="12"/>
              </w:rPr>
            </w:pPr>
            <w:r>
              <w:rPr>
                <w:sz w:val="12"/>
              </w:rPr>
              <w:t>$1,923.03</w:t>
            </w:r>
          </w:p>
        </w:tc>
      </w:tr>
      <w:tr>
        <w:trPr>
          <w:trHeight w:val="322" w:hRule="exact"/>
        </w:trPr>
        <w:tc>
          <w:tcPr>
            <w:tcW w:w="3240" w:type="dxa"/>
          </w:tcPr>
          <w:p>
            <w:pPr>
              <w:pStyle w:val="TableParagraph"/>
              <w:spacing w:before="84"/>
              <w:ind w:left="62" w:right="92"/>
              <w:rPr>
                <w:sz w:val="12"/>
              </w:rPr>
            </w:pPr>
            <w:r>
              <w:rPr>
                <w:sz w:val="12"/>
              </w:rPr>
              <w:t>Diagnóstico y tratamiento de Esguince de la Rodilla</w:t>
            </w:r>
          </w:p>
        </w:tc>
        <w:tc>
          <w:tcPr>
            <w:tcW w:w="1274" w:type="dxa"/>
          </w:tcPr>
          <w:p>
            <w:pPr>
              <w:pStyle w:val="TableParagraph"/>
              <w:spacing w:before="84"/>
              <w:ind w:right="409"/>
              <w:jc w:val="right"/>
              <w:rPr>
                <w:sz w:val="12"/>
              </w:rPr>
            </w:pPr>
            <w:r>
              <w:rPr>
                <w:sz w:val="12"/>
              </w:rPr>
              <w:t>$995.71</w:t>
            </w:r>
          </w:p>
        </w:tc>
        <w:tc>
          <w:tcPr>
            <w:tcW w:w="1274" w:type="dxa"/>
          </w:tcPr>
          <w:p>
            <w:pPr>
              <w:pStyle w:val="TableParagraph"/>
              <w:spacing w:before="84"/>
              <w:ind w:right="409"/>
              <w:jc w:val="right"/>
              <w:rPr>
                <w:sz w:val="12"/>
              </w:rPr>
            </w:pPr>
            <w:r>
              <w:rPr>
                <w:sz w:val="12"/>
              </w:rPr>
              <w:t>$649.64</w:t>
            </w:r>
          </w:p>
        </w:tc>
        <w:tc>
          <w:tcPr>
            <w:tcW w:w="1411" w:type="dxa"/>
          </w:tcPr>
          <w:p>
            <w:pPr>
              <w:pStyle w:val="TableParagraph"/>
              <w:spacing w:before="84"/>
              <w:ind w:left="432"/>
              <w:rPr>
                <w:sz w:val="12"/>
              </w:rPr>
            </w:pPr>
            <w:r>
              <w:rPr>
                <w:sz w:val="12"/>
              </w:rPr>
              <w:t>$1,645.34</w:t>
            </w:r>
          </w:p>
        </w:tc>
      </w:tr>
      <w:tr>
        <w:trPr>
          <w:trHeight w:val="319" w:hRule="exact"/>
        </w:trPr>
        <w:tc>
          <w:tcPr>
            <w:tcW w:w="3240" w:type="dxa"/>
          </w:tcPr>
          <w:p>
            <w:pPr>
              <w:pStyle w:val="TableParagraph"/>
              <w:spacing w:before="82"/>
              <w:ind w:left="62" w:right="92"/>
              <w:rPr>
                <w:sz w:val="12"/>
              </w:rPr>
            </w:pPr>
            <w:r>
              <w:rPr>
                <w:sz w:val="12"/>
              </w:rPr>
              <w:t>Diagnóstico y tratamiento de Esguince Cervical</w:t>
            </w:r>
          </w:p>
        </w:tc>
        <w:tc>
          <w:tcPr>
            <w:tcW w:w="1274" w:type="dxa"/>
          </w:tcPr>
          <w:p>
            <w:pPr>
              <w:pStyle w:val="TableParagraph"/>
              <w:spacing w:before="82"/>
              <w:ind w:right="409"/>
              <w:jc w:val="right"/>
              <w:rPr>
                <w:sz w:val="12"/>
              </w:rPr>
            </w:pPr>
            <w:r>
              <w:rPr>
                <w:sz w:val="12"/>
              </w:rPr>
              <w:t>$891.27</w:t>
            </w:r>
          </w:p>
        </w:tc>
        <w:tc>
          <w:tcPr>
            <w:tcW w:w="1274" w:type="dxa"/>
          </w:tcPr>
          <w:p>
            <w:pPr>
              <w:pStyle w:val="TableParagraph"/>
              <w:spacing w:before="82"/>
              <w:ind w:right="409"/>
              <w:jc w:val="right"/>
              <w:rPr>
                <w:sz w:val="12"/>
              </w:rPr>
            </w:pPr>
            <w:r>
              <w:rPr>
                <w:sz w:val="12"/>
              </w:rPr>
              <w:t>$739.61</w:t>
            </w:r>
          </w:p>
        </w:tc>
        <w:tc>
          <w:tcPr>
            <w:tcW w:w="1411" w:type="dxa"/>
          </w:tcPr>
          <w:p>
            <w:pPr>
              <w:pStyle w:val="TableParagraph"/>
              <w:spacing w:before="82"/>
              <w:ind w:left="432"/>
              <w:rPr>
                <w:sz w:val="12"/>
              </w:rPr>
            </w:pPr>
            <w:r>
              <w:rPr>
                <w:sz w:val="12"/>
              </w:rPr>
              <w:t>$1,630.88</w:t>
            </w:r>
          </w:p>
        </w:tc>
      </w:tr>
      <w:tr>
        <w:trPr>
          <w:trHeight w:val="365" w:hRule="exact"/>
        </w:trPr>
        <w:tc>
          <w:tcPr>
            <w:tcW w:w="3240" w:type="dxa"/>
          </w:tcPr>
          <w:p>
            <w:pPr>
              <w:pStyle w:val="TableParagraph"/>
              <w:spacing w:before="36"/>
              <w:ind w:left="62" w:right="92"/>
              <w:rPr>
                <w:sz w:val="12"/>
              </w:rPr>
            </w:pPr>
            <w:r>
              <w:rPr>
                <w:sz w:val="12"/>
              </w:rPr>
              <w:t>Diagnóstico y tratamiento de Esguince de Muñeca y  Mano</w:t>
            </w:r>
          </w:p>
        </w:tc>
        <w:tc>
          <w:tcPr>
            <w:tcW w:w="1274" w:type="dxa"/>
          </w:tcPr>
          <w:p>
            <w:pPr>
              <w:pStyle w:val="TableParagraph"/>
              <w:spacing w:before="106"/>
              <w:ind w:right="359"/>
              <w:jc w:val="right"/>
              <w:rPr>
                <w:sz w:val="12"/>
              </w:rPr>
            </w:pPr>
            <w:r>
              <w:rPr>
                <w:sz w:val="12"/>
              </w:rPr>
              <w:t>$1,111.29</w:t>
            </w:r>
          </w:p>
        </w:tc>
        <w:tc>
          <w:tcPr>
            <w:tcW w:w="1274" w:type="dxa"/>
          </w:tcPr>
          <w:p>
            <w:pPr>
              <w:pStyle w:val="TableParagraph"/>
              <w:spacing w:before="106"/>
              <w:ind w:right="409"/>
              <w:jc w:val="right"/>
              <w:rPr>
                <w:sz w:val="12"/>
              </w:rPr>
            </w:pPr>
            <w:r>
              <w:rPr>
                <w:sz w:val="12"/>
              </w:rPr>
              <w:t>$519.14</w:t>
            </w:r>
          </w:p>
        </w:tc>
        <w:tc>
          <w:tcPr>
            <w:tcW w:w="1411" w:type="dxa"/>
          </w:tcPr>
          <w:p>
            <w:pPr>
              <w:pStyle w:val="TableParagraph"/>
              <w:spacing w:before="106"/>
              <w:ind w:left="432"/>
              <w:rPr>
                <w:sz w:val="12"/>
              </w:rPr>
            </w:pPr>
            <w:r>
              <w:rPr>
                <w:sz w:val="12"/>
              </w:rPr>
              <w:t>$1,630.43</w:t>
            </w:r>
          </w:p>
        </w:tc>
      </w:tr>
      <w:tr>
        <w:trPr>
          <w:trHeight w:val="319" w:hRule="exact"/>
        </w:trPr>
        <w:tc>
          <w:tcPr>
            <w:tcW w:w="3240" w:type="dxa"/>
          </w:tcPr>
          <w:p>
            <w:pPr>
              <w:pStyle w:val="TableParagraph"/>
              <w:spacing w:before="82"/>
              <w:ind w:left="62" w:right="92"/>
              <w:rPr>
                <w:sz w:val="12"/>
              </w:rPr>
            </w:pPr>
            <w:r>
              <w:rPr>
                <w:sz w:val="12"/>
              </w:rPr>
              <w:t>Estabilización por crisis hipertensiva</w:t>
            </w:r>
          </w:p>
        </w:tc>
        <w:tc>
          <w:tcPr>
            <w:tcW w:w="1274" w:type="dxa"/>
          </w:tcPr>
          <w:p>
            <w:pPr>
              <w:pStyle w:val="TableParagraph"/>
              <w:spacing w:before="82"/>
              <w:ind w:right="409"/>
              <w:jc w:val="right"/>
              <w:rPr>
                <w:sz w:val="12"/>
              </w:rPr>
            </w:pPr>
            <w:r>
              <w:rPr>
                <w:sz w:val="12"/>
              </w:rPr>
              <w:t>$626.53</w:t>
            </w:r>
          </w:p>
        </w:tc>
        <w:tc>
          <w:tcPr>
            <w:tcW w:w="1274" w:type="dxa"/>
          </w:tcPr>
          <w:p>
            <w:pPr>
              <w:pStyle w:val="TableParagraph"/>
              <w:spacing w:before="82"/>
              <w:ind w:right="409"/>
              <w:jc w:val="right"/>
              <w:rPr>
                <w:sz w:val="12"/>
              </w:rPr>
            </w:pPr>
            <w:r>
              <w:rPr>
                <w:sz w:val="12"/>
              </w:rPr>
              <w:t>$638.74</w:t>
            </w:r>
          </w:p>
        </w:tc>
        <w:tc>
          <w:tcPr>
            <w:tcW w:w="1411" w:type="dxa"/>
          </w:tcPr>
          <w:p>
            <w:pPr>
              <w:pStyle w:val="TableParagraph"/>
              <w:spacing w:before="82"/>
              <w:ind w:left="432"/>
              <w:rPr>
                <w:sz w:val="12"/>
              </w:rPr>
            </w:pPr>
            <w:r>
              <w:rPr>
                <w:sz w:val="12"/>
              </w:rPr>
              <w:t>$1,265.27</w:t>
            </w:r>
          </w:p>
        </w:tc>
      </w:tr>
      <w:tr>
        <w:trPr>
          <w:trHeight w:val="322" w:hRule="exact"/>
        </w:trPr>
        <w:tc>
          <w:tcPr>
            <w:tcW w:w="3240" w:type="dxa"/>
          </w:tcPr>
          <w:p>
            <w:pPr>
              <w:pStyle w:val="TableParagraph"/>
              <w:spacing w:before="84"/>
              <w:ind w:left="62" w:right="92"/>
              <w:rPr>
                <w:sz w:val="12"/>
              </w:rPr>
            </w:pPr>
            <w:r>
              <w:rPr>
                <w:sz w:val="12"/>
              </w:rPr>
              <w:t>Extracción de cuerpos extraños</w:t>
            </w:r>
          </w:p>
        </w:tc>
        <w:tc>
          <w:tcPr>
            <w:tcW w:w="1274" w:type="dxa"/>
          </w:tcPr>
          <w:p>
            <w:pPr>
              <w:pStyle w:val="TableParagraph"/>
              <w:spacing w:before="84"/>
              <w:ind w:right="409"/>
              <w:jc w:val="right"/>
              <w:rPr>
                <w:sz w:val="12"/>
              </w:rPr>
            </w:pPr>
            <w:r>
              <w:rPr>
                <w:sz w:val="12"/>
              </w:rPr>
              <w:t>$493.47</w:t>
            </w:r>
          </w:p>
        </w:tc>
        <w:tc>
          <w:tcPr>
            <w:tcW w:w="1274" w:type="dxa"/>
          </w:tcPr>
          <w:p>
            <w:pPr>
              <w:pStyle w:val="TableParagraph"/>
              <w:spacing w:before="84"/>
              <w:ind w:right="409"/>
              <w:jc w:val="right"/>
              <w:rPr>
                <w:sz w:val="12"/>
              </w:rPr>
            </w:pPr>
            <w:r>
              <w:rPr>
                <w:sz w:val="12"/>
              </w:rPr>
              <w:t>$515.53</w:t>
            </w:r>
          </w:p>
        </w:tc>
        <w:tc>
          <w:tcPr>
            <w:tcW w:w="1411" w:type="dxa"/>
          </w:tcPr>
          <w:p>
            <w:pPr>
              <w:pStyle w:val="TableParagraph"/>
              <w:spacing w:before="84"/>
              <w:ind w:left="432"/>
              <w:rPr>
                <w:sz w:val="12"/>
              </w:rPr>
            </w:pPr>
            <w:r>
              <w:rPr>
                <w:sz w:val="12"/>
              </w:rPr>
              <w:t>$1,009.00</w:t>
            </w:r>
          </w:p>
        </w:tc>
      </w:tr>
      <w:tr>
        <w:trPr>
          <w:trHeight w:val="365" w:hRule="exact"/>
        </w:trPr>
        <w:tc>
          <w:tcPr>
            <w:tcW w:w="3240" w:type="dxa"/>
          </w:tcPr>
          <w:p>
            <w:pPr>
              <w:pStyle w:val="TableParagraph"/>
              <w:spacing w:before="36"/>
              <w:ind w:left="62" w:right="92"/>
              <w:rPr>
                <w:sz w:val="12"/>
              </w:rPr>
            </w:pPr>
            <w:r>
              <w:rPr>
                <w:sz w:val="12"/>
              </w:rPr>
              <w:t>Diagnóstico y tratamiento de Intoxicación Aguda Alimentaria</w:t>
            </w:r>
          </w:p>
        </w:tc>
        <w:tc>
          <w:tcPr>
            <w:tcW w:w="1274" w:type="dxa"/>
          </w:tcPr>
          <w:p>
            <w:pPr>
              <w:pStyle w:val="TableParagraph"/>
              <w:spacing w:before="103"/>
              <w:ind w:right="409"/>
              <w:jc w:val="right"/>
              <w:rPr>
                <w:sz w:val="12"/>
              </w:rPr>
            </w:pPr>
            <w:r>
              <w:rPr>
                <w:sz w:val="12"/>
              </w:rPr>
              <w:t>$626.53</w:t>
            </w:r>
          </w:p>
        </w:tc>
        <w:tc>
          <w:tcPr>
            <w:tcW w:w="1274" w:type="dxa"/>
          </w:tcPr>
          <w:p>
            <w:pPr>
              <w:pStyle w:val="TableParagraph"/>
              <w:spacing w:before="103"/>
              <w:ind w:right="409"/>
              <w:jc w:val="right"/>
              <w:rPr>
                <w:sz w:val="12"/>
              </w:rPr>
            </w:pPr>
            <w:r>
              <w:rPr>
                <w:sz w:val="12"/>
              </w:rPr>
              <w:t>$343.49</w:t>
            </w:r>
          </w:p>
        </w:tc>
        <w:tc>
          <w:tcPr>
            <w:tcW w:w="1411" w:type="dxa"/>
          </w:tcPr>
          <w:p>
            <w:pPr>
              <w:pStyle w:val="TableParagraph"/>
              <w:spacing w:before="103"/>
              <w:ind w:left="479"/>
              <w:rPr>
                <w:sz w:val="12"/>
              </w:rPr>
            </w:pPr>
            <w:r>
              <w:rPr>
                <w:sz w:val="12"/>
              </w:rPr>
              <w:t>$970.02</w:t>
            </w:r>
          </w:p>
        </w:tc>
      </w:tr>
      <w:tr>
        <w:trPr>
          <w:trHeight w:val="365" w:hRule="exact"/>
        </w:trPr>
        <w:tc>
          <w:tcPr>
            <w:tcW w:w="3240" w:type="dxa"/>
          </w:tcPr>
          <w:p>
            <w:pPr>
              <w:pStyle w:val="TableParagraph"/>
              <w:tabs>
                <w:tab w:pos="934" w:val="left" w:leader="none"/>
                <w:tab w:pos="1239" w:val="left" w:leader="none"/>
                <w:tab w:pos="2083" w:val="left" w:leader="none"/>
                <w:tab w:pos="2459" w:val="left" w:leader="none"/>
              </w:tabs>
              <w:spacing w:before="36"/>
              <w:ind w:left="62" w:right="64"/>
              <w:rPr>
                <w:sz w:val="12"/>
              </w:rPr>
            </w:pPr>
            <w:r>
              <w:rPr>
                <w:sz w:val="12"/>
              </w:rPr>
              <w:t>Diagnóstico</w:t>
              <w:tab/>
              <w:t>y</w:t>
              <w:tab/>
              <w:t>tratamiento</w:t>
              <w:tab/>
              <w:t>de</w:t>
              <w:tab/>
            </w:r>
            <w:r>
              <w:rPr>
                <w:spacing w:val="-1"/>
                <w:sz w:val="12"/>
              </w:rPr>
              <w:t>Traumatismo </w:t>
            </w:r>
            <w:r>
              <w:rPr>
                <w:sz w:val="12"/>
              </w:rPr>
              <w:t>Craneoencefálico</w:t>
            </w:r>
          </w:p>
        </w:tc>
        <w:tc>
          <w:tcPr>
            <w:tcW w:w="1274" w:type="dxa"/>
          </w:tcPr>
          <w:p>
            <w:pPr>
              <w:pStyle w:val="TableParagraph"/>
              <w:spacing w:before="103"/>
              <w:ind w:right="409"/>
              <w:jc w:val="right"/>
              <w:rPr>
                <w:sz w:val="12"/>
              </w:rPr>
            </w:pPr>
            <w:r>
              <w:rPr>
                <w:sz w:val="12"/>
              </w:rPr>
              <w:t>$501.22</w:t>
            </w:r>
          </w:p>
        </w:tc>
        <w:tc>
          <w:tcPr>
            <w:tcW w:w="1274" w:type="dxa"/>
          </w:tcPr>
          <w:p>
            <w:pPr>
              <w:pStyle w:val="TableParagraph"/>
              <w:spacing w:before="103"/>
              <w:ind w:right="409"/>
              <w:jc w:val="right"/>
              <w:rPr>
                <w:sz w:val="12"/>
              </w:rPr>
            </w:pPr>
            <w:r>
              <w:rPr>
                <w:sz w:val="12"/>
              </w:rPr>
              <w:t>$216.26</w:t>
            </w:r>
          </w:p>
        </w:tc>
        <w:tc>
          <w:tcPr>
            <w:tcW w:w="1411" w:type="dxa"/>
          </w:tcPr>
          <w:p>
            <w:pPr>
              <w:pStyle w:val="TableParagraph"/>
              <w:spacing w:before="103"/>
              <w:ind w:left="479"/>
              <w:rPr>
                <w:sz w:val="12"/>
              </w:rPr>
            </w:pPr>
            <w:r>
              <w:rPr>
                <w:sz w:val="12"/>
              </w:rPr>
              <w:t>$717.48</w:t>
            </w:r>
          </w:p>
        </w:tc>
      </w:tr>
      <w:tr>
        <w:trPr>
          <w:trHeight w:val="319" w:hRule="exact"/>
        </w:trPr>
        <w:tc>
          <w:tcPr>
            <w:tcW w:w="3240" w:type="dxa"/>
          </w:tcPr>
          <w:p>
            <w:pPr>
              <w:pStyle w:val="TableParagraph"/>
              <w:spacing w:before="82"/>
              <w:ind w:left="62" w:right="92"/>
              <w:rPr>
                <w:sz w:val="12"/>
              </w:rPr>
            </w:pPr>
            <w:r>
              <w:rPr>
                <w:sz w:val="12"/>
              </w:rPr>
              <w:t>Manejo en urgencias de Quemaduras de Primer Grado</w:t>
            </w:r>
          </w:p>
        </w:tc>
        <w:tc>
          <w:tcPr>
            <w:tcW w:w="1274" w:type="dxa"/>
          </w:tcPr>
          <w:p>
            <w:pPr>
              <w:pStyle w:val="TableParagraph"/>
              <w:spacing w:before="82"/>
              <w:ind w:right="409"/>
              <w:jc w:val="right"/>
              <w:rPr>
                <w:sz w:val="12"/>
              </w:rPr>
            </w:pPr>
            <w:r>
              <w:rPr>
                <w:sz w:val="12"/>
              </w:rPr>
              <w:t>$375.92</w:t>
            </w:r>
          </w:p>
        </w:tc>
        <w:tc>
          <w:tcPr>
            <w:tcW w:w="1274" w:type="dxa"/>
          </w:tcPr>
          <w:p>
            <w:pPr>
              <w:pStyle w:val="TableParagraph"/>
              <w:spacing w:before="82"/>
              <w:ind w:left="341" w:right="342"/>
              <w:jc w:val="center"/>
              <w:rPr>
                <w:sz w:val="12"/>
              </w:rPr>
            </w:pPr>
            <w:r>
              <w:rPr>
                <w:sz w:val="12"/>
              </w:rPr>
              <w:t>$41.18</w:t>
            </w:r>
          </w:p>
        </w:tc>
        <w:tc>
          <w:tcPr>
            <w:tcW w:w="1411" w:type="dxa"/>
          </w:tcPr>
          <w:p>
            <w:pPr>
              <w:pStyle w:val="TableParagraph"/>
              <w:spacing w:before="82"/>
              <w:ind w:left="479"/>
              <w:rPr>
                <w:sz w:val="12"/>
              </w:rPr>
            </w:pPr>
            <w:r>
              <w:rPr>
                <w:sz w:val="12"/>
              </w:rPr>
              <w:t>$417.10</w:t>
            </w:r>
          </w:p>
        </w:tc>
      </w:tr>
      <w:tr>
        <w:trPr>
          <w:trHeight w:val="322" w:hRule="exact"/>
        </w:trPr>
        <w:tc>
          <w:tcPr>
            <w:tcW w:w="3240" w:type="dxa"/>
          </w:tcPr>
          <w:p>
            <w:pPr>
              <w:pStyle w:val="TableParagraph"/>
              <w:spacing w:before="82"/>
              <w:ind w:left="62" w:right="92"/>
              <w:rPr>
                <w:sz w:val="12"/>
              </w:rPr>
            </w:pPr>
            <w:r>
              <w:rPr>
                <w:sz w:val="12"/>
              </w:rPr>
              <w:t>Vacuna Toxoide tetánico y diftérico</w:t>
            </w:r>
          </w:p>
        </w:tc>
        <w:tc>
          <w:tcPr>
            <w:tcW w:w="1274" w:type="dxa"/>
          </w:tcPr>
          <w:p>
            <w:pPr>
              <w:pStyle w:val="TableParagraph"/>
              <w:spacing w:before="82"/>
              <w:ind w:left="341" w:right="342"/>
              <w:jc w:val="center"/>
              <w:rPr>
                <w:sz w:val="12"/>
              </w:rPr>
            </w:pPr>
            <w:r>
              <w:rPr>
                <w:sz w:val="12"/>
              </w:rPr>
              <w:t>$31.67</w:t>
            </w:r>
          </w:p>
        </w:tc>
        <w:tc>
          <w:tcPr>
            <w:tcW w:w="1274" w:type="dxa"/>
          </w:tcPr>
          <w:p>
            <w:pPr>
              <w:pStyle w:val="TableParagraph"/>
              <w:spacing w:before="82"/>
              <w:ind w:left="341" w:right="342"/>
              <w:jc w:val="center"/>
              <w:rPr>
                <w:sz w:val="12"/>
              </w:rPr>
            </w:pPr>
            <w:r>
              <w:rPr>
                <w:sz w:val="12"/>
              </w:rPr>
              <w:t>$4.85</w:t>
            </w:r>
          </w:p>
        </w:tc>
        <w:tc>
          <w:tcPr>
            <w:tcW w:w="1411" w:type="dxa"/>
          </w:tcPr>
          <w:p>
            <w:pPr>
              <w:pStyle w:val="TableParagraph"/>
              <w:spacing w:before="82"/>
              <w:ind w:left="112" w:right="111"/>
              <w:jc w:val="center"/>
              <w:rPr>
                <w:sz w:val="12"/>
              </w:rPr>
            </w:pPr>
            <w:r>
              <w:rPr>
                <w:sz w:val="12"/>
              </w:rPr>
              <w:t>$36.51</w:t>
            </w:r>
          </w:p>
        </w:tc>
      </w:tr>
      <w:tr>
        <w:trPr>
          <w:trHeight w:val="336" w:hRule="exact"/>
        </w:trPr>
        <w:tc>
          <w:tcPr>
            <w:tcW w:w="5789" w:type="dxa"/>
            <w:gridSpan w:val="3"/>
            <w:tcBorders>
              <w:left w:val="nil"/>
              <w:bottom w:val="nil"/>
            </w:tcBorders>
          </w:tcPr>
          <w:p>
            <w:pPr/>
          </w:p>
        </w:tc>
        <w:tc>
          <w:tcPr>
            <w:tcW w:w="1411" w:type="dxa"/>
          </w:tcPr>
          <w:p>
            <w:pPr>
              <w:pStyle w:val="TableParagraph"/>
              <w:spacing w:before="89"/>
              <w:ind w:left="667"/>
              <w:rPr>
                <w:sz w:val="12"/>
              </w:rPr>
            </w:pPr>
            <w:r>
              <w:rPr>
                <w:sz w:val="12"/>
              </w:rPr>
              <w:t>$149,292.39</w:t>
            </w:r>
          </w:p>
        </w:tc>
      </w:tr>
    </w:tbl>
    <w:p>
      <w:pPr>
        <w:pStyle w:val="BodyText"/>
        <w:rPr>
          <w:b/>
          <w:sz w:val="20"/>
        </w:rPr>
      </w:pPr>
    </w:p>
    <w:p>
      <w:pPr>
        <w:pStyle w:val="BodyText"/>
        <w:rPr>
          <w:b/>
          <w:sz w:val="12"/>
        </w:rPr>
      </w:pPr>
    </w:p>
    <w:p>
      <w:pPr>
        <w:spacing w:before="71"/>
        <w:ind w:left="4702" w:right="0" w:firstLine="0"/>
        <w:jc w:val="left"/>
        <w:rPr>
          <w:sz w:val="12"/>
        </w:rPr>
      </w:pPr>
      <w:r>
        <w:rPr>
          <w:sz w:val="12"/>
        </w:rPr>
        <w:t>Promedio de costo de operación</w:t>
      </w:r>
    </w:p>
    <w:p>
      <w:pPr>
        <w:pStyle w:val="BodyText"/>
        <w:spacing w:before="1"/>
        <w:rPr>
          <w:sz w:val="14"/>
        </w:rPr>
      </w:pPr>
    </w:p>
    <w:p>
      <w:pPr>
        <w:tabs>
          <w:tab w:pos="6619" w:val="left" w:leader="none"/>
        </w:tabs>
        <w:spacing w:before="0"/>
        <w:ind w:left="111" w:right="0" w:firstLine="0"/>
        <w:jc w:val="left"/>
        <w:rPr>
          <w:sz w:val="12"/>
        </w:rPr>
      </w:pPr>
      <w:r>
        <w:rPr>
          <w:sz w:val="12"/>
        </w:rPr>
        <w:t>Costo de</w:t>
      </w:r>
      <w:r>
        <w:rPr>
          <w:spacing w:val="-5"/>
          <w:sz w:val="12"/>
        </w:rPr>
        <w:t> </w:t>
      </w:r>
      <w:r>
        <w:rPr>
          <w:sz w:val="12"/>
        </w:rPr>
        <w:t>los</w:t>
      </w:r>
      <w:r>
        <w:rPr>
          <w:spacing w:val="-2"/>
          <w:sz w:val="12"/>
        </w:rPr>
        <w:t> </w:t>
      </w:r>
      <w:r>
        <w:rPr>
          <w:sz w:val="12"/>
        </w:rPr>
        <w:t>Insumos</w:t>
        <w:tab/>
        <w:t>$11,503.94</w:t>
      </w:r>
    </w:p>
    <w:p>
      <w:pPr>
        <w:pStyle w:val="BodyText"/>
        <w:spacing w:before="6"/>
        <w:rPr>
          <w:sz w:val="15"/>
        </w:rPr>
      </w:pPr>
    </w:p>
    <w:p>
      <w:pPr>
        <w:tabs>
          <w:tab w:pos="3895" w:val="left" w:leader="none"/>
        </w:tabs>
        <w:spacing w:before="0"/>
        <w:ind w:left="111" w:right="0" w:firstLine="0"/>
        <w:jc w:val="left"/>
        <w:rPr>
          <w:sz w:val="12"/>
        </w:rPr>
      </w:pPr>
      <w:r>
        <w:rPr>
          <w:sz w:val="12"/>
        </w:rPr>
        <w:t>Costo</w:t>
      </w:r>
      <w:r>
        <w:rPr>
          <w:spacing w:val="-2"/>
          <w:sz w:val="12"/>
        </w:rPr>
        <w:t> </w:t>
      </w:r>
      <w:r>
        <w:rPr>
          <w:sz w:val="12"/>
        </w:rPr>
        <w:t>por</w:t>
      </w:r>
      <w:r>
        <w:rPr>
          <w:spacing w:val="-4"/>
          <w:sz w:val="12"/>
        </w:rPr>
        <w:t> </w:t>
      </w:r>
      <w:r>
        <w:rPr>
          <w:sz w:val="12"/>
        </w:rPr>
        <w:t>procedimiento</w:t>
        <w:tab/>
        <w:t>$138,047.33</w:t>
      </w:r>
    </w:p>
    <w:p>
      <w:pPr>
        <w:pStyle w:val="BodyText"/>
        <w:spacing w:before="3"/>
        <w:rPr>
          <w:sz w:val="15"/>
        </w:rPr>
      </w:pPr>
    </w:p>
    <w:p>
      <w:pPr>
        <w:tabs>
          <w:tab w:pos="3963" w:val="left" w:leader="none"/>
          <w:tab w:pos="5290" w:val="left" w:leader="none"/>
        </w:tabs>
        <w:spacing w:before="1"/>
        <w:ind w:left="111" w:right="0" w:firstLine="0"/>
        <w:jc w:val="left"/>
        <w:rPr>
          <w:sz w:val="12"/>
        </w:rPr>
      </w:pPr>
      <w:r>
        <w:rPr>
          <w:sz w:val="12"/>
        </w:rPr>
        <w:t>Gas</w:t>
        <w:tab/>
        <w:t>395,547.52</w:t>
        <w:tab/>
        <w:t>533,594.85</w:t>
      </w:r>
    </w:p>
    <w:p>
      <w:pPr>
        <w:pStyle w:val="BodyText"/>
        <w:spacing w:before="1"/>
        <w:rPr>
          <w:sz w:val="14"/>
        </w:rPr>
      </w:pPr>
    </w:p>
    <w:p>
      <w:pPr>
        <w:tabs>
          <w:tab w:pos="3963" w:val="left" w:leader="none"/>
          <w:tab w:pos="6619" w:val="left" w:leader="none"/>
        </w:tabs>
        <w:spacing w:before="0"/>
        <w:ind w:left="111" w:right="0" w:firstLine="0"/>
        <w:jc w:val="left"/>
        <w:rPr>
          <w:sz w:val="12"/>
        </w:rPr>
      </w:pPr>
      <w:r>
        <w:rPr>
          <w:sz w:val="12"/>
        </w:rPr>
        <w:t>Materiales de Curación</w:t>
      </w:r>
      <w:r>
        <w:rPr>
          <w:spacing w:val="-7"/>
          <w:sz w:val="12"/>
        </w:rPr>
        <w:t> </w:t>
      </w:r>
      <w:r>
        <w:rPr>
          <w:sz w:val="12"/>
        </w:rPr>
        <w:t>y</w:t>
      </w:r>
      <w:r>
        <w:rPr>
          <w:spacing w:val="-2"/>
          <w:sz w:val="12"/>
        </w:rPr>
        <w:t> </w:t>
      </w:r>
      <w:r>
        <w:rPr>
          <w:sz w:val="12"/>
        </w:rPr>
        <w:t>cirigia</w:t>
        <w:tab/>
        <w:t>785,000.00</w:t>
        <w:tab/>
        <w:t>$23,093.78</w:t>
      </w:r>
    </w:p>
    <w:p>
      <w:pPr>
        <w:pStyle w:val="BodyText"/>
        <w:spacing w:before="1"/>
        <w:rPr>
          <w:sz w:val="14"/>
        </w:rPr>
      </w:pPr>
    </w:p>
    <w:p>
      <w:pPr>
        <w:spacing w:line="520" w:lineRule="auto" w:before="0"/>
        <w:ind w:left="3795" w:right="4294" w:hanging="1"/>
        <w:jc w:val="center"/>
        <w:rPr>
          <w:sz w:val="12"/>
        </w:rPr>
      </w:pPr>
      <w:r>
        <w:rPr>
          <w:w w:val="95"/>
          <w:sz w:val="12"/>
        </w:rPr>
        <w:t>$1,318,594.85 </w:t>
      </w:r>
      <w:r>
        <w:rPr>
          <w:sz w:val="12"/>
        </w:rPr>
        <w:t>20277004.69</w:t>
      </w:r>
    </w:p>
    <w:p>
      <w:pPr>
        <w:spacing w:before="97"/>
        <w:ind w:left="3119" w:right="3060" w:firstLine="0"/>
        <w:jc w:val="center"/>
        <w:rPr>
          <w:b/>
          <w:sz w:val="16"/>
        </w:rPr>
      </w:pPr>
      <w:r>
        <w:rPr>
          <w:b/>
          <w:sz w:val="16"/>
        </w:rPr>
        <w:t>Fuente: Tabulador de Causes 2012</w:t>
      </w:r>
    </w:p>
    <w:p>
      <w:pPr>
        <w:spacing w:after="0"/>
        <w:jc w:val="center"/>
        <w:rPr>
          <w:sz w:val="16"/>
        </w:rPr>
        <w:sectPr>
          <w:footerReference w:type="default" r:id="rId53"/>
          <w:pgSz w:w="12240" w:h="15840"/>
          <w:pgMar w:footer="0" w:header="0" w:top="1460" w:bottom="280" w:left="1660" w:right="1720"/>
        </w:sectPr>
      </w:pPr>
    </w:p>
    <w:p>
      <w:pPr>
        <w:pStyle w:val="BodyText"/>
        <w:spacing w:before="1"/>
        <w:rPr>
          <w:b/>
          <w:sz w:val="26"/>
        </w:rPr>
      </w:pPr>
    </w:p>
    <w:p>
      <w:pPr>
        <w:pStyle w:val="Heading1"/>
        <w:spacing w:before="70" w:after="4"/>
        <w:ind w:left="2339"/>
        <w:jc w:val="left"/>
      </w:pPr>
      <w:r>
        <w:rPr/>
        <w:t>Calculo de costo tiempo x viaje y peso</w:t>
      </w:r>
    </w:p>
    <w:tbl>
      <w:tblPr>
        <w:tblW w:w="0" w:type="auto"/>
        <w:jc w:val="left"/>
        <w:tblInd w:w="11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94"/>
        <w:gridCol w:w="1454"/>
        <w:gridCol w:w="413"/>
        <w:gridCol w:w="943"/>
        <w:gridCol w:w="670"/>
        <w:gridCol w:w="1735"/>
        <w:gridCol w:w="2328"/>
        <w:gridCol w:w="840"/>
        <w:gridCol w:w="888"/>
      </w:tblGrid>
      <w:tr>
        <w:trPr>
          <w:trHeight w:val="308" w:hRule="exact"/>
        </w:trPr>
        <w:tc>
          <w:tcPr>
            <w:tcW w:w="694" w:type="dxa"/>
            <w:shd w:val="clear" w:color="auto" w:fill="D8D8D8"/>
          </w:tcPr>
          <w:p>
            <w:pPr>
              <w:pStyle w:val="TableParagraph"/>
              <w:spacing w:before="11"/>
              <w:rPr>
                <w:b/>
                <w:sz w:val="11"/>
              </w:rPr>
            </w:pPr>
          </w:p>
          <w:p>
            <w:pPr>
              <w:pStyle w:val="TableParagraph"/>
              <w:ind w:left="67"/>
              <w:rPr>
                <w:b/>
                <w:sz w:val="14"/>
              </w:rPr>
            </w:pPr>
            <w:r>
              <w:rPr>
                <w:b/>
                <w:sz w:val="14"/>
              </w:rPr>
              <w:t>ORIGEN</w:t>
            </w:r>
          </w:p>
        </w:tc>
        <w:tc>
          <w:tcPr>
            <w:tcW w:w="1454" w:type="dxa"/>
            <w:shd w:val="clear" w:color="auto" w:fill="D8D8D8"/>
          </w:tcPr>
          <w:p>
            <w:pPr>
              <w:pStyle w:val="TableParagraph"/>
              <w:spacing w:before="11"/>
              <w:rPr>
                <w:b/>
                <w:sz w:val="11"/>
              </w:rPr>
            </w:pPr>
          </w:p>
          <w:p>
            <w:pPr>
              <w:pStyle w:val="TableParagraph"/>
              <w:ind w:left="67"/>
              <w:rPr>
                <w:b/>
                <w:sz w:val="14"/>
              </w:rPr>
            </w:pPr>
            <w:r>
              <w:rPr>
                <w:b/>
                <w:sz w:val="14"/>
              </w:rPr>
              <w:t>DESTINO</w:t>
            </w:r>
          </w:p>
        </w:tc>
        <w:tc>
          <w:tcPr>
            <w:tcW w:w="413" w:type="dxa"/>
            <w:shd w:val="clear" w:color="auto" w:fill="D8D8D8"/>
          </w:tcPr>
          <w:p>
            <w:pPr>
              <w:pStyle w:val="TableParagraph"/>
              <w:spacing w:before="11"/>
              <w:rPr>
                <w:b/>
                <w:sz w:val="11"/>
              </w:rPr>
            </w:pPr>
          </w:p>
          <w:p>
            <w:pPr>
              <w:pStyle w:val="TableParagraph"/>
              <w:ind w:right="112"/>
              <w:jc w:val="right"/>
              <w:rPr>
                <w:b/>
                <w:sz w:val="14"/>
              </w:rPr>
            </w:pPr>
            <w:r>
              <w:rPr>
                <w:b/>
                <w:w w:val="95"/>
                <w:sz w:val="14"/>
              </w:rPr>
              <w:t>Km</w:t>
            </w:r>
          </w:p>
        </w:tc>
        <w:tc>
          <w:tcPr>
            <w:tcW w:w="943" w:type="dxa"/>
            <w:shd w:val="clear" w:color="auto" w:fill="D8D8D8"/>
          </w:tcPr>
          <w:p>
            <w:pPr>
              <w:pStyle w:val="TableParagraph"/>
              <w:spacing w:before="11"/>
              <w:rPr>
                <w:b/>
                <w:sz w:val="11"/>
              </w:rPr>
            </w:pPr>
          </w:p>
          <w:p>
            <w:pPr>
              <w:pStyle w:val="TableParagraph"/>
              <w:ind w:right="67"/>
              <w:jc w:val="right"/>
              <w:rPr>
                <w:b/>
                <w:sz w:val="14"/>
              </w:rPr>
            </w:pPr>
            <w:r>
              <w:rPr>
                <w:b/>
                <w:sz w:val="14"/>
              </w:rPr>
              <w:t>km redondo</w:t>
            </w:r>
          </w:p>
        </w:tc>
        <w:tc>
          <w:tcPr>
            <w:tcW w:w="670" w:type="dxa"/>
            <w:shd w:val="clear" w:color="auto" w:fill="D8D8D8"/>
          </w:tcPr>
          <w:p>
            <w:pPr>
              <w:pStyle w:val="TableParagraph"/>
              <w:spacing w:before="11"/>
              <w:rPr>
                <w:b/>
                <w:sz w:val="11"/>
              </w:rPr>
            </w:pPr>
          </w:p>
          <w:p>
            <w:pPr>
              <w:pStyle w:val="TableParagraph"/>
              <w:ind w:right="65"/>
              <w:jc w:val="right"/>
              <w:rPr>
                <w:b/>
                <w:sz w:val="14"/>
              </w:rPr>
            </w:pPr>
            <w:r>
              <w:rPr>
                <w:b/>
                <w:sz w:val="14"/>
              </w:rPr>
              <w:t>$ Diesel</w:t>
            </w:r>
          </w:p>
        </w:tc>
        <w:tc>
          <w:tcPr>
            <w:tcW w:w="1735" w:type="dxa"/>
            <w:shd w:val="clear" w:color="auto" w:fill="D8D8D8"/>
          </w:tcPr>
          <w:p>
            <w:pPr>
              <w:pStyle w:val="TableParagraph"/>
              <w:spacing w:before="11"/>
              <w:rPr>
                <w:b/>
                <w:sz w:val="11"/>
              </w:rPr>
            </w:pPr>
          </w:p>
          <w:p>
            <w:pPr>
              <w:pStyle w:val="TableParagraph"/>
              <w:ind w:left="46" w:right="46"/>
              <w:jc w:val="center"/>
              <w:rPr>
                <w:b/>
                <w:sz w:val="14"/>
              </w:rPr>
            </w:pPr>
            <w:r>
              <w:rPr>
                <w:b/>
                <w:sz w:val="14"/>
              </w:rPr>
              <w:t>Gas Usada en trayuecto</w:t>
            </w:r>
          </w:p>
        </w:tc>
        <w:tc>
          <w:tcPr>
            <w:tcW w:w="2328" w:type="dxa"/>
            <w:shd w:val="clear" w:color="auto" w:fill="D8D8D8"/>
          </w:tcPr>
          <w:p>
            <w:pPr>
              <w:pStyle w:val="TableParagraph"/>
              <w:spacing w:before="11"/>
              <w:rPr>
                <w:b/>
                <w:sz w:val="11"/>
              </w:rPr>
            </w:pPr>
          </w:p>
          <w:p>
            <w:pPr>
              <w:pStyle w:val="TableParagraph"/>
              <w:ind w:left="46" w:right="49"/>
              <w:jc w:val="center"/>
              <w:rPr>
                <w:b/>
                <w:sz w:val="14"/>
              </w:rPr>
            </w:pPr>
            <w:r>
              <w:rPr>
                <w:b/>
                <w:sz w:val="14"/>
              </w:rPr>
              <w:t>$ COMBUSTIBLE (viaje redondo)</w:t>
            </w:r>
          </w:p>
        </w:tc>
        <w:tc>
          <w:tcPr>
            <w:tcW w:w="840" w:type="dxa"/>
            <w:shd w:val="clear" w:color="auto" w:fill="D8D8D8"/>
          </w:tcPr>
          <w:p>
            <w:pPr>
              <w:pStyle w:val="TableParagraph"/>
              <w:spacing w:before="11"/>
              <w:rPr>
                <w:b/>
                <w:sz w:val="11"/>
              </w:rPr>
            </w:pPr>
          </w:p>
          <w:p>
            <w:pPr>
              <w:pStyle w:val="TableParagraph"/>
              <w:ind w:left="46" w:right="46"/>
              <w:jc w:val="center"/>
              <w:rPr>
                <w:b/>
                <w:sz w:val="14"/>
              </w:rPr>
            </w:pPr>
            <w:r>
              <w:rPr>
                <w:b/>
                <w:sz w:val="14"/>
              </w:rPr>
              <w:t>TIEMPO</w:t>
            </w:r>
          </w:p>
        </w:tc>
        <w:tc>
          <w:tcPr>
            <w:tcW w:w="888" w:type="dxa"/>
            <w:shd w:val="clear" w:color="auto" w:fill="D8D8D8"/>
          </w:tcPr>
          <w:p>
            <w:pPr>
              <w:pStyle w:val="TableParagraph"/>
              <w:spacing w:before="11"/>
              <w:rPr>
                <w:b/>
                <w:sz w:val="11"/>
              </w:rPr>
            </w:pPr>
          </w:p>
          <w:p>
            <w:pPr>
              <w:pStyle w:val="TableParagraph"/>
              <w:ind w:left="47" w:right="47"/>
              <w:jc w:val="center"/>
              <w:rPr>
                <w:b/>
                <w:sz w:val="14"/>
              </w:rPr>
            </w:pPr>
            <w:r>
              <w:rPr>
                <w:b/>
                <w:sz w:val="14"/>
              </w:rPr>
              <w:t>Anualizado</w:t>
            </w:r>
          </w:p>
        </w:tc>
      </w:tr>
      <w:tr>
        <w:trPr>
          <w:trHeight w:val="294" w:hRule="exact"/>
        </w:trPr>
        <w:tc>
          <w:tcPr>
            <w:tcW w:w="694" w:type="dxa"/>
          </w:tcPr>
          <w:p>
            <w:pPr>
              <w:pStyle w:val="TableParagraph"/>
              <w:spacing w:before="124"/>
              <w:ind w:left="67"/>
              <w:rPr>
                <w:sz w:val="14"/>
              </w:rPr>
            </w:pPr>
            <w:r>
              <w:rPr>
                <w:sz w:val="14"/>
              </w:rPr>
              <w:t>Toluca</w:t>
            </w:r>
          </w:p>
        </w:tc>
        <w:tc>
          <w:tcPr>
            <w:tcW w:w="1454" w:type="dxa"/>
          </w:tcPr>
          <w:p>
            <w:pPr>
              <w:pStyle w:val="TableParagraph"/>
              <w:spacing w:before="124"/>
              <w:ind w:left="67"/>
              <w:rPr>
                <w:sz w:val="14"/>
              </w:rPr>
            </w:pPr>
            <w:r>
              <w:rPr>
                <w:sz w:val="14"/>
              </w:rPr>
              <w:t>Tlanepantla</w:t>
            </w:r>
          </w:p>
        </w:tc>
        <w:tc>
          <w:tcPr>
            <w:tcW w:w="413" w:type="dxa"/>
          </w:tcPr>
          <w:p>
            <w:pPr>
              <w:pStyle w:val="TableParagraph"/>
              <w:spacing w:before="124"/>
              <w:ind w:right="64"/>
              <w:jc w:val="right"/>
              <w:rPr>
                <w:sz w:val="14"/>
              </w:rPr>
            </w:pPr>
            <w:r>
              <w:rPr>
                <w:sz w:val="14"/>
              </w:rPr>
              <w:t>68.7</w:t>
            </w:r>
          </w:p>
        </w:tc>
        <w:tc>
          <w:tcPr>
            <w:tcW w:w="943" w:type="dxa"/>
          </w:tcPr>
          <w:p>
            <w:pPr>
              <w:pStyle w:val="TableParagraph"/>
              <w:spacing w:before="124"/>
              <w:ind w:right="67"/>
              <w:jc w:val="right"/>
              <w:rPr>
                <w:sz w:val="14"/>
              </w:rPr>
            </w:pPr>
            <w:r>
              <w:rPr>
                <w:sz w:val="14"/>
              </w:rPr>
              <w:t>137.4</w:t>
            </w:r>
          </w:p>
        </w:tc>
        <w:tc>
          <w:tcPr>
            <w:tcW w:w="670" w:type="dxa"/>
          </w:tcPr>
          <w:p>
            <w:pPr>
              <w:pStyle w:val="TableParagraph"/>
              <w:spacing w:before="124"/>
              <w:ind w:right="64"/>
              <w:jc w:val="right"/>
              <w:rPr>
                <w:sz w:val="14"/>
              </w:rPr>
            </w:pPr>
            <w:r>
              <w:rPr>
                <w:sz w:val="14"/>
              </w:rPr>
              <w:t>12.05</w:t>
            </w:r>
          </w:p>
        </w:tc>
        <w:tc>
          <w:tcPr>
            <w:tcW w:w="1735" w:type="dxa"/>
          </w:tcPr>
          <w:p>
            <w:pPr>
              <w:pStyle w:val="TableParagraph"/>
              <w:spacing w:before="124"/>
              <w:ind w:left="46" w:right="46"/>
              <w:jc w:val="center"/>
              <w:rPr>
                <w:sz w:val="14"/>
              </w:rPr>
            </w:pPr>
            <w:r>
              <w:rPr>
                <w:sz w:val="14"/>
              </w:rPr>
              <w:t>535.86</w:t>
            </w:r>
          </w:p>
        </w:tc>
        <w:tc>
          <w:tcPr>
            <w:tcW w:w="2328" w:type="dxa"/>
          </w:tcPr>
          <w:p>
            <w:pPr>
              <w:pStyle w:val="TableParagraph"/>
              <w:spacing w:before="124"/>
              <w:ind w:left="46" w:right="46"/>
              <w:jc w:val="center"/>
              <w:rPr>
                <w:sz w:val="14"/>
              </w:rPr>
            </w:pPr>
            <w:r>
              <w:rPr>
                <w:sz w:val="14"/>
              </w:rPr>
              <w:t>6457.11</w:t>
            </w:r>
          </w:p>
        </w:tc>
        <w:tc>
          <w:tcPr>
            <w:tcW w:w="840" w:type="dxa"/>
          </w:tcPr>
          <w:p>
            <w:pPr>
              <w:pStyle w:val="TableParagraph"/>
              <w:spacing w:before="124"/>
              <w:ind w:left="46" w:right="46"/>
              <w:jc w:val="center"/>
              <w:rPr>
                <w:sz w:val="14"/>
              </w:rPr>
            </w:pPr>
            <w:r>
              <w:rPr>
                <w:sz w:val="14"/>
              </w:rPr>
              <w:t>59 min</w:t>
            </w:r>
          </w:p>
        </w:tc>
        <w:tc>
          <w:tcPr>
            <w:tcW w:w="888" w:type="dxa"/>
          </w:tcPr>
          <w:p>
            <w:pPr>
              <w:pStyle w:val="TableParagraph"/>
              <w:spacing w:before="124"/>
              <w:ind w:left="152" w:right="47"/>
              <w:jc w:val="center"/>
              <w:rPr>
                <w:sz w:val="14"/>
              </w:rPr>
            </w:pPr>
            <w:r>
              <w:rPr>
                <w:sz w:val="14"/>
              </w:rPr>
              <w:t>77,485.36</w:t>
            </w:r>
          </w:p>
        </w:tc>
      </w:tr>
      <w:tr>
        <w:trPr>
          <w:trHeight w:val="295" w:hRule="exact"/>
        </w:trPr>
        <w:tc>
          <w:tcPr>
            <w:tcW w:w="694" w:type="dxa"/>
          </w:tcPr>
          <w:p>
            <w:pPr>
              <w:pStyle w:val="TableParagraph"/>
              <w:spacing w:before="125"/>
              <w:ind w:left="67"/>
              <w:rPr>
                <w:sz w:val="14"/>
              </w:rPr>
            </w:pPr>
            <w:r>
              <w:rPr>
                <w:sz w:val="14"/>
              </w:rPr>
              <w:t>Toluca</w:t>
            </w:r>
          </w:p>
        </w:tc>
        <w:tc>
          <w:tcPr>
            <w:tcW w:w="1454" w:type="dxa"/>
          </w:tcPr>
          <w:p>
            <w:pPr>
              <w:pStyle w:val="TableParagraph"/>
              <w:spacing w:before="125"/>
              <w:ind w:left="67"/>
              <w:rPr>
                <w:sz w:val="14"/>
              </w:rPr>
            </w:pPr>
            <w:r>
              <w:rPr>
                <w:sz w:val="14"/>
              </w:rPr>
              <w:t>Chalco</w:t>
            </w:r>
          </w:p>
        </w:tc>
        <w:tc>
          <w:tcPr>
            <w:tcW w:w="413" w:type="dxa"/>
          </w:tcPr>
          <w:p>
            <w:pPr>
              <w:pStyle w:val="TableParagraph"/>
              <w:spacing w:before="125"/>
              <w:ind w:right="64"/>
              <w:jc w:val="right"/>
              <w:rPr>
                <w:sz w:val="14"/>
              </w:rPr>
            </w:pPr>
            <w:r>
              <w:rPr>
                <w:w w:val="95"/>
                <w:sz w:val="14"/>
              </w:rPr>
              <w:t>97</w:t>
            </w:r>
          </w:p>
        </w:tc>
        <w:tc>
          <w:tcPr>
            <w:tcW w:w="943" w:type="dxa"/>
          </w:tcPr>
          <w:p>
            <w:pPr>
              <w:pStyle w:val="TableParagraph"/>
              <w:spacing w:before="125"/>
              <w:ind w:right="67"/>
              <w:jc w:val="right"/>
              <w:rPr>
                <w:sz w:val="14"/>
              </w:rPr>
            </w:pPr>
            <w:r>
              <w:rPr>
                <w:w w:val="95"/>
                <w:sz w:val="14"/>
              </w:rPr>
              <w:t>194</w:t>
            </w:r>
          </w:p>
        </w:tc>
        <w:tc>
          <w:tcPr>
            <w:tcW w:w="670" w:type="dxa"/>
          </w:tcPr>
          <w:p>
            <w:pPr>
              <w:pStyle w:val="TableParagraph"/>
              <w:spacing w:before="125"/>
              <w:ind w:right="64"/>
              <w:jc w:val="right"/>
              <w:rPr>
                <w:sz w:val="14"/>
              </w:rPr>
            </w:pPr>
            <w:r>
              <w:rPr>
                <w:sz w:val="14"/>
              </w:rPr>
              <w:t>12.05</w:t>
            </w:r>
          </w:p>
        </w:tc>
        <w:tc>
          <w:tcPr>
            <w:tcW w:w="1735" w:type="dxa"/>
          </w:tcPr>
          <w:p>
            <w:pPr>
              <w:pStyle w:val="TableParagraph"/>
              <w:spacing w:before="125"/>
              <w:ind w:left="46" w:right="46"/>
              <w:jc w:val="center"/>
              <w:rPr>
                <w:sz w:val="14"/>
              </w:rPr>
            </w:pPr>
            <w:r>
              <w:rPr>
                <w:sz w:val="14"/>
              </w:rPr>
              <w:t>756.60</w:t>
            </w:r>
          </w:p>
        </w:tc>
        <w:tc>
          <w:tcPr>
            <w:tcW w:w="2328" w:type="dxa"/>
          </w:tcPr>
          <w:p>
            <w:pPr>
              <w:pStyle w:val="TableParagraph"/>
              <w:spacing w:before="125"/>
              <w:ind w:left="46" w:right="46"/>
              <w:jc w:val="center"/>
              <w:rPr>
                <w:sz w:val="14"/>
              </w:rPr>
            </w:pPr>
            <w:r>
              <w:rPr>
                <w:sz w:val="14"/>
              </w:rPr>
              <w:t>9117.03</w:t>
            </w:r>
          </w:p>
        </w:tc>
        <w:tc>
          <w:tcPr>
            <w:tcW w:w="840" w:type="dxa"/>
          </w:tcPr>
          <w:p>
            <w:pPr>
              <w:pStyle w:val="TableParagraph"/>
              <w:spacing w:before="125"/>
              <w:ind w:left="46" w:right="46"/>
              <w:jc w:val="center"/>
              <w:rPr>
                <w:sz w:val="14"/>
              </w:rPr>
            </w:pPr>
            <w:r>
              <w:rPr>
                <w:sz w:val="14"/>
              </w:rPr>
              <w:t>1 hr 20 min</w:t>
            </w:r>
          </w:p>
        </w:tc>
        <w:tc>
          <w:tcPr>
            <w:tcW w:w="888" w:type="dxa"/>
          </w:tcPr>
          <w:p>
            <w:pPr>
              <w:pStyle w:val="TableParagraph"/>
              <w:spacing w:before="125"/>
              <w:ind w:left="47" w:right="19"/>
              <w:jc w:val="center"/>
              <w:rPr>
                <w:sz w:val="14"/>
              </w:rPr>
            </w:pPr>
            <w:r>
              <w:rPr>
                <w:sz w:val="14"/>
              </w:rPr>
              <w:t>109,404.36</w:t>
            </w:r>
          </w:p>
        </w:tc>
      </w:tr>
      <w:tr>
        <w:trPr>
          <w:trHeight w:val="295" w:hRule="exact"/>
        </w:trPr>
        <w:tc>
          <w:tcPr>
            <w:tcW w:w="694" w:type="dxa"/>
          </w:tcPr>
          <w:p>
            <w:pPr>
              <w:pStyle w:val="TableParagraph"/>
              <w:spacing w:before="125"/>
              <w:ind w:left="67"/>
              <w:rPr>
                <w:sz w:val="14"/>
              </w:rPr>
            </w:pPr>
            <w:r>
              <w:rPr>
                <w:sz w:val="14"/>
              </w:rPr>
              <w:t>Toluca</w:t>
            </w:r>
          </w:p>
        </w:tc>
        <w:tc>
          <w:tcPr>
            <w:tcW w:w="1454" w:type="dxa"/>
          </w:tcPr>
          <w:p>
            <w:pPr>
              <w:pStyle w:val="TableParagraph"/>
              <w:spacing w:before="125"/>
              <w:ind w:left="67"/>
              <w:rPr>
                <w:sz w:val="14"/>
              </w:rPr>
            </w:pPr>
            <w:r>
              <w:rPr>
                <w:sz w:val="14"/>
              </w:rPr>
              <w:t>Ecatepec de Morelos</w:t>
            </w:r>
          </w:p>
        </w:tc>
        <w:tc>
          <w:tcPr>
            <w:tcW w:w="413" w:type="dxa"/>
          </w:tcPr>
          <w:p>
            <w:pPr>
              <w:pStyle w:val="TableParagraph"/>
              <w:spacing w:before="125"/>
              <w:ind w:right="64"/>
              <w:jc w:val="right"/>
              <w:rPr>
                <w:sz w:val="14"/>
              </w:rPr>
            </w:pPr>
            <w:r>
              <w:rPr>
                <w:w w:val="95"/>
                <w:sz w:val="14"/>
              </w:rPr>
              <w:t>85</w:t>
            </w:r>
          </w:p>
        </w:tc>
        <w:tc>
          <w:tcPr>
            <w:tcW w:w="943" w:type="dxa"/>
          </w:tcPr>
          <w:p>
            <w:pPr>
              <w:pStyle w:val="TableParagraph"/>
              <w:spacing w:before="125"/>
              <w:ind w:right="67"/>
              <w:jc w:val="right"/>
              <w:rPr>
                <w:sz w:val="14"/>
              </w:rPr>
            </w:pPr>
            <w:r>
              <w:rPr>
                <w:w w:val="95"/>
                <w:sz w:val="14"/>
              </w:rPr>
              <w:t>170</w:t>
            </w:r>
          </w:p>
        </w:tc>
        <w:tc>
          <w:tcPr>
            <w:tcW w:w="670" w:type="dxa"/>
          </w:tcPr>
          <w:p>
            <w:pPr>
              <w:pStyle w:val="TableParagraph"/>
              <w:spacing w:before="125"/>
              <w:ind w:right="64"/>
              <w:jc w:val="right"/>
              <w:rPr>
                <w:sz w:val="14"/>
              </w:rPr>
            </w:pPr>
            <w:r>
              <w:rPr>
                <w:sz w:val="14"/>
              </w:rPr>
              <w:t>12.05</w:t>
            </w:r>
          </w:p>
        </w:tc>
        <w:tc>
          <w:tcPr>
            <w:tcW w:w="1735" w:type="dxa"/>
          </w:tcPr>
          <w:p>
            <w:pPr>
              <w:pStyle w:val="TableParagraph"/>
              <w:spacing w:before="125"/>
              <w:ind w:left="46" w:right="46"/>
              <w:jc w:val="center"/>
              <w:rPr>
                <w:sz w:val="14"/>
              </w:rPr>
            </w:pPr>
            <w:r>
              <w:rPr>
                <w:sz w:val="14"/>
              </w:rPr>
              <w:t>663.00</w:t>
            </w:r>
          </w:p>
        </w:tc>
        <w:tc>
          <w:tcPr>
            <w:tcW w:w="2328" w:type="dxa"/>
          </w:tcPr>
          <w:p>
            <w:pPr>
              <w:pStyle w:val="TableParagraph"/>
              <w:spacing w:before="125"/>
              <w:ind w:left="46" w:right="46"/>
              <w:jc w:val="center"/>
              <w:rPr>
                <w:sz w:val="14"/>
              </w:rPr>
            </w:pPr>
            <w:r>
              <w:rPr>
                <w:sz w:val="14"/>
              </w:rPr>
              <w:t>7989.15</w:t>
            </w:r>
          </w:p>
        </w:tc>
        <w:tc>
          <w:tcPr>
            <w:tcW w:w="840" w:type="dxa"/>
          </w:tcPr>
          <w:p>
            <w:pPr>
              <w:pStyle w:val="TableParagraph"/>
              <w:spacing w:before="125"/>
              <w:ind w:left="46" w:right="46"/>
              <w:jc w:val="center"/>
              <w:rPr>
                <w:sz w:val="14"/>
              </w:rPr>
            </w:pPr>
            <w:r>
              <w:rPr>
                <w:sz w:val="14"/>
              </w:rPr>
              <w:t>1 hr 02 min</w:t>
            </w:r>
          </w:p>
        </w:tc>
        <w:tc>
          <w:tcPr>
            <w:tcW w:w="888" w:type="dxa"/>
          </w:tcPr>
          <w:p>
            <w:pPr>
              <w:pStyle w:val="TableParagraph"/>
              <w:spacing w:before="125"/>
              <w:ind w:left="152" w:right="47"/>
              <w:jc w:val="center"/>
              <w:rPr>
                <w:sz w:val="14"/>
              </w:rPr>
            </w:pPr>
            <w:r>
              <w:rPr>
                <w:sz w:val="14"/>
              </w:rPr>
              <w:t>95,869.80</w:t>
            </w:r>
          </w:p>
        </w:tc>
      </w:tr>
      <w:tr>
        <w:trPr>
          <w:trHeight w:val="295" w:hRule="exact"/>
        </w:trPr>
        <w:tc>
          <w:tcPr>
            <w:tcW w:w="694" w:type="dxa"/>
          </w:tcPr>
          <w:p>
            <w:pPr>
              <w:pStyle w:val="TableParagraph"/>
              <w:spacing w:before="125"/>
              <w:ind w:left="67"/>
              <w:rPr>
                <w:sz w:val="14"/>
              </w:rPr>
            </w:pPr>
            <w:r>
              <w:rPr>
                <w:sz w:val="14"/>
              </w:rPr>
              <w:t>Toluca</w:t>
            </w:r>
          </w:p>
        </w:tc>
        <w:tc>
          <w:tcPr>
            <w:tcW w:w="1454" w:type="dxa"/>
          </w:tcPr>
          <w:p>
            <w:pPr>
              <w:pStyle w:val="TableParagraph"/>
              <w:spacing w:before="125"/>
              <w:ind w:left="67"/>
              <w:rPr>
                <w:sz w:val="14"/>
              </w:rPr>
            </w:pPr>
            <w:r>
              <w:rPr>
                <w:sz w:val="14"/>
              </w:rPr>
              <w:t>Ixtapaluca</w:t>
            </w:r>
          </w:p>
        </w:tc>
        <w:tc>
          <w:tcPr>
            <w:tcW w:w="413" w:type="dxa"/>
          </w:tcPr>
          <w:p>
            <w:pPr>
              <w:pStyle w:val="TableParagraph"/>
              <w:spacing w:before="125"/>
              <w:ind w:right="64"/>
              <w:jc w:val="right"/>
              <w:rPr>
                <w:sz w:val="14"/>
              </w:rPr>
            </w:pPr>
            <w:r>
              <w:rPr>
                <w:w w:val="95"/>
                <w:sz w:val="14"/>
              </w:rPr>
              <w:t>100</w:t>
            </w:r>
          </w:p>
        </w:tc>
        <w:tc>
          <w:tcPr>
            <w:tcW w:w="943" w:type="dxa"/>
          </w:tcPr>
          <w:p>
            <w:pPr>
              <w:pStyle w:val="TableParagraph"/>
              <w:spacing w:before="125"/>
              <w:ind w:right="67"/>
              <w:jc w:val="right"/>
              <w:rPr>
                <w:sz w:val="14"/>
              </w:rPr>
            </w:pPr>
            <w:r>
              <w:rPr>
                <w:w w:val="95"/>
                <w:sz w:val="14"/>
              </w:rPr>
              <w:t>200</w:t>
            </w:r>
          </w:p>
        </w:tc>
        <w:tc>
          <w:tcPr>
            <w:tcW w:w="670" w:type="dxa"/>
          </w:tcPr>
          <w:p>
            <w:pPr>
              <w:pStyle w:val="TableParagraph"/>
              <w:spacing w:before="125"/>
              <w:ind w:right="64"/>
              <w:jc w:val="right"/>
              <w:rPr>
                <w:sz w:val="14"/>
              </w:rPr>
            </w:pPr>
            <w:r>
              <w:rPr>
                <w:sz w:val="14"/>
              </w:rPr>
              <w:t>12.05</w:t>
            </w:r>
          </w:p>
        </w:tc>
        <w:tc>
          <w:tcPr>
            <w:tcW w:w="1735" w:type="dxa"/>
          </w:tcPr>
          <w:p>
            <w:pPr>
              <w:pStyle w:val="TableParagraph"/>
              <w:spacing w:before="125"/>
              <w:ind w:left="46" w:right="46"/>
              <w:jc w:val="center"/>
              <w:rPr>
                <w:sz w:val="14"/>
              </w:rPr>
            </w:pPr>
            <w:r>
              <w:rPr>
                <w:sz w:val="14"/>
              </w:rPr>
              <w:t>780.00</w:t>
            </w:r>
          </w:p>
        </w:tc>
        <w:tc>
          <w:tcPr>
            <w:tcW w:w="2328" w:type="dxa"/>
          </w:tcPr>
          <w:p>
            <w:pPr>
              <w:pStyle w:val="TableParagraph"/>
              <w:spacing w:before="125"/>
              <w:ind w:left="46" w:right="46"/>
              <w:jc w:val="center"/>
              <w:rPr>
                <w:sz w:val="14"/>
              </w:rPr>
            </w:pPr>
            <w:r>
              <w:rPr>
                <w:sz w:val="14"/>
              </w:rPr>
              <w:t>9399.00</w:t>
            </w:r>
          </w:p>
        </w:tc>
        <w:tc>
          <w:tcPr>
            <w:tcW w:w="840" w:type="dxa"/>
          </w:tcPr>
          <w:p>
            <w:pPr>
              <w:pStyle w:val="TableParagraph"/>
              <w:spacing w:before="125"/>
              <w:ind w:left="46" w:right="46"/>
              <w:jc w:val="center"/>
              <w:rPr>
                <w:sz w:val="14"/>
              </w:rPr>
            </w:pPr>
            <w:r>
              <w:rPr>
                <w:sz w:val="14"/>
              </w:rPr>
              <w:t>1 hr 22 min</w:t>
            </w:r>
          </w:p>
        </w:tc>
        <w:tc>
          <w:tcPr>
            <w:tcW w:w="888" w:type="dxa"/>
          </w:tcPr>
          <w:p>
            <w:pPr>
              <w:pStyle w:val="TableParagraph"/>
              <w:spacing w:before="125"/>
              <w:ind w:left="47" w:right="19"/>
              <w:jc w:val="center"/>
              <w:rPr>
                <w:sz w:val="14"/>
              </w:rPr>
            </w:pPr>
            <w:r>
              <w:rPr>
                <w:sz w:val="14"/>
              </w:rPr>
              <w:t>112,788.00</w:t>
            </w:r>
          </w:p>
        </w:tc>
      </w:tr>
      <w:tr>
        <w:trPr>
          <w:trHeight w:val="295" w:hRule="exact"/>
        </w:trPr>
        <w:tc>
          <w:tcPr>
            <w:tcW w:w="694" w:type="dxa"/>
          </w:tcPr>
          <w:p>
            <w:pPr>
              <w:pStyle w:val="TableParagraph"/>
              <w:spacing w:before="125"/>
              <w:ind w:left="67"/>
              <w:rPr>
                <w:sz w:val="14"/>
              </w:rPr>
            </w:pPr>
            <w:r>
              <w:rPr>
                <w:sz w:val="14"/>
              </w:rPr>
              <w:t>Toluca</w:t>
            </w:r>
          </w:p>
        </w:tc>
        <w:tc>
          <w:tcPr>
            <w:tcW w:w="1454" w:type="dxa"/>
          </w:tcPr>
          <w:p>
            <w:pPr>
              <w:pStyle w:val="TableParagraph"/>
              <w:spacing w:before="125"/>
              <w:ind w:left="67"/>
              <w:rPr>
                <w:sz w:val="14"/>
              </w:rPr>
            </w:pPr>
            <w:r>
              <w:rPr>
                <w:sz w:val="14"/>
              </w:rPr>
              <w:t>Nezahualcóyotl</w:t>
            </w:r>
          </w:p>
        </w:tc>
        <w:tc>
          <w:tcPr>
            <w:tcW w:w="413" w:type="dxa"/>
          </w:tcPr>
          <w:p>
            <w:pPr>
              <w:pStyle w:val="TableParagraph"/>
              <w:spacing w:before="125"/>
              <w:ind w:right="64"/>
              <w:jc w:val="right"/>
              <w:rPr>
                <w:sz w:val="14"/>
              </w:rPr>
            </w:pPr>
            <w:r>
              <w:rPr>
                <w:sz w:val="14"/>
              </w:rPr>
              <w:t>77.7</w:t>
            </w:r>
          </w:p>
        </w:tc>
        <w:tc>
          <w:tcPr>
            <w:tcW w:w="943" w:type="dxa"/>
          </w:tcPr>
          <w:p>
            <w:pPr>
              <w:pStyle w:val="TableParagraph"/>
              <w:spacing w:before="125"/>
              <w:ind w:right="67"/>
              <w:jc w:val="right"/>
              <w:rPr>
                <w:sz w:val="14"/>
              </w:rPr>
            </w:pPr>
            <w:r>
              <w:rPr>
                <w:sz w:val="14"/>
              </w:rPr>
              <w:t>155.4</w:t>
            </w:r>
          </w:p>
        </w:tc>
        <w:tc>
          <w:tcPr>
            <w:tcW w:w="670" w:type="dxa"/>
          </w:tcPr>
          <w:p>
            <w:pPr>
              <w:pStyle w:val="TableParagraph"/>
              <w:spacing w:before="125"/>
              <w:ind w:right="64"/>
              <w:jc w:val="right"/>
              <w:rPr>
                <w:sz w:val="14"/>
              </w:rPr>
            </w:pPr>
            <w:r>
              <w:rPr>
                <w:sz w:val="14"/>
              </w:rPr>
              <w:t>12.05</w:t>
            </w:r>
          </w:p>
        </w:tc>
        <w:tc>
          <w:tcPr>
            <w:tcW w:w="1735" w:type="dxa"/>
          </w:tcPr>
          <w:p>
            <w:pPr>
              <w:pStyle w:val="TableParagraph"/>
              <w:spacing w:before="125"/>
              <w:ind w:left="46" w:right="46"/>
              <w:jc w:val="center"/>
              <w:rPr>
                <w:sz w:val="14"/>
              </w:rPr>
            </w:pPr>
            <w:r>
              <w:rPr>
                <w:sz w:val="14"/>
              </w:rPr>
              <w:t>606.06</w:t>
            </w:r>
          </w:p>
        </w:tc>
        <w:tc>
          <w:tcPr>
            <w:tcW w:w="2328" w:type="dxa"/>
          </w:tcPr>
          <w:p>
            <w:pPr>
              <w:pStyle w:val="TableParagraph"/>
              <w:spacing w:before="125"/>
              <w:ind w:left="46" w:right="46"/>
              <w:jc w:val="center"/>
              <w:rPr>
                <w:sz w:val="14"/>
              </w:rPr>
            </w:pPr>
            <w:r>
              <w:rPr>
                <w:sz w:val="14"/>
              </w:rPr>
              <w:t>7303.02</w:t>
            </w:r>
          </w:p>
        </w:tc>
        <w:tc>
          <w:tcPr>
            <w:tcW w:w="840" w:type="dxa"/>
          </w:tcPr>
          <w:p>
            <w:pPr>
              <w:pStyle w:val="TableParagraph"/>
              <w:spacing w:before="125"/>
              <w:ind w:left="46" w:right="46"/>
              <w:jc w:val="center"/>
              <w:rPr>
                <w:sz w:val="14"/>
              </w:rPr>
            </w:pPr>
            <w:r>
              <w:rPr>
                <w:sz w:val="14"/>
              </w:rPr>
              <w:t>1 hr 07 min</w:t>
            </w:r>
          </w:p>
        </w:tc>
        <w:tc>
          <w:tcPr>
            <w:tcW w:w="888" w:type="dxa"/>
          </w:tcPr>
          <w:p>
            <w:pPr>
              <w:pStyle w:val="TableParagraph"/>
              <w:spacing w:before="125"/>
              <w:ind w:left="152" w:right="47"/>
              <w:jc w:val="center"/>
              <w:rPr>
                <w:sz w:val="14"/>
              </w:rPr>
            </w:pPr>
            <w:r>
              <w:rPr>
                <w:sz w:val="14"/>
              </w:rPr>
              <w:t>87,636.28</w:t>
            </w:r>
          </w:p>
        </w:tc>
      </w:tr>
    </w:tbl>
    <w:p>
      <w:pPr>
        <w:pStyle w:val="BodyText"/>
        <w:rPr>
          <w:b/>
          <w:sz w:val="20"/>
        </w:rPr>
      </w:pPr>
    </w:p>
    <w:p>
      <w:pPr>
        <w:pStyle w:val="BodyText"/>
        <w:spacing w:before="1"/>
        <w:rPr>
          <w:b/>
          <w:sz w:val="20"/>
        </w:rPr>
      </w:pPr>
    </w:p>
    <w:p>
      <w:pPr>
        <w:tabs>
          <w:tab w:pos="3284" w:val="left" w:leader="none"/>
        </w:tabs>
        <w:spacing w:before="1"/>
        <w:ind w:left="2970" w:right="0" w:firstLine="0"/>
        <w:jc w:val="left"/>
        <w:rPr>
          <w:b/>
          <w:sz w:val="16"/>
        </w:rPr>
      </w:pPr>
      <w:r>
        <w:rPr>
          <w:b/>
          <w:sz w:val="16"/>
        </w:rPr>
        <w:t>$</w:t>
        <w:tab/>
        <w:t>40,265.32</w:t>
      </w:r>
    </w:p>
    <w:p>
      <w:pPr>
        <w:spacing w:before="101"/>
        <w:ind w:left="2946" w:right="0" w:firstLine="0"/>
        <w:jc w:val="left"/>
        <w:rPr>
          <w:b/>
          <w:sz w:val="16"/>
        </w:rPr>
      </w:pPr>
      <w:r>
        <w:rPr>
          <w:b/>
          <w:sz w:val="16"/>
        </w:rPr>
        <w:t>$   395,547.52</w:t>
      </w:r>
    </w:p>
    <w:p>
      <w:pPr>
        <w:pStyle w:val="BodyText"/>
        <w:rPr>
          <w:b/>
          <w:sz w:val="20"/>
        </w:rPr>
      </w:pPr>
    </w:p>
    <w:p>
      <w:pPr>
        <w:pStyle w:val="BodyText"/>
        <w:rPr>
          <w:b/>
          <w:sz w:val="21"/>
        </w:rPr>
      </w:pPr>
      <w:r>
        <w:rPr/>
        <w:drawing>
          <wp:anchor distT="0" distB="0" distL="0" distR="0" allowOverlap="1" layoutInCell="1" locked="0" behindDoc="0" simplePos="0" relativeHeight="2392">
            <wp:simplePos x="0" y="0"/>
            <wp:positionH relativeFrom="page">
              <wp:posOffset>1181100</wp:posOffset>
            </wp:positionH>
            <wp:positionV relativeFrom="paragraph">
              <wp:posOffset>178380</wp:posOffset>
            </wp:positionV>
            <wp:extent cx="5406812" cy="4864608"/>
            <wp:effectExtent l="0" t="0" r="0" b="0"/>
            <wp:wrapTopAndBottom/>
            <wp:docPr id="121" name="image30.jpeg" descr=""/>
            <wp:cNvGraphicFramePr>
              <a:graphicFrameLocks noChangeAspect="1"/>
            </wp:cNvGraphicFramePr>
            <a:graphic>
              <a:graphicData uri="http://schemas.openxmlformats.org/drawingml/2006/picture">
                <pic:pic>
                  <pic:nvPicPr>
                    <pic:cNvPr id="122" name="image30.jpeg"/>
                    <pic:cNvPicPr/>
                  </pic:nvPicPr>
                  <pic:blipFill>
                    <a:blip r:embed="rId55" cstate="print"/>
                    <a:stretch>
                      <a:fillRect/>
                    </a:stretch>
                  </pic:blipFill>
                  <pic:spPr>
                    <a:xfrm>
                      <a:off x="0" y="0"/>
                      <a:ext cx="5406812" cy="4864608"/>
                    </a:xfrm>
                    <a:prstGeom prst="rect">
                      <a:avLst/>
                    </a:prstGeom>
                  </pic:spPr>
                </pic:pic>
              </a:graphicData>
            </a:graphic>
          </wp:anchor>
        </w:drawing>
      </w:r>
    </w:p>
    <w:p>
      <w:pPr>
        <w:spacing w:after="0"/>
        <w:rPr>
          <w:sz w:val="21"/>
        </w:rPr>
        <w:sectPr>
          <w:footerReference w:type="default" r:id="rId54"/>
          <w:pgSz w:w="12240" w:h="15840"/>
          <w:pgMar w:footer="0" w:header="0" w:top="1500" w:bottom="280" w:left="1580" w:right="460"/>
        </w:sectPr>
      </w:pPr>
    </w:p>
    <w:p>
      <w:pPr>
        <w:pStyle w:val="Heading1"/>
        <w:spacing w:before="50"/>
        <w:ind w:left="2157" w:right="618"/>
        <w:jc w:val="left"/>
      </w:pPr>
      <w:r>
        <w:rPr/>
        <w:t>Calculo costo  de la situación alterna u optimizada</w:t>
      </w:r>
    </w:p>
    <w:p>
      <w:pPr>
        <w:pStyle w:val="BodyText"/>
        <w:spacing w:line="360" w:lineRule="auto"/>
        <w:ind w:left="621" w:right="618"/>
        <w:rPr>
          <w:b/>
        </w:rPr>
      </w:pPr>
      <w:r>
        <w:rPr/>
        <w:t>Tiempo Estimado de Traslado en el Estado de México Según el sistema Informativo aeronáutico Latinoamericano</w:t>
      </w:r>
      <w:r>
        <w:rPr>
          <w:b/>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2"/>
        </w:rPr>
      </w:pPr>
    </w:p>
    <w:p>
      <w:pPr>
        <w:spacing w:before="0"/>
        <w:ind w:left="3175" w:right="618" w:firstLine="0"/>
        <w:jc w:val="left"/>
        <w:rPr>
          <w:sz w:val="16"/>
        </w:rPr>
      </w:pPr>
      <w:r>
        <w:rPr/>
        <w:pict>
          <v:shape style="position:absolute;margin-left:301.199982pt;margin-top:-81.286064pt;width:102.3pt;height:91.55pt;mso-position-horizontal-relative:page;mso-position-vertical-relative:paragraph;z-index:2416" type="#_x0000_t202" filled="false" stroked="false">
            <v:textbox inset="0,0,0,0">
              <w:txbxContent>
                <w:tbl>
                  <w:tblPr>
                    <w:tblW w:w="0" w:type="auto"/>
                    <w:jc w:val="left"/>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021"/>
                  </w:tblGrid>
                  <w:tr>
                    <w:trPr>
                      <w:trHeight w:val="318" w:hRule="exact"/>
                    </w:trPr>
                    <w:tc>
                      <w:tcPr>
                        <w:tcW w:w="2021" w:type="dxa"/>
                        <w:shd w:val="clear" w:color="auto" w:fill="00AFEF"/>
                      </w:tcPr>
                      <w:p>
                        <w:pPr>
                          <w:pStyle w:val="TableParagraph"/>
                          <w:spacing w:before="113"/>
                          <w:ind w:left="715" w:right="715"/>
                          <w:jc w:val="center"/>
                          <w:rPr>
                            <w:sz w:val="16"/>
                          </w:rPr>
                        </w:pPr>
                        <w:r>
                          <w:rPr>
                            <w:sz w:val="16"/>
                          </w:rPr>
                          <w:t>Tiempo</w:t>
                        </w:r>
                      </w:p>
                    </w:tc>
                  </w:tr>
                  <w:tr>
                    <w:trPr>
                      <w:trHeight w:val="1175" w:hRule="exact"/>
                    </w:trPr>
                    <w:tc>
                      <w:tcPr>
                        <w:tcW w:w="2021" w:type="dxa"/>
                      </w:tcPr>
                      <w:p>
                        <w:pPr>
                          <w:pStyle w:val="TableParagraph"/>
                          <w:spacing w:before="100"/>
                          <w:ind w:left="714" w:right="715"/>
                          <w:jc w:val="center"/>
                          <w:rPr>
                            <w:sz w:val="16"/>
                          </w:rPr>
                        </w:pPr>
                        <w:r>
                          <w:rPr>
                            <w:sz w:val="16"/>
                          </w:rPr>
                          <w:t>10</w:t>
                        </w:r>
                      </w:p>
                      <w:p>
                        <w:pPr>
                          <w:pStyle w:val="TableParagraph"/>
                          <w:spacing w:before="101"/>
                          <w:ind w:left="714" w:right="715"/>
                          <w:jc w:val="center"/>
                          <w:rPr>
                            <w:sz w:val="16"/>
                          </w:rPr>
                        </w:pPr>
                        <w:r>
                          <w:rPr>
                            <w:sz w:val="16"/>
                          </w:rPr>
                          <w:t>20</w:t>
                        </w:r>
                      </w:p>
                      <w:p>
                        <w:pPr>
                          <w:pStyle w:val="TableParagraph"/>
                          <w:spacing w:before="101"/>
                          <w:ind w:left="714" w:right="715"/>
                          <w:jc w:val="center"/>
                          <w:rPr>
                            <w:sz w:val="16"/>
                          </w:rPr>
                        </w:pPr>
                        <w:r>
                          <w:rPr>
                            <w:sz w:val="16"/>
                          </w:rPr>
                          <w:t>30</w:t>
                        </w:r>
                      </w:p>
                      <w:p>
                        <w:pPr>
                          <w:pStyle w:val="TableParagraph"/>
                          <w:spacing w:before="116"/>
                          <w:ind w:left="714" w:right="715"/>
                          <w:jc w:val="center"/>
                          <w:rPr>
                            <w:sz w:val="16"/>
                          </w:rPr>
                        </w:pPr>
                        <w:r>
                          <w:rPr>
                            <w:sz w:val="16"/>
                          </w:rPr>
                          <w:t>45</w:t>
                        </w:r>
                      </w:p>
                    </w:tc>
                  </w:tr>
                  <w:tr>
                    <w:trPr>
                      <w:trHeight w:val="322" w:hRule="exact"/>
                    </w:trPr>
                    <w:tc>
                      <w:tcPr>
                        <w:tcW w:w="2021" w:type="dxa"/>
                      </w:tcPr>
                      <w:p>
                        <w:pPr>
                          <w:pStyle w:val="TableParagraph"/>
                          <w:spacing w:before="116"/>
                          <w:ind w:left="715" w:right="715"/>
                          <w:jc w:val="center"/>
                          <w:rPr>
                            <w:sz w:val="16"/>
                          </w:rPr>
                        </w:pPr>
                        <w:r>
                          <w:rPr>
                            <w:sz w:val="16"/>
                          </w:rPr>
                          <w:t>26.25</w:t>
                        </w:r>
                      </w:p>
                    </w:tc>
                  </w:tr>
                </w:tbl>
                <w:p>
                  <w:pPr>
                    <w:pStyle w:val="BodyText"/>
                  </w:pPr>
                </w:p>
              </w:txbxContent>
            </v:textbox>
            <w10:wrap type="none"/>
          </v:shape>
        </w:pict>
      </w:r>
      <w:r>
        <w:rPr>
          <w:sz w:val="16"/>
        </w:rPr>
        <w:t>Tiempo Promedio</w:t>
      </w:r>
    </w:p>
    <w:p>
      <w:pPr>
        <w:spacing w:before="118"/>
        <w:ind w:left="3831" w:right="2926" w:firstLine="0"/>
        <w:jc w:val="center"/>
        <w:rPr>
          <w:b/>
          <w:sz w:val="16"/>
        </w:rPr>
      </w:pPr>
      <w:r>
        <w:rPr>
          <w:b/>
          <w:sz w:val="16"/>
        </w:rPr>
        <w:t>Fuente:SIAL</w:t>
      </w:r>
    </w:p>
    <w:p>
      <w:pPr>
        <w:pStyle w:val="BodyText"/>
        <w:spacing w:before="8"/>
        <w:rPr>
          <w:b/>
          <w:sz w:val="25"/>
        </w:rPr>
      </w:pPr>
    </w:p>
    <w:p>
      <w:pPr>
        <w:pStyle w:val="BodyText"/>
        <w:spacing w:line="360" w:lineRule="auto" w:before="69"/>
        <w:ind w:left="621" w:right="618"/>
        <w:jc w:val="both"/>
      </w:pPr>
      <w:r>
        <w:rPr/>
        <w:t>Acorde a la SIAL en situaciones de Riesgo 45 personas como mínimo se  necesitan 3 Helicópteros relámpagos en tres viajes cada uno así trasladando los 45 en un tiempo promedio de 26.25 por</w:t>
      </w:r>
      <w:r>
        <w:rPr>
          <w:spacing w:val="-30"/>
        </w:rPr>
        <w:t> </w:t>
      </w:r>
      <w:r>
        <w:rPr/>
        <w:t>vuelo.</w:t>
      </w:r>
    </w:p>
    <w:p>
      <w:pPr>
        <w:pStyle w:val="BodyText"/>
        <w:spacing w:before="2"/>
        <w:ind w:left="621"/>
        <w:jc w:val="both"/>
      </w:pPr>
      <w:r>
        <w:rPr/>
        <w:t>Datos</w:t>
      </w:r>
    </w:p>
    <w:p>
      <w:pPr>
        <w:pStyle w:val="BodyText"/>
        <w:spacing w:before="8"/>
        <w:rPr>
          <w:sz w:val="13"/>
        </w:rPr>
      </w:pPr>
    </w:p>
    <w:tbl>
      <w:tblPr>
        <w:tblW w:w="0" w:type="auto"/>
        <w:jc w:val="left"/>
        <w:tblInd w:w="7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13"/>
        <w:gridCol w:w="1719"/>
        <w:gridCol w:w="3209"/>
        <w:gridCol w:w="718"/>
        <w:gridCol w:w="365"/>
      </w:tblGrid>
      <w:tr>
        <w:trPr>
          <w:trHeight w:val="323" w:hRule="exact"/>
        </w:trPr>
        <w:tc>
          <w:tcPr>
            <w:tcW w:w="2013" w:type="dxa"/>
          </w:tcPr>
          <w:p>
            <w:pPr>
              <w:pStyle w:val="TableParagraph"/>
              <w:spacing w:before="80"/>
              <w:ind w:left="35"/>
              <w:rPr>
                <w:sz w:val="16"/>
              </w:rPr>
            </w:pPr>
            <w:r>
              <w:rPr>
                <w:sz w:val="16"/>
              </w:rPr>
              <w:t>Riesgo</w:t>
            </w:r>
          </w:p>
        </w:tc>
        <w:tc>
          <w:tcPr>
            <w:tcW w:w="1719" w:type="dxa"/>
          </w:tcPr>
          <w:p>
            <w:pPr>
              <w:pStyle w:val="TableParagraph"/>
              <w:spacing w:before="80"/>
              <w:ind w:right="452"/>
              <w:jc w:val="right"/>
              <w:rPr>
                <w:sz w:val="16"/>
              </w:rPr>
            </w:pPr>
            <w:r>
              <w:rPr>
                <w:sz w:val="16"/>
              </w:rPr>
              <w:t>45</w:t>
            </w:r>
          </w:p>
        </w:tc>
        <w:tc>
          <w:tcPr>
            <w:tcW w:w="3209" w:type="dxa"/>
          </w:tcPr>
          <w:p>
            <w:pPr>
              <w:pStyle w:val="TableParagraph"/>
              <w:spacing w:before="80"/>
              <w:ind w:left="454"/>
              <w:rPr>
                <w:sz w:val="16"/>
              </w:rPr>
            </w:pPr>
            <w:r>
              <w:rPr>
                <w:sz w:val="16"/>
              </w:rPr>
              <w:t>Total de Tiempo por un Helicoptero</w:t>
            </w:r>
          </w:p>
        </w:tc>
        <w:tc>
          <w:tcPr>
            <w:tcW w:w="1083" w:type="dxa"/>
            <w:gridSpan w:val="2"/>
          </w:tcPr>
          <w:p>
            <w:pPr/>
          </w:p>
        </w:tc>
      </w:tr>
      <w:tr>
        <w:trPr>
          <w:trHeight w:val="323" w:hRule="exact"/>
        </w:trPr>
        <w:tc>
          <w:tcPr>
            <w:tcW w:w="2013" w:type="dxa"/>
          </w:tcPr>
          <w:p>
            <w:pPr>
              <w:pStyle w:val="TableParagraph"/>
              <w:spacing w:before="42"/>
              <w:ind w:left="35"/>
              <w:rPr>
                <w:sz w:val="16"/>
              </w:rPr>
            </w:pPr>
            <w:r>
              <w:rPr>
                <w:sz w:val="16"/>
              </w:rPr>
              <w:t>Helicópteros</w:t>
            </w:r>
          </w:p>
        </w:tc>
        <w:tc>
          <w:tcPr>
            <w:tcW w:w="1719" w:type="dxa"/>
          </w:tcPr>
          <w:p>
            <w:pPr>
              <w:pStyle w:val="TableParagraph"/>
              <w:spacing w:before="42"/>
              <w:ind w:right="495"/>
              <w:jc w:val="right"/>
              <w:rPr>
                <w:sz w:val="16"/>
              </w:rPr>
            </w:pPr>
            <w:r>
              <w:rPr>
                <w:w w:val="100"/>
                <w:sz w:val="16"/>
              </w:rPr>
              <w:t>3</w:t>
            </w:r>
          </w:p>
        </w:tc>
        <w:tc>
          <w:tcPr>
            <w:tcW w:w="3209" w:type="dxa"/>
          </w:tcPr>
          <w:p>
            <w:pPr/>
          </w:p>
        </w:tc>
        <w:tc>
          <w:tcPr>
            <w:tcW w:w="718" w:type="dxa"/>
          </w:tcPr>
          <w:p>
            <w:pPr>
              <w:pStyle w:val="TableParagraph"/>
              <w:spacing w:before="42"/>
              <w:ind w:left="245"/>
              <w:rPr>
                <w:sz w:val="16"/>
              </w:rPr>
            </w:pPr>
            <w:r>
              <w:rPr>
                <w:sz w:val="16"/>
              </w:rPr>
              <w:t>78.75</w:t>
            </w:r>
          </w:p>
        </w:tc>
        <w:tc>
          <w:tcPr>
            <w:tcW w:w="365" w:type="dxa"/>
          </w:tcPr>
          <w:p>
            <w:pPr>
              <w:pStyle w:val="TableParagraph"/>
              <w:spacing w:before="42"/>
              <w:ind w:left="70"/>
              <w:rPr>
                <w:sz w:val="16"/>
              </w:rPr>
            </w:pPr>
            <w:r>
              <w:rPr>
                <w:sz w:val="16"/>
              </w:rPr>
              <w:t>min</w:t>
            </w:r>
          </w:p>
        </w:tc>
      </w:tr>
    </w:tbl>
    <w:p>
      <w:pPr>
        <w:pStyle w:val="BodyText"/>
        <w:spacing w:before="1"/>
        <w:rPr>
          <w:sz w:val="18"/>
        </w:rPr>
      </w:pPr>
    </w:p>
    <w:p>
      <w:pPr>
        <w:tabs>
          <w:tab w:pos="3899" w:val="left" w:leader="none"/>
          <w:tab w:pos="4941" w:val="left" w:leader="none"/>
        </w:tabs>
        <w:spacing w:before="80"/>
        <w:ind w:left="789" w:right="618" w:firstLine="0"/>
        <w:jc w:val="left"/>
        <w:rPr>
          <w:sz w:val="16"/>
        </w:rPr>
      </w:pPr>
      <w:r>
        <w:rPr>
          <w:sz w:val="16"/>
        </w:rPr>
        <w:t>Capacidad</w:t>
      </w:r>
      <w:r>
        <w:rPr>
          <w:spacing w:val="-3"/>
          <w:sz w:val="16"/>
        </w:rPr>
        <w:t> </w:t>
      </w:r>
      <w:r>
        <w:rPr>
          <w:sz w:val="16"/>
        </w:rPr>
        <w:t>por</w:t>
      </w:r>
      <w:r>
        <w:rPr>
          <w:spacing w:val="-3"/>
          <w:sz w:val="16"/>
        </w:rPr>
        <w:t> </w:t>
      </w:r>
      <w:r>
        <w:rPr>
          <w:sz w:val="16"/>
        </w:rPr>
        <w:t>Helicóptero</w:t>
        <w:tab/>
        <w:t>5</w:t>
        <w:tab/>
        <w:t>Total de  tiempo de Uso por los 3</w:t>
      </w:r>
      <w:r>
        <w:rPr>
          <w:spacing w:val="-15"/>
          <w:sz w:val="16"/>
        </w:rPr>
        <w:t> </w:t>
      </w:r>
      <w:r>
        <w:rPr>
          <w:sz w:val="16"/>
        </w:rPr>
        <w:t>helicopteros</w:t>
      </w:r>
    </w:p>
    <w:p>
      <w:pPr>
        <w:pStyle w:val="BodyText"/>
        <w:spacing w:before="1"/>
        <w:rPr>
          <w:sz w:val="22"/>
        </w:rPr>
      </w:pPr>
    </w:p>
    <w:p>
      <w:pPr>
        <w:tabs>
          <w:tab w:pos="8757" w:val="left" w:leader="none"/>
        </w:tabs>
        <w:spacing w:before="80"/>
        <w:ind w:left="6395" w:right="618" w:firstLine="0"/>
        <w:jc w:val="left"/>
        <w:rPr>
          <w:sz w:val="16"/>
        </w:rPr>
      </w:pPr>
      <w:r>
        <w:rPr/>
        <w:pict>
          <v:shape style="position:absolute;margin-left:91.729996pt;margin-top:7.668969pt;width:259.4pt;height:41.45pt;mso-position-horizontal-relative:page;mso-position-vertical-relative:paragraph;z-index:24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95"/>
                    <w:gridCol w:w="1390"/>
                    <w:gridCol w:w="1303"/>
                  </w:tblGrid>
                  <w:tr>
                    <w:trPr>
                      <w:trHeight w:val="506" w:hRule="exact"/>
                    </w:trPr>
                    <w:tc>
                      <w:tcPr>
                        <w:tcW w:w="2495" w:type="dxa"/>
                      </w:tcPr>
                      <w:p>
                        <w:pPr>
                          <w:pStyle w:val="TableParagraph"/>
                          <w:spacing w:before="80"/>
                          <w:ind w:left="35" w:right="78"/>
                          <w:rPr>
                            <w:sz w:val="16"/>
                          </w:rPr>
                        </w:pPr>
                        <w:r>
                          <w:rPr>
                            <w:sz w:val="16"/>
                          </w:rPr>
                          <w:t>Costo de la Renta por uso de hora del Helicóptero</w:t>
                        </w:r>
                      </w:p>
                    </w:tc>
                    <w:tc>
                      <w:tcPr>
                        <w:tcW w:w="1390" w:type="dxa"/>
                      </w:tcPr>
                      <w:p>
                        <w:pPr>
                          <w:pStyle w:val="TableParagraph"/>
                          <w:spacing w:before="9"/>
                          <w:rPr>
                            <w:b/>
                            <w:sz w:val="22"/>
                          </w:rPr>
                        </w:pPr>
                      </w:p>
                      <w:p>
                        <w:pPr>
                          <w:pStyle w:val="TableParagraph"/>
                          <w:ind w:left="283" w:right="283"/>
                          <w:jc w:val="center"/>
                          <w:rPr>
                            <w:sz w:val="16"/>
                          </w:rPr>
                        </w:pPr>
                        <w:r>
                          <w:rPr>
                            <w:sz w:val="16"/>
                          </w:rPr>
                          <w:t>3,300 USD</w:t>
                        </w:r>
                      </w:p>
                    </w:tc>
                    <w:tc>
                      <w:tcPr>
                        <w:tcW w:w="1303" w:type="dxa"/>
                      </w:tcPr>
                      <w:p>
                        <w:pPr/>
                      </w:p>
                    </w:tc>
                  </w:tr>
                  <w:tr>
                    <w:trPr>
                      <w:trHeight w:val="323" w:hRule="exact"/>
                    </w:trPr>
                    <w:tc>
                      <w:tcPr>
                        <w:tcW w:w="2495" w:type="dxa"/>
                      </w:tcPr>
                      <w:p>
                        <w:pPr>
                          <w:pStyle w:val="TableParagraph"/>
                          <w:spacing w:before="42"/>
                          <w:ind w:left="35" w:right="78"/>
                          <w:rPr>
                            <w:sz w:val="16"/>
                          </w:rPr>
                        </w:pPr>
                        <w:r>
                          <w:rPr>
                            <w:sz w:val="16"/>
                          </w:rPr>
                          <w:t>Tipo de Cambio</w:t>
                        </w:r>
                      </w:p>
                    </w:tc>
                    <w:tc>
                      <w:tcPr>
                        <w:tcW w:w="1390" w:type="dxa"/>
                      </w:tcPr>
                      <w:p>
                        <w:pPr>
                          <w:pStyle w:val="TableParagraph"/>
                          <w:spacing w:before="42"/>
                          <w:ind w:left="283" w:right="283"/>
                          <w:jc w:val="center"/>
                          <w:rPr>
                            <w:sz w:val="16"/>
                          </w:rPr>
                        </w:pPr>
                        <w:r>
                          <w:rPr>
                            <w:sz w:val="16"/>
                          </w:rPr>
                          <w:t>13.43</w:t>
                        </w:r>
                      </w:p>
                    </w:tc>
                    <w:tc>
                      <w:tcPr>
                        <w:tcW w:w="1303" w:type="dxa"/>
                      </w:tcPr>
                      <w:p>
                        <w:pPr>
                          <w:pStyle w:val="TableParagraph"/>
                          <w:spacing w:before="42"/>
                          <w:ind w:left="302"/>
                          <w:rPr>
                            <w:sz w:val="16"/>
                          </w:rPr>
                        </w:pPr>
                        <w:r>
                          <w:rPr>
                            <w:sz w:val="16"/>
                          </w:rPr>
                          <w:t>Tiempo = Hrs</w:t>
                        </w:r>
                      </w:p>
                    </w:tc>
                  </w:tr>
                </w:tbl>
                <w:p>
                  <w:pPr>
                    <w:pStyle w:val="BodyText"/>
                  </w:pPr>
                </w:p>
              </w:txbxContent>
            </v:textbox>
            <w10:wrap type="none"/>
          </v:shape>
        </w:pict>
      </w:r>
      <w:r>
        <w:rPr>
          <w:sz w:val="16"/>
        </w:rPr>
        <w:t>236.25</w:t>
        <w:tab/>
        <w:t>min</w:t>
      </w:r>
    </w:p>
    <w:p>
      <w:pPr>
        <w:pStyle w:val="BodyText"/>
        <w:rPr>
          <w:sz w:val="20"/>
        </w:rPr>
      </w:pPr>
    </w:p>
    <w:p>
      <w:pPr>
        <w:pStyle w:val="BodyText"/>
        <w:rPr>
          <w:sz w:val="20"/>
        </w:rPr>
      </w:pPr>
    </w:p>
    <w:p>
      <w:pPr>
        <w:pStyle w:val="BodyText"/>
        <w:spacing w:before="10"/>
        <w:rPr>
          <w:sz w:val="15"/>
        </w:rPr>
      </w:pPr>
    </w:p>
    <w:p>
      <w:pPr>
        <w:spacing w:before="80"/>
        <w:ind w:left="0" w:right="1734" w:firstLine="0"/>
        <w:jc w:val="right"/>
        <w:rPr>
          <w:sz w:val="16"/>
        </w:rPr>
      </w:pPr>
      <w:r>
        <w:rPr>
          <w:sz w:val="16"/>
        </w:rPr>
        <w:t>3.9375</w:t>
      </w:r>
    </w:p>
    <w:p>
      <w:pPr>
        <w:tabs>
          <w:tab w:pos="1125" w:val="left" w:leader="none"/>
        </w:tabs>
        <w:spacing w:before="101"/>
        <w:ind w:left="0" w:right="787" w:firstLine="0"/>
        <w:jc w:val="right"/>
        <w:rPr>
          <w:sz w:val="16"/>
        </w:rPr>
      </w:pPr>
      <w:r>
        <w:rPr>
          <w:sz w:val="16"/>
        </w:rPr>
        <w:t>04:30</w:t>
        <w:tab/>
      </w:r>
      <w:r>
        <w:rPr>
          <w:spacing w:val="-1"/>
          <w:sz w:val="16"/>
        </w:rPr>
        <w:t>4.5</w:t>
      </w:r>
    </w:p>
    <w:p>
      <w:pPr>
        <w:pStyle w:val="BodyText"/>
        <w:rPr>
          <w:sz w:val="16"/>
        </w:rPr>
      </w:pPr>
    </w:p>
    <w:p>
      <w:pPr>
        <w:pStyle w:val="BodyText"/>
        <w:spacing w:before="7"/>
        <w:rPr>
          <w:sz w:val="22"/>
        </w:rPr>
      </w:pPr>
    </w:p>
    <w:p>
      <w:pPr>
        <w:pStyle w:val="Heading1"/>
        <w:spacing w:before="0" w:after="3"/>
        <w:ind w:left="1951" w:right="618"/>
        <w:jc w:val="left"/>
      </w:pPr>
      <w:r>
        <w:rPr/>
        <w:t>Costo promedio de usos en desastres los relámpagos</w:t>
      </w:r>
    </w:p>
    <w:tbl>
      <w:tblPr>
        <w:tblW w:w="0" w:type="auto"/>
        <w:jc w:val="left"/>
        <w:tblInd w:w="61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68"/>
        <w:gridCol w:w="1044"/>
        <w:gridCol w:w="648"/>
        <w:gridCol w:w="996"/>
        <w:gridCol w:w="624"/>
        <w:gridCol w:w="1418"/>
        <w:gridCol w:w="1135"/>
        <w:gridCol w:w="1841"/>
      </w:tblGrid>
      <w:tr>
        <w:trPr>
          <w:trHeight w:val="578" w:hRule="exact"/>
        </w:trPr>
        <w:tc>
          <w:tcPr>
            <w:tcW w:w="1368" w:type="dxa"/>
            <w:shd w:val="clear" w:color="auto" w:fill="00AFEF"/>
          </w:tcPr>
          <w:p>
            <w:pPr>
              <w:pStyle w:val="TableParagraph"/>
              <w:spacing w:before="5"/>
              <w:rPr>
                <w:b/>
                <w:sz w:val="16"/>
              </w:rPr>
            </w:pPr>
          </w:p>
          <w:p>
            <w:pPr>
              <w:pStyle w:val="TableParagraph"/>
              <w:ind w:left="259" w:right="51"/>
              <w:rPr>
                <w:b/>
                <w:sz w:val="16"/>
              </w:rPr>
            </w:pPr>
            <w:r>
              <w:rPr>
                <w:b/>
                <w:sz w:val="16"/>
              </w:rPr>
              <w:t>Uso x Hora</w:t>
            </w:r>
          </w:p>
        </w:tc>
        <w:tc>
          <w:tcPr>
            <w:tcW w:w="1044" w:type="dxa"/>
            <w:shd w:val="clear" w:color="auto" w:fill="00AFEF"/>
          </w:tcPr>
          <w:p>
            <w:pPr>
              <w:pStyle w:val="TableParagraph"/>
              <w:spacing w:before="5"/>
              <w:rPr>
                <w:b/>
                <w:sz w:val="16"/>
              </w:rPr>
            </w:pPr>
          </w:p>
          <w:p>
            <w:pPr>
              <w:pStyle w:val="TableParagraph"/>
              <w:ind w:right="158"/>
              <w:jc w:val="right"/>
              <w:rPr>
                <w:b/>
                <w:sz w:val="16"/>
              </w:rPr>
            </w:pPr>
            <w:r>
              <w:rPr>
                <w:b/>
                <w:sz w:val="16"/>
              </w:rPr>
              <w:t>44,319.00</w:t>
            </w:r>
          </w:p>
        </w:tc>
        <w:tc>
          <w:tcPr>
            <w:tcW w:w="648" w:type="dxa"/>
            <w:shd w:val="clear" w:color="auto" w:fill="00AFEF"/>
          </w:tcPr>
          <w:p>
            <w:pPr>
              <w:pStyle w:val="TableParagraph"/>
              <w:spacing w:before="96"/>
              <w:ind w:left="160" w:right="81" w:hanging="65"/>
              <w:rPr>
                <w:b/>
                <w:sz w:val="16"/>
              </w:rPr>
            </w:pPr>
            <w:r>
              <w:rPr>
                <w:b/>
                <w:sz w:val="16"/>
              </w:rPr>
              <w:t>No de dias</w:t>
            </w:r>
          </w:p>
        </w:tc>
        <w:tc>
          <w:tcPr>
            <w:tcW w:w="996" w:type="dxa"/>
            <w:shd w:val="clear" w:color="auto" w:fill="00AFEF"/>
          </w:tcPr>
          <w:p>
            <w:pPr>
              <w:pStyle w:val="TableParagraph"/>
              <w:spacing w:before="4"/>
              <w:ind w:left="117" w:right="110" w:hanging="6"/>
              <w:jc w:val="center"/>
              <w:rPr>
                <w:b/>
                <w:sz w:val="16"/>
              </w:rPr>
            </w:pPr>
            <w:r>
              <w:rPr>
                <w:b/>
                <w:sz w:val="16"/>
              </w:rPr>
              <w:t>Costo de la Renta x hra</w:t>
            </w:r>
          </w:p>
        </w:tc>
        <w:tc>
          <w:tcPr>
            <w:tcW w:w="624" w:type="dxa"/>
            <w:shd w:val="clear" w:color="auto" w:fill="00AFEF"/>
          </w:tcPr>
          <w:p>
            <w:pPr>
              <w:pStyle w:val="TableParagraph"/>
              <w:spacing w:before="96"/>
              <w:ind w:left="165" w:right="147" w:firstLine="9"/>
              <w:rPr>
                <w:b/>
                <w:sz w:val="16"/>
              </w:rPr>
            </w:pPr>
            <w:r>
              <w:rPr>
                <w:b/>
                <w:sz w:val="16"/>
              </w:rPr>
              <w:t>Hrs uso</w:t>
            </w:r>
          </w:p>
        </w:tc>
        <w:tc>
          <w:tcPr>
            <w:tcW w:w="1418" w:type="dxa"/>
            <w:shd w:val="clear" w:color="auto" w:fill="00AFEF"/>
          </w:tcPr>
          <w:p>
            <w:pPr>
              <w:pStyle w:val="TableParagraph"/>
              <w:spacing w:before="96"/>
              <w:ind w:left="256" w:right="237" w:firstLine="225"/>
              <w:rPr>
                <w:b/>
                <w:sz w:val="16"/>
              </w:rPr>
            </w:pPr>
            <w:r>
              <w:rPr>
                <w:b/>
                <w:sz w:val="16"/>
              </w:rPr>
              <w:t>No de relámpagos</w:t>
            </w:r>
          </w:p>
        </w:tc>
        <w:tc>
          <w:tcPr>
            <w:tcW w:w="1135" w:type="dxa"/>
            <w:shd w:val="clear" w:color="auto" w:fill="00AFEF"/>
          </w:tcPr>
          <w:p>
            <w:pPr>
              <w:pStyle w:val="TableParagraph"/>
              <w:spacing w:before="5"/>
              <w:rPr>
                <w:b/>
                <w:sz w:val="16"/>
              </w:rPr>
            </w:pPr>
          </w:p>
          <w:p>
            <w:pPr>
              <w:pStyle w:val="TableParagraph"/>
              <w:jc w:val="center"/>
              <w:rPr>
                <w:b/>
                <w:sz w:val="16"/>
              </w:rPr>
            </w:pPr>
            <w:r>
              <w:rPr>
                <w:b/>
                <w:sz w:val="16"/>
              </w:rPr>
              <w:t>vueltas</w:t>
            </w:r>
          </w:p>
        </w:tc>
        <w:tc>
          <w:tcPr>
            <w:tcW w:w="1841" w:type="dxa"/>
            <w:shd w:val="clear" w:color="auto" w:fill="00AFEF"/>
          </w:tcPr>
          <w:p>
            <w:pPr>
              <w:pStyle w:val="TableParagraph"/>
              <w:spacing w:before="5"/>
              <w:rPr>
                <w:b/>
                <w:sz w:val="16"/>
              </w:rPr>
            </w:pPr>
          </w:p>
          <w:p>
            <w:pPr>
              <w:pStyle w:val="TableParagraph"/>
              <w:ind w:left="1"/>
              <w:jc w:val="center"/>
              <w:rPr>
                <w:b/>
                <w:sz w:val="16"/>
              </w:rPr>
            </w:pPr>
            <w:r>
              <w:rPr>
                <w:b/>
                <w:sz w:val="16"/>
              </w:rPr>
              <w:t>Total</w:t>
            </w:r>
          </w:p>
        </w:tc>
      </w:tr>
      <w:tr>
        <w:trPr>
          <w:trHeight w:val="1151" w:hRule="exact"/>
        </w:trPr>
        <w:tc>
          <w:tcPr>
            <w:tcW w:w="1368" w:type="dxa"/>
          </w:tcPr>
          <w:p>
            <w:pPr>
              <w:pStyle w:val="TableParagraph"/>
              <w:rPr>
                <w:b/>
                <w:sz w:val="16"/>
              </w:rPr>
            </w:pPr>
          </w:p>
          <w:p>
            <w:pPr>
              <w:pStyle w:val="TableParagraph"/>
              <w:rPr>
                <w:b/>
                <w:sz w:val="16"/>
              </w:rPr>
            </w:pPr>
          </w:p>
          <w:p>
            <w:pPr>
              <w:pStyle w:val="TableParagraph"/>
              <w:spacing w:before="1"/>
              <w:rPr>
                <w:b/>
                <w:sz w:val="19"/>
              </w:rPr>
            </w:pPr>
          </w:p>
          <w:p>
            <w:pPr>
              <w:pStyle w:val="TableParagraph"/>
              <w:spacing w:before="1"/>
              <w:ind w:left="230" w:right="51" w:hanging="159"/>
              <w:rPr>
                <w:sz w:val="16"/>
              </w:rPr>
            </w:pPr>
            <w:r>
              <w:rPr>
                <w:sz w:val="16"/>
              </w:rPr>
              <w:t>Total de la Renta del Uso de 3 Relampagos</w:t>
            </w:r>
          </w:p>
        </w:tc>
        <w:tc>
          <w:tcPr>
            <w:tcW w:w="1044" w:type="dxa"/>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
              <w:rPr>
                <w:b/>
                <w:sz w:val="19"/>
              </w:rPr>
            </w:pPr>
          </w:p>
          <w:p>
            <w:pPr>
              <w:pStyle w:val="TableParagraph"/>
              <w:ind w:right="165"/>
              <w:jc w:val="right"/>
              <w:rPr>
                <w:sz w:val="16"/>
              </w:rPr>
            </w:pPr>
            <w:r>
              <w:rPr>
                <w:sz w:val="16"/>
              </w:rPr>
              <w:t>199,435.50</w:t>
            </w:r>
          </w:p>
        </w:tc>
        <w:tc>
          <w:tcPr>
            <w:tcW w:w="648" w:type="dxa"/>
          </w:tcPr>
          <w:p>
            <w:pPr>
              <w:pStyle w:val="TableParagraph"/>
              <w:rPr>
                <w:b/>
                <w:sz w:val="16"/>
              </w:rPr>
            </w:pPr>
          </w:p>
          <w:p>
            <w:pPr>
              <w:pStyle w:val="TableParagraph"/>
              <w:rPr>
                <w:b/>
                <w:sz w:val="16"/>
              </w:rPr>
            </w:pPr>
          </w:p>
          <w:p>
            <w:pPr>
              <w:pStyle w:val="TableParagraph"/>
              <w:spacing w:before="110"/>
              <w:jc w:val="center"/>
              <w:rPr>
                <w:sz w:val="16"/>
              </w:rPr>
            </w:pPr>
            <w:r>
              <w:rPr>
                <w:w w:val="100"/>
                <w:sz w:val="16"/>
              </w:rPr>
              <w:t>2</w:t>
            </w:r>
          </w:p>
        </w:tc>
        <w:tc>
          <w:tcPr>
            <w:tcW w:w="996" w:type="dxa"/>
          </w:tcPr>
          <w:p>
            <w:pPr>
              <w:pStyle w:val="TableParagraph"/>
              <w:rPr>
                <w:b/>
                <w:sz w:val="16"/>
              </w:rPr>
            </w:pPr>
          </w:p>
          <w:p>
            <w:pPr>
              <w:pStyle w:val="TableParagraph"/>
              <w:rPr>
                <w:b/>
                <w:sz w:val="16"/>
              </w:rPr>
            </w:pPr>
          </w:p>
          <w:p>
            <w:pPr>
              <w:pStyle w:val="TableParagraph"/>
              <w:spacing w:before="5"/>
              <w:rPr>
                <w:b/>
                <w:sz w:val="17"/>
              </w:rPr>
            </w:pPr>
          </w:p>
          <w:p>
            <w:pPr>
              <w:pStyle w:val="TableParagraph"/>
              <w:ind w:left="139"/>
              <w:rPr>
                <w:sz w:val="16"/>
              </w:rPr>
            </w:pPr>
            <w:r>
              <w:rPr>
                <w:sz w:val="16"/>
              </w:rPr>
              <w:t>44,319.00</w:t>
            </w:r>
          </w:p>
        </w:tc>
        <w:tc>
          <w:tcPr>
            <w:tcW w:w="624" w:type="dxa"/>
          </w:tcPr>
          <w:p>
            <w:pPr>
              <w:pStyle w:val="TableParagraph"/>
              <w:rPr>
                <w:b/>
                <w:sz w:val="16"/>
              </w:rPr>
            </w:pPr>
          </w:p>
          <w:p>
            <w:pPr>
              <w:pStyle w:val="TableParagraph"/>
              <w:rPr>
                <w:b/>
                <w:sz w:val="16"/>
              </w:rPr>
            </w:pPr>
          </w:p>
          <w:p>
            <w:pPr>
              <w:pStyle w:val="TableParagraph"/>
              <w:spacing w:before="110"/>
              <w:ind w:left="200" w:right="198"/>
              <w:jc w:val="center"/>
              <w:rPr>
                <w:sz w:val="16"/>
              </w:rPr>
            </w:pPr>
            <w:r>
              <w:rPr>
                <w:sz w:val="16"/>
              </w:rPr>
              <w:t>24</w:t>
            </w:r>
          </w:p>
        </w:tc>
        <w:tc>
          <w:tcPr>
            <w:tcW w:w="1418" w:type="dxa"/>
          </w:tcPr>
          <w:p>
            <w:pPr>
              <w:pStyle w:val="TableParagraph"/>
              <w:rPr>
                <w:b/>
                <w:sz w:val="16"/>
              </w:rPr>
            </w:pPr>
          </w:p>
          <w:p>
            <w:pPr>
              <w:pStyle w:val="TableParagraph"/>
              <w:rPr>
                <w:b/>
                <w:sz w:val="16"/>
              </w:rPr>
            </w:pPr>
          </w:p>
          <w:p>
            <w:pPr>
              <w:pStyle w:val="TableParagraph"/>
              <w:spacing w:before="5"/>
              <w:rPr>
                <w:b/>
                <w:sz w:val="17"/>
              </w:rPr>
            </w:pPr>
          </w:p>
          <w:p>
            <w:pPr>
              <w:pStyle w:val="TableParagraph"/>
              <w:ind w:left="84" w:right="84"/>
              <w:jc w:val="center"/>
              <w:rPr>
                <w:sz w:val="16"/>
              </w:rPr>
            </w:pPr>
            <w:r>
              <w:rPr>
                <w:sz w:val="16"/>
              </w:rPr>
              <w:t>3.00</w:t>
            </w:r>
          </w:p>
        </w:tc>
        <w:tc>
          <w:tcPr>
            <w:tcW w:w="1135" w:type="dxa"/>
          </w:tcPr>
          <w:p>
            <w:pPr>
              <w:pStyle w:val="TableParagraph"/>
              <w:rPr>
                <w:b/>
                <w:sz w:val="16"/>
              </w:rPr>
            </w:pPr>
          </w:p>
          <w:p>
            <w:pPr>
              <w:pStyle w:val="TableParagraph"/>
              <w:rPr>
                <w:b/>
                <w:sz w:val="16"/>
              </w:rPr>
            </w:pPr>
          </w:p>
          <w:p>
            <w:pPr>
              <w:pStyle w:val="TableParagraph"/>
              <w:spacing w:before="110"/>
              <w:ind w:right="1"/>
              <w:jc w:val="center"/>
              <w:rPr>
                <w:sz w:val="16"/>
              </w:rPr>
            </w:pPr>
            <w:r>
              <w:rPr>
                <w:w w:val="100"/>
                <w:sz w:val="16"/>
              </w:rPr>
              <w:t>3</w:t>
            </w:r>
          </w:p>
        </w:tc>
        <w:tc>
          <w:tcPr>
            <w:tcW w:w="1841" w:type="dxa"/>
          </w:tcPr>
          <w:p>
            <w:pPr>
              <w:pStyle w:val="TableParagraph"/>
              <w:rPr>
                <w:b/>
                <w:sz w:val="16"/>
              </w:rPr>
            </w:pPr>
          </w:p>
          <w:p>
            <w:pPr>
              <w:pStyle w:val="TableParagraph"/>
              <w:rPr>
                <w:b/>
                <w:sz w:val="16"/>
              </w:rPr>
            </w:pPr>
          </w:p>
          <w:p>
            <w:pPr>
              <w:pStyle w:val="TableParagraph"/>
              <w:spacing w:before="110"/>
              <w:ind w:left="520" w:right="229"/>
              <w:rPr>
                <w:sz w:val="16"/>
              </w:rPr>
            </w:pPr>
            <w:r>
              <w:rPr>
                <w:sz w:val="16"/>
              </w:rPr>
              <w:t>9,572,904.00</w:t>
            </w:r>
          </w:p>
        </w:tc>
      </w:tr>
    </w:tbl>
    <w:p>
      <w:pPr>
        <w:pStyle w:val="BodyText"/>
        <w:rPr>
          <w:b/>
          <w:sz w:val="20"/>
        </w:rPr>
      </w:pPr>
    </w:p>
    <w:p>
      <w:pPr>
        <w:pStyle w:val="BodyText"/>
        <w:rPr>
          <w:b/>
          <w:sz w:val="20"/>
        </w:rPr>
      </w:pPr>
    </w:p>
    <w:p>
      <w:pPr>
        <w:pStyle w:val="BodyText"/>
        <w:spacing w:before="10"/>
        <w:rPr>
          <w:b/>
          <w:sz w:val="23"/>
        </w:rPr>
      </w:pPr>
    </w:p>
    <w:p>
      <w:pPr>
        <w:spacing w:before="70" w:after="3"/>
        <w:ind w:left="3831" w:right="3834" w:firstLine="0"/>
        <w:jc w:val="center"/>
        <w:rPr>
          <w:b/>
          <w:sz w:val="24"/>
        </w:rPr>
      </w:pPr>
      <w:r>
        <w:rPr>
          <w:b/>
          <w:sz w:val="24"/>
        </w:rPr>
        <w:t>Calculo de las metas</w:t>
      </w:r>
    </w:p>
    <w:tbl>
      <w:tblPr>
        <w:tblW w:w="0" w:type="auto"/>
        <w:jc w:val="left"/>
        <w:tblInd w:w="11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9"/>
        <w:gridCol w:w="1702"/>
        <w:gridCol w:w="1034"/>
        <w:gridCol w:w="3079"/>
        <w:gridCol w:w="1776"/>
      </w:tblGrid>
      <w:tr>
        <w:trPr>
          <w:trHeight w:val="293" w:hRule="exact"/>
        </w:trPr>
        <w:tc>
          <w:tcPr>
            <w:tcW w:w="2249" w:type="dxa"/>
            <w:shd w:val="clear" w:color="auto" w:fill="00AFEF"/>
          </w:tcPr>
          <w:p>
            <w:pPr/>
          </w:p>
        </w:tc>
        <w:tc>
          <w:tcPr>
            <w:tcW w:w="5815" w:type="dxa"/>
            <w:gridSpan w:val="3"/>
            <w:shd w:val="clear" w:color="auto" w:fill="00AFEF"/>
          </w:tcPr>
          <w:p>
            <w:pPr>
              <w:pStyle w:val="TableParagraph"/>
              <w:spacing w:before="96"/>
              <w:ind w:left="67"/>
              <w:rPr>
                <w:b/>
                <w:sz w:val="16"/>
              </w:rPr>
            </w:pPr>
            <w:r>
              <w:rPr>
                <w:b/>
                <w:sz w:val="16"/>
              </w:rPr>
              <w:t>Atención de Pacientes  en situación de Catástrofes</w:t>
            </w:r>
          </w:p>
        </w:tc>
        <w:tc>
          <w:tcPr>
            <w:tcW w:w="1776" w:type="dxa"/>
            <w:shd w:val="clear" w:color="auto" w:fill="00AFEF"/>
          </w:tcPr>
          <w:p>
            <w:pPr/>
          </w:p>
        </w:tc>
      </w:tr>
      <w:tr>
        <w:trPr>
          <w:trHeight w:val="296" w:hRule="exact"/>
        </w:trPr>
        <w:tc>
          <w:tcPr>
            <w:tcW w:w="2249" w:type="dxa"/>
          </w:tcPr>
          <w:p>
            <w:pPr>
              <w:pStyle w:val="TableParagraph"/>
              <w:spacing w:before="100"/>
              <w:ind w:left="391"/>
              <w:rPr>
                <w:sz w:val="16"/>
              </w:rPr>
            </w:pPr>
            <w:r>
              <w:rPr>
                <w:sz w:val="16"/>
              </w:rPr>
              <w:t>Capacidad Instalada</w:t>
            </w:r>
          </w:p>
        </w:tc>
        <w:tc>
          <w:tcPr>
            <w:tcW w:w="1702" w:type="dxa"/>
          </w:tcPr>
          <w:p>
            <w:pPr>
              <w:pStyle w:val="TableParagraph"/>
              <w:spacing w:before="100"/>
              <w:ind w:left="477" w:right="474"/>
              <w:jc w:val="center"/>
              <w:rPr>
                <w:sz w:val="16"/>
              </w:rPr>
            </w:pPr>
            <w:r>
              <w:rPr>
                <w:sz w:val="16"/>
              </w:rPr>
              <w:t>Pacientes</w:t>
            </w:r>
          </w:p>
        </w:tc>
        <w:tc>
          <w:tcPr>
            <w:tcW w:w="1034" w:type="dxa"/>
          </w:tcPr>
          <w:p>
            <w:pPr>
              <w:pStyle w:val="TableParagraph"/>
              <w:spacing w:before="100"/>
              <w:ind w:left="279" w:right="280"/>
              <w:jc w:val="center"/>
              <w:rPr>
                <w:sz w:val="16"/>
              </w:rPr>
            </w:pPr>
            <w:r>
              <w:rPr>
                <w:sz w:val="16"/>
              </w:rPr>
              <w:t>Horas</w:t>
            </w:r>
          </w:p>
        </w:tc>
        <w:tc>
          <w:tcPr>
            <w:tcW w:w="3079" w:type="dxa"/>
          </w:tcPr>
          <w:p>
            <w:pPr>
              <w:pStyle w:val="TableParagraph"/>
              <w:spacing w:before="100"/>
              <w:ind w:left="924" w:right="880"/>
              <w:jc w:val="center"/>
              <w:rPr>
                <w:sz w:val="16"/>
              </w:rPr>
            </w:pPr>
            <w:r>
              <w:rPr>
                <w:sz w:val="16"/>
              </w:rPr>
              <w:t>atendidos por dia</w:t>
            </w:r>
          </w:p>
        </w:tc>
        <w:tc>
          <w:tcPr>
            <w:tcW w:w="1776" w:type="dxa"/>
          </w:tcPr>
          <w:p>
            <w:pPr>
              <w:pStyle w:val="TableParagraph"/>
              <w:spacing w:before="100"/>
              <w:ind w:left="568" w:right="563"/>
              <w:jc w:val="center"/>
              <w:rPr>
                <w:sz w:val="16"/>
              </w:rPr>
            </w:pPr>
            <w:r>
              <w:rPr>
                <w:sz w:val="16"/>
              </w:rPr>
              <w:t>Semana</w:t>
            </w:r>
          </w:p>
        </w:tc>
      </w:tr>
      <w:tr>
        <w:trPr>
          <w:trHeight w:val="581" w:hRule="exact"/>
        </w:trPr>
        <w:tc>
          <w:tcPr>
            <w:tcW w:w="2249" w:type="dxa"/>
          </w:tcPr>
          <w:p>
            <w:pPr>
              <w:pStyle w:val="TableParagraph"/>
              <w:spacing w:before="4"/>
              <w:rPr>
                <w:b/>
                <w:sz w:val="17"/>
              </w:rPr>
            </w:pPr>
          </w:p>
          <w:p>
            <w:pPr>
              <w:pStyle w:val="TableParagraph"/>
              <w:spacing w:before="1"/>
              <w:ind w:left="767" w:right="361" w:hanging="392"/>
              <w:rPr>
                <w:sz w:val="16"/>
              </w:rPr>
            </w:pPr>
            <w:r>
              <w:rPr>
                <w:sz w:val="16"/>
              </w:rPr>
              <w:t>Tiempo Promedio de operación</w:t>
            </w:r>
          </w:p>
        </w:tc>
        <w:tc>
          <w:tcPr>
            <w:tcW w:w="1702" w:type="dxa"/>
          </w:tcPr>
          <w:p>
            <w:pPr>
              <w:pStyle w:val="TableParagraph"/>
              <w:spacing w:before="9"/>
              <w:rPr>
                <w:b/>
                <w:sz w:val="16"/>
              </w:rPr>
            </w:pPr>
          </w:p>
          <w:p>
            <w:pPr>
              <w:pStyle w:val="TableParagraph"/>
              <w:ind w:left="2"/>
              <w:jc w:val="center"/>
              <w:rPr>
                <w:sz w:val="16"/>
              </w:rPr>
            </w:pPr>
            <w:r>
              <w:rPr>
                <w:w w:val="100"/>
                <w:sz w:val="16"/>
              </w:rPr>
              <w:t>2</w:t>
            </w:r>
          </w:p>
        </w:tc>
        <w:tc>
          <w:tcPr>
            <w:tcW w:w="1034" w:type="dxa"/>
          </w:tcPr>
          <w:p>
            <w:pPr>
              <w:pStyle w:val="TableParagraph"/>
              <w:spacing w:before="9"/>
              <w:rPr>
                <w:b/>
                <w:sz w:val="16"/>
              </w:rPr>
            </w:pPr>
          </w:p>
          <w:p>
            <w:pPr>
              <w:pStyle w:val="TableParagraph"/>
              <w:ind w:left="279" w:right="279"/>
              <w:jc w:val="center"/>
              <w:rPr>
                <w:sz w:val="16"/>
              </w:rPr>
            </w:pPr>
            <w:r>
              <w:rPr>
                <w:sz w:val="16"/>
              </w:rPr>
              <w:t>24</w:t>
            </w:r>
          </w:p>
        </w:tc>
        <w:tc>
          <w:tcPr>
            <w:tcW w:w="3079" w:type="dxa"/>
          </w:tcPr>
          <w:p>
            <w:pPr>
              <w:pStyle w:val="TableParagraph"/>
              <w:spacing w:before="9"/>
              <w:rPr>
                <w:b/>
                <w:sz w:val="16"/>
              </w:rPr>
            </w:pPr>
          </w:p>
          <w:p>
            <w:pPr>
              <w:pStyle w:val="TableParagraph"/>
              <w:ind w:left="878" w:right="880"/>
              <w:jc w:val="center"/>
              <w:rPr>
                <w:sz w:val="16"/>
              </w:rPr>
            </w:pPr>
            <w:r>
              <w:rPr>
                <w:sz w:val="16"/>
              </w:rPr>
              <w:t>12</w:t>
            </w:r>
          </w:p>
        </w:tc>
        <w:tc>
          <w:tcPr>
            <w:tcW w:w="1776" w:type="dxa"/>
          </w:tcPr>
          <w:p>
            <w:pPr>
              <w:pStyle w:val="TableParagraph"/>
              <w:spacing w:before="9"/>
              <w:rPr>
                <w:b/>
                <w:sz w:val="16"/>
              </w:rPr>
            </w:pPr>
          </w:p>
          <w:p>
            <w:pPr>
              <w:pStyle w:val="TableParagraph"/>
              <w:ind w:left="565" w:right="563"/>
              <w:jc w:val="center"/>
              <w:rPr>
                <w:sz w:val="16"/>
              </w:rPr>
            </w:pPr>
            <w:r>
              <w:rPr>
                <w:sz w:val="16"/>
              </w:rPr>
              <w:t>60</w:t>
            </w:r>
          </w:p>
        </w:tc>
      </w:tr>
    </w:tbl>
    <w:p>
      <w:pPr>
        <w:spacing w:after="0"/>
        <w:jc w:val="center"/>
        <w:rPr>
          <w:sz w:val="16"/>
        </w:rPr>
        <w:sectPr>
          <w:footerReference w:type="default" r:id="rId56"/>
          <w:pgSz w:w="12240" w:h="15840"/>
          <w:pgMar w:footer="0" w:header="0" w:top="1460" w:bottom="280" w:left="1080" w:right="1080"/>
        </w:sectPr>
      </w:pPr>
    </w:p>
    <w:p>
      <w:pPr>
        <w:pStyle w:val="BodyText"/>
        <w:rPr>
          <w:b/>
          <w:sz w:val="20"/>
        </w:rPr>
      </w:pPr>
    </w:p>
    <w:p>
      <w:pPr>
        <w:pStyle w:val="BodyText"/>
        <w:rPr>
          <w:b/>
          <w:sz w:val="20"/>
        </w:rPr>
      </w:pPr>
    </w:p>
    <w:p>
      <w:pPr>
        <w:pStyle w:val="BodyText"/>
        <w:spacing w:before="6"/>
        <w:rPr>
          <w:b/>
          <w:sz w:val="16"/>
        </w:rPr>
      </w:pPr>
    </w:p>
    <w:tbl>
      <w:tblPr>
        <w:tblW w:w="0" w:type="auto"/>
        <w:jc w:val="left"/>
        <w:tblInd w:w="23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63"/>
        <w:gridCol w:w="1639"/>
        <w:gridCol w:w="2237"/>
      </w:tblGrid>
      <w:tr>
        <w:trPr>
          <w:trHeight w:val="292" w:hRule="exact"/>
        </w:trPr>
        <w:tc>
          <w:tcPr>
            <w:tcW w:w="2263" w:type="dxa"/>
            <w:shd w:val="clear" w:color="auto" w:fill="00AFEF"/>
          </w:tcPr>
          <w:p>
            <w:pPr>
              <w:pStyle w:val="TableParagraph"/>
              <w:spacing w:before="97"/>
              <w:ind w:left="447" w:right="448"/>
              <w:jc w:val="center"/>
              <w:rPr>
                <w:b/>
                <w:sz w:val="16"/>
              </w:rPr>
            </w:pPr>
            <w:r>
              <w:rPr>
                <w:b/>
                <w:sz w:val="16"/>
              </w:rPr>
              <w:t>Item</w:t>
            </w:r>
          </w:p>
        </w:tc>
        <w:tc>
          <w:tcPr>
            <w:tcW w:w="3876" w:type="dxa"/>
            <w:gridSpan w:val="2"/>
            <w:shd w:val="clear" w:color="auto" w:fill="00AFEF"/>
          </w:tcPr>
          <w:p>
            <w:pPr>
              <w:pStyle w:val="TableParagraph"/>
              <w:spacing w:before="97"/>
              <w:ind w:left="67"/>
              <w:rPr>
                <w:b/>
                <w:sz w:val="16"/>
              </w:rPr>
            </w:pPr>
            <w:r>
              <w:rPr>
                <w:b/>
                <w:sz w:val="16"/>
              </w:rPr>
              <w:t>Calculo de las Metas Anuales</w:t>
            </w:r>
          </w:p>
        </w:tc>
      </w:tr>
      <w:tr>
        <w:trPr>
          <w:trHeight w:val="296" w:hRule="exact"/>
        </w:trPr>
        <w:tc>
          <w:tcPr>
            <w:tcW w:w="2263" w:type="dxa"/>
          </w:tcPr>
          <w:p>
            <w:pPr/>
          </w:p>
        </w:tc>
        <w:tc>
          <w:tcPr>
            <w:tcW w:w="1639" w:type="dxa"/>
          </w:tcPr>
          <w:p>
            <w:pPr>
              <w:pStyle w:val="TableParagraph"/>
              <w:spacing w:before="103"/>
              <w:ind w:left="261" w:right="262"/>
              <w:jc w:val="center"/>
              <w:rPr>
                <w:sz w:val="16"/>
              </w:rPr>
            </w:pPr>
            <w:r>
              <w:rPr>
                <w:sz w:val="16"/>
              </w:rPr>
              <w:t>No.Catástrofes</w:t>
            </w:r>
          </w:p>
        </w:tc>
        <w:tc>
          <w:tcPr>
            <w:tcW w:w="2237" w:type="dxa"/>
          </w:tcPr>
          <w:p>
            <w:pPr>
              <w:pStyle w:val="TableParagraph"/>
              <w:spacing w:before="103"/>
              <w:ind w:left="366" w:right="363"/>
              <w:jc w:val="center"/>
              <w:rPr>
                <w:sz w:val="16"/>
              </w:rPr>
            </w:pPr>
            <w:r>
              <w:rPr>
                <w:sz w:val="16"/>
              </w:rPr>
              <w:t>Pacientes Atendidos</w:t>
            </w:r>
          </w:p>
        </w:tc>
      </w:tr>
      <w:tr>
        <w:trPr>
          <w:trHeight w:val="295" w:hRule="exact"/>
        </w:trPr>
        <w:tc>
          <w:tcPr>
            <w:tcW w:w="2263" w:type="dxa"/>
          </w:tcPr>
          <w:p>
            <w:pPr>
              <w:pStyle w:val="TableParagraph"/>
              <w:spacing w:before="102"/>
              <w:ind w:left="450" w:right="448"/>
              <w:jc w:val="center"/>
              <w:rPr>
                <w:sz w:val="16"/>
              </w:rPr>
            </w:pPr>
            <w:r>
              <w:rPr>
                <w:sz w:val="16"/>
              </w:rPr>
              <w:t>Catástrofes al Año</w:t>
            </w:r>
          </w:p>
        </w:tc>
        <w:tc>
          <w:tcPr>
            <w:tcW w:w="1639" w:type="dxa"/>
          </w:tcPr>
          <w:p>
            <w:pPr>
              <w:pStyle w:val="TableParagraph"/>
              <w:spacing w:before="102"/>
              <w:ind w:right="1"/>
              <w:jc w:val="center"/>
              <w:rPr>
                <w:sz w:val="16"/>
              </w:rPr>
            </w:pPr>
            <w:r>
              <w:rPr>
                <w:w w:val="100"/>
                <w:sz w:val="16"/>
              </w:rPr>
              <w:t>5</w:t>
            </w:r>
          </w:p>
        </w:tc>
        <w:tc>
          <w:tcPr>
            <w:tcW w:w="2237" w:type="dxa"/>
          </w:tcPr>
          <w:p>
            <w:pPr>
              <w:pStyle w:val="TableParagraph"/>
              <w:spacing w:before="102"/>
              <w:ind w:left="363" w:right="363"/>
              <w:jc w:val="center"/>
              <w:rPr>
                <w:sz w:val="16"/>
              </w:rPr>
            </w:pPr>
            <w:r>
              <w:rPr>
                <w:sz w:val="16"/>
              </w:rPr>
              <w:t>300</w:t>
            </w:r>
          </w:p>
        </w:tc>
      </w:tr>
    </w:tbl>
    <w:p>
      <w:pPr>
        <w:pStyle w:val="BodyText"/>
        <w:rPr>
          <w:b/>
          <w:sz w:val="20"/>
        </w:rPr>
      </w:pPr>
    </w:p>
    <w:p>
      <w:pPr>
        <w:pStyle w:val="BodyText"/>
        <w:rPr>
          <w:b/>
          <w:sz w:val="20"/>
        </w:rPr>
      </w:pPr>
    </w:p>
    <w:p>
      <w:pPr>
        <w:pStyle w:val="BodyText"/>
        <w:spacing w:before="10"/>
        <w:rPr>
          <w:b/>
          <w:sz w:val="23"/>
        </w:rPr>
      </w:pPr>
    </w:p>
    <w:p>
      <w:pPr>
        <w:pStyle w:val="BodyText"/>
        <w:spacing w:line="312" w:lineRule="auto" w:before="70"/>
        <w:ind w:left="961" w:right="1247"/>
      </w:pPr>
      <w:r>
        <w:rPr/>
        <w:t>Nota: El porcentaje de variación de crecimiento o disminución sera del 10% por evento.</w:t>
      </w:r>
    </w:p>
    <w:p>
      <w:pPr>
        <w:pStyle w:val="BodyText"/>
        <w:spacing w:before="7"/>
        <w:rPr>
          <w:sz w:val="31"/>
        </w:rPr>
      </w:pPr>
    </w:p>
    <w:p>
      <w:pPr>
        <w:pStyle w:val="Heading1"/>
        <w:spacing w:before="0" w:after="3"/>
        <w:ind w:left="3378" w:right="1247"/>
        <w:jc w:val="left"/>
      </w:pPr>
      <w:r>
        <w:rPr/>
        <w:t>Costo de traslado por ambulancias</w:t>
      </w:r>
    </w:p>
    <w:p>
      <w:pPr>
        <w:pStyle w:val="BodyText"/>
        <w:ind w:left="2226"/>
        <w:rPr>
          <w:sz w:val="20"/>
        </w:rPr>
      </w:pPr>
      <w:r>
        <w:rPr>
          <w:sz w:val="20"/>
        </w:rPr>
        <w:pict>
          <v:shape style="width:307.5pt;height:162.7pt;mso-position-horizontal-relative:char;mso-position-vertical-relative:line" type="#_x0000_t202" filled="false" stroked="false">
            <w10:anchorlock/>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78"/>
                    <w:gridCol w:w="1841"/>
                    <w:gridCol w:w="2021"/>
                  </w:tblGrid>
                  <w:tr>
                    <w:trPr>
                      <w:trHeight w:val="579" w:hRule="exact"/>
                    </w:trPr>
                    <w:tc>
                      <w:tcPr>
                        <w:tcW w:w="2278" w:type="dxa"/>
                        <w:shd w:val="clear" w:color="auto" w:fill="00AFEF"/>
                      </w:tcPr>
                      <w:p>
                        <w:pPr>
                          <w:pStyle w:val="TableParagraph"/>
                          <w:spacing w:before="5"/>
                          <w:rPr>
                            <w:b/>
                            <w:sz w:val="16"/>
                          </w:rPr>
                        </w:pPr>
                      </w:p>
                      <w:p>
                        <w:pPr>
                          <w:pStyle w:val="TableParagraph"/>
                          <w:spacing w:before="1"/>
                          <w:ind w:left="807" w:right="800"/>
                          <w:jc w:val="center"/>
                          <w:rPr>
                            <w:b/>
                            <w:sz w:val="16"/>
                          </w:rPr>
                        </w:pPr>
                        <w:r>
                          <w:rPr>
                            <w:b/>
                            <w:sz w:val="16"/>
                          </w:rPr>
                          <w:t>Más IVA</w:t>
                        </w:r>
                      </w:p>
                    </w:tc>
                    <w:tc>
                      <w:tcPr>
                        <w:tcW w:w="1841" w:type="dxa"/>
                        <w:shd w:val="clear" w:color="auto" w:fill="00AFEF"/>
                      </w:tcPr>
                      <w:p>
                        <w:pPr>
                          <w:pStyle w:val="TableParagraph"/>
                          <w:spacing w:before="98"/>
                          <w:ind w:left="563" w:right="116" w:hanging="387"/>
                          <w:rPr>
                            <w:b/>
                            <w:sz w:val="16"/>
                          </w:rPr>
                        </w:pPr>
                        <w:r>
                          <w:rPr>
                            <w:b/>
                            <w:sz w:val="16"/>
                          </w:rPr>
                          <w:t>más $25.00 / por km recorrido</w:t>
                        </w:r>
                      </w:p>
                    </w:tc>
                    <w:tc>
                      <w:tcPr>
                        <w:tcW w:w="2021" w:type="dxa"/>
                        <w:shd w:val="clear" w:color="auto" w:fill="00AFEF"/>
                      </w:tcPr>
                      <w:p>
                        <w:pPr>
                          <w:pStyle w:val="TableParagraph"/>
                          <w:spacing w:before="5"/>
                          <w:rPr>
                            <w:b/>
                            <w:sz w:val="16"/>
                          </w:rPr>
                        </w:pPr>
                      </w:p>
                      <w:p>
                        <w:pPr>
                          <w:pStyle w:val="TableParagraph"/>
                          <w:spacing w:before="1"/>
                          <w:ind w:left="1"/>
                          <w:jc w:val="center"/>
                          <w:rPr>
                            <w:b/>
                            <w:sz w:val="16"/>
                          </w:rPr>
                        </w:pPr>
                        <w:r>
                          <w:rPr>
                            <w:b/>
                            <w:sz w:val="16"/>
                          </w:rPr>
                          <w:t>mas casetas</w:t>
                        </w:r>
                      </w:p>
                    </w:tc>
                  </w:tr>
                  <w:tr>
                    <w:trPr>
                      <w:trHeight w:val="611" w:hRule="exact"/>
                    </w:trPr>
                    <w:tc>
                      <w:tcPr>
                        <w:tcW w:w="2278" w:type="dxa"/>
                      </w:tcPr>
                      <w:p>
                        <w:pPr>
                          <w:pStyle w:val="TableParagraph"/>
                          <w:spacing w:before="10"/>
                          <w:rPr>
                            <w:b/>
                            <w:sz w:val="17"/>
                          </w:rPr>
                        </w:pPr>
                      </w:p>
                      <w:p>
                        <w:pPr>
                          <w:pStyle w:val="TableParagraph"/>
                          <w:ind w:left="799" w:right="800"/>
                          <w:jc w:val="center"/>
                          <w:rPr>
                            <w:b/>
                            <w:sz w:val="16"/>
                          </w:rPr>
                        </w:pPr>
                        <w:r>
                          <w:rPr>
                            <w:b/>
                            <w:sz w:val="16"/>
                          </w:rPr>
                          <w:t>Área</w:t>
                        </w:r>
                      </w:p>
                    </w:tc>
                    <w:tc>
                      <w:tcPr>
                        <w:tcW w:w="1841" w:type="dxa"/>
                      </w:tcPr>
                      <w:p>
                        <w:pPr>
                          <w:pStyle w:val="TableParagraph"/>
                          <w:spacing w:before="10"/>
                          <w:rPr>
                            <w:b/>
                            <w:sz w:val="17"/>
                          </w:rPr>
                        </w:pPr>
                      </w:p>
                      <w:p>
                        <w:pPr>
                          <w:pStyle w:val="TableParagraph"/>
                          <w:ind w:left="4" w:right="5"/>
                          <w:jc w:val="center"/>
                          <w:rPr>
                            <w:b/>
                            <w:sz w:val="16"/>
                          </w:rPr>
                        </w:pPr>
                        <w:r>
                          <w:rPr>
                            <w:b/>
                            <w:sz w:val="16"/>
                          </w:rPr>
                          <w:t>Tipo de Tralsado</w:t>
                        </w:r>
                      </w:p>
                    </w:tc>
                    <w:tc>
                      <w:tcPr>
                        <w:tcW w:w="2021" w:type="dxa"/>
                      </w:tcPr>
                      <w:p>
                        <w:pPr>
                          <w:pStyle w:val="TableParagraph"/>
                          <w:spacing w:before="10"/>
                          <w:rPr>
                            <w:b/>
                            <w:sz w:val="17"/>
                          </w:rPr>
                        </w:pPr>
                      </w:p>
                      <w:p>
                        <w:pPr>
                          <w:pStyle w:val="TableParagraph"/>
                          <w:ind w:left="4"/>
                          <w:jc w:val="center"/>
                          <w:rPr>
                            <w:b/>
                            <w:sz w:val="16"/>
                          </w:rPr>
                        </w:pPr>
                        <w:r>
                          <w:rPr>
                            <w:b/>
                            <w:sz w:val="16"/>
                          </w:rPr>
                          <w:t>Precio</w:t>
                        </w:r>
                      </w:p>
                    </w:tc>
                  </w:tr>
                  <w:tr>
                    <w:trPr>
                      <w:trHeight w:val="295" w:hRule="exact"/>
                    </w:trPr>
                    <w:tc>
                      <w:tcPr>
                        <w:tcW w:w="2278" w:type="dxa"/>
                      </w:tcPr>
                      <w:p>
                        <w:pPr>
                          <w:pStyle w:val="TableParagraph"/>
                          <w:spacing w:before="49"/>
                          <w:ind w:left="802" w:right="800"/>
                          <w:jc w:val="center"/>
                          <w:rPr>
                            <w:sz w:val="16"/>
                          </w:rPr>
                        </w:pPr>
                        <w:r>
                          <w:rPr>
                            <w:sz w:val="16"/>
                          </w:rPr>
                          <w:t>DF</w:t>
                        </w:r>
                      </w:p>
                    </w:tc>
                    <w:tc>
                      <w:tcPr>
                        <w:tcW w:w="1841" w:type="dxa"/>
                      </w:tcPr>
                      <w:p>
                        <w:pPr>
                          <w:pStyle w:val="TableParagraph"/>
                          <w:spacing w:before="49"/>
                          <w:jc w:val="center"/>
                          <w:rPr>
                            <w:sz w:val="16"/>
                          </w:rPr>
                        </w:pPr>
                        <w:r>
                          <w:rPr>
                            <w:sz w:val="16"/>
                          </w:rPr>
                          <w:t>Sencillo</w:t>
                        </w:r>
                      </w:p>
                    </w:tc>
                    <w:tc>
                      <w:tcPr>
                        <w:tcW w:w="2021" w:type="dxa"/>
                      </w:tcPr>
                      <w:p>
                        <w:pPr>
                          <w:pStyle w:val="TableParagraph"/>
                          <w:tabs>
                            <w:tab w:pos="889" w:val="left" w:leader="none"/>
                          </w:tabs>
                          <w:spacing w:before="49"/>
                          <w:ind w:left="44"/>
                          <w:jc w:val="center"/>
                          <w:rPr>
                            <w:sz w:val="16"/>
                          </w:rPr>
                        </w:pPr>
                        <w:r>
                          <w:rPr>
                            <w:sz w:val="16"/>
                          </w:rPr>
                          <w:t>$</w:t>
                          <w:tab/>
                          <w:t>950.00</w:t>
                        </w:r>
                      </w:p>
                    </w:tc>
                  </w:tr>
                  <w:tr>
                    <w:trPr>
                      <w:trHeight w:val="295" w:hRule="exact"/>
                    </w:trPr>
                    <w:tc>
                      <w:tcPr>
                        <w:tcW w:w="2278" w:type="dxa"/>
                      </w:tcPr>
                      <w:p>
                        <w:pPr>
                          <w:pStyle w:val="TableParagraph"/>
                          <w:spacing w:before="49"/>
                          <w:ind w:left="802" w:right="800"/>
                          <w:jc w:val="center"/>
                          <w:rPr>
                            <w:sz w:val="16"/>
                          </w:rPr>
                        </w:pPr>
                        <w:r>
                          <w:rPr>
                            <w:sz w:val="16"/>
                          </w:rPr>
                          <w:t>DF</w:t>
                        </w:r>
                      </w:p>
                    </w:tc>
                    <w:tc>
                      <w:tcPr>
                        <w:tcW w:w="1841" w:type="dxa"/>
                      </w:tcPr>
                      <w:p>
                        <w:pPr>
                          <w:pStyle w:val="TableParagraph"/>
                          <w:spacing w:before="49"/>
                          <w:jc w:val="center"/>
                          <w:rPr>
                            <w:sz w:val="16"/>
                          </w:rPr>
                        </w:pPr>
                        <w:r>
                          <w:rPr>
                            <w:sz w:val="16"/>
                          </w:rPr>
                          <w:t>Doble</w:t>
                        </w:r>
                      </w:p>
                    </w:tc>
                    <w:tc>
                      <w:tcPr>
                        <w:tcW w:w="2021" w:type="dxa"/>
                      </w:tcPr>
                      <w:p>
                        <w:pPr>
                          <w:pStyle w:val="TableParagraph"/>
                          <w:tabs>
                            <w:tab w:pos="755" w:val="left" w:leader="none"/>
                          </w:tabs>
                          <w:spacing w:before="49"/>
                          <w:ind w:left="44"/>
                          <w:jc w:val="center"/>
                          <w:rPr>
                            <w:sz w:val="16"/>
                          </w:rPr>
                        </w:pPr>
                        <w:r>
                          <w:rPr>
                            <w:sz w:val="16"/>
                          </w:rPr>
                          <w:t>$</w:t>
                          <w:tab/>
                          <w:t>1,350.00</w:t>
                        </w:r>
                      </w:p>
                    </w:tc>
                  </w:tr>
                  <w:tr>
                    <w:trPr>
                      <w:trHeight w:val="295" w:hRule="exact"/>
                    </w:trPr>
                    <w:tc>
                      <w:tcPr>
                        <w:tcW w:w="2278" w:type="dxa"/>
                      </w:tcPr>
                      <w:p>
                        <w:pPr>
                          <w:pStyle w:val="TableParagraph"/>
                          <w:spacing w:before="49"/>
                          <w:ind w:left="446"/>
                          <w:rPr>
                            <w:sz w:val="16"/>
                          </w:rPr>
                        </w:pPr>
                        <w:r>
                          <w:rPr>
                            <w:sz w:val="16"/>
                          </w:rPr>
                          <w:t>Zona Metropolitana</w:t>
                        </w:r>
                      </w:p>
                    </w:tc>
                    <w:tc>
                      <w:tcPr>
                        <w:tcW w:w="1841" w:type="dxa"/>
                      </w:tcPr>
                      <w:p>
                        <w:pPr>
                          <w:pStyle w:val="TableParagraph"/>
                          <w:spacing w:before="49"/>
                          <w:jc w:val="center"/>
                          <w:rPr>
                            <w:sz w:val="16"/>
                          </w:rPr>
                        </w:pPr>
                        <w:r>
                          <w:rPr>
                            <w:sz w:val="16"/>
                          </w:rPr>
                          <w:t>Sencillo</w:t>
                        </w:r>
                      </w:p>
                    </w:tc>
                    <w:tc>
                      <w:tcPr>
                        <w:tcW w:w="2021" w:type="dxa"/>
                      </w:tcPr>
                      <w:p>
                        <w:pPr>
                          <w:pStyle w:val="TableParagraph"/>
                          <w:tabs>
                            <w:tab w:pos="755" w:val="left" w:leader="none"/>
                          </w:tabs>
                          <w:spacing w:before="49"/>
                          <w:ind w:left="44"/>
                          <w:jc w:val="center"/>
                          <w:rPr>
                            <w:sz w:val="16"/>
                          </w:rPr>
                        </w:pPr>
                        <w:r>
                          <w:rPr>
                            <w:sz w:val="16"/>
                          </w:rPr>
                          <w:t>$</w:t>
                          <w:tab/>
                          <w:t>1,480.00</w:t>
                        </w:r>
                      </w:p>
                    </w:tc>
                  </w:tr>
                  <w:tr>
                    <w:trPr>
                      <w:trHeight w:val="295" w:hRule="exact"/>
                    </w:trPr>
                    <w:tc>
                      <w:tcPr>
                        <w:tcW w:w="2278" w:type="dxa"/>
                      </w:tcPr>
                      <w:p>
                        <w:pPr>
                          <w:pStyle w:val="TableParagraph"/>
                          <w:spacing w:before="49"/>
                          <w:ind w:left="446"/>
                          <w:rPr>
                            <w:sz w:val="16"/>
                          </w:rPr>
                        </w:pPr>
                        <w:r>
                          <w:rPr>
                            <w:sz w:val="16"/>
                          </w:rPr>
                          <w:t>Zona Metropolitana</w:t>
                        </w:r>
                      </w:p>
                    </w:tc>
                    <w:tc>
                      <w:tcPr>
                        <w:tcW w:w="1841" w:type="dxa"/>
                      </w:tcPr>
                      <w:p>
                        <w:pPr>
                          <w:pStyle w:val="TableParagraph"/>
                          <w:spacing w:before="49"/>
                          <w:jc w:val="center"/>
                          <w:rPr>
                            <w:sz w:val="16"/>
                          </w:rPr>
                        </w:pPr>
                        <w:r>
                          <w:rPr>
                            <w:sz w:val="16"/>
                          </w:rPr>
                          <w:t>Doble</w:t>
                        </w:r>
                      </w:p>
                    </w:tc>
                    <w:tc>
                      <w:tcPr>
                        <w:tcW w:w="2021" w:type="dxa"/>
                      </w:tcPr>
                      <w:p>
                        <w:pPr>
                          <w:pStyle w:val="TableParagraph"/>
                          <w:tabs>
                            <w:tab w:pos="755" w:val="left" w:leader="none"/>
                          </w:tabs>
                          <w:spacing w:before="49"/>
                          <w:ind w:left="44"/>
                          <w:jc w:val="center"/>
                          <w:rPr>
                            <w:sz w:val="16"/>
                          </w:rPr>
                        </w:pPr>
                        <w:r>
                          <w:rPr>
                            <w:sz w:val="16"/>
                          </w:rPr>
                          <w:t>$</w:t>
                          <w:tab/>
                          <w:t>3,400.00</w:t>
                        </w:r>
                      </w:p>
                    </w:tc>
                  </w:tr>
                  <w:tr>
                    <w:trPr>
                      <w:trHeight w:val="578" w:hRule="exact"/>
                    </w:trPr>
                    <w:tc>
                      <w:tcPr>
                        <w:tcW w:w="2278" w:type="dxa"/>
                      </w:tcPr>
                      <w:p>
                        <w:pPr>
                          <w:pStyle w:val="TableParagraph"/>
                          <w:spacing w:before="99"/>
                          <w:ind w:left="650" w:right="515" w:hanging="116"/>
                          <w:rPr>
                            <w:sz w:val="16"/>
                          </w:rPr>
                        </w:pPr>
                        <w:r>
                          <w:rPr>
                            <w:sz w:val="16"/>
                          </w:rPr>
                          <w:t>Fuera de la zona metropolitana</w:t>
                        </w:r>
                      </w:p>
                    </w:tc>
                    <w:tc>
                      <w:tcPr>
                        <w:tcW w:w="1841" w:type="dxa"/>
                      </w:tcPr>
                      <w:p>
                        <w:pPr/>
                      </w:p>
                    </w:tc>
                    <w:tc>
                      <w:tcPr>
                        <w:tcW w:w="2021" w:type="dxa"/>
                      </w:tcPr>
                      <w:p>
                        <w:pPr>
                          <w:pStyle w:val="TableParagraph"/>
                          <w:spacing w:before="6"/>
                          <w:rPr>
                            <w:b/>
                            <w:sz w:val="16"/>
                          </w:rPr>
                        </w:pPr>
                      </w:p>
                      <w:p>
                        <w:pPr>
                          <w:pStyle w:val="TableParagraph"/>
                          <w:tabs>
                            <w:tab w:pos="755" w:val="left" w:leader="none"/>
                          </w:tabs>
                          <w:ind w:left="44"/>
                          <w:jc w:val="center"/>
                          <w:rPr>
                            <w:sz w:val="16"/>
                          </w:rPr>
                        </w:pPr>
                        <w:r>
                          <w:rPr>
                            <w:sz w:val="16"/>
                          </w:rPr>
                          <w:t>$</w:t>
                          <w:tab/>
                          <w:t>3,400.00</w:t>
                        </w:r>
                      </w:p>
                    </w:tc>
                  </w:tr>
                  <w:tr>
                    <w:trPr>
                      <w:trHeight w:val="298" w:hRule="exact"/>
                    </w:trPr>
                    <w:tc>
                      <w:tcPr>
                        <w:tcW w:w="2278" w:type="dxa"/>
                      </w:tcPr>
                      <w:p>
                        <w:pPr>
                          <w:pStyle w:val="TableParagraph"/>
                          <w:spacing w:before="51"/>
                          <w:ind w:right="63"/>
                          <w:jc w:val="right"/>
                          <w:rPr>
                            <w:sz w:val="16"/>
                          </w:rPr>
                        </w:pPr>
                        <w:r>
                          <w:rPr>
                            <w:sz w:val="16"/>
                          </w:rPr>
                          <w:t>Fuente:</w:t>
                        </w:r>
                      </w:p>
                    </w:tc>
                    <w:tc>
                      <w:tcPr>
                        <w:tcW w:w="3862" w:type="dxa"/>
                        <w:gridSpan w:val="2"/>
                      </w:tcPr>
                      <w:p>
                        <w:pPr>
                          <w:pStyle w:val="TableParagraph"/>
                          <w:spacing w:before="51"/>
                          <w:ind w:left="679"/>
                          <w:rPr>
                            <w:sz w:val="16"/>
                          </w:rPr>
                        </w:pPr>
                        <w:hyperlink r:id="rId58">
                          <w:r>
                            <w:rPr>
                              <w:color w:val="0000FF"/>
                              <w:sz w:val="16"/>
                              <w:u w:val="single" w:color="0000FF"/>
                            </w:rPr>
                            <w:t>http://www.hospitaldejesus.com.mx</w:t>
                          </w:r>
                        </w:hyperlink>
                      </w:p>
                    </w:tc>
                  </w:tr>
                </w:tbl>
                <w:p>
                  <w:pPr>
                    <w:pStyle w:val="BodyText"/>
                  </w:pPr>
                </w:p>
              </w:txbxContent>
            </v:textbox>
          </v:shape>
        </w:pict>
      </w:r>
      <w:r>
        <w:rPr>
          <w:sz w:val="20"/>
        </w:rPr>
      </w:r>
      <w:r>
        <w:rPr>
          <w:rFonts w:ascii="Times New Roman"/>
          <w:spacing w:val="4"/>
          <w:sz w:val="2"/>
        </w:rPr>
        <w:t> </w:t>
      </w:r>
      <w:r>
        <w:rPr>
          <w:spacing w:val="4"/>
          <w:position w:val="30"/>
          <w:sz w:val="20"/>
        </w:rPr>
        <w:pict>
          <v:group style="width:7.6pt;height:.4pt;mso-position-horizontal-relative:char;mso-position-vertical-relative:line" coordorigin="0,0" coordsize="152,8">
            <v:line style="position:absolute" from="4,4" to="148,4" stroked="true" strokeweight=".36pt" strokecolor="#000000"/>
          </v:group>
        </w:pict>
      </w:r>
      <w:r>
        <w:rPr>
          <w:spacing w:val="4"/>
          <w:position w:val="30"/>
          <w:sz w:val="20"/>
        </w:rPr>
      </w:r>
    </w:p>
    <w:p>
      <w:pPr>
        <w:pStyle w:val="BodyText"/>
        <w:spacing w:before="1"/>
        <w:rPr>
          <w:b/>
          <w:sz w:val="29"/>
        </w:rPr>
      </w:pPr>
    </w:p>
    <w:tbl>
      <w:tblPr>
        <w:tblW w:w="0" w:type="auto"/>
        <w:jc w:val="left"/>
        <w:tblInd w:w="95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40"/>
        <w:gridCol w:w="950"/>
        <w:gridCol w:w="1519"/>
        <w:gridCol w:w="737"/>
        <w:gridCol w:w="1598"/>
        <w:gridCol w:w="691"/>
        <w:gridCol w:w="1210"/>
      </w:tblGrid>
      <w:tr>
        <w:trPr>
          <w:trHeight w:val="290" w:hRule="exact"/>
        </w:trPr>
        <w:tc>
          <w:tcPr>
            <w:tcW w:w="1740" w:type="dxa"/>
            <w:shd w:val="clear" w:color="auto" w:fill="00AFEF"/>
          </w:tcPr>
          <w:p>
            <w:pPr>
              <w:pStyle w:val="TableParagraph"/>
              <w:spacing w:before="95"/>
              <w:ind w:left="112"/>
              <w:rPr>
                <w:b/>
                <w:sz w:val="16"/>
              </w:rPr>
            </w:pPr>
            <w:r>
              <w:rPr>
                <w:b/>
                <w:sz w:val="16"/>
              </w:rPr>
              <w:t>Item</w:t>
            </w:r>
          </w:p>
        </w:tc>
        <w:tc>
          <w:tcPr>
            <w:tcW w:w="950" w:type="dxa"/>
            <w:shd w:val="clear" w:color="auto" w:fill="00AFEF"/>
          </w:tcPr>
          <w:p>
            <w:pPr>
              <w:pStyle w:val="TableParagraph"/>
              <w:spacing w:before="95"/>
              <w:ind w:right="63"/>
              <w:jc w:val="right"/>
              <w:rPr>
                <w:b/>
                <w:sz w:val="16"/>
              </w:rPr>
            </w:pPr>
            <w:r>
              <w:rPr>
                <w:b/>
                <w:sz w:val="16"/>
              </w:rPr>
              <w:t>No de dias</w:t>
            </w:r>
          </w:p>
        </w:tc>
        <w:tc>
          <w:tcPr>
            <w:tcW w:w="1519" w:type="dxa"/>
            <w:shd w:val="clear" w:color="auto" w:fill="00AFEF"/>
          </w:tcPr>
          <w:p>
            <w:pPr>
              <w:pStyle w:val="TableParagraph"/>
              <w:spacing w:before="95"/>
              <w:ind w:right="116"/>
              <w:jc w:val="right"/>
              <w:rPr>
                <w:b/>
                <w:sz w:val="16"/>
              </w:rPr>
            </w:pPr>
            <w:r>
              <w:rPr>
                <w:b/>
                <w:sz w:val="16"/>
              </w:rPr>
              <w:t>costo de traslado</w:t>
            </w:r>
          </w:p>
        </w:tc>
        <w:tc>
          <w:tcPr>
            <w:tcW w:w="737" w:type="dxa"/>
            <w:shd w:val="clear" w:color="auto" w:fill="00AFEF"/>
          </w:tcPr>
          <w:p>
            <w:pPr>
              <w:pStyle w:val="TableParagraph"/>
              <w:spacing w:before="95"/>
              <w:ind w:right="63"/>
              <w:jc w:val="right"/>
              <w:rPr>
                <w:b/>
                <w:sz w:val="16"/>
              </w:rPr>
            </w:pPr>
            <w:r>
              <w:rPr>
                <w:b/>
                <w:sz w:val="16"/>
              </w:rPr>
              <w:t>Hrs uso</w:t>
            </w:r>
          </w:p>
        </w:tc>
        <w:tc>
          <w:tcPr>
            <w:tcW w:w="1598" w:type="dxa"/>
            <w:shd w:val="clear" w:color="auto" w:fill="00AFEF"/>
          </w:tcPr>
          <w:p>
            <w:pPr>
              <w:pStyle w:val="TableParagraph"/>
              <w:spacing w:before="95"/>
              <w:ind w:left="67"/>
              <w:rPr>
                <w:b/>
                <w:sz w:val="16"/>
              </w:rPr>
            </w:pPr>
            <w:r>
              <w:rPr>
                <w:b/>
                <w:sz w:val="16"/>
              </w:rPr>
              <w:t>No de ambulancias</w:t>
            </w:r>
          </w:p>
        </w:tc>
        <w:tc>
          <w:tcPr>
            <w:tcW w:w="691" w:type="dxa"/>
            <w:shd w:val="clear" w:color="auto" w:fill="00AFEF"/>
          </w:tcPr>
          <w:p>
            <w:pPr>
              <w:pStyle w:val="TableParagraph"/>
              <w:spacing w:before="95"/>
              <w:ind w:right="62"/>
              <w:jc w:val="right"/>
              <w:rPr>
                <w:b/>
                <w:sz w:val="16"/>
              </w:rPr>
            </w:pPr>
            <w:r>
              <w:rPr>
                <w:b/>
                <w:sz w:val="16"/>
              </w:rPr>
              <w:t>vueltas</w:t>
            </w:r>
          </w:p>
        </w:tc>
        <w:tc>
          <w:tcPr>
            <w:tcW w:w="1210" w:type="dxa"/>
            <w:shd w:val="clear" w:color="auto" w:fill="00AFEF"/>
          </w:tcPr>
          <w:p>
            <w:pPr>
              <w:pStyle w:val="TableParagraph"/>
              <w:spacing w:before="95"/>
              <w:ind w:left="67"/>
              <w:rPr>
                <w:b/>
                <w:sz w:val="16"/>
              </w:rPr>
            </w:pPr>
            <w:r>
              <w:rPr>
                <w:b/>
                <w:sz w:val="16"/>
              </w:rPr>
              <w:t>Total</w:t>
            </w:r>
          </w:p>
        </w:tc>
      </w:tr>
      <w:tr>
        <w:trPr>
          <w:trHeight w:val="582" w:hRule="exact"/>
        </w:trPr>
        <w:tc>
          <w:tcPr>
            <w:tcW w:w="1740" w:type="dxa"/>
          </w:tcPr>
          <w:p>
            <w:pPr>
              <w:pStyle w:val="TableParagraph"/>
              <w:rPr>
                <w:b/>
                <w:sz w:val="16"/>
              </w:rPr>
            </w:pPr>
          </w:p>
          <w:p>
            <w:pPr>
              <w:pStyle w:val="TableParagraph"/>
              <w:spacing w:before="9"/>
              <w:rPr>
                <w:b/>
                <w:sz w:val="17"/>
              </w:rPr>
            </w:pPr>
          </w:p>
          <w:p>
            <w:pPr>
              <w:pStyle w:val="TableParagraph"/>
              <w:ind w:left="67"/>
              <w:rPr>
                <w:sz w:val="16"/>
              </w:rPr>
            </w:pPr>
            <w:r>
              <w:rPr>
                <w:sz w:val="16"/>
              </w:rPr>
              <w:t>Costo de Ambulancias</w:t>
            </w:r>
          </w:p>
        </w:tc>
        <w:tc>
          <w:tcPr>
            <w:tcW w:w="950" w:type="dxa"/>
          </w:tcPr>
          <w:p>
            <w:pPr>
              <w:pStyle w:val="TableParagraph"/>
              <w:rPr>
                <w:b/>
                <w:sz w:val="16"/>
              </w:rPr>
            </w:pPr>
          </w:p>
          <w:p>
            <w:pPr>
              <w:pStyle w:val="TableParagraph"/>
              <w:spacing w:before="9"/>
              <w:rPr>
                <w:b/>
                <w:sz w:val="17"/>
              </w:rPr>
            </w:pPr>
          </w:p>
          <w:p>
            <w:pPr>
              <w:pStyle w:val="TableParagraph"/>
              <w:ind w:right="62"/>
              <w:jc w:val="right"/>
              <w:rPr>
                <w:sz w:val="16"/>
              </w:rPr>
            </w:pPr>
            <w:r>
              <w:rPr>
                <w:w w:val="100"/>
                <w:sz w:val="16"/>
              </w:rPr>
              <w:t>2</w:t>
            </w:r>
          </w:p>
        </w:tc>
        <w:tc>
          <w:tcPr>
            <w:tcW w:w="1519" w:type="dxa"/>
          </w:tcPr>
          <w:p>
            <w:pPr>
              <w:pStyle w:val="TableParagraph"/>
              <w:rPr>
                <w:b/>
                <w:sz w:val="16"/>
              </w:rPr>
            </w:pPr>
          </w:p>
          <w:p>
            <w:pPr>
              <w:pStyle w:val="TableParagraph"/>
              <w:spacing w:before="9"/>
              <w:rPr>
                <w:b/>
                <w:sz w:val="17"/>
              </w:rPr>
            </w:pPr>
          </w:p>
          <w:p>
            <w:pPr>
              <w:pStyle w:val="TableParagraph"/>
              <w:ind w:right="62"/>
              <w:jc w:val="right"/>
              <w:rPr>
                <w:sz w:val="16"/>
              </w:rPr>
            </w:pPr>
            <w:r>
              <w:rPr>
                <w:sz w:val="16"/>
              </w:rPr>
              <w:t>3,400.00</w:t>
            </w:r>
          </w:p>
        </w:tc>
        <w:tc>
          <w:tcPr>
            <w:tcW w:w="737" w:type="dxa"/>
          </w:tcPr>
          <w:p>
            <w:pPr>
              <w:pStyle w:val="TableParagraph"/>
              <w:rPr>
                <w:b/>
                <w:sz w:val="16"/>
              </w:rPr>
            </w:pPr>
          </w:p>
          <w:p>
            <w:pPr>
              <w:pStyle w:val="TableParagraph"/>
              <w:spacing w:before="9"/>
              <w:rPr>
                <w:b/>
                <w:sz w:val="17"/>
              </w:rPr>
            </w:pPr>
          </w:p>
          <w:p>
            <w:pPr>
              <w:pStyle w:val="TableParagraph"/>
              <w:ind w:right="64"/>
              <w:jc w:val="right"/>
              <w:rPr>
                <w:sz w:val="16"/>
              </w:rPr>
            </w:pPr>
            <w:r>
              <w:rPr>
                <w:sz w:val="16"/>
              </w:rPr>
              <w:t>24</w:t>
            </w:r>
          </w:p>
        </w:tc>
        <w:tc>
          <w:tcPr>
            <w:tcW w:w="1598" w:type="dxa"/>
          </w:tcPr>
          <w:p>
            <w:pPr>
              <w:pStyle w:val="TableParagraph"/>
              <w:rPr>
                <w:b/>
                <w:sz w:val="16"/>
              </w:rPr>
            </w:pPr>
          </w:p>
          <w:p>
            <w:pPr>
              <w:pStyle w:val="TableParagraph"/>
              <w:spacing w:before="9"/>
              <w:rPr>
                <w:b/>
                <w:sz w:val="17"/>
              </w:rPr>
            </w:pPr>
          </w:p>
          <w:p>
            <w:pPr>
              <w:pStyle w:val="TableParagraph"/>
              <w:ind w:right="319"/>
              <w:jc w:val="right"/>
              <w:rPr>
                <w:sz w:val="16"/>
              </w:rPr>
            </w:pPr>
            <w:r>
              <w:rPr>
                <w:w w:val="100"/>
                <w:sz w:val="16"/>
              </w:rPr>
              <w:t>3</w:t>
            </w:r>
          </w:p>
        </w:tc>
        <w:tc>
          <w:tcPr>
            <w:tcW w:w="691" w:type="dxa"/>
          </w:tcPr>
          <w:p>
            <w:pPr>
              <w:pStyle w:val="TableParagraph"/>
              <w:rPr>
                <w:b/>
                <w:sz w:val="16"/>
              </w:rPr>
            </w:pPr>
          </w:p>
          <w:p>
            <w:pPr>
              <w:pStyle w:val="TableParagraph"/>
              <w:spacing w:before="9"/>
              <w:rPr>
                <w:b/>
                <w:sz w:val="17"/>
              </w:rPr>
            </w:pPr>
          </w:p>
          <w:p>
            <w:pPr>
              <w:pStyle w:val="TableParagraph"/>
              <w:ind w:right="62"/>
              <w:jc w:val="right"/>
              <w:rPr>
                <w:sz w:val="16"/>
              </w:rPr>
            </w:pPr>
            <w:r>
              <w:rPr>
                <w:w w:val="100"/>
                <w:sz w:val="16"/>
              </w:rPr>
              <w:t>3</w:t>
            </w:r>
          </w:p>
        </w:tc>
        <w:tc>
          <w:tcPr>
            <w:tcW w:w="1210" w:type="dxa"/>
          </w:tcPr>
          <w:p>
            <w:pPr>
              <w:pStyle w:val="TableParagraph"/>
              <w:rPr>
                <w:b/>
                <w:sz w:val="16"/>
              </w:rPr>
            </w:pPr>
          </w:p>
          <w:p>
            <w:pPr>
              <w:pStyle w:val="TableParagraph"/>
              <w:spacing w:before="9"/>
              <w:rPr>
                <w:b/>
                <w:sz w:val="17"/>
              </w:rPr>
            </w:pPr>
          </w:p>
          <w:p>
            <w:pPr>
              <w:pStyle w:val="TableParagraph"/>
              <w:ind w:left="336"/>
              <w:rPr>
                <w:sz w:val="16"/>
              </w:rPr>
            </w:pPr>
            <w:r>
              <w:rPr>
                <w:sz w:val="16"/>
              </w:rPr>
              <w:t>489,600.00</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spacing w:before="0" w:after="3"/>
        <w:ind w:left="961" w:right="1247" w:firstLine="0"/>
        <w:jc w:val="left"/>
        <w:rPr>
          <w:b/>
          <w:sz w:val="24"/>
        </w:rPr>
      </w:pPr>
      <w:r>
        <w:rPr>
          <w:b/>
          <w:sz w:val="24"/>
        </w:rPr>
        <w:t>Costo de Traslados Relámpagos y Ambulancias</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83"/>
        <w:gridCol w:w="540"/>
        <w:gridCol w:w="773"/>
        <w:gridCol w:w="994"/>
        <w:gridCol w:w="674"/>
        <w:gridCol w:w="406"/>
        <w:gridCol w:w="2230"/>
        <w:gridCol w:w="2098"/>
        <w:gridCol w:w="1999"/>
      </w:tblGrid>
      <w:tr>
        <w:trPr>
          <w:trHeight w:val="744" w:hRule="exact"/>
        </w:trPr>
        <w:tc>
          <w:tcPr>
            <w:tcW w:w="2023" w:type="dxa"/>
            <w:gridSpan w:val="2"/>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left="237"/>
              <w:rPr>
                <w:b/>
                <w:sz w:val="16"/>
              </w:rPr>
            </w:pPr>
            <w:r>
              <w:rPr>
                <w:b/>
                <w:sz w:val="16"/>
              </w:rPr>
              <w:t>Promedio x traslado</w:t>
            </w:r>
          </w:p>
        </w:tc>
        <w:tc>
          <w:tcPr>
            <w:tcW w:w="773"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right="62"/>
              <w:jc w:val="right"/>
              <w:rPr>
                <w:b/>
                <w:sz w:val="16"/>
              </w:rPr>
            </w:pPr>
            <w:r>
              <w:rPr>
                <w:b/>
                <w:sz w:val="16"/>
              </w:rPr>
              <w:t>T,al Mes</w:t>
            </w:r>
          </w:p>
        </w:tc>
        <w:tc>
          <w:tcPr>
            <w:tcW w:w="994"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right="65"/>
              <w:jc w:val="right"/>
              <w:rPr>
                <w:b/>
                <w:sz w:val="16"/>
              </w:rPr>
            </w:pPr>
            <w:r>
              <w:rPr>
                <w:b/>
                <w:sz w:val="16"/>
              </w:rPr>
              <w:t>Anualizado</w:t>
            </w:r>
          </w:p>
        </w:tc>
        <w:tc>
          <w:tcPr>
            <w:tcW w:w="674" w:type="dxa"/>
            <w:shd w:val="clear" w:color="auto" w:fill="00AFEF"/>
          </w:tcPr>
          <w:p>
            <w:pPr>
              <w:pStyle w:val="TableParagraph"/>
              <w:ind w:left="67" w:right="65"/>
              <w:jc w:val="center"/>
              <w:rPr>
                <w:b/>
                <w:sz w:val="16"/>
              </w:rPr>
            </w:pPr>
            <w:r>
              <w:rPr>
                <w:b/>
                <w:sz w:val="16"/>
              </w:rPr>
              <w:t>Ahorro de tiempo en min</w:t>
            </w:r>
          </w:p>
        </w:tc>
        <w:tc>
          <w:tcPr>
            <w:tcW w:w="406"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left="67"/>
              <w:rPr>
                <w:b/>
                <w:sz w:val="16"/>
              </w:rPr>
            </w:pPr>
            <w:r>
              <w:rPr>
                <w:b/>
                <w:sz w:val="16"/>
              </w:rPr>
              <w:t>Hr</w:t>
            </w:r>
          </w:p>
        </w:tc>
        <w:tc>
          <w:tcPr>
            <w:tcW w:w="2230"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left="67"/>
              <w:rPr>
                <w:b/>
                <w:sz w:val="16"/>
              </w:rPr>
            </w:pPr>
            <w:r>
              <w:rPr>
                <w:b/>
                <w:sz w:val="16"/>
              </w:rPr>
              <w:t>Ahorros tiempo de traslado</w:t>
            </w:r>
          </w:p>
        </w:tc>
        <w:tc>
          <w:tcPr>
            <w:tcW w:w="2098"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left="67"/>
              <w:rPr>
                <w:b/>
                <w:sz w:val="16"/>
              </w:rPr>
            </w:pPr>
            <w:r>
              <w:rPr>
                <w:b/>
                <w:sz w:val="16"/>
              </w:rPr>
              <w:t>Ahorros por tiemp de uso</w:t>
            </w:r>
          </w:p>
        </w:tc>
        <w:tc>
          <w:tcPr>
            <w:tcW w:w="1999" w:type="dxa"/>
            <w:shd w:val="clear" w:color="auto" w:fill="00AFEF"/>
          </w:tcPr>
          <w:p>
            <w:pPr>
              <w:pStyle w:val="TableParagraph"/>
              <w:rPr>
                <w:b/>
                <w:sz w:val="16"/>
              </w:rPr>
            </w:pPr>
          </w:p>
          <w:p>
            <w:pPr>
              <w:pStyle w:val="TableParagraph"/>
              <w:rPr>
                <w:b/>
                <w:sz w:val="16"/>
              </w:rPr>
            </w:pPr>
          </w:p>
          <w:p>
            <w:pPr>
              <w:pStyle w:val="TableParagraph"/>
              <w:spacing w:before="7"/>
              <w:rPr>
                <w:b/>
                <w:sz w:val="15"/>
              </w:rPr>
            </w:pPr>
          </w:p>
          <w:p>
            <w:pPr>
              <w:pStyle w:val="TableParagraph"/>
              <w:ind w:left="67"/>
              <w:rPr>
                <w:b/>
                <w:sz w:val="16"/>
              </w:rPr>
            </w:pPr>
            <w:r>
              <w:rPr>
                <w:b/>
                <w:sz w:val="16"/>
              </w:rPr>
              <w:t>Total de Beneficios</w:t>
            </w:r>
          </w:p>
        </w:tc>
      </w:tr>
      <w:tr>
        <w:trPr>
          <w:trHeight w:val="611" w:hRule="exact"/>
        </w:trPr>
        <w:tc>
          <w:tcPr>
            <w:tcW w:w="1483" w:type="dxa"/>
          </w:tcPr>
          <w:p>
            <w:pPr>
              <w:pStyle w:val="TableParagraph"/>
              <w:spacing w:before="10"/>
              <w:rPr>
                <w:b/>
                <w:sz w:val="17"/>
              </w:rPr>
            </w:pPr>
          </w:p>
          <w:p>
            <w:pPr>
              <w:pStyle w:val="TableParagraph"/>
              <w:spacing w:before="1"/>
              <w:ind w:left="242" w:right="242"/>
              <w:jc w:val="center"/>
              <w:rPr>
                <w:b/>
                <w:sz w:val="16"/>
              </w:rPr>
            </w:pPr>
            <w:r>
              <w:rPr>
                <w:b/>
                <w:sz w:val="16"/>
              </w:rPr>
              <w:t>Relámpagos</w:t>
            </w:r>
          </w:p>
        </w:tc>
        <w:tc>
          <w:tcPr>
            <w:tcW w:w="540" w:type="dxa"/>
          </w:tcPr>
          <w:p>
            <w:pPr>
              <w:pStyle w:val="TableParagraph"/>
              <w:rPr>
                <w:b/>
                <w:sz w:val="16"/>
              </w:rPr>
            </w:pPr>
          </w:p>
          <w:p>
            <w:pPr>
              <w:pStyle w:val="TableParagraph"/>
              <w:spacing w:before="3"/>
              <w:rPr>
                <w:b/>
                <w:sz w:val="20"/>
              </w:rPr>
            </w:pPr>
          </w:p>
          <w:p>
            <w:pPr>
              <w:pStyle w:val="TableParagraph"/>
              <w:ind w:left="45" w:right="46"/>
              <w:jc w:val="center"/>
              <w:rPr>
                <w:sz w:val="16"/>
              </w:rPr>
            </w:pPr>
            <w:r>
              <w:rPr>
                <w:sz w:val="16"/>
              </w:rPr>
              <w:t>26.25</w:t>
            </w:r>
          </w:p>
        </w:tc>
        <w:tc>
          <w:tcPr>
            <w:tcW w:w="773" w:type="dxa"/>
          </w:tcPr>
          <w:p>
            <w:pPr>
              <w:pStyle w:val="TableParagraph"/>
              <w:rPr>
                <w:b/>
                <w:sz w:val="16"/>
              </w:rPr>
            </w:pPr>
          </w:p>
          <w:p>
            <w:pPr>
              <w:pStyle w:val="TableParagraph"/>
              <w:spacing w:before="3"/>
              <w:rPr>
                <w:b/>
                <w:sz w:val="20"/>
              </w:rPr>
            </w:pPr>
          </w:p>
          <w:p>
            <w:pPr>
              <w:pStyle w:val="TableParagraph"/>
              <w:ind w:right="64"/>
              <w:jc w:val="right"/>
              <w:rPr>
                <w:sz w:val="16"/>
              </w:rPr>
            </w:pPr>
            <w:r>
              <w:rPr>
                <w:w w:val="100"/>
                <w:sz w:val="16"/>
              </w:rPr>
              <w:t>8</w:t>
            </w:r>
          </w:p>
        </w:tc>
        <w:tc>
          <w:tcPr>
            <w:tcW w:w="994" w:type="dxa"/>
          </w:tcPr>
          <w:p>
            <w:pPr>
              <w:pStyle w:val="TableParagraph"/>
              <w:rPr>
                <w:b/>
                <w:sz w:val="16"/>
              </w:rPr>
            </w:pPr>
          </w:p>
          <w:p>
            <w:pPr>
              <w:pStyle w:val="TableParagraph"/>
              <w:spacing w:before="3"/>
              <w:rPr>
                <w:b/>
                <w:sz w:val="20"/>
              </w:rPr>
            </w:pPr>
          </w:p>
          <w:p>
            <w:pPr>
              <w:pStyle w:val="TableParagraph"/>
              <w:ind w:right="64"/>
              <w:jc w:val="right"/>
              <w:rPr>
                <w:sz w:val="16"/>
              </w:rPr>
            </w:pPr>
            <w:r>
              <w:rPr>
                <w:sz w:val="16"/>
              </w:rPr>
              <w:t>99</w:t>
            </w:r>
          </w:p>
        </w:tc>
        <w:tc>
          <w:tcPr>
            <w:tcW w:w="674" w:type="dxa"/>
          </w:tcPr>
          <w:p>
            <w:pPr>
              <w:pStyle w:val="TableParagraph"/>
              <w:rPr>
                <w:b/>
                <w:sz w:val="16"/>
              </w:rPr>
            </w:pPr>
          </w:p>
          <w:p>
            <w:pPr>
              <w:pStyle w:val="TableParagraph"/>
              <w:spacing w:before="3"/>
              <w:rPr>
                <w:b/>
                <w:sz w:val="20"/>
              </w:rPr>
            </w:pPr>
          </w:p>
          <w:p>
            <w:pPr>
              <w:pStyle w:val="TableParagraph"/>
              <w:ind w:right="64"/>
              <w:jc w:val="right"/>
              <w:rPr>
                <w:sz w:val="16"/>
              </w:rPr>
            </w:pPr>
            <w:r>
              <w:rPr>
                <w:sz w:val="16"/>
              </w:rPr>
              <w:t>2599</w:t>
            </w:r>
          </w:p>
        </w:tc>
        <w:tc>
          <w:tcPr>
            <w:tcW w:w="406" w:type="dxa"/>
          </w:tcPr>
          <w:p>
            <w:pPr>
              <w:pStyle w:val="TableParagraph"/>
              <w:rPr>
                <w:b/>
                <w:sz w:val="16"/>
              </w:rPr>
            </w:pPr>
          </w:p>
          <w:p>
            <w:pPr>
              <w:pStyle w:val="TableParagraph"/>
              <w:spacing w:before="3"/>
              <w:rPr>
                <w:b/>
                <w:sz w:val="20"/>
              </w:rPr>
            </w:pPr>
          </w:p>
          <w:p>
            <w:pPr>
              <w:pStyle w:val="TableParagraph"/>
              <w:ind w:right="62"/>
              <w:jc w:val="right"/>
              <w:rPr>
                <w:sz w:val="16"/>
              </w:rPr>
            </w:pPr>
            <w:r>
              <w:rPr>
                <w:sz w:val="16"/>
              </w:rPr>
              <w:t>43</w:t>
            </w:r>
          </w:p>
        </w:tc>
        <w:tc>
          <w:tcPr>
            <w:tcW w:w="2230" w:type="dxa"/>
          </w:tcPr>
          <w:p>
            <w:pPr>
              <w:pStyle w:val="TableParagraph"/>
              <w:rPr>
                <w:b/>
                <w:sz w:val="16"/>
              </w:rPr>
            </w:pPr>
          </w:p>
          <w:p>
            <w:pPr>
              <w:pStyle w:val="TableParagraph"/>
              <w:spacing w:before="3"/>
              <w:rPr>
                <w:b/>
                <w:sz w:val="20"/>
              </w:rPr>
            </w:pPr>
          </w:p>
          <w:p>
            <w:pPr>
              <w:pStyle w:val="TableParagraph"/>
              <w:ind w:left="204"/>
              <w:rPr>
                <w:sz w:val="16"/>
              </w:rPr>
            </w:pPr>
            <w:r>
              <w:rPr>
                <w:sz w:val="16"/>
              </w:rPr>
              <w:t>1,919,566.69</w:t>
            </w:r>
          </w:p>
        </w:tc>
        <w:tc>
          <w:tcPr>
            <w:tcW w:w="2098" w:type="dxa"/>
          </w:tcPr>
          <w:p>
            <w:pPr>
              <w:pStyle w:val="TableParagraph"/>
              <w:rPr>
                <w:b/>
                <w:sz w:val="16"/>
              </w:rPr>
            </w:pPr>
          </w:p>
          <w:p>
            <w:pPr>
              <w:pStyle w:val="TableParagraph"/>
              <w:spacing w:before="3"/>
              <w:rPr>
                <w:b/>
                <w:sz w:val="20"/>
              </w:rPr>
            </w:pPr>
          </w:p>
          <w:p>
            <w:pPr>
              <w:pStyle w:val="TableParagraph"/>
              <w:ind w:left="247"/>
              <w:rPr>
                <w:sz w:val="16"/>
              </w:rPr>
            </w:pPr>
            <w:r>
              <w:rPr>
                <w:sz w:val="16"/>
              </w:rPr>
              <w:t>9,572,904.00</w:t>
            </w:r>
          </w:p>
        </w:tc>
        <w:tc>
          <w:tcPr>
            <w:tcW w:w="1999" w:type="dxa"/>
          </w:tcPr>
          <w:p>
            <w:pPr>
              <w:pStyle w:val="TableParagraph"/>
              <w:rPr>
                <w:b/>
                <w:sz w:val="16"/>
              </w:rPr>
            </w:pPr>
          </w:p>
          <w:p>
            <w:pPr>
              <w:pStyle w:val="TableParagraph"/>
              <w:spacing w:before="3"/>
              <w:rPr>
                <w:b/>
                <w:sz w:val="20"/>
              </w:rPr>
            </w:pPr>
          </w:p>
          <w:p>
            <w:pPr>
              <w:pStyle w:val="TableParagraph"/>
              <w:ind w:left="158"/>
              <w:rPr>
                <w:sz w:val="16"/>
              </w:rPr>
            </w:pPr>
            <w:r>
              <w:rPr>
                <w:sz w:val="16"/>
              </w:rPr>
              <w:t>11,492,470.69</w:t>
            </w:r>
          </w:p>
        </w:tc>
      </w:tr>
      <w:tr>
        <w:trPr>
          <w:trHeight w:val="295" w:hRule="exact"/>
        </w:trPr>
        <w:tc>
          <w:tcPr>
            <w:tcW w:w="1483" w:type="dxa"/>
          </w:tcPr>
          <w:p>
            <w:pPr>
              <w:pStyle w:val="TableParagraph"/>
              <w:spacing w:before="51"/>
              <w:ind w:left="241" w:right="242"/>
              <w:jc w:val="center"/>
              <w:rPr>
                <w:sz w:val="16"/>
              </w:rPr>
            </w:pPr>
            <w:r>
              <w:rPr>
                <w:sz w:val="16"/>
              </w:rPr>
              <w:t>Ambulancias</w:t>
            </w:r>
          </w:p>
        </w:tc>
        <w:tc>
          <w:tcPr>
            <w:tcW w:w="540" w:type="dxa"/>
          </w:tcPr>
          <w:p>
            <w:pPr>
              <w:pStyle w:val="TableParagraph"/>
              <w:spacing w:before="102"/>
              <w:ind w:left="178" w:right="46"/>
              <w:jc w:val="center"/>
              <w:rPr>
                <w:sz w:val="16"/>
              </w:rPr>
            </w:pPr>
            <w:r>
              <w:rPr>
                <w:sz w:val="16"/>
              </w:rPr>
              <w:t>120</w:t>
            </w:r>
          </w:p>
        </w:tc>
        <w:tc>
          <w:tcPr>
            <w:tcW w:w="773" w:type="dxa"/>
          </w:tcPr>
          <w:p>
            <w:pPr>
              <w:pStyle w:val="TableParagraph"/>
              <w:spacing w:before="102"/>
              <w:ind w:right="64"/>
              <w:jc w:val="right"/>
              <w:rPr>
                <w:sz w:val="16"/>
              </w:rPr>
            </w:pPr>
            <w:r>
              <w:rPr>
                <w:sz w:val="16"/>
              </w:rPr>
              <w:t>17</w:t>
            </w:r>
          </w:p>
        </w:tc>
        <w:tc>
          <w:tcPr>
            <w:tcW w:w="994" w:type="dxa"/>
          </w:tcPr>
          <w:p>
            <w:pPr>
              <w:pStyle w:val="TableParagraph"/>
              <w:spacing w:before="102"/>
              <w:ind w:right="64"/>
              <w:jc w:val="right"/>
              <w:rPr>
                <w:sz w:val="16"/>
              </w:rPr>
            </w:pPr>
            <w:r>
              <w:rPr>
                <w:sz w:val="16"/>
              </w:rPr>
              <w:t>201</w:t>
            </w:r>
          </w:p>
        </w:tc>
        <w:tc>
          <w:tcPr>
            <w:tcW w:w="674" w:type="dxa"/>
          </w:tcPr>
          <w:p>
            <w:pPr>
              <w:pStyle w:val="TableParagraph"/>
              <w:spacing w:before="102"/>
              <w:ind w:right="64"/>
              <w:jc w:val="right"/>
              <w:rPr>
                <w:sz w:val="16"/>
              </w:rPr>
            </w:pPr>
            <w:r>
              <w:rPr>
                <w:sz w:val="16"/>
              </w:rPr>
              <w:t>24120</w:t>
            </w:r>
          </w:p>
        </w:tc>
        <w:tc>
          <w:tcPr>
            <w:tcW w:w="406" w:type="dxa"/>
          </w:tcPr>
          <w:p>
            <w:pPr>
              <w:pStyle w:val="TableParagraph"/>
              <w:spacing w:before="102"/>
              <w:ind w:right="62"/>
              <w:jc w:val="right"/>
              <w:rPr>
                <w:sz w:val="16"/>
              </w:rPr>
            </w:pPr>
            <w:r>
              <w:rPr>
                <w:sz w:val="16"/>
              </w:rPr>
              <w:t>402</w:t>
            </w:r>
          </w:p>
        </w:tc>
        <w:tc>
          <w:tcPr>
            <w:tcW w:w="2230" w:type="dxa"/>
          </w:tcPr>
          <w:p>
            <w:pPr>
              <w:pStyle w:val="TableParagraph"/>
              <w:spacing w:before="102"/>
              <w:ind w:left="204"/>
              <w:rPr>
                <w:sz w:val="16"/>
              </w:rPr>
            </w:pPr>
            <w:r>
              <w:rPr>
                <w:sz w:val="16"/>
              </w:rPr>
              <w:t>1,366,800.00</w:t>
            </w:r>
          </w:p>
        </w:tc>
        <w:tc>
          <w:tcPr>
            <w:tcW w:w="2098" w:type="dxa"/>
          </w:tcPr>
          <w:p>
            <w:pPr>
              <w:pStyle w:val="TableParagraph"/>
              <w:spacing w:before="102"/>
              <w:ind w:left="381"/>
              <w:rPr>
                <w:sz w:val="16"/>
              </w:rPr>
            </w:pPr>
            <w:r>
              <w:rPr>
                <w:sz w:val="16"/>
              </w:rPr>
              <w:t>489,600.00</w:t>
            </w:r>
          </w:p>
        </w:tc>
        <w:tc>
          <w:tcPr>
            <w:tcW w:w="1999" w:type="dxa"/>
          </w:tcPr>
          <w:p>
            <w:pPr>
              <w:pStyle w:val="TableParagraph"/>
              <w:spacing w:before="102"/>
              <w:ind w:left="247"/>
              <w:rPr>
                <w:sz w:val="16"/>
              </w:rPr>
            </w:pPr>
            <w:r>
              <w:rPr>
                <w:sz w:val="16"/>
              </w:rPr>
              <w:t>1,856,400.00</w:t>
            </w:r>
          </w:p>
        </w:tc>
      </w:tr>
      <w:tr>
        <w:trPr>
          <w:trHeight w:val="295" w:hRule="exact"/>
        </w:trPr>
        <w:tc>
          <w:tcPr>
            <w:tcW w:w="4870" w:type="dxa"/>
            <w:gridSpan w:val="6"/>
            <w:tcBorders>
              <w:left w:val="nil"/>
              <w:bottom w:val="nil"/>
            </w:tcBorders>
          </w:tcPr>
          <w:p>
            <w:pPr/>
          </w:p>
        </w:tc>
        <w:tc>
          <w:tcPr>
            <w:tcW w:w="2230" w:type="dxa"/>
          </w:tcPr>
          <w:p>
            <w:pPr>
              <w:pStyle w:val="TableParagraph"/>
              <w:spacing w:before="99"/>
              <w:ind w:left="204"/>
              <w:rPr>
                <w:sz w:val="16"/>
              </w:rPr>
            </w:pPr>
            <w:r>
              <w:rPr>
                <w:sz w:val="16"/>
              </w:rPr>
              <w:t>3,286,366.69</w:t>
            </w:r>
          </w:p>
        </w:tc>
        <w:tc>
          <w:tcPr>
            <w:tcW w:w="2098" w:type="dxa"/>
          </w:tcPr>
          <w:p>
            <w:pPr>
              <w:pStyle w:val="TableParagraph"/>
              <w:spacing w:before="99"/>
              <w:ind w:left="158"/>
              <w:rPr>
                <w:sz w:val="16"/>
              </w:rPr>
            </w:pPr>
            <w:r>
              <w:rPr>
                <w:sz w:val="16"/>
              </w:rPr>
              <w:t>10,062,504.00</w:t>
            </w:r>
          </w:p>
        </w:tc>
        <w:tc>
          <w:tcPr>
            <w:tcW w:w="1999" w:type="dxa"/>
          </w:tcPr>
          <w:p>
            <w:pPr>
              <w:pStyle w:val="TableParagraph"/>
              <w:spacing w:before="99"/>
              <w:ind w:left="158"/>
              <w:rPr>
                <w:sz w:val="16"/>
              </w:rPr>
            </w:pPr>
            <w:r>
              <w:rPr>
                <w:sz w:val="16"/>
              </w:rPr>
              <w:t>13,348,870.69</w:t>
            </w:r>
          </w:p>
        </w:tc>
      </w:tr>
      <w:tr>
        <w:trPr>
          <w:trHeight w:val="581" w:hRule="exact"/>
        </w:trPr>
        <w:tc>
          <w:tcPr>
            <w:tcW w:w="7099" w:type="dxa"/>
            <w:gridSpan w:val="7"/>
            <w:tcBorders>
              <w:top w:val="nil"/>
              <w:left w:val="nil"/>
              <w:bottom w:val="nil"/>
            </w:tcBorders>
          </w:tcPr>
          <w:p>
            <w:pPr/>
          </w:p>
        </w:tc>
        <w:tc>
          <w:tcPr>
            <w:tcW w:w="2098" w:type="dxa"/>
          </w:tcPr>
          <w:p>
            <w:pPr>
              <w:pStyle w:val="TableParagraph"/>
              <w:rPr>
                <w:b/>
                <w:sz w:val="16"/>
              </w:rPr>
            </w:pPr>
          </w:p>
          <w:p>
            <w:pPr>
              <w:pStyle w:val="TableParagraph"/>
              <w:spacing w:before="5"/>
              <w:rPr>
                <w:b/>
                <w:sz w:val="17"/>
              </w:rPr>
            </w:pPr>
          </w:p>
          <w:p>
            <w:pPr>
              <w:pStyle w:val="TableParagraph"/>
              <w:ind w:left="244"/>
              <w:rPr>
                <w:sz w:val="16"/>
              </w:rPr>
            </w:pPr>
            <w:r>
              <w:rPr>
                <w:sz w:val="16"/>
              </w:rPr>
              <w:t>Más costo de atención</w:t>
            </w:r>
          </w:p>
        </w:tc>
        <w:tc>
          <w:tcPr>
            <w:tcW w:w="1999" w:type="dxa"/>
          </w:tcPr>
          <w:p>
            <w:pPr>
              <w:pStyle w:val="TableParagraph"/>
              <w:rPr>
                <w:b/>
                <w:sz w:val="16"/>
              </w:rPr>
            </w:pPr>
          </w:p>
          <w:p>
            <w:pPr>
              <w:pStyle w:val="TableParagraph"/>
              <w:spacing w:before="5"/>
              <w:rPr>
                <w:b/>
                <w:sz w:val="17"/>
              </w:rPr>
            </w:pPr>
          </w:p>
          <w:p>
            <w:pPr>
              <w:pStyle w:val="TableParagraph"/>
              <w:ind w:left="247"/>
              <w:rPr>
                <w:sz w:val="16"/>
              </w:rPr>
            </w:pPr>
            <w:r>
              <w:rPr>
                <w:sz w:val="16"/>
              </w:rPr>
              <w:t>6,928,134.00</w:t>
            </w:r>
          </w:p>
        </w:tc>
      </w:tr>
      <w:tr>
        <w:trPr>
          <w:trHeight w:val="295" w:hRule="exact"/>
        </w:trPr>
        <w:tc>
          <w:tcPr>
            <w:tcW w:w="9197" w:type="dxa"/>
            <w:gridSpan w:val="8"/>
            <w:tcBorders>
              <w:top w:val="nil"/>
              <w:left w:val="nil"/>
              <w:bottom w:val="nil"/>
            </w:tcBorders>
          </w:tcPr>
          <w:p>
            <w:pPr/>
          </w:p>
        </w:tc>
        <w:tc>
          <w:tcPr>
            <w:tcW w:w="1999" w:type="dxa"/>
          </w:tcPr>
          <w:p>
            <w:pPr>
              <w:pStyle w:val="TableParagraph"/>
              <w:spacing w:before="99"/>
              <w:ind w:left="158"/>
              <w:rPr>
                <w:sz w:val="16"/>
              </w:rPr>
            </w:pPr>
            <w:r>
              <w:rPr>
                <w:sz w:val="16"/>
              </w:rPr>
              <w:t>20,277,004.69</w:t>
            </w:r>
          </w:p>
        </w:tc>
      </w:tr>
    </w:tbl>
    <w:p>
      <w:pPr>
        <w:spacing w:after="0"/>
        <w:rPr>
          <w:sz w:val="16"/>
        </w:rPr>
        <w:sectPr>
          <w:footerReference w:type="default" r:id="rId57"/>
          <w:pgSz w:w="12240" w:h="15840"/>
          <w:pgMar w:footer="0" w:header="0" w:top="1500" w:bottom="280" w:left="740" w:right="80"/>
        </w:sectPr>
      </w:pPr>
    </w:p>
    <w:p>
      <w:pPr>
        <w:spacing w:before="50"/>
        <w:ind w:left="101" w:right="2951" w:firstLine="0"/>
        <w:jc w:val="left"/>
        <w:rPr>
          <w:b/>
          <w:sz w:val="24"/>
        </w:rPr>
      </w:pPr>
      <w:r>
        <w:rPr>
          <w:b/>
          <w:sz w:val="24"/>
        </w:rPr>
        <w:t>Anexo 3 Cotizaciones</w:t>
      </w:r>
    </w:p>
    <w:p>
      <w:pPr>
        <w:pStyle w:val="ListParagraph"/>
        <w:numPr>
          <w:ilvl w:val="1"/>
          <w:numId w:val="25"/>
        </w:numPr>
        <w:tabs>
          <w:tab w:pos="571" w:val="left" w:leader="none"/>
        </w:tabs>
        <w:spacing w:line="240" w:lineRule="auto" w:before="84" w:after="0"/>
        <w:ind w:left="570" w:right="0" w:hanging="402"/>
        <w:jc w:val="left"/>
        <w:rPr>
          <w:b/>
          <w:sz w:val="24"/>
        </w:rPr>
      </w:pPr>
      <w:r>
        <w:rPr>
          <w:b/>
          <w:sz w:val="24"/>
        </w:rPr>
        <w:t>Materiales</w:t>
      </w:r>
    </w:p>
    <w:p>
      <w:pPr>
        <w:pStyle w:val="BodyText"/>
        <w:ind w:left="101"/>
        <w:rPr>
          <w:sz w:val="20"/>
        </w:rPr>
      </w:pPr>
      <w:r>
        <w:rPr>
          <w:sz w:val="20"/>
        </w:rPr>
        <w:drawing>
          <wp:inline distT="0" distB="0" distL="0" distR="0">
            <wp:extent cx="5175205" cy="6249447"/>
            <wp:effectExtent l="0" t="0" r="0" b="0"/>
            <wp:docPr id="123" name="image31.jpeg" descr=""/>
            <wp:cNvGraphicFramePr>
              <a:graphicFrameLocks noChangeAspect="1"/>
            </wp:cNvGraphicFramePr>
            <a:graphic>
              <a:graphicData uri="http://schemas.openxmlformats.org/drawingml/2006/picture">
                <pic:pic>
                  <pic:nvPicPr>
                    <pic:cNvPr id="124" name="image31.jpeg"/>
                    <pic:cNvPicPr/>
                  </pic:nvPicPr>
                  <pic:blipFill>
                    <a:blip r:embed="rId60" cstate="print"/>
                    <a:stretch>
                      <a:fillRect/>
                    </a:stretch>
                  </pic:blipFill>
                  <pic:spPr>
                    <a:xfrm>
                      <a:off x="0" y="0"/>
                      <a:ext cx="5175205" cy="6249447"/>
                    </a:xfrm>
                    <a:prstGeom prst="rect">
                      <a:avLst/>
                    </a:prstGeom>
                  </pic:spPr>
                </pic:pic>
              </a:graphicData>
            </a:graphic>
          </wp:inline>
        </w:drawing>
      </w:r>
      <w:r>
        <w:rPr>
          <w:sz w:val="20"/>
        </w:rPr>
      </w:r>
    </w:p>
    <w:p>
      <w:pPr>
        <w:spacing w:after="0"/>
        <w:rPr>
          <w:sz w:val="20"/>
        </w:rPr>
        <w:sectPr>
          <w:footerReference w:type="default" r:id="rId59"/>
          <w:pgSz w:w="12240" w:h="15840"/>
          <w:pgMar w:footer="0" w:header="0" w:top="1460" w:bottom="280" w:left="1600" w:right="1720"/>
        </w:sectPr>
      </w:pPr>
    </w:p>
    <w:p>
      <w:pPr>
        <w:pStyle w:val="ListParagraph"/>
        <w:numPr>
          <w:ilvl w:val="1"/>
          <w:numId w:val="25"/>
        </w:numPr>
        <w:tabs>
          <w:tab w:pos="504" w:val="left" w:leader="none"/>
        </w:tabs>
        <w:spacing w:line="240" w:lineRule="auto" w:before="50" w:after="0"/>
        <w:ind w:left="503" w:right="0" w:hanging="402"/>
        <w:jc w:val="left"/>
        <w:rPr>
          <w:b/>
          <w:sz w:val="24"/>
        </w:rPr>
      </w:pPr>
      <w:r>
        <w:rPr>
          <w:b/>
          <w:sz w:val="24"/>
        </w:rPr>
        <w:t>Equipo</w:t>
      </w:r>
    </w:p>
    <w:p>
      <w:pPr>
        <w:pStyle w:val="BodyText"/>
        <w:rPr>
          <w:b/>
          <w:sz w:val="28"/>
        </w:rPr>
      </w:pPr>
      <w:r>
        <w:rPr/>
        <w:drawing>
          <wp:anchor distT="0" distB="0" distL="0" distR="0" allowOverlap="1" layoutInCell="1" locked="0" behindDoc="0" simplePos="0" relativeHeight="2488">
            <wp:simplePos x="0" y="0"/>
            <wp:positionH relativeFrom="page">
              <wp:posOffset>1371600</wp:posOffset>
            </wp:positionH>
            <wp:positionV relativeFrom="paragraph">
              <wp:posOffset>229831</wp:posOffset>
            </wp:positionV>
            <wp:extent cx="5024083" cy="6546532"/>
            <wp:effectExtent l="0" t="0" r="0" b="0"/>
            <wp:wrapTopAndBottom/>
            <wp:docPr id="125" name="image32.jpeg" descr=""/>
            <wp:cNvGraphicFramePr>
              <a:graphicFrameLocks noChangeAspect="1"/>
            </wp:cNvGraphicFramePr>
            <a:graphic>
              <a:graphicData uri="http://schemas.openxmlformats.org/drawingml/2006/picture">
                <pic:pic>
                  <pic:nvPicPr>
                    <pic:cNvPr id="126" name="image32.jpeg"/>
                    <pic:cNvPicPr/>
                  </pic:nvPicPr>
                  <pic:blipFill>
                    <a:blip r:embed="rId62" cstate="print"/>
                    <a:stretch>
                      <a:fillRect/>
                    </a:stretch>
                  </pic:blipFill>
                  <pic:spPr>
                    <a:xfrm>
                      <a:off x="0" y="0"/>
                      <a:ext cx="5024083" cy="6546532"/>
                    </a:xfrm>
                    <a:prstGeom prst="rect">
                      <a:avLst/>
                    </a:prstGeom>
                  </pic:spPr>
                </pic:pic>
              </a:graphicData>
            </a:graphic>
          </wp:anchor>
        </w:drawing>
      </w:r>
    </w:p>
    <w:p>
      <w:pPr>
        <w:spacing w:after="0"/>
        <w:rPr>
          <w:sz w:val="28"/>
        </w:rPr>
        <w:sectPr>
          <w:footerReference w:type="default" r:id="rId61"/>
          <w:pgSz w:w="12240" w:h="15840"/>
          <w:pgMar w:footer="0" w:header="0" w:top="1460" w:bottom="280" w:left="1600" w:right="1720"/>
        </w:sectPr>
      </w:pPr>
    </w:p>
    <w:p>
      <w:pPr>
        <w:pStyle w:val="BodyText"/>
        <w:ind w:left="101"/>
        <w:rPr>
          <w:sz w:val="20"/>
        </w:rPr>
      </w:pPr>
      <w:r>
        <w:rPr>
          <w:sz w:val="20"/>
        </w:rPr>
        <w:drawing>
          <wp:inline distT="0" distB="0" distL="0" distR="0">
            <wp:extent cx="6002818" cy="7542276"/>
            <wp:effectExtent l="0" t="0" r="0" b="0"/>
            <wp:docPr id="127" name="image33.png" descr=""/>
            <wp:cNvGraphicFramePr>
              <a:graphicFrameLocks noChangeAspect="1"/>
            </wp:cNvGraphicFramePr>
            <a:graphic>
              <a:graphicData uri="http://schemas.openxmlformats.org/drawingml/2006/picture">
                <pic:pic>
                  <pic:nvPicPr>
                    <pic:cNvPr id="128" name="image33.png"/>
                    <pic:cNvPicPr/>
                  </pic:nvPicPr>
                  <pic:blipFill>
                    <a:blip r:embed="rId64" cstate="print"/>
                    <a:stretch>
                      <a:fillRect/>
                    </a:stretch>
                  </pic:blipFill>
                  <pic:spPr>
                    <a:xfrm>
                      <a:off x="0" y="0"/>
                      <a:ext cx="6002818" cy="7542276"/>
                    </a:xfrm>
                    <a:prstGeom prst="rect">
                      <a:avLst/>
                    </a:prstGeom>
                  </pic:spPr>
                </pic:pic>
              </a:graphicData>
            </a:graphic>
          </wp:inline>
        </w:drawing>
      </w:r>
      <w:r>
        <w:rPr>
          <w:sz w:val="20"/>
        </w:rPr>
      </w:r>
    </w:p>
    <w:p>
      <w:pPr>
        <w:spacing w:after="0"/>
        <w:rPr>
          <w:sz w:val="20"/>
        </w:rPr>
        <w:sectPr>
          <w:footerReference w:type="default" r:id="rId63"/>
          <w:pgSz w:w="12240" w:h="15840"/>
          <w:pgMar w:footer="0" w:header="0" w:top="1420" w:bottom="280" w:left="1600" w:right="940"/>
        </w:sectPr>
      </w:pPr>
    </w:p>
    <w:p>
      <w:pPr>
        <w:pStyle w:val="ListParagraph"/>
        <w:numPr>
          <w:ilvl w:val="1"/>
          <w:numId w:val="25"/>
        </w:numPr>
        <w:tabs>
          <w:tab w:pos="504" w:val="left" w:leader="none"/>
        </w:tabs>
        <w:spacing w:line="240" w:lineRule="auto" w:before="50" w:after="0"/>
        <w:ind w:left="503" w:right="0" w:hanging="402"/>
        <w:jc w:val="left"/>
        <w:rPr>
          <w:b/>
          <w:sz w:val="24"/>
        </w:rPr>
      </w:pPr>
      <w:r>
        <w:rPr>
          <w:b/>
          <w:sz w:val="24"/>
        </w:rPr>
        <w:t>Equipo</w:t>
      </w:r>
      <w:r>
        <w:rPr>
          <w:b/>
          <w:spacing w:val="-16"/>
          <w:sz w:val="24"/>
        </w:rPr>
        <w:t> </w:t>
      </w:r>
      <w:r>
        <w:rPr>
          <w:b/>
          <w:sz w:val="24"/>
        </w:rPr>
        <w:t>Alternativo</w:t>
      </w:r>
    </w:p>
    <w:p>
      <w:pPr>
        <w:pStyle w:val="BodyText"/>
        <w:ind w:left="1548"/>
        <w:rPr>
          <w:sz w:val="20"/>
        </w:rPr>
      </w:pPr>
      <w:r>
        <w:rPr>
          <w:sz w:val="20"/>
        </w:rPr>
        <w:drawing>
          <wp:inline distT="0" distB="0" distL="0" distR="0">
            <wp:extent cx="3770379" cy="3779520"/>
            <wp:effectExtent l="0" t="0" r="0" b="0"/>
            <wp:docPr id="129" name="image34.jpeg" descr=""/>
            <wp:cNvGraphicFramePr>
              <a:graphicFrameLocks noChangeAspect="1"/>
            </wp:cNvGraphicFramePr>
            <a:graphic>
              <a:graphicData uri="http://schemas.openxmlformats.org/drawingml/2006/picture">
                <pic:pic>
                  <pic:nvPicPr>
                    <pic:cNvPr id="130" name="image34.jpeg"/>
                    <pic:cNvPicPr/>
                  </pic:nvPicPr>
                  <pic:blipFill>
                    <a:blip r:embed="rId66" cstate="print"/>
                    <a:stretch>
                      <a:fillRect/>
                    </a:stretch>
                  </pic:blipFill>
                  <pic:spPr>
                    <a:xfrm>
                      <a:off x="0" y="0"/>
                      <a:ext cx="3770379" cy="3779520"/>
                    </a:xfrm>
                    <a:prstGeom prst="rect">
                      <a:avLst/>
                    </a:prstGeom>
                  </pic:spPr>
                </pic:pic>
              </a:graphicData>
            </a:graphic>
          </wp:inline>
        </w:drawing>
      </w:r>
      <w:r>
        <w:rPr>
          <w:sz w:val="20"/>
        </w:rPr>
      </w:r>
    </w:p>
    <w:p>
      <w:pPr>
        <w:spacing w:after="0"/>
        <w:rPr>
          <w:sz w:val="20"/>
        </w:rPr>
        <w:sectPr>
          <w:footerReference w:type="default" r:id="rId65"/>
          <w:pgSz w:w="12240" w:h="15840"/>
          <w:pgMar w:footer="0" w:header="0" w:top="1460" w:bottom="280" w:left="1600" w:right="1720"/>
        </w:sectPr>
      </w:pPr>
    </w:p>
    <w:p>
      <w:pPr>
        <w:spacing w:before="50"/>
        <w:ind w:left="101" w:right="2951" w:firstLine="0"/>
        <w:jc w:val="left"/>
        <w:rPr>
          <w:b/>
          <w:sz w:val="24"/>
        </w:rPr>
      </w:pPr>
      <w:r>
        <w:rPr>
          <w:b/>
          <w:sz w:val="24"/>
        </w:rPr>
        <w:t>Costo Curso Triage Masivo</w:t>
      </w:r>
    </w:p>
    <w:p>
      <w:pPr>
        <w:pStyle w:val="BodyText"/>
        <w:rPr>
          <w:b/>
          <w:sz w:val="28"/>
        </w:rPr>
      </w:pPr>
      <w:r>
        <w:rPr/>
        <w:drawing>
          <wp:anchor distT="0" distB="0" distL="0" distR="0" allowOverlap="1" layoutInCell="1" locked="0" behindDoc="0" simplePos="0" relativeHeight="2512">
            <wp:simplePos x="0" y="0"/>
            <wp:positionH relativeFrom="page">
              <wp:posOffset>1889760</wp:posOffset>
            </wp:positionH>
            <wp:positionV relativeFrom="paragraph">
              <wp:posOffset>229832</wp:posOffset>
            </wp:positionV>
            <wp:extent cx="3987622" cy="3255264"/>
            <wp:effectExtent l="0" t="0" r="0" b="0"/>
            <wp:wrapTopAndBottom/>
            <wp:docPr id="131" name="image35.jpeg" descr=""/>
            <wp:cNvGraphicFramePr>
              <a:graphicFrameLocks noChangeAspect="1"/>
            </wp:cNvGraphicFramePr>
            <a:graphic>
              <a:graphicData uri="http://schemas.openxmlformats.org/drawingml/2006/picture">
                <pic:pic>
                  <pic:nvPicPr>
                    <pic:cNvPr id="132" name="image35.jpeg"/>
                    <pic:cNvPicPr/>
                  </pic:nvPicPr>
                  <pic:blipFill>
                    <a:blip r:embed="rId68" cstate="print"/>
                    <a:stretch>
                      <a:fillRect/>
                    </a:stretch>
                  </pic:blipFill>
                  <pic:spPr>
                    <a:xfrm>
                      <a:off x="0" y="0"/>
                      <a:ext cx="3987622" cy="3255264"/>
                    </a:xfrm>
                    <a:prstGeom prst="rect">
                      <a:avLst/>
                    </a:prstGeom>
                  </pic:spPr>
                </pic:pic>
              </a:graphicData>
            </a:graphic>
          </wp:anchor>
        </w:drawing>
      </w:r>
    </w:p>
    <w:p>
      <w:pPr>
        <w:spacing w:after="0"/>
        <w:rPr>
          <w:sz w:val="28"/>
        </w:rPr>
        <w:sectPr>
          <w:footerReference w:type="default" r:id="rId67"/>
          <w:pgSz w:w="12240" w:h="15840"/>
          <w:pgMar w:footer="0" w:header="0" w:top="1460" w:bottom="280" w:left="1600" w:right="1720"/>
        </w:sectPr>
      </w:pPr>
    </w:p>
    <w:p>
      <w:pPr>
        <w:pStyle w:val="BodyText"/>
        <w:spacing w:before="50"/>
        <w:ind w:left="269" w:right="269"/>
        <w:jc w:val="center"/>
      </w:pPr>
      <w:r>
        <w:rPr/>
        <w:t>Anexo 4</w:t>
      </w:r>
    </w:p>
    <w:p>
      <w:pPr>
        <w:pStyle w:val="BodyText"/>
        <w:spacing w:line="312" w:lineRule="auto" w:before="84"/>
        <w:ind w:left="269" w:right="275"/>
        <w:jc w:val="center"/>
      </w:pPr>
      <w:r>
        <w:rPr/>
        <w:t>ESTÁDISTICA POR EVENTOS 2005-2012 DE LOS EVENTOS ATENDIDOS POR EL SUEM DEL ESTADO DE MÉXICO.</w:t>
      </w:r>
    </w:p>
    <w:p>
      <w:pPr>
        <w:pStyle w:val="BodyText"/>
        <w:spacing w:before="7" w:after="1"/>
      </w:pPr>
    </w:p>
    <w:tbl>
      <w:tblPr>
        <w:tblW w:w="0" w:type="auto"/>
        <w:jc w:val="left"/>
        <w:tblInd w:w="85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94"/>
        <w:gridCol w:w="1183"/>
        <w:gridCol w:w="1082"/>
        <w:gridCol w:w="2069"/>
        <w:gridCol w:w="1138"/>
        <w:gridCol w:w="1010"/>
      </w:tblGrid>
      <w:tr>
        <w:trPr>
          <w:trHeight w:val="308" w:hRule="exact"/>
        </w:trPr>
        <w:tc>
          <w:tcPr>
            <w:tcW w:w="494" w:type="dxa"/>
            <w:shd w:val="clear" w:color="auto" w:fill="F9BF8E"/>
          </w:tcPr>
          <w:p>
            <w:pPr>
              <w:pStyle w:val="TableParagraph"/>
              <w:spacing w:before="111"/>
              <w:ind w:left="44" w:right="44"/>
              <w:jc w:val="center"/>
              <w:rPr>
                <w:b/>
                <w:sz w:val="16"/>
              </w:rPr>
            </w:pPr>
            <w:r>
              <w:rPr>
                <w:b/>
                <w:sz w:val="16"/>
              </w:rPr>
              <w:t>AÑO</w:t>
            </w:r>
          </w:p>
        </w:tc>
        <w:tc>
          <w:tcPr>
            <w:tcW w:w="1183" w:type="dxa"/>
            <w:shd w:val="clear" w:color="auto" w:fill="F9BF8E"/>
          </w:tcPr>
          <w:p>
            <w:pPr>
              <w:pStyle w:val="TableParagraph"/>
              <w:spacing w:before="111"/>
              <w:ind w:left="42" w:right="44"/>
              <w:jc w:val="center"/>
              <w:rPr>
                <w:b/>
                <w:sz w:val="16"/>
              </w:rPr>
            </w:pPr>
            <w:r>
              <w:rPr>
                <w:b/>
                <w:sz w:val="16"/>
              </w:rPr>
              <w:t>ACCIDENTES</w:t>
            </w:r>
          </w:p>
        </w:tc>
        <w:tc>
          <w:tcPr>
            <w:tcW w:w="1082" w:type="dxa"/>
            <w:shd w:val="clear" w:color="auto" w:fill="F9BF8E"/>
          </w:tcPr>
          <w:p>
            <w:pPr>
              <w:pStyle w:val="TableParagraph"/>
              <w:spacing w:before="111"/>
              <w:ind w:left="45" w:right="47"/>
              <w:jc w:val="center"/>
              <w:rPr>
                <w:b/>
                <w:sz w:val="16"/>
              </w:rPr>
            </w:pPr>
            <w:r>
              <w:rPr>
                <w:b/>
                <w:sz w:val="16"/>
              </w:rPr>
              <w:t>ATENDIDOS</w:t>
            </w:r>
          </w:p>
        </w:tc>
        <w:tc>
          <w:tcPr>
            <w:tcW w:w="2069" w:type="dxa"/>
            <w:shd w:val="clear" w:color="auto" w:fill="F9BF8E"/>
          </w:tcPr>
          <w:p>
            <w:pPr>
              <w:pStyle w:val="TableParagraph"/>
              <w:spacing w:before="111"/>
              <w:ind w:left="45" w:right="46"/>
              <w:jc w:val="center"/>
              <w:rPr>
                <w:b/>
                <w:sz w:val="16"/>
              </w:rPr>
            </w:pPr>
            <w:r>
              <w:rPr>
                <w:b/>
                <w:sz w:val="16"/>
              </w:rPr>
              <w:t>SERVICIOS ESPECIALES</w:t>
            </w:r>
          </w:p>
        </w:tc>
        <w:tc>
          <w:tcPr>
            <w:tcW w:w="1138" w:type="dxa"/>
            <w:shd w:val="clear" w:color="auto" w:fill="F9BF8E"/>
          </w:tcPr>
          <w:p>
            <w:pPr>
              <w:pStyle w:val="TableParagraph"/>
              <w:spacing w:before="111"/>
              <w:ind w:left="44" w:right="46"/>
              <w:jc w:val="center"/>
              <w:rPr>
                <w:b/>
                <w:sz w:val="16"/>
              </w:rPr>
            </w:pPr>
            <w:r>
              <w:rPr>
                <w:b/>
                <w:sz w:val="16"/>
              </w:rPr>
              <w:t>TRASLADOS</w:t>
            </w:r>
          </w:p>
        </w:tc>
        <w:tc>
          <w:tcPr>
            <w:tcW w:w="1010" w:type="dxa"/>
            <w:shd w:val="clear" w:color="auto" w:fill="F9BF8E"/>
          </w:tcPr>
          <w:p>
            <w:pPr>
              <w:pStyle w:val="TableParagraph"/>
              <w:spacing w:before="111"/>
              <w:ind w:left="45" w:right="45"/>
              <w:jc w:val="center"/>
              <w:rPr>
                <w:b/>
                <w:sz w:val="16"/>
              </w:rPr>
            </w:pPr>
            <w:r>
              <w:rPr>
                <w:b/>
                <w:sz w:val="16"/>
              </w:rPr>
              <w:t>RESCATES</w:t>
            </w:r>
          </w:p>
        </w:tc>
      </w:tr>
      <w:tr>
        <w:trPr>
          <w:trHeight w:val="311" w:hRule="exact"/>
        </w:trPr>
        <w:tc>
          <w:tcPr>
            <w:tcW w:w="494" w:type="dxa"/>
          </w:tcPr>
          <w:p>
            <w:pPr>
              <w:pStyle w:val="TableParagraph"/>
              <w:spacing w:before="115"/>
              <w:ind w:left="45" w:right="42"/>
              <w:jc w:val="center"/>
              <w:rPr>
                <w:sz w:val="16"/>
              </w:rPr>
            </w:pPr>
            <w:r>
              <w:rPr>
                <w:sz w:val="16"/>
              </w:rPr>
              <w:t>2005</w:t>
            </w:r>
          </w:p>
        </w:tc>
        <w:tc>
          <w:tcPr>
            <w:tcW w:w="1183" w:type="dxa"/>
          </w:tcPr>
          <w:p>
            <w:pPr>
              <w:pStyle w:val="TableParagraph"/>
              <w:spacing w:before="115"/>
              <w:ind w:left="44" w:right="44"/>
              <w:jc w:val="center"/>
              <w:rPr>
                <w:sz w:val="16"/>
              </w:rPr>
            </w:pPr>
            <w:r>
              <w:rPr>
                <w:sz w:val="16"/>
              </w:rPr>
              <w:t>6998</w:t>
            </w:r>
          </w:p>
        </w:tc>
        <w:tc>
          <w:tcPr>
            <w:tcW w:w="1082" w:type="dxa"/>
          </w:tcPr>
          <w:p>
            <w:pPr>
              <w:pStyle w:val="TableParagraph"/>
              <w:spacing w:before="115"/>
              <w:ind w:left="45" w:right="46"/>
              <w:jc w:val="center"/>
              <w:rPr>
                <w:sz w:val="16"/>
              </w:rPr>
            </w:pPr>
            <w:r>
              <w:rPr>
                <w:sz w:val="16"/>
              </w:rPr>
              <w:t>11820</w:t>
            </w:r>
          </w:p>
        </w:tc>
        <w:tc>
          <w:tcPr>
            <w:tcW w:w="2069" w:type="dxa"/>
          </w:tcPr>
          <w:p>
            <w:pPr>
              <w:pStyle w:val="TableParagraph"/>
              <w:spacing w:before="115"/>
              <w:ind w:left="45" w:right="42"/>
              <w:jc w:val="center"/>
              <w:rPr>
                <w:sz w:val="16"/>
              </w:rPr>
            </w:pPr>
            <w:r>
              <w:rPr>
                <w:sz w:val="16"/>
              </w:rPr>
              <w:t>1236</w:t>
            </w:r>
          </w:p>
        </w:tc>
        <w:tc>
          <w:tcPr>
            <w:tcW w:w="1138" w:type="dxa"/>
          </w:tcPr>
          <w:p>
            <w:pPr>
              <w:pStyle w:val="TableParagraph"/>
              <w:spacing w:before="115"/>
              <w:ind w:left="46" w:right="46"/>
              <w:jc w:val="center"/>
              <w:rPr>
                <w:sz w:val="16"/>
              </w:rPr>
            </w:pPr>
            <w:r>
              <w:rPr>
                <w:sz w:val="16"/>
              </w:rPr>
              <w:t>993</w:t>
            </w:r>
          </w:p>
        </w:tc>
        <w:tc>
          <w:tcPr>
            <w:tcW w:w="1010" w:type="dxa"/>
          </w:tcPr>
          <w:p>
            <w:pPr>
              <w:pStyle w:val="TableParagraph"/>
              <w:spacing w:before="115"/>
              <w:ind w:left="45" w:right="45"/>
              <w:jc w:val="center"/>
              <w:rPr>
                <w:sz w:val="16"/>
              </w:rPr>
            </w:pPr>
            <w:r>
              <w:rPr>
                <w:sz w:val="16"/>
              </w:rPr>
              <w:t>10</w:t>
            </w:r>
          </w:p>
        </w:tc>
      </w:tr>
      <w:tr>
        <w:trPr>
          <w:trHeight w:val="310" w:hRule="exact"/>
        </w:trPr>
        <w:tc>
          <w:tcPr>
            <w:tcW w:w="494" w:type="dxa"/>
          </w:tcPr>
          <w:p>
            <w:pPr>
              <w:pStyle w:val="TableParagraph"/>
              <w:spacing w:before="114"/>
              <w:ind w:left="45" w:right="42"/>
              <w:jc w:val="center"/>
              <w:rPr>
                <w:sz w:val="16"/>
              </w:rPr>
            </w:pPr>
            <w:r>
              <w:rPr>
                <w:sz w:val="16"/>
              </w:rPr>
              <w:t>2006</w:t>
            </w:r>
          </w:p>
        </w:tc>
        <w:tc>
          <w:tcPr>
            <w:tcW w:w="1183" w:type="dxa"/>
          </w:tcPr>
          <w:p>
            <w:pPr>
              <w:pStyle w:val="TableParagraph"/>
              <w:spacing w:before="114"/>
              <w:ind w:left="44" w:right="44"/>
              <w:jc w:val="center"/>
              <w:rPr>
                <w:sz w:val="16"/>
              </w:rPr>
            </w:pPr>
            <w:r>
              <w:rPr>
                <w:sz w:val="16"/>
              </w:rPr>
              <w:t>5929</w:t>
            </w:r>
          </w:p>
        </w:tc>
        <w:tc>
          <w:tcPr>
            <w:tcW w:w="1082" w:type="dxa"/>
          </w:tcPr>
          <w:p>
            <w:pPr>
              <w:pStyle w:val="TableParagraph"/>
              <w:spacing w:before="114"/>
              <w:ind w:left="45" w:right="46"/>
              <w:jc w:val="center"/>
              <w:rPr>
                <w:sz w:val="16"/>
              </w:rPr>
            </w:pPr>
            <w:r>
              <w:rPr>
                <w:sz w:val="16"/>
              </w:rPr>
              <w:t>12421</w:t>
            </w:r>
          </w:p>
        </w:tc>
        <w:tc>
          <w:tcPr>
            <w:tcW w:w="2069" w:type="dxa"/>
          </w:tcPr>
          <w:p>
            <w:pPr>
              <w:pStyle w:val="TableParagraph"/>
              <w:spacing w:before="114"/>
              <w:ind w:left="45" w:right="42"/>
              <w:jc w:val="center"/>
              <w:rPr>
                <w:sz w:val="16"/>
              </w:rPr>
            </w:pPr>
            <w:r>
              <w:rPr>
                <w:sz w:val="16"/>
              </w:rPr>
              <w:t>1351</w:t>
            </w:r>
          </w:p>
        </w:tc>
        <w:tc>
          <w:tcPr>
            <w:tcW w:w="1138" w:type="dxa"/>
          </w:tcPr>
          <w:p>
            <w:pPr>
              <w:pStyle w:val="TableParagraph"/>
              <w:spacing w:before="114"/>
              <w:ind w:left="46" w:right="46"/>
              <w:jc w:val="center"/>
              <w:rPr>
                <w:sz w:val="16"/>
              </w:rPr>
            </w:pPr>
            <w:r>
              <w:rPr>
                <w:sz w:val="16"/>
              </w:rPr>
              <w:t>998</w:t>
            </w:r>
          </w:p>
        </w:tc>
        <w:tc>
          <w:tcPr>
            <w:tcW w:w="1010" w:type="dxa"/>
          </w:tcPr>
          <w:p>
            <w:pPr>
              <w:pStyle w:val="TableParagraph"/>
              <w:spacing w:before="114"/>
              <w:ind w:left="45" w:right="45"/>
              <w:jc w:val="center"/>
              <w:rPr>
                <w:sz w:val="16"/>
              </w:rPr>
            </w:pPr>
            <w:r>
              <w:rPr>
                <w:sz w:val="16"/>
              </w:rPr>
              <w:t>14</w:t>
            </w:r>
          </w:p>
        </w:tc>
      </w:tr>
      <w:tr>
        <w:trPr>
          <w:trHeight w:val="310" w:hRule="exact"/>
        </w:trPr>
        <w:tc>
          <w:tcPr>
            <w:tcW w:w="494" w:type="dxa"/>
          </w:tcPr>
          <w:p>
            <w:pPr>
              <w:pStyle w:val="TableParagraph"/>
              <w:spacing w:before="114"/>
              <w:ind w:left="45" w:right="42"/>
              <w:jc w:val="center"/>
              <w:rPr>
                <w:sz w:val="16"/>
              </w:rPr>
            </w:pPr>
            <w:r>
              <w:rPr>
                <w:sz w:val="16"/>
              </w:rPr>
              <w:t>2007</w:t>
            </w:r>
          </w:p>
        </w:tc>
        <w:tc>
          <w:tcPr>
            <w:tcW w:w="1183" w:type="dxa"/>
          </w:tcPr>
          <w:p>
            <w:pPr>
              <w:pStyle w:val="TableParagraph"/>
              <w:spacing w:before="114"/>
              <w:ind w:left="44" w:right="44"/>
              <w:jc w:val="center"/>
              <w:rPr>
                <w:sz w:val="16"/>
              </w:rPr>
            </w:pPr>
            <w:r>
              <w:rPr>
                <w:sz w:val="16"/>
              </w:rPr>
              <w:t>6805</w:t>
            </w:r>
          </w:p>
        </w:tc>
        <w:tc>
          <w:tcPr>
            <w:tcW w:w="1082" w:type="dxa"/>
          </w:tcPr>
          <w:p>
            <w:pPr>
              <w:pStyle w:val="TableParagraph"/>
              <w:spacing w:before="114"/>
              <w:ind w:left="45" w:right="46"/>
              <w:jc w:val="center"/>
              <w:rPr>
                <w:sz w:val="16"/>
              </w:rPr>
            </w:pPr>
            <w:r>
              <w:rPr>
                <w:sz w:val="16"/>
              </w:rPr>
              <w:t>13696</w:t>
            </w:r>
          </w:p>
        </w:tc>
        <w:tc>
          <w:tcPr>
            <w:tcW w:w="2069" w:type="dxa"/>
          </w:tcPr>
          <w:p>
            <w:pPr>
              <w:pStyle w:val="TableParagraph"/>
              <w:spacing w:before="114"/>
              <w:ind w:left="45" w:right="45"/>
              <w:jc w:val="center"/>
              <w:rPr>
                <w:sz w:val="16"/>
              </w:rPr>
            </w:pPr>
            <w:r>
              <w:rPr>
                <w:sz w:val="16"/>
              </w:rPr>
              <w:t>586</w:t>
            </w:r>
          </w:p>
        </w:tc>
        <w:tc>
          <w:tcPr>
            <w:tcW w:w="1138" w:type="dxa"/>
          </w:tcPr>
          <w:p>
            <w:pPr>
              <w:pStyle w:val="TableParagraph"/>
              <w:spacing w:before="114"/>
              <w:ind w:left="45" w:right="46"/>
              <w:jc w:val="center"/>
              <w:rPr>
                <w:sz w:val="16"/>
              </w:rPr>
            </w:pPr>
            <w:r>
              <w:rPr>
                <w:sz w:val="16"/>
              </w:rPr>
              <w:t>1227</w:t>
            </w:r>
          </w:p>
        </w:tc>
        <w:tc>
          <w:tcPr>
            <w:tcW w:w="1010" w:type="dxa"/>
          </w:tcPr>
          <w:p>
            <w:pPr>
              <w:pStyle w:val="TableParagraph"/>
              <w:spacing w:before="114"/>
              <w:ind w:left="45" w:right="45"/>
              <w:jc w:val="center"/>
              <w:rPr>
                <w:sz w:val="16"/>
              </w:rPr>
            </w:pPr>
            <w:r>
              <w:rPr>
                <w:sz w:val="16"/>
              </w:rPr>
              <w:t>17</w:t>
            </w:r>
          </w:p>
        </w:tc>
      </w:tr>
      <w:tr>
        <w:trPr>
          <w:trHeight w:val="310" w:hRule="exact"/>
        </w:trPr>
        <w:tc>
          <w:tcPr>
            <w:tcW w:w="494" w:type="dxa"/>
          </w:tcPr>
          <w:p>
            <w:pPr>
              <w:pStyle w:val="TableParagraph"/>
              <w:spacing w:before="116"/>
              <w:ind w:left="45" w:right="42"/>
              <w:jc w:val="center"/>
              <w:rPr>
                <w:sz w:val="16"/>
              </w:rPr>
            </w:pPr>
            <w:r>
              <w:rPr>
                <w:sz w:val="16"/>
              </w:rPr>
              <w:t>2008</w:t>
            </w:r>
          </w:p>
        </w:tc>
        <w:tc>
          <w:tcPr>
            <w:tcW w:w="1183" w:type="dxa"/>
          </w:tcPr>
          <w:p>
            <w:pPr>
              <w:pStyle w:val="TableParagraph"/>
              <w:spacing w:before="116"/>
              <w:ind w:left="44" w:right="44"/>
              <w:jc w:val="center"/>
              <w:rPr>
                <w:sz w:val="16"/>
              </w:rPr>
            </w:pPr>
            <w:r>
              <w:rPr>
                <w:sz w:val="16"/>
              </w:rPr>
              <w:t>8120</w:t>
            </w:r>
          </w:p>
        </w:tc>
        <w:tc>
          <w:tcPr>
            <w:tcW w:w="1082" w:type="dxa"/>
          </w:tcPr>
          <w:p>
            <w:pPr>
              <w:pStyle w:val="TableParagraph"/>
              <w:spacing w:before="116"/>
              <w:ind w:left="45" w:right="46"/>
              <w:jc w:val="center"/>
              <w:rPr>
                <w:sz w:val="16"/>
              </w:rPr>
            </w:pPr>
            <w:r>
              <w:rPr>
                <w:sz w:val="16"/>
              </w:rPr>
              <w:t>11203</w:t>
            </w:r>
          </w:p>
        </w:tc>
        <w:tc>
          <w:tcPr>
            <w:tcW w:w="2069" w:type="dxa"/>
          </w:tcPr>
          <w:p>
            <w:pPr>
              <w:pStyle w:val="TableParagraph"/>
              <w:spacing w:before="116"/>
              <w:ind w:left="45" w:right="42"/>
              <w:jc w:val="center"/>
              <w:rPr>
                <w:sz w:val="16"/>
              </w:rPr>
            </w:pPr>
            <w:r>
              <w:rPr>
                <w:sz w:val="16"/>
              </w:rPr>
              <w:t>1079</w:t>
            </w:r>
          </w:p>
        </w:tc>
        <w:tc>
          <w:tcPr>
            <w:tcW w:w="1138" w:type="dxa"/>
          </w:tcPr>
          <w:p>
            <w:pPr>
              <w:pStyle w:val="TableParagraph"/>
              <w:spacing w:before="116"/>
              <w:ind w:left="45" w:right="46"/>
              <w:jc w:val="center"/>
              <w:rPr>
                <w:sz w:val="16"/>
              </w:rPr>
            </w:pPr>
            <w:r>
              <w:rPr>
                <w:sz w:val="16"/>
              </w:rPr>
              <w:t>1481</w:t>
            </w:r>
          </w:p>
        </w:tc>
        <w:tc>
          <w:tcPr>
            <w:tcW w:w="1010" w:type="dxa"/>
          </w:tcPr>
          <w:p>
            <w:pPr>
              <w:pStyle w:val="TableParagraph"/>
              <w:spacing w:before="116"/>
              <w:ind w:left="45" w:right="45"/>
              <w:jc w:val="center"/>
              <w:rPr>
                <w:sz w:val="16"/>
              </w:rPr>
            </w:pPr>
            <w:r>
              <w:rPr>
                <w:sz w:val="16"/>
              </w:rPr>
              <w:t>25</w:t>
            </w:r>
          </w:p>
        </w:tc>
      </w:tr>
      <w:tr>
        <w:trPr>
          <w:trHeight w:val="310" w:hRule="exact"/>
        </w:trPr>
        <w:tc>
          <w:tcPr>
            <w:tcW w:w="494" w:type="dxa"/>
          </w:tcPr>
          <w:p>
            <w:pPr>
              <w:pStyle w:val="TableParagraph"/>
              <w:spacing w:before="116"/>
              <w:ind w:left="45" w:right="42"/>
              <w:jc w:val="center"/>
              <w:rPr>
                <w:sz w:val="16"/>
              </w:rPr>
            </w:pPr>
            <w:r>
              <w:rPr>
                <w:sz w:val="16"/>
              </w:rPr>
              <w:t>2009</w:t>
            </w:r>
          </w:p>
        </w:tc>
        <w:tc>
          <w:tcPr>
            <w:tcW w:w="1183" w:type="dxa"/>
          </w:tcPr>
          <w:p>
            <w:pPr>
              <w:pStyle w:val="TableParagraph"/>
              <w:spacing w:before="116"/>
              <w:ind w:left="43" w:right="44"/>
              <w:jc w:val="center"/>
              <w:rPr>
                <w:sz w:val="16"/>
              </w:rPr>
            </w:pPr>
            <w:r>
              <w:rPr>
                <w:sz w:val="16"/>
              </w:rPr>
              <w:t>12621</w:t>
            </w:r>
          </w:p>
        </w:tc>
        <w:tc>
          <w:tcPr>
            <w:tcW w:w="1082" w:type="dxa"/>
          </w:tcPr>
          <w:p>
            <w:pPr>
              <w:pStyle w:val="TableParagraph"/>
              <w:spacing w:before="116"/>
              <w:ind w:left="45" w:right="46"/>
              <w:jc w:val="center"/>
              <w:rPr>
                <w:sz w:val="16"/>
              </w:rPr>
            </w:pPr>
            <w:r>
              <w:rPr>
                <w:sz w:val="16"/>
              </w:rPr>
              <w:t>14085</w:t>
            </w:r>
          </w:p>
        </w:tc>
        <w:tc>
          <w:tcPr>
            <w:tcW w:w="2069" w:type="dxa"/>
          </w:tcPr>
          <w:p>
            <w:pPr>
              <w:pStyle w:val="TableParagraph"/>
              <w:spacing w:before="116"/>
              <w:ind w:left="45" w:right="42"/>
              <w:jc w:val="center"/>
              <w:rPr>
                <w:sz w:val="16"/>
              </w:rPr>
            </w:pPr>
            <w:r>
              <w:rPr>
                <w:sz w:val="16"/>
              </w:rPr>
              <w:t>1628</w:t>
            </w:r>
          </w:p>
        </w:tc>
        <w:tc>
          <w:tcPr>
            <w:tcW w:w="1138" w:type="dxa"/>
          </w:tcPr>
          <w:p>
            <w:pPr>
              <w:pStyle w:val="TableParagraph"/>
              <w:spacing w:before="116"/>
              <w:ind w:left="45" w:right="46"/>
              <w:jc w:val="center"/>
              <w:rPr>
                <w:sz w:val="16"/>
              </w:rPr>
            </w:pPr>
            <w:r>
              <w:rPr>
                <w:sz w:val="16"/>
              </w:rPr>
              <w:t>2222</w:t>
            </w:r>
          </w:p>
        </w:tc>
        <w:tc>
          <w:tcPr>
            <w:tcW w:w="1010" w:type="dxa"/>
          </w:tcPr>
          <w:p>
            <w:pPr>
              <w:pStyle w:val="TableParagraph"/>
              <w:spacing w:before="116"/>
              <w:ind w:left="45" w:right="42"/>
              <w:jc w:val="center"/>
              <w:rPr>
                <w:sz w:val="16"/>
              </w:rPr>
            </w:pPr>
            <w:r>
              <w:rPr>
                <w:sz w:val="16"/>
              </w:rPr>
              <w:t>100</w:t>
            </w:r>
          </w:p>
        </w:tc>
      </w:tr>
      <w:tr>
        <w:trPr>
          <w:trHeight w:val="312" w:hRule="exact"/>
        </w:trPr>
        <w:tc>
          <w:tcPr>
            <w:tcW w:w="494" w:type="dxa"/>
          </w:tcPr>
          <w:p>
            <w:pPr>
              <w:pStyle w:val="TableParagraph"/>
              <w:spacing w:before="116"/>
              <w:ind w:left="45" w:right="42"/>
              <w:jc w:val="center"/>
              <w:rPr>
                <w:sz w:val="16"/>
              </w:rPr>
            </w:pPr>
            <w:r>
              <w:rPr>
                <w:sz w:val="16"/>
              </w:rPr>
              <w:t>2010</w:t>
            </w:r>
          </w:p>
        </w:tc>
        <w:tc>
          <w:tcPr>
            <w:tcW w:w="1183" w:type="dxa"/>
          </w:tcPr>
          <w:p>
            <w:pPr>
              <w:pStyle w:val="TableParagraph"/>
              <w:spacing w:before="116"/>
              <w:ind w:left="43" w:right="44"/>
              <w:jc w:val="center"/>
              <w:rPr>
                <w:sz w:val="16"/>
              </w:rPr>
            </w:pPr>
            <w:r>
              <w:rPr>
                <w:sz w:val="16"/>
              </w:rPr>
              <w:t>14867</w:t>
            </w:r>
          </w:p>
        </w:tc>
        <w:tc>
          <w:tcPr>
            <w:tcW w:w="1082" w:type="dxa"/>
          </w:tcPr>
          <w:p>
            <w:pPr>
              <w:pStyle w:val="TableParagraph"/>
              <w:spacing w:before="116"/>
              <w:ind w:left="45" w:right="46"/>
              <w:jc w:val="center"/>
              <w:rPr>
                <w:sz w:val="16"/>
              </w:rPr>
            </w:pPr>
            <w:r>
              <w:rPr>
                <w:sz w:val="16"/>
              </w:rPr>
              <w:t>22210</w:t>
            </w:r>
          </w:p>
        </w:tc>
        <w:tc>
          <w:tcPr>
            <w:tcW w:w="2069" w:type="dxa"/>
          </w:tcPr>
          <w:p>
            <w:pPr>
              <w:pStyle w:val="TableParagraph"/>
              <w:spacing w:before="116"/>
              <w:ind w:left="45" w:right="42"/>
              <w:jc w:val="center"/>
              <w:rPr>
                <w:sz w:val="16"/>
              </w:rPr>
            </w:pPr>
            <w:r>
              <w:rPr>
                <w:sz w:val="16"/>
              </w:rPr>
              <w:t>1406</w:t>
            </w:r>
          </w:p>
        </w:tc>
        <w:tc>
          <w:tcPr>
            <w:tcW w:w="1138" w:type="dxa"/>
          </w:tcPr>
          <w:p>
            <w:pPr>
              <w:pStyle w:val="TableParagraph"/>
              <w:spacing w:before="116"/>
              <w:ind w:left="45" w:right="46"/>
              <w:jc w:val="center"/>
              <w:rPr>
                <w:sz w:val="16"/>
              </w:rPr>
            </w:pPr>
            <w:r>
              <w:rPr>
                <w:sz w:val="16"/>
              </w:rPr>
              <w:t>1507</w:t>
            </w:r>
          </w:p>
        </w:tc>
        <w:tc>
          <w:tcPr>
            <w:tcW w:w="1010" w:type="dxa"/>
          </w:tcPr>
          <w:p>
            <w:pPr>
              <w:pStyle w:val="TableParagraph"/>
              <w:spacing w:before="116"/>
              <w:ind w:left="45" w:right="42"/>
              <w:jc w:val="center"/>
              <w:rPr>
                <w:sz w:val="16"/>
              </w:rPr>
            </w:pPr>
            <w:r>
              <w:rPr>
                <w:sz w:val="16"/>
              </w:rPr>
              <w:t>116</w:t>
            </w:r>
          </w:p>
        </w:tc>
      </w:tr>
      <w:tr>
        <w:trPr>
          <w:trHeight w:val="310" w:hRule="exact"/>
        </w:trPr>
        <w:tc>
          <w:tcPr>
            <w:tcW w:w="494" w:type="dxa"/>
          </w:tcPr>
          <w:p>
            <w:pPr>
              <w:pStyle w:val="TableParagraph"/>
              <w:spacing w:before="114"/>
              <w:ind w:left="45" w:right="42"/>
              <w:jc w:val="center"/>
              <w:rPr>
                <w:sz w:val="16"/>
              </w:rPr>
            </w:pPr>
            <w:r>
              <w:rPr>
                <w:sz w:val="16"/>
              </w:rPr>
              <w:t>2011</w:t>
            </w:r>
          </w:p>
        </w:tc>
        <w:tc>
          <w:tcPr>
            <w:tcW w:w="1183" w:type="dxa"/>
          </w:tcPr>
          <w:p>
            <w:pPr>
              <w:pStyle w:val="TableParagraph"/>
              <w:spacing w:before="114"/>
              <w:ind w:left="43" w:right="44"/>
              <w:jc w:val="center"/>
              <w:rPr>
                <w:sz w:val="16"/>
              </w:rPr>
            </w:pPr>
            <w:r>
              <w:rPr>
                <w:sz w:val="16"/>
              </w:rPr>
              <w:t>17956</w:t>
            </w:r>
          </w:p>
        </w:tc>
        <w:tc>
          <w:tcPr>
            <w:tcW w:w="1082" w:type="dxa"/>
          </w:tcPr>
          <w:p>
            <w:pPr>
              <w:pStyle w:val="TableParagraph"/>
              <w:spacing w:before="114"/>
              <w:ind w:left="45" w:right="46"/>
              <w:jc w:val="center"/>
              <w:rPr>
                <w:sz w:val="16"/>
              </w:rPr>
            </w:pPr>
            <w:r>
              <w:rPr>
                <w:sz w:val="16"/>
              </w:rPr>
              <w:t>18024</w:t>
            </w:r>
          </w:p>
        </w:tc>
        <w:tc>
          <w:tcPr>
            <w:tcW w:w="2069" w:type="dxa"/>
          </w:tcPr>
          <w:p>
            <w:pPr>
              <w:pStyle w:val="TableParagraph"/>
              <w:spacing w:before="114"/>
              <w:ind w:left="45" w:right="42"/>
              <w:jc w:val="center"/>
              <w:rPr>
                <w:sz w:val="16"/>
              </w:rPr>
            </w:pPr>
            <w:r>
              <w:rPr>
                <w:sz w:val="16"/>
              </w:rPr>
              <w:t>1901</w:t>
            </w:r>
          </w:p>
        </w:tc>
        <w:tc>
          <w:tcPr>
            <w:tcW w:w="1138" w:type="dxa"/>
          </w:tcPr>
          <w:p>
            <w:pPr>
              <w:pStyle w:val="TableParagraph"/>
              <w:spacing w:before="114"/>
              <w:ind w:left="45" w:right="46"/>
              <w:jc w:val="center"/>
              <w:rPr>
                <w:sz w:val="16"/>
              </w:rPr>
            </w:pPr>
            <w:r>
              <w:rPr>
                <w:sz w:val="16"/>
              </w:rPr>
              <w:t>1886</w:t>
            </w:r>
          </w:p>
        </w:tc>
        <w:tc>
          <w:tcPr>
            <w:tcW w:w="1010" w:type="dxa"/>
          </w:tcPr>
          <w:p>
            <w:pPr>
              <w:pStyle w:val="TableParagraph"/>
              <w:spacing w:before="114"/>
              <w:ind w:left="45" w:right="42"/>
              <w:jc w:val="center"/>
              <w:rPr>
                <w:sz w:val="16"/>
              </w:rPr>
            </w:pPr>
            <w:r>
              <w:rPr>
                <w:sz w:val="16"/>
              </w:rPr>
              <w:t>129</w:t>
            </w:r>
          </w:p>
        </w:tc>
      </w:tr>
      <w:tr>
        <w:trPr>
          <w:trHeight w:val="310" w:hRule="exact"/>
        </w:trPr>
        <w:tc>
          <w:tcPr>
            <w:tcW w:w="494" w:type="dxa"/>
          </w:tcPr>
          <w:p>
            <w:pPr>
              <w:pStyle w:val="TableParagraph"/>
              <w:spacing w:before="114"/>
              <w:ind w:left="45" w:right="42"/>
              <w:jc w:val="center"/>
              <w:rPr>
                <w:sz w:val="16"/>
              </w:rPr>
            </w:pPr>
            <w:r>
              <w:rPr>
                <w:sz w:val="16"/>
              </w:rPr>
              <w:t>2012</w:t>
            </w:r>
          </w:p>
        </w:tc>
        <w:tc>
          <w:tcPr>
            <w:tcW w:w="1183" w:type="dxa"/>
          </w:tcPr>
          <w:p>
            <w:pPr>
              <w:pStyle w:val="TableParagraph"/>
              <w:spacing w:before="114"/>
              <w:ind w:left="43" w:right="44"/>
              <w:jc w:val="center"/>
              <w:rPr>
                <w:sz w:val="16"/>
              </w:rPr>
            </w:pPr>
            <w:r>
              <w:rPr>
                <w:sz w:val="16"/>
              </w:rPr>
              <w:t>13932</w:t>
            </w:r>
          </w:p>
        </w:tc>
        <w:tc>
          <w:tcPr>
            <w:tcW w:w="1082" w:type="dxa"/>
          </w:tcPr>
          <w:p>
            <w:pPr>
              <w:pStyle w:val="TableParagraph"/>
              <w:spacing w:before="114"/>
              <w:ind w:left="45" w:right="46"/>
              <w:jc w:val="center"/>
              <w:rPr>
                <w:sz w:val="16"/>
              </w:rPr>
            </w:pPr>
            <w:r>
              <w:rPr>
                <w:sz w:val="16"/>
              </w:rPr>
              <w:t>20757</w:t>
            </w:r>
          </w:p>
        </w:tc>
        <w:tc>
          <w:tcPr>
            <w:tcW w:w="2069" w:type="dxa"/>
          </w:tcPr>
          <w:p>
            <w:pPr>
              <w:pStyle w:val="TableParagraph"/>
              <w:spacing w:before="114"/>
              <w:ind w:left="45" w:right="42"/>
              <w:jc w:val="center"/>
              <w:rPr>
                <w:sz w:val="16"/>
              </w:rPr>
            </w:pPr>
            <w:r>
              <w:rPr>
                <w:sz w:val="16"/>
              </w:rPr>
              <w:t>1591</w:t>
            </w:r>
          </w:p>
        </w:tc>
        <w:tc>
          <w:tcPr>
            <w:tcW w:w="1138" w:type="dxa"/>
          </w:tcPr>
          <w:p>
            <w:pPr>
              <w:pStyle w:val="TableParagraph"/>
              <w:spacing w:before="114"/>
              <w:ind w:left="45" w:right="46"/>
              <w:jc w:val="center"/>
              <w:rPr>
                <w:sz w:val="16"/>
              </w:rPr>
            </w:pPr>
            <w:r>
              <w:rPr>
                <w:sz w:val="16"/>
              </w:rPr>
              <w:t>1157</w:t>
            </w:r>
          </w:p>
        </w:tc>
        <w:tc>
          <w:tcPr>
            <w:tcW w:w="1010" w:type="dxa"/>
          </w:tcPr>
          <w:p>
            <w:pPr>
              <w:pStyle w:val="TableParagraph"/>
              <w:spacing w:before="114"/>
              <w:ind w:left="45" w:right="45"/>
              <w:jc w:val="center"/>
              <w:rPr>
                <w:sz w:val="16"/>
              </w:rPr>
            </w:pPr>
            <w:r>
              <w:rPr>
                <w:sz w:val="16"/>
              </w:rPr>
              <w:t>73</w:t>
            </w:r>
          </w:p>
        </w:tc>
      </w:tr>
      <w:tr>
        <w:trPr>
          <w:trHeight w:val="310" w:hRule="exact"/>
        </w:trPr>
        <w:tc>
          <w:tcPr>
            <w:tcW w:w="494" w:type="dxa"/>
          </w:tcPr>
          <w:p>
            <w:pPr>
              <w:pStyle w:val="TableParagraph"/>
              <w:spacing w:before="107"/>
              <w:ind w:left="23" w:right="44"/>
              <w:jc w:val="center"/>
              <w:rPr>
                <w:rFonts w:ascii="Calibri"/>
                <w:sz w:val="16"/>
              </w:rPr>
            </w:pPr>
            <w:r>
              <w:rPr>
                <w:rFonts w:ascii="Calibri"/>
                <w:sz w:val="16"/>
              </w:rPr>
              <w:t>Total</w:t>
            </w:r>
          </w:p>
        </w:tc>
        <w:tc>
          <w:tcPr>
            <w:tcW w:w="1183" w:type="dxa"/>
          </w:tcPr>
          <w:p>
            <w:pPr>
              <w:pStyle w:val="TableParagraph"/>
              <w:spacing w:before="107"/>
              <w:ind w:left="43" w:right="44"/>
              <w:jc w:val="center"/>
              <w:rPr>
                <w:rFonts w:ascii="Calibri"/>
                <w:sz w:val="16"/>
              </w:rPr>
            </w:pPr>
            <w:r>
              <w:rPr>
                <w:rFonts w:ascii="Calibri"/>
                <w:sz w:val="16"/>
              </w:rPr>
              <w:t>87228</w:t>
            </w:r>
          </w:p>
        </w:tc>
        <w:tc>
          <w:tcPr>
            <w:tcW w:w="1082" w:type="dxa"/>
          </w:tcPr>
          <w:p>
            <w:pPr>
              <w:pStyle w:val="TableParagraph"/>
              <w:spacing w:before="107"/>
              <w:ind w:left="45" w:right="46"/>
              <w:jc w:val="center"/>
              <w:rPr>
                <w:rFonts w:ascii="Calibri"/>
                <w:sz w:val="16"/>
              </w:rPr>
            </w:pPr>
            <w:r>
              <w:rPr>
                <w:rFonts w:ascii="Calibri"/>
                <w:sz w:val="16"/>
              </w:rPr>
              <w:t>124216</w:t>
            </w:r>
          </w:p>
        </w:tc>
        <w:tc>
          <w:tcPr>
            <w:tcW w:w="2069" w:type="dxa"/>
          </w:tcPr>
          <w:p>
            <w:pPr>
              <w:pStyle w:val="TableParagraph"/>
              <w:spacing w:before="107"/>
              <w:ind w:left="45" w:right="44"/>
              <w:jc w:val="center"/>
              <w:rPr>
                <w:rFonts w:ascii="Calibri"/>
                <w:sz w:val="16"/>
              </w:rPr>
            </w:pPr>
            <w:r>
              <w:rPr>
                <w:rFonts w:ascii="Calibri"/>
                <w:sz w:val="16"/>
              </w:rPr>
              <w:t>10778</w:t>
            </w:r>
          </w:p>
        </w:tc>
        <w:tc>
          <w:tcPr>
            <w:tcW w:w="1138" w:type="dxa"/>
          </w:tcPr>
          <w:p>
            <w:pPr>
              <w:pStyle w:val="TableParagraph"/>
              <w:spacing w:before="107"/>
              <w:ind w:left="46" w:right="45"/>
              <w:jc w:val="center"/>
              <w:rPr>
                <w:rFonts w:ascii="Calibri"/>
                <w:sz w:val="16"/>
              </w:rPr>
            </w:pPr>
            <w:r>
              <w:rPr>
                <w:rFonts w:ascii="Calibri"/>
                <w:sz w:val="16"/>
              </w:rPr>
              <w:t>11471</w:t>
            </w:r>
          </w:p>
        </w:tc>
        <w:tc>
          <w:tcPr>
            <w:tcW w:w="1010" w:type="dxa"/>
          </w:tcPr>
          <w:p>
            <w:pPr>
              <w:pStyle w:val="TableParagraph"/>
              <w:spacing w:before="107"/>
              <w:ind w:left="45" w:right="42"/>
              <w:jc w:val="center"/>
              <w:rPr>
                <w:rFonts w:ascii="Calibri"/>
                <w:sz w:val="16"/>
              </w:rPr>
            </w:pPr>
            <w:r>
              <w:rPr>
                <w:rFonts w:ascii="Calibri"/>
                <w:sz w:val="16"/>
              </w:rPr>
              <w:t>484</w:t>
            </w:r>
          </w:p>
        </w:tc>
      </w:tr>
    </w:tbl>
    <w:p>
      <w:pPr>
        <w:spacing w:before="107"/>
        <w:ind w:left="162" w:right="275" w:firstLine="0"/>
        <w:jc w:val="center"/>
        <w:rPr>
          <w:rFonts w:ascii="Calibri"/>
          <w:b/>
          <w:sz w:val="16"/>
        </w:rPr>
      </w:pPr>
      <w:r>
        <w:rPr>
          <w:rFonts w:ascii="Calibri"/>
          <w:b/>
          <w:sz w:val="16"/>
        </w:rPr>
        <w:t>Fuente: SUEM</w:t>
      </w:r>
    </w:p>
    <w:p>
      <w:pPr>
        <w:pStyle w:val="BodyText"/>
        <w:rPr>
          <w:rFonts w:ascii="Calibri"/>
          <w:b/>
          <w:sz w:val="20"/>
        </w:rPr>
      </w:pPr>
    </w:p>
    <w:p>
      <w:pPr>
        <w:pStyle w:val="BodyText"/>
        <w:rPr>
          <w:rFonts w:ascii="Calibri"/>
          <w:b/>
          <w:sz w:val="18"/>
        </w:rPr>
      </w:pPr>
    </w:p>
    <w:p>
      <w:pPr>
        <w:spacing w:before="1"/>
        <w:ind w:left="2062" w:right="0" w:firstLine="0"/>
        <w:jc w:val="left"/>
        <w:rPr>
          <w:rFonts w:ascii="Calibri" w:hAnsi="Calibri"/>
          <w:sz w:val="16"/>
        </w:rPr>
      </w:pPr>
      <w:r>
        <w:rPr>
          <w:rFonts w:ascii="Calibri" w:hAnsi="Calibri"/>
          <w:b/>
          <w:sz w:val="16"/>
        </w:rPr>
        <w:t>Estadística por año de Traslados Realizados</w:t>
      </w:r>
      <w:r>
        <w:rPr>
          <w:rFonts w:ascii="Calibri" w:hAnsi="Calibri"/>
          <w:sz w:val="16"/>
        </w:rPr>
        <w:t>.</w:t>
      </w:r>
    </w:p>
    <w:tbl>
      <w:tblPr>
        <w:tblW w:w="0" w:type="auto"/>
        <w:jc w:val="left"/>
        <w:tblInd w:w="19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22"/>
        <w:gridCol w:w="2294"/>
      </w:tblGrid>
      <w:tr>
        <w:trPr>
          <w:trHeight w:val="307" w:hRule="exact"/>
        </w:trPr>
        <w:tc>
          <w:tcPr>
            <w:tcW w:w="2522" w:type="dxa"/>
            <w:shd w:val="clear" w:color="auto" w:fill="F9BF8E"/>
          </w:tcPr>
          <w:p>
            <w:pPr>
              <w:pStyle w:val="TableParagraph"/>
              <w:spacing w:before="112"/>
              <w:ind w:right="1080"/>
              <w:jc w:val="right"/>
              <w:rPr>
                <w:b/>
                <w:sz w:val="16"/>
              </w:rPr>
            </w:pPr>
            <w:r>
              <w:rPr>
                <w:b/>
                <w:sz w:val="16"/>
              </w:rPr>
              <w:t>AÑO</w:t>
            </w:r>
          </w:p>
        </w:tc>
        <w:tc>
          <w:tcPr>
            <w:tcW w:w="2294" w:type="dxa"/>
            <w:shd w:val="clear" w:color="auto" w:fill="F9BF8E"/>
          </w:tcPr>
          <w:p>
            <w:pPr>
              <w:pStyle w:val="TableParagraph"/>
              <w:spacing w:before="112"/>
              <w:ind w:left="624" w:right="626"/>
              <w:jc w:val="center"/>
              <w:rPr>
                <w:b/>
                <w:sz w:val="16"/>
              </w:rPr>
            </w:pPr>
            <w:r>
              <w:rPr>
                <w:b/>
                <w:sz w:val="16"/>
              </w:rPr>
              <w:t>TRASLADOS</w:t>
            </w:r>
          </w:p>
        </w:tc>
      </w:tr>
      <w:tr>
        <w:trPr>
          <w:trHeight w:val="313" w:hRule="exact"/>
        </w:trPr>
        <w:tc>
          <w:tcPr>
            <w:tcW w:w="2522" w:type="dxa"/>
          </w:tcPr>
          <w:p>
            <w:pPr>
              <w:pStyle w:val="TableParagraph"/>
              <w:spacing w:before="117"/>
              <w:ind w:right="1077"/>
              <w:jc w:val="right"/>
              <w:rPr>
                <w:sz w:val="16"/>
              </w:rPr>
            </w:pPr>
            <w:r>
              <w:rPr>
                <w:sz w:val="16"/>
              </w:rPr>
              <w:t>2005</w:t>
            </w:r>
          </w:p>
        </w:tc>
        <w:tc>
          <w:tcPr>
            <w:tcW w:w="2294" w:type="dxa"/>
          </w:tcPr>
          <w:p>
            <w:pPr>
              <w:pStyle w:val="TableParagraph"/>
              <w:spacing w:before="117"/>
              <w:ind w:left="624" w:right="624"/>
              <w:jc w:val="center"/>
              <w:rPr>
                <w:sz w:val="16"/>
              </w:rPr>
            </w:pPr>
            <w:r>
              <w:rPr>
                <w:sz w:val="16"/>
              </w:rPr>
              <w:t>993</w:t>
            </w:r>
          </w:p>
        </w:tc>
      </w:tr>
      <w:tr>
        <w:trPr>
          <w:trHeight w:val="310" w:hRule="exact"/>
        </w:trPr>
        <w:tc>
          <w:tcPr>
            <w:tcW w:w="2522" w:type="dxa"/>
          </w:tcPr>
          <w:p>
            <w:pPr>
              <w:pStyle w:val="TableParagraph"/>
              <w:spacing w:before="114"/>
              <w:ind w:right="1077"/>
              <w:jc w:val="right"/>
              <w:rPr>
                <w:sz w:val="16"/>
              </w:rPr>
            </w:pPr>
            <w:r>
              <w:rPr>
                <w:sz w:val="16"/>
              </w:rPr>
              <w:t>2006</w:t>
            </w:r>
          </w:p>
        </w:tc>
        <w:tc>
          <w:tcPr>
            <w:tcW w:w="2294" w:type="dxa"/>
          </w:tcPr>
          <w:p>
            <w:pPr>
              <w:pStyle w:val="TableParagraph"/>
              <w:spacing w:before="114"/>
              <w:ind w:left="624" w:right="624"/>
              <w:jc w:val="center"/>
              <w:rPr>
                <w:sz w:val="16"/>
              </w:rPr>
            </w:pPr>
            <w:r>
              <w:rPr>
                <w:sz w:val="16"/>
              </w:rPr>
              <w:t>998</w:t>
            </w:r>
          </w:p>
        </w:tc>
      </w:tr>
      <w:tr>
        <w:trPr>
          <w:trHeight w:val="310" w:hRule="exact"/>
        </w:trPr>
        <w:tc>
          <w:tcPr>
            <w:tcW w:w="2522" w:type="dxa"/>
          </w:tcPr>
          <w:p>
            <w:pPr>
              <w:pStyle w:val="TableParagraph"/>
              <w:spacing w:before="114"/>
              <w:ind w:right="1077"/>
              <w:jc w:val="right"/>
              <w:rPr>
                <w:sz w:val="16"/>
              </w:rPr>
            </w:pPr>
            <w:r>
              <w:rPr>
                <w:sz w:val="16"/>
              </w:rPr>
              <w:t>2007</w:t>
            </w:r>
          </w:p>
        </w:tc>
        <w:tc>
          <w:tcPr>
            <w:tcW w:w="2294" w:type="dxa"/>
          </w:tcPr>
          <w:p>
            <w:pPr>
              <w:pStyle w:val="TableParagraph"/>
              <w:spacing w:before="114"/>
              <w:ind w:left="624" w:right="625"/>
              <w:jc w:val="center"/>
              <w:rPr>
                <w:sz w:val="16"/>
              </w:rPr>
            </w:pPr>
            <w:r>
              <w:rPr>
                <w:sz w:val="16"/>
              </w:rPr>
              <w:t>1227</w:t>
            </w:r>
          </w:p>
        </w:tc>
      </w:tr>
      <w:tr>
        <w:trPr>
          <w:trHeight w:val="310" w:hRule="exact"/>
        </w:trPr>
        <w:tc>
          <w:tcPr>
            <w:tcW w:w="2522" w:type="dxa"/>
          </w:tcPr>
          <w:p>
            <w:pPr>
              <w:pStyle w:val="TableParagraph"/>
              <w:spacing w:before="114"/>
              <w:ind w:right="1077"/>
              <w:jc w:val="right"/>
              <w:rPr>
                <w:sz w:val="16"/>
              </w:rPr>
            </w:pPr>
            <w:r>
              <w:rPr>
                <w:sz w:val="16"/>
              </w:rPr>
              <w:t>2008</w:t>
            </w:r>
          </w:p>
        </w:tc>
        <w:tc>
          <w:tcPr>
            <w:tcW w:w="2294" w:type="dxa"/>
          </w:tcPr>
          <w:p>
            <w:pPr>
              <w:pStyle w:val="TableParagraph"/>
              <w:spacing w:before="114"/>
              <w:ind w:left="624" w:right="625"/>
              <w:jc w:val="center"/>
              <w:rPr>
                <w:sz w:val="16"/>
              </w:rPr>
            </w:pPr>
            <w:r>
              <w:rPr>
                <w:sz w:val="16"/>
              </w:rPr>
              <w:t>1481</w:t>
            </w:r>
          </w:p>
        </w:tc>
      </w:tr>
      <w:tr>
        <w:trPr>
          <w:trHeight w:val="310" w:hRule="exact"/>
        </w:trPr>
        <w:tc>
          <w:tcPr>
            <w:tcW w:w="2522" w:type="dxa"/>
          </w:tcPr>
          <w:p>
            <w:pPr>
              <w:pStyle w:val="TableParagraph"/>
              <w:spacing w:before="116"/>
              <w:ind w:right="1077"/>
              <w:jc w:val="right"/>
              <w:rPr>
                <w:sz w:val="16"/>
              </w:rPr>
            </w:pPr>
            <w:r>
              <w:rPr>
                <w:sz w:val="16"/>
              </w:rPr>
              <w:t>2009</w:t>
            </w:r>
          </w:p>
        </w:tc>
        <w:tc>
          <w:tcPr>
            <w:tcW w:w="2294" w:type="dxa"/>
          </w:tcPr>
          <w:p>
            <w:pPr>
              <w:pStyle w:val="TableParagraph"/>
              <w:spacing w:before="116"/>
              <w:ind w:left="624" w:right="625"/>
              <w:jc w:val="center"/>
              <w:rPr>
                <w:sz w:val="16"/>
              </w:rPr>
            </w:pPr>
            <w:r>
              <w:rPr>
                <w:sz w:val="16"/>
              </w:rPr>
              <w:t>2222</w:t>
            </w:r>
          </w:p>
        </w:tc>
      </w:tr>
      <w:tr>
        <w:trPr>
          <w:trHeight w:val="310" w:hRule="exact"/>
        </w:trPr>
        <w:tc>
          <w:tcPr>
            <w:tcW w:w="2522" w:type="dxa"/>
          </w:tcPr>
          <w:p>
            <w:pPr>
              <w:pStyle w:val="TableParagraph"/>
              <w:spacing w:before="116"/>
              <w:ind w:right="1077"/>
              <w:jc w:val="right"/>
              <w:rPr>
                <w:sz w:val="16"/>
              </w:rPr>
            </w:pPr>
            <w:r>
              <w:rPr>
                <w:sz w:val="16"/>
              </w:rPr>
              <w:t>2010</w:t>
            </w:r>
          </w:p>
        </w:tc>
        <w:tc>
          <w:tcPr>
            <w:tcW w:w="2294" w:type="dxa"/>
          </w:tcPr>
          <w:p>
            <w:pPr>
              <w:pStyle w:val="TableParagraph"/>
              <w:spacing w:before="116"/>
              <w:ind w:left="624" w:right="625"/>
              <w:jc w:val="center"/>
              <w:rPr>
                <w:sz w:val="16"/>
              </w:rPr>
            </w:pPr>
            <w:r>
              <w:rPr>
                <w:sz w:val="16"/>
              </w:rPr>
              <w:t>1507</w:t>
            </w:r>
          </w:p>
        </w:tc>
      </w:tr>
      <w:tr>
        <w:trPr>
          <w:trHeight w:val="312" w:hRule="exact"/>
        </w:trPr>
        <w:tc>
          <w:tcPr>
            <w:tcW w:w="2522" w:type="dxa"/>
          </w:tcPr>
          <w:p>
            <w:pPr>
              <w:pStyle w:val="TableParagraph"/>
              <w:spacing w:before="116"/>
              <w:ind w:right="1077"/>
              <w:jc w:val="right"/>
              <w:rPr>
                <w:sz w:val="16"/>
              </w:rPr>
            </w:pPr>
            <w:r>
              <w:rPr>
                <w:sz w:val="16"/>
              </w:rPr>
              <w:t>2011</w:t>
            </w:r>
          </w:p>
        </w:tc>
        <w:tc>
          <w:tcPr>
            <w:tcW w:w="2294" w:type="dxa"/>
          </w:tcPr>
          <w:p>
            <w:pPr>
              <w:pStyle w:val="TableParagraph"/>
              <w:spacing w:before="116"/>
              <w:ind w:left="624" w:right="625"/>
              <w:jc w:val="center"/>
              <w:rPr>
                <w:sz w:val="16"/>
              </w:rPr>
            </w:pPr>
            <w:r>
              <w:rPr>
                <w:sz w:val="16"/>
              </w:rPr>
              <w:t>1886</w:t>
            </w:r>
          </w:p>
        </w:tc>
      </w:tr>
      <w:tr>
        <w:trPr>
          <w:trHeight w:val="310" w:hRule="exact"/>
        </w:trPr>
        <w:tc>
          <w:tcPr>
            <w:tcW w:w="2522" w:type="dxa"/>
          </w:tcPr>
          <w:p>
            <w:pPr>
              <w:pStyle w:val="TableParagraph"/>
              <w:spacing w:before="114"/>
              <w:ind w:right="1077"/>
              <w:jc w:val="right"/>
              <w:rPr>
                <w:sz w:val="16"/>
              </w:rPr>
            </w:pPr>
            <w:r>
              <w:rPr>
                <w:sz w:val="16"/>
              </w:rPr>
              <w:t>2012</w:t>
            </w:r>
          </w:p>
        </w:tc>
        <w:tc>
          <w:tcPr>
            <w:tcW w:w="2294" w:type="dxa"/>
          </w:tcPr>
          <w:p>
            <w:pPr>
              <w:pStyle w:val="TableParagraph"/>
              <w:spacing w:before="114"/>
              <w:ind w:left="624" w:right="625"/>
              <w:jc w:val="center"/>
              <w:rPr>
                <w:sz w:val="16"/>
              </w:rPr>
            </w:pPr>
            <w:r>
              <w:rPr>
                <w:sz w:val="16"/>
              </w:rPr>
              <w:t>1157</w:t>
            </w:r>
          </w:p>
        </w:tc>
      </w:tr>
      <w:tr>
        <w:trPr>
          <w:trHeight w:val="310" w:hRule="exact"/>
        </w:trPr>
        <w:tc>
          <w:tcPr>
            <w:tcW w:w="2522" w:type="dxa"/>
          </w:tcPr>
          <w:p>
            <w:pPr>
              <w:pStyle w:val="TableParagraph"/>
              <w:spacing w:before="107"/>
              <w:ind w:left="67"/>
              <w:rPr>
                <w:rFonts w:ascii="Calibri"/>
                <w:sz w:val="16"/>
              </w:rPr>
            </w:pPr>
            <w:r>
              <w:rPr>
                <w:rFonts w:ascii="Calibri"/>
                <w:sz w:val="16"/>
              </w:rPr>
              <w:t>Total</w:t>
            </w:r>
          </w:p>
        </w:tc>
        <w:tc>
          <w:tcPr>
            <w:tcW w:w="2294" w:type="dxa"/>
          </w:tcPr>
          <w:p>
            <w:pPr>
              <w:pStyle w:val="TableParagraph"/>
              <w:spacing w:before="107"/>
              <w:ind w:left="624" w:right="623"/>
              <w:jc w:val="center"/>
              <w:rPr>
                <w:rFonts w:ascii="Calibri"/>
                <w:sz w:val="16"/>
              </w:rPr>
            </w:pPr>
            <w:r>
              <w:rPr>
                <w:rFonts w:ascii="Calibri"/>
                <w:sz w:val="16"/>
              </w:rPr>
              <w:t>11471</w:t>
            </w:r>
          </w:p>
        </w:tc>
      </w:tr>
    </w:tbl>
    <w:p>
      <w:pPr>
        <w:spacing w:before="107"/>
        <w:ind w:left="269" w:right="269" w:firstLine="0"/>
        <w:jc w:val="center"/>
        <w:rPr>
          <w:rFonts w:ascii="Calibri"/>
          <w:b/>
          <w:sz w:val="16"/>
        </w:rPr>
      </w:pPr>
      <w:r>
        <w:rPr>
          <w:rFonts w:ascii="Calibri"/>
          <w:b/>
          <w:sz w:val="16"/>
        </w:rPr>
        <w:t>Fuente: SUEM</w:t>
      </w:r>
    </w:p>
    <w:p>
      <w:pPr>
        <w:pStyle w:val="BodyText"/>
        <w:spacing w:before="1"/>
        <w:rPr>
          <w:rFonts w:ascii="Calibri"/>
          <w:b/>
          <w:sz w:val="19"/>
        </w:rPr>
      </w:pPr>
      <w:r>
        <w:rPr/>
        <w:pict>
          <v:group style="position:absolute;margin-left:122.259995pt;margin-top:13.611551pt;width:176.45pt;height:16.25pt;mso-position-horizontal-relative:page;mso-position-vertical-relative:paragraph;z-index:2584;mso-wrap-distance-left:0;mso-wrap-distance-right:0" coordorigin="2445,272" coordsize="3529,325">
            <v:line style="position:absolute" from="2455,280" to="3804,280" stroked="true" strokeweight=".36pt" strokecolor="#000000"/>
            <v:line style="position:absolute" from="3816,280" to="5964,280" stroked="true" strokeweight=".36pt" strokecolor="#000000"/>
            <v:line style="position:absolute" from="2449,276" to="2449,593" stroked="true" strokeweight=".36pt" strokecolor="#000000"/>
            <v:line style="position:absolute" from="3810,276" to="3810,593" stroked="true" strokeweight=".36pt" strokecolor="#000000"/>
            <v:line style="position:absolute" from="5970,276" to="5970,593" stroked="true" strokeweight=".36pt" strokecolor="#000000"/>
            <v:line style="position:absolute" from="2455,589" to="2462,589" stroked="true" strokeweight=".36pt" strokecolor="#000000"/>
            <v:line style="position:absolute" from="2465,589" to="3804,589" stroked="true" strokeweight=".36pt" strokecolor="#000000"/>
            <v:line style="position:absolute" from="3816,589" to="3823,589" stroked="true" strokeweight=".36pt" strokecolor="#000000"/>
            <v:line style="position:absolute" from="3826,589" to="5964,589" stroked="true" strokeweight=".36pt" strokecolor="#000000"/>
            <v:shape style="position:absolute;left:2449;top:280;width:1361;height:310" type="#_x0000_t202" filled="false" stroked="false">
              <v:textbox inset="0,0,0,0">
                <w:txbxContent>
                  <w:p>
                    <w:pPr>
                      <w:spacing w:before="110"/>
                      <w:ind w:left="70" w:right="189" w:firstLine="0"/>
                      <w:jc w:val="left"/>
                      <w:rPr>
                        <w:rFonts w:ascii="Calibri"/>
                        <w:sz w:val="16"/>
                      </w:rPr>
                    </w:pPr>
                    <w:r>
                      <w:rPr>
                        <w:rFonts w:ascii="Calibri"/>
                        <w:sz w:val="16"/>
                      </w:rPr>
                      <w:t>Promedio</w:t>
                    </w:r>
                  </w:p>
                </w:txbxContent>
              </v:textbox>
              <w10:wrap type="none"/>
            </v:shape>
            <v:shape style="position:absolute;left:3810;top:280;width:2160;height:310" type="#_x0000_t202" filled="false" stroked="false">
              <v:textbox inset="0,0,0,0">
                <w:txbxContent>
                  <w:p>
                    <w:pPr>
                      <w:spacing w:before="110"/>
                      <w:ind w:left="0" w:right="65" w:firstLine="0"/>
                      <w:jc w:val="right"/>
                      <w:rPr>
                        <w:rFonts w:ascii="Calibri"/>
                        <w:sz w:val="16"/>
                      </w:rPr>
                    </w:pPr>
                    <w:r>
                      <w:rPr>
                        <w:rFonts w:ascii="Calibri"/>
                        <w:sz w:val="16"/>
                      </w:rPr>
                      <w:t>1434</w:t>
                    </w:r>
                  </w:p>
                </w:txbxContent>
              </v:textbox>
              <w10:wrap type="none"/>
            </v:shape>
            <w10:wrap type="topAndBottom"/>
          </v:group>
        </w:pict>
      </w:r>
      <w:r>
        <w:rPr/>
        <w:pict>
          <v:group style="position:absolute;margin-left:122.259995pt;margin-top:44.571552pt;width:176.45pt;height:23.7pt;mso-position-horizontal-relative:page;mso-position-vertical-relative:paragraph;z-index:2656;mso-wrap-distance-left:0;mso-wrap-distance-right:0" coordorigin="2445,891" coordsize="3529,474">
            <v:line style="position:absolute" from="2455,899" to="2462,899" stroked="true" strokeweight=".36pt" strokecolor="#000000"/>
            <v:line style="position:absolute" from="2465,899" to="3804,899" stroked="true" strokeweight=".36pt" strokecolor="#000000"/>
            <v:line style="position:absolute" from="3816,899" to="3823,899" stroked="true" strokeweight=".36pt" strokecolor="#000000"/>
            <v:line style="position:absolute" from="3826,899" to="5964,899" stroked="true" strokeweight=".36pt" strokecolor="#000000"/>
            <v:line style="position:absolute" from="2449,895" to="2449,1361" stroked="true" strokeweight=".36pt" strokecolor="#000000"/>
            <v:line style="position:absolute" from="3810,895" to="3810,1361" stroked="true" strokeweight=".36pt" strokecolor="#000000"/>
            <v:line style="position:absolute" from="5970,895" to="5970,1361" stroked="true" strokeweight=".36pt" strokecolor="#000000"/>
            <v:line style="position:absolute" from="2455,1357" to="2462,1357" stroked="true" strokeweight=".36pt" strokecolor="#000000"/>
            <v:line style="position:absolute" from="2465,1357" to="3804,1357" stroked="true" strokeweight=".36pt" strokecolor="#000000"/>
            <v:line style="position:absolute" from="3816,1357" to="3823,1357" stroked="true" strokeweight=".36pt" strokecolor="#000000"/>
            <v:line style="position:absolute" from="3826,1357" to="5964,1357" stroked="true" strokeweight=".36pt" strokecolor="#000000"/>
            <v:shape style="position:absolute;left:2449;top:899;width:1361;height:459" type="#_x0000_t202" filled="false" stroked="false">
              <v:textbox inset="0,0,0,0">
                <w:txbxContent>
                  <w:p>
                    <w:pPr>
                      <w:spacing w:before="62"/>
                      <w:ind w:left="205" w:right="189" w:firstLine="108"/>
                      <w:jc w:val="left"/>
                      <w:rPr>
                        <w:rFonts w:ascii="Calibri" w:hAnsi="Calibri"/>
                        <w:sz w:val="16"/>
                      </w:rPr>
                    </w:pPr>
                    <w:r>
                      <w:rPr>
                        <w:rFonts w:ascii="Calibri" w:hAnsi="Calibri"/>
                        <w:sz w:val="16"/>
                      </w:rPr>
                      <w:t>Numero de eventos al año</w:t>
                    </w:r>
                  </w:p>
                </w:txbxContent>
              </v:textbox>
              <w10:wrap type="none"/>
            </v:shape>
            <v:shape style="position:absolute;left:5820;top:1190;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5</w:t>
                    </w:r>
                  </w:p>
                </w:txbxContent>
              </v:textbox>
              <w10:wrap type="none"/>
            </v:shape>
            <w10:wrap type="topAndBottom"/>
          </v:group>
        </w:pict>
      </w:r>
      <w:r>
        <w:rPr/>
        <w:pict>
          <v:group style="position:absolute;margin-left:366.220001pt;margin-top:44.571552pt;width:123.4pt;height:23.7pt;mso-position-horizontal-relative:page;mso-position-vertical-relative:paragraph;z-index:2728;mso-wrap-distance-left:0;mso-wrap-distance-right:0" coordorigin="7324,891" coordsize="2468,474">
            <v:line style="position:absolute" from="7334,899" to="7342,899" stroked="true" strokeweight=".36pt" strokecolor="#000000"/>
            <v:line style="position:absolute" from="7344,899" to="8683,899" stroked="true" strokeweight=".36pt" strokecolor="#000000"/>
            <v:line style="position:absolute" from="8695,899" to="8702,899" stroked="true" strokeweight=".36pt" strokecolor="#000000"/>
            <v:line style="position:absolute" from="8705,899" to="9782,899" stroked="true" strokeweight=".36pt" strokecolor="#000000"/>
            <v:line style="position:absolute" from="7328,895" to="7328,1361" stroked="true" strokeweight=".36pt" strokecolor="#000000"/>
            <v:line style="position:absolute" from="8689,895" to="8689,1361" stroked="true" strokeweight=".36pt" strokecolor="#000000"/>
            <v:line style="position:absolute" from="9788,895" to="9788,1361" stroked="true" strokeweight=".36pt" strokecolor="#000000"/>
            <v:line style="position:absolute" from="7334,1357" to="7342,1357" stroked="true" strokeweight=".36pt" strokecolor="#000000"/>
            <v:line style="position:absolute" from="7344,1357" to="8683,1357" stroked="true" strokeweight=".36pt" strokecolor="#000000"/>
            <v:line style="position:absolute" from="8695,1357" to="8702,1357" stroked="true" strokeweight=".36pt" strokecolor="#000000"/>
            <v:line style="position:absolute" from="8705,1357" to="9782,1357" stroked="true" strokeweight=".36pt" strokecolor="#000000"/>
            <v:shape style="position:absolute;left:7328;top:899;width:1361;height:459" type="#_x0000_t202" filled="false" stroked="false">
              <v:textbox inset="0,0,0,0">
                <w:txbxContent>
                  <w:p>
                    <w:pPr>
                      <w:spacing w:before="62"/>
                      <w:ind w:left="322" w:right="127" w:hanging="178"/>
                      <w:jc w:val="left"/>
                      <w:rPr>
                        <w:rFonts w:ascii="Calibri"/>
                        <w:sz w:val="16"/>
                      </w:rPr>
                    </w:pPr>
                    <w:r>
                      <w:rPr>
                        <w:rFonts w:ascii="Calibri"/>
                        <w:sz w:val="16"/>
                      </w:rPr>
                      <w:t>No de atendidos por Evento</w:t>
                    </w:r>
                  </w:p>
                </w:txbxContent>
              </v:textbox>
              <w10:wrap type="none"/>
            </v:shape>
            <v:shape style="position:absolute;left:8689;top:899;width:1100;height:459" type="#_x0000_t202" filled="false" stroked="false">
              <v:textbox inset="0,0,0,0">
                <w:txbxContent>
                  <w:p>
                    <w:pPr>
                      <w:spacing w:line="240" w:lineRule="auto" w:before="2"/>
                      <w:rPr>
                        <w:rFonts w:ascii="Calibri"/>
                        <w:b/>
                        <w:sz w:val="21"/>
                      </w:rPr>
                    </w:pPr>
                  </w:p>
                  <w:p>
                    <w:pPr>
                      <w:spacing w:before="1"/>
                      <w:ind w:left="665" w:right="0" w:firstLine="0"/>
                      <w:jc w:val="left"/>
                      <w:rPr>
                        <w:rFonts w:ascii="Calibri"/>
                        <w:sz w:val="16"/>
                      </w:rPr>
                    </w:pPr>
                    <w:r>
                      <w:rPr>
                        <w:rFonts w:ascii="Calibri"/>
                        <w:sz w:val="16"/>
                      </w:rPr>
                      <w:t>231.4</w:t>
                    </w:r>
                  </w:p>
                </w:txbxContent>
              </v:textbox>
              <w10:wrap type="none"/>
            </v:shape>
            <w10:wrap type="topAndBottom"/>
          </v:group>
        </w:pict>
      </w:r>
      <w:r>
        <w:rPr/>
        <w:pict>
          <v:group style="position:absolute;margin-left:122.259995pt;margin-top:82.971550pt;width:176.45pt;height:30.65pt;mso-position-horizontal-relative:page;mso-position-vertical-relative:paragraph;z-index:2800;mso-wrap-distance-left:0;mso-wrap-distance-right:0" coordorigin="2445,1659" coordsize="3529,613">
            <v:line style="position:absolute" from="2455,1667" to="2462,1667" stroked="true" strokeweight=".36pt" strokecolor="#000000"/>
            <v:line style="position:absolute" from="2465,1667" to="3804,1667" stroked="true" strokeweight=".36pt" strokecolor="#000000"/>
            <v:line style="position:absolute" from="3816,1667" to="3823,1667" stroked="true" strokeweight=".36pt" strokecolor="#000000"/>
            <v:line style="position:absolute" from="3826,1667" to="5964,1667" stroked="true" strokeweight=".36pt" strokecolor="#000000"/>
            <v:line style="position:absolute" from="2449,1663" to="2449,2268" stroked="true" strokeweight=".36pt" strokecolor="#000000"/>
            <v:line style="position:absolute" from="3810,1663" to="3810,2268" stroked="true" strokeweight=".36pt" strokecolor="#000000"/>
            <v:line style="position:absolute" from="5970,1663" to="5970,2268" stroked="true" strokeweight=".36pt" strokecolor="#000000"/>
            <v:line style="position:absolute" from="2455,2265" to="2462,2265" stroked="true" strokeweight=".36pt" strokecolor="#000000"/>
            <v:line style="position:absolute" from="2465,2265" to="3804,2265" stroked="true" strokeweight=".36pt" strokecolor="#000000"/>
            <v:line style="position:absolute" from="3816,2265" to="3823,2265" stroked="true" strokeweight=".36pt" strokecolor="#000000"/>
            <v:line style="position:absolute" from="3826,2265" to="5964,2265" stroked="true" strokeweight=".36pt" strokecolor="#000000"/>
            <v:shape style="position:absolute;left:2449;top:1667;width:1361;height:598" type="#_x0000_t202" filled="false" stroked="false">
              <v:textbox inset="0,0,0,0">
                <w:txbxContent>
                  <w:p>
                    <w:pPr>
                      <w:spacing w:before="7"/>
                      <w:ind w:left="131" w:right="129" w:firstLine="0"/>
                      <w:jc w:val="center"/>
                      <w:rPr>
                        <w:rFonts w:ascii="Calibri"/>
                        <w:sz w:val="16"/>
                      </w:rPr>
                    </w:pPr>
                    <w:r>
                      <w:rPr>
                        <w:rFonts w:ascii="Calibri"/>
                        <w:sz w:val="16"/>
                      </w:rPr>
                      <w:t>% de atenciones otorgadas o traslados</w:t>
                    </w:r>
                  </w:p>
                </w:txbxContent>
              </v:textbox>
              <w10:wrap type="none"/>
            </v:shape>
            <v:shape style="position:absolute;left:5626;top:2095;width:278;height:161" type="#_x0000_t202" filled="false" stroked="false">
              <v:textbox inset="0,0,0,0">
                <w:txbxContent>
                  <w:p>
                    <w:pPr>
                      <w:spacing w:line="161" w:lineRule="exact" w:before="0"/>
                      <w:ind w:left="0" w:right="-19" w:firstLine="0"/>
                      <w:jc w:val="left"/>
                      <w:rPr>
                        <w:rFonts w:ascii="Calibri"/>
                        <w:sz w:val="16"/>
                      </w:rPr>
                    </w:pPr>
                    <w:r>
                      <w:rPr>
                        <w:rFonts w:ascii="Calibri"/>
                        <w:sz w:val="16"/>
                      </w:rPr>
                      <w:t>20%</w:t>
                    </w:r>
                  </w:p>
                </w:txbxContent>
              </v:textbox>
              <w10:wrap type="none"/>
            </v:shape>
            <w10:wrap type="topAndBottom"/>
          </v:group>
        </w:pict>
      </w:r>
    </w:p>
    <w:p>
      <w:pPr>
        <w:pStyle w:val="BodyText"/>
        <w:spacing w:before="6"/>
        <w:rPr>
          <w:rFonts w:ascii="Calibri"/>
          <w:b/>
          <w:sz w:val="18"/>
        </w:rPr>
      </w:pPr>
    </w:p>
    <w:p>
      <w:pPr>
        <w:pStyle w:val="BodyText"/>
        <w:spacing w:before="6"/>
        <w:rPr>
          <w:rFonts w:ascii="Calibri"/>
          <w:b/>
          <w:sz w:val="18"/>
        </w:rPr>
      </w:pPr>
    </w:p>
    <w:p>
      <w:pPr>
        <w:spacing w:before="71"/>
        <w:ind w:left="800" w:right="0" w:firstLine="0"/>
        <w:jc w:val="left"/>
        <w:rPr>
          <w:rFonts w:ascii="Calibri"/>
          <w:b/>
          <w:sz w:val="16"/>
        </w:rPr>
      </w:pPr>
      <w:r>
        <w:rPr>
          <w:rFonts w:ascii="Calibri"/>
          <w:b/>
          <w:sz w:val="16"/>
        </w:rPr>
        <w:t>Fuente:SUEM</w:t>
      </w:r>
    </w:p>
    <w:p>
      <w:pPr>
        <w:spacing w:after="0"/>
        <w:jc w:val="left"/>
        <w:rPr>
          <w:rFonts w:ascii="Calibri"/>
          <w:sz w:val="16"/>
        </w:rPr>
        <w:sectPr>
          <w:footerReference w:type="default" r:id="rId69"/>
          <w:pgSz w:w="12240" w:h="15840"/>
          <w:pgMar w:footer="0" w:header="0" w:top="1460" w:bottom="280" w:left="1720" w:right="1720"/>
        </w:sectPr>
      </w:pPr>
    </w:p>
    <w:p>
      <w:pPr>
        <w:pStyle w:val="Heading1"/>
        <w:spacing w:before="50"/>
        <w:ind w:right="102"/>
        <w:jc w:val="left"/>
      </w:pPr>
      <w:r>
        <w:rPr/>
        <w:t>BIBLIOGRAFIA</w:t>
      </w:r>
    </w:p>
    <w:p>
      <w:pPr>
        <w:pStyle w:val="BodyText"/>
        <w:spacing w:before="5"/>
        <w:rPr>
          <w:b/>
          <w:sz w:val="31"/>
        </w:rPr>
      </w:pPr>
    </w:p>
    <w:p>
      <w:pPr>
        <w:pStyle w:val="ListParagraph"/>
        <w:numPr>
          <w:ilvl w:val="2"/>
          <w:numId w:val="25"/>
        </w:numPr>
        <w:tabs>
          <w:tab w:pos="810" w:val="left" w:leader="none"/>
        </w:tabs>
        <w:spacing w:line="240" w:lineRule="auto" w:before="1" w:after="0"/>
        <w:ind w:left="852" w:right="0" w:hanging="391"/>
        <w:jc w:val="left"/>
        <w:rPr>
          <w:sz w:val="24"/>
        </w:rPr>
      </w:pPr>
      <w:r>
        <w:rPr>
          <w:sz w:val="24"/>
        </w:rPr>
        <w:t>Bodie,</w:t>
      </w:r>
      <w:r>
        <w:rPr>
          <w:spacing w:val="-7"/>
          <w:sz w:val="24"/>
        </w:rPr>
        <w:t> </w:t>
      </w:r>
      <w:r>
        <w:rPr>
          <w:sz w:val="24"/>
        </w:rPr>
        <w:t>Zvi</w:t>
      </w:r>
      <w:r>
        <w:rPr>
          <w:spacing w:val="-6"/>
          <w:sz w:val="24"/>
        </w:rPr>
        <w:t> </w:t>
      </w:r>
      <w:r>
        <w:rPr>
          <w:sz w:val="24"/>
        </w:rPr>
        <w:t>y</w:t>
      </w:r>
      <w:r>
        <w:rPr>
          <w:spacing w:val="-7"/>
          <w:sz w:val="24"/>
        </w:rPr>
        <w:t> </w:t>
      </w:r>
      <w:r>
        <w:rPr>
          <w:sz w:val="24"/>
        </w:rPr>
        <w:t>Robert</w:t>
      </w:r>
      <w:r>
        <w:rPr>
          <w:spacing w:val="-5"/>
          <w:sz w:val="24"/>
        </w:rPr>
        <w:t> </w:t>
      </w:r>
      <w:r>
        <w:rPr>
          <w:sz w:val="24"/>
        </w:rPr>
        <w:t>C.</w:t>
      </w:r>
      <w:r>
        <w:rPr>
          <w:spacing w:val="-5"/>
          <w:sz w:val="24"/>
        </w:rPr>
        <w:t> </w:t>
      </w:r>
      <w:r>
        <w:rPr>
          <w:sz w:val="24"/>
        </w:rPr>
        <w:t>Merton. Finanzas.</w:t>
      </w:r>
      <w:r>
        <w:rPr>
          <w:spacing w:val="-5"/>
          <w:sz w:val="24"/>
        </w:rPr>
        <w:t> </w:t>
      </w:r>
      <w:r>
        <w:rPr>
          <w:sz w:val="24"/>
        </w:rPr>
        <w:t>Pearson</w:t>
      </w:r>
      <w:r>
        <w:rPr>
          <w:spacing w:val="-4"/>
          <w:sz w:val="24"/>
        </w:rPr>
        <w:t> </w:t>
      </w:r>
      <w:r>
        <w:rPr>
          <w:sz w:val="24"/>
        </w:rPr>
        <w:t>Educación.</w:t>
      </w:r>
      <w:r>
        <w:rPr>
          <w:spacing w:val="-5"/>
          <w:sz w:val="24"/>
        </w:rPr>
        <w:t> </w:t>
      </w:r>
      <w:r>
        <w:rPr>
          <w:sz w:val="24"/>
        </w:rPr>
        <w:t>México,</w:t>
      </w:r>
      <w:r>
        <w:rPr>
          <w:spacing w:val="-5"/>
          <w:sz w:val="24"/>
        </w:rPr>
        <w:t> </w:t>
      </w:r>
      <w:r>
        <w:rPr>
          <w:sz w:val="24"/>
        </w:rPr>
        <w:t>2003.</w:t>
      </w:r>
    </w:p>
    <w:p>
      <w:pPr>
        <w:pStyle w:val="ListParagraph"/>
        <w:numPr>
          <w:ilvl w:val="2"/>
          <w:numId w:val="25"/>
        </w:numPr>
        <w:tabs>
          <w:tab w:pos="810" w:val="left" w:leader="none"/>
        </w:tabs>
        <w:spacing w:line="360" w:lineRule="auto" w:before="26" w:after="0"/>
        <w:ind w:left="852" w:right="119" w:hanging="391"/>
        <w:jc w:val="both"/>
        <w:rPr>
          <w:sz w:val="24"/>
        </w:rPr>
      </w:pPr>
      <w:r>
        <w:rPr>
          <w:sz w:val="24"/>
        </w:rPr>
        <w:t>Project Management Institute Inc. Guía de los Fundamentos de la Dirección de Proyectos (Guía del PMBok). Estados Unidos de América. PMI Publications 3era ed. 2004. 393</w:t>
      </w:r>
      <w:r>
        <w:rPr>
          <w:spacing w:val="-25"/>
          <w:sz w:val="24"/>
        </w:rPr>
        <w:t> </w:t>
      </w:r>
      <w:r>
        <w:rPr>
          <w:sz w:val="24"/>
        </w:rPr>
        <w:t>p.</w:t>
      </w:r>
    </w:p>
    <w:p>
      <w:pPr>
        <w:pStyle w:val="ListParagraph"/>
        <w:numPr>
          <w:ilvl w:val="2"/>
          <w:numId w:val="25"/>
        </w:numPr>
        <w:tabs>
          <w:tab w:pos="810" w:val="left" w:leader="none"/>
        </w:tabs>
        <w:spacing w:line="360" w:lineRule="auto" w:before="5" w:after="0"/>
        <w:ind w:left="852" w:right="131" w:hanging="391"/>
        <w:jc w:val="both"/>
        <w:rPr>
          <w:sz w:val="24"/>
        </w:rPr>
      </w:pPr>
      <w:r>
        <w:rPr>
          <w:sz w:val="24"/>
        </w:rPr>
        <w:t>Escudero Cabada A y Salazar Ochoa LA. Metodología de Formulación de Proyectos de Inversión. Guía Autoinstructiva. Proyecto Fortalecimiento de ONGs PERU. Grupo Pachacamac / InWEnt / DED: Perú, 2004. 40</w:t>
      </w:r>
      <w:r>
        <w:rPr>
          <w:spacing w:val="-41"/>
          <w:sz w:val="24"/>
        </w:rPr>
        <w:t> </w:t>
      </w:r>
      <w:r>
        <w:rPr>
          <w:sz w:val="24"/>
        </w:rPr>
        <w:t>p.</w:t>
      </w:r>
    </w:p>
    <w:p>
      <w:pPr>
        <w:pStyle w:val="ListParagraph"/>
        <w:numPr>
          <w:ilvl w:val="2"/>
          <w:numId w:val="25"/>
        </w:numPr>
        <w:tabs>
          <w:tab w:pos="810" w:val="left" w:leader="none"/>
          <w:tab w:pos="2637" w:val="left" w:leader="none"/>
          <w:tab w:pos="7930" w:val="left" w:leader="none"/>
        </w:tabs>
        <w:spacing w:line="360" w:lineRule="auto" w:before="2" w:after="0"/>
        <w:ind w:left="852" w:right="116" w:hanging="391"/>
        <w:jc w:val="left"/>
        <w:rPr>
          <w:sz w:val="24"/>
        </w:rPr>
      </w:pPr>
      <w:r>
        <w:rPr>
          <w:sz w:val="24"/>
        </w:rPr>
        <w:t>Mejía,   M.A Evaluación   económica   de programas</w:t>
      </w:r>
      <w:r>
        <w:rPr>
          <w:spacing w:val="-27"/>
          <w:sz w:val="24"/>
        </w:rPr>
        <w:t> </w:t>
      </w:r>
      <w:r>
        <w:rPr>
          <w:sz w:val="24"/>
        </w:rPr>
        <w:t>y </w:t>
      </w:r>
      <w:r>
        <w:rPr>
          <w:spacing w:val="35"/>
          <w:sz w:val="24"/>
        </w:rPr>
        <w:t> </w:t>
      </w:r>
      <w:r>
        <w:rPr>
          <w:sz w:val="24"/>
        </w:rPr>
        <w:t>servicios</w:t>
        <w:tab/>
        <w:t>de</w:t>
      </w:r>
      <w:r>
        <w:rPr>
          <w:spacing w:val="17"/>
          <w:sz w:val="24"/>
        </w:rPr>
        <w:t> </w:t>
      </w:r>
      <w:r>
        <w:rPr>
          <w:sz w:val="24"/>
        </w:rPr>
        <w:t>salud.</w:t>
      </w:r>
      <w:r>
        <w:rPr>
          <w:w w:val="99"/>
          <w:sz w:val="24"/>
        </w:rPr>
        <w:t> </w:t>
      </w:r>
      <w:r>
        <w:rPr>
          <w:sz w:val="24"/>
        </w:rPr>
        <w:t>Rev.</w:t>
      </w:r>
      <w:r>
        <w:rPr>
          <w:spacing w:val="9"/>
          <w:sz w:val="24"/>
        </w:rPr>
        <w:t> </w:t>
      </w:r>
      <w:r>
        <w:rPr>
          <w:sz w:val="24"/>
        </w:rPr>
        <w:t>Gerencia</w:t>
        <w:tab/>
        <w:t>y Política  Salud2008;vil.  7,  n.  pp  91-113.  </w:t>
      </w:r>
      <w:r>
        <w:rPr>
          <w:spacing w:val="7"/>
          <w:sz w:val="24"/>
        </w:rPr>
        <w:t> </w:t>
      </w:r>
      <w:r>
        <w:rPr>
          <w:sz w:val="24"/>
        </w:rPr>
        <w:t>ISSNH </w:t>
      </w:r>
      <w:r>
        <w:rPr>
          <w:spacing w:val="23"/>
          <w:sz w:val="24"/>
        </w:rPr>
        <w:t> </w:t>
      </w:r>
      <w:r>
        <w:rPr>
          <w:sz w:val="24"/>
        </w:rPr>
        <w:t>157.-</w:t>
      </w:r>
      <w:r>
        <w:rPr>
          <w:w w:val="99"/>
          <w:sz w:val="24"/>
        </w:rPr>
        <w:t> </w:t>
      </w:r>
      <w:r>
        <w:rPr>
          <w:sz w:val="24"/>
        </w:rPr>
        <w:t>7027. </w:t>
      </w:r>
      <w:hyperlink r:id="rId71">
        <w:r>
          <w:rPr>
            <w:color w:val="0000FF"/>
            <w:sz w:val="24"/>
            <w:u w:val="single" w:color="0000FF"/>
          </w:rPr>
          <w:t>http://www.javeriana.edu.co/fcea/rev_gerenc_polsalud/vol7_n_15/estudios_ </w:t>
        </w:r>
      </w:hyperlink>
      <w:r>
        <w:rPr>
          <w:color w:val="0000FF"/>
          <w:sz w:val="24"/>
          <w:u w:val="single" w:color="0000FF"/>
        </w:rPr>
        <w:t>3.pdf </w:t>
      </w:r>
      <w:r>
        <w:rPr>
          <w:sz w:val="24"/>
        </w:rPr>
        <w:t>[29 de julio de</w:t>
      </w:r>
      <w:r>
        <w:rPr>
          <w:spacing w:val="-17"/>
          <w:sz w:val="24"/>
        </w:rPr>
        <w:t> </w:t>
      </w:r>
      <w:r>
        <w:rPr>
          <w:sz w:val="24"/>
        </w:rPr>
        <w:t>2014].</w:t>
      </w:r>
    </w:p>
    <w:p>
      <w:pPr>
        <w:pStyle w:val="ListParagraph"/>
        <w:numPr>
          <w:ilvl w:val="2"/>
          <w:numId w:val="25"/>
        </w:numPr>
        <w:tabs>
          <w:tab w:pos="810" w:val="left" w:leader="none"/>
          <w:tab w:pos="5482" w:val="left" w:leader="none"/>
        </w:tabs>
        <w:spacing w:line="360" w:lineRule="auto" w:before="2" w:after="0"/>
        <w:ind w:left="852" w:right="129" w:hanging="391"/>
        <w:jc w:val="left"/>
        <w:rPr>
          <w:sz w:val="24"/>
        </w:rPr>
      </w:pPr>
      <w:r>
        <w:rPr>
          <w:sz w:val="24"/>
        </w:rPr>
        <w:t>Torche  L.A.  Métodos para</w:t>
      </w:r>
      <w:r>
        <w:rPr>
          <w:spacing w:val="7"/>
          <w:sz w:val="24"/>
        </w:rPr>
        <w:t> </w:t>
      </w:r>
      <w:r>
        <w:rPr>
          <w:sz w:val="24"/>
        </w:rPr>
        <w:t>la</w:t>
      </w:r>
      <w:r>
        <w:rPr>
          <w:spacing w:val="36"/>
          <w:sz w:val="24"/>
        </w:rPr>
        <w:t> </w:t>
      </w:r>
      <w:r>
        <w:rPr>
          <w:sz w:val="24"/>
        </w:rPr>
        <w:t>Evaluación</w:t>
        <w:tab/>
        <w:t>de  Proyectos  del</w:t>
      </w:r>
      <w:r>
        <w:rPr>
          <w:spacing w:val="-33"/>
          <w:sz w:val="24"/>
        </w:rPr>
        <w:t> </w:t>
      </w:r>
      <w:r>
        <w:rPr>
          <w:sz w:val="24"/>
        </w:rPr>
        <w:t>Sector</w:t>
      </w:r>
      <w:r>
        <w:rPr>
          <w:spacing w:val="32"/>
          <w:sz w:val="24"/>
        </w:rPr>
        <w:t> </w:t>
      </w:r>
      <w:r>
        <w:rPr>
          <w:sz w:val="24"/>
        </w:rPr>
        <w:t>Salud.</w:t>
      </w:r>
      <w:r>
        <w:rPr>
          <w:w w:val="99"/>
          <w:sz w:val="24"/>
        </w:rPr>
        <w:t> </w:t>
      </w:r>
      <w:r>
        <w:rPr>
          <w:sz w:val="24"/>
        </w:rPr>
        <w:t>Trabajo Docente Nº 59. Pontificia Universidad Católica de Chile.  Instituto de Economía, Chile, Julio, 1997. </w:t>
      </w:r>
      <w:hyperlink r:id="rId72">
        <w:r>
          <w:rPr>
            <w:color w:val="0000FF"/>
            <w:sz w:val="24"/>
            <w:u w:val="single" w:color="0000FF"/>
          </w:rPr>
          <w:t>http://www.economia.puc.cl/docs/trd_59.pdf </w:t>
        </w:r>
      </w:hyperlink>
      <w:r>
        <w:rPr>
          <w:sz w:val="24"/>
        </w:rPr>
        <w:t>[29 de julio de</w:t>
      </w:r>
      <w:r>
        <w:rPr>
          <w:spacing w:val="-37"/>
          <w:sz w:val="24"/>
        </w:rPr>
        <w:t> </w:t>
      </w:r>
      <w:r>
        <w:rPr>
          <w:sz w:val="24"/>
        </w:rPr>
        <w:t>2014]</w:t>
      </w:r>
    </w:p>
    <w:p>
      <w:pPr>
        <w:pStyle w:val="ListParagraph"/>
        <w:numPr>
          <w:ilvl w:val="2"/>
          <w:numId w:val="25"/>
        </w:numPr>
        <w:tabs>
          <w:tab w:pos="810" w:val="left" w:leader="none"/>
          <w:tab w:pos="2405" w:val="left" w:leader="none"/>
          <w:tab w:pos="4084" w:val="left" w:leader="none"/>
          <w:tab w:pos="4731" w:val="left" w:leader="none"/>
          <w:tab w:pos="5617" w:val="left" w:leader="none"/>
          <w:tab w:pos="6837" w:val="left" w:leader="none"/>
          <w:tab w:pos="7469" w:val="left" w:leader="none"/>
        </w:tabs>
        <w:spacing w:line="360" w:lineRule="auto" w:before="2" w:after="0"/>
        <w:ind w:left="852" w:right="124" w:hanging="391"/>
        <w:jc w:val="left"/>
        <w:rPr>
          <w:sz w:val="24"/>
        </w:rPr>
      </w:pPr>
      <w:r>
        <w:rPr>
          <w:sz w:val="24"/>
        </w:rPr>
        <w:t>Ministerio de Economía y Finanzas. Dirección General de Programación Multianual   del </w:t>
      </w:r>
      <w:r>
        <w:rPr>
          <w:spacing w:val="20"/>
          <w:sz w:val="24"/>
        </w:rPr>
        <w:t> </w:t>
      </w:r>
      <w:r>
        <w:rPr>
          <w:sz w:val="24"/>
        </w:rPr>
        <w:t>Sector </w:t>
      </w:r>
      <w:r>
        <w:rPr>
          <w:spacing w:val="43"/>
          <w:sz w:val="24"/>
        </w:rPr>
        <w:t> </w:t>
      </w:r>
      <w:r>
        <w:rPr>
          <w:sz w:val="24"/>
        </w:rPr>
        <w:t>Público.</w:t>
        <w:tab/>
        <w:t>Guía</w:t>
        <w:tab/>
        <w:t>General</w:t>
        <w:tab/>
        <w:t>de</w:t>
        <w:tab/>
      </w:r>
      <w:r>
        <w:rPr>
          <w:spacing w:val="-1"/>
          <w:sz w:val="24"/>
        </w:rPr>
        <w:t>Identificación, </w:t>
      </w:r>
      <w:r>
        <w:rPr>
          <w:sz w:val="24"/>
        </w:rPr>
        <w:t>Formulación</w:t>
        <w:tab/>
        <w:t>y </w:t>
      </w:r>
      <w:r>
        <w:rPr>
          <w:spacing w:val="16"/>
          <w:sz w:val="24"/>
        </w:rPr>
        <w:t> </w:t>
      </w:r>
      <w:r>
        <w:rPr>
          <w:sz w:val="24"/>
        </w:rPr>
        <w:t>Evaluación</w:t>
        <w:tab/>
        <w:t>Social  de Proyectos  de Inversión </w:t>
      </w:r>
      <w:r>
        <w:rPr>
          <w:spacing w:val="62"/>
          <w:sz w:val="24"/>
        </w:rPr>
        <w:t> </w:t>
      </w:r>
      <w:r>
        <w:rPr>
          <w:sz w:val="24"/>
        </w:rPr>
        <w:t>Pública</w:t>
      </w:r>
      <w:r>
        <w:rPr>
          <w:spacing w:val="6"/>
          <w:sz w:val="24"/>
        </w:rPr>
        <w:t> </w:t>
      </w:r>
      <w:r>
        <w:rPr>
          <w:sz w:val="24"/>
        </w:rPr>
        <w:t>a</w:t>
      </w:r>
      <w:r>
        <w:rPr>
          <w:w w:val="99"/>
          <w:sz w:val="24"/>
        </w:rPr>
        <w:t> </w:t>
      </w:r>
      <w:r>
        <w:rPr>
          <w:sz w:val="24"/>
        </w:rPr>
        <w:t>nivel de Perfil. Perú Julio 2003. </w:t>
      </w:r>
      <w:hyperlink r:id="rId73">
        <w:r>
          <w:rPr>
            <w:color w:val="0000FF"/>
            <w:sz w:val="24"/>
            <w:u w:val="single" w:color="0000FF"/>
          </w:rPr>
          <w:t>http://www.congreso.gob.pe/historico/cip/temas/descentralizacion/pdf/06A0 </w:t>
        </w:r>
      </w:hyperlink>
      <w:r>
        <w:rPr>
          <w:color w:val="0000FF"/>
          <w:sz w:val="24"/>
          <w:u w:val="single" w:color="0000FF"/>
        </w:rPr>
        <w:t>9.pdf </w:t>
      </w:r>
      <w:r>
        <w:rPr>
          <w:sz w:val="24"/>
        </w:rPr>
        <w:t>[29 de julio de</w:t>
      </w:r>
      <w:r>
        <w:rPr>
          <w:spacing w:val="-17"/>
          <w:sz w:val="24"/>
        </w:rPr>
        <w:t> </w:t>
      </w:r>
      <w:r>
        <w:rPr>
          <w:sz w:val="24"/>
        </w:rPr>
        <w:t>2014]</w:t>
      </w:r>
    </w:p>
    <w:p>
      <w:pPr>
        <w:pStyle w:val="ListParagraph"/>
        <w:numPr>
          <w:ilvl w:val="2"/>
          <w:numId w:val="25"/>
        </w:numPr>
        <w:tabs>
          <w:tab w:pos="810" w:val="left" w:leader="none"/>
          <w:tab w:pos="6264" w:val="left" w:leader="none"/>
        </w:tabs>
        <w:spacing w:line="360" w:lineRule="auto" w:before="2" w:after="0"/>
        <w:ind w:left="852" w:right="131" w:hanging="391"/>
        <w:jc w:val="left"/>
        <w:rPr>
          <w:sz w:val="24"/>
        </w:rPr>
      </w:pPr>
      <w:r>
        <w:rPr>
          <w:sz w:val="24"/>
        </w:rPr>
        <w:t>Cohen E.  Martínez  R. Manual </w:t>
      </w:r>
      <w:r>
        <w:rPr>
          <w:spacing w:val="50"/>
          <w:sz w:val="24"/>
        </w:rPr>
        <w:t> </w:t>
      </w:r>
      <w:r>
        <w:rPr>
          <w:sz w:val="24"/>
        </w:rPr>
        <w:t>de</w:t>
      </w:r>
      <w:r>
        <w:rPr>
          <w:spacing w:val="7"/>
          <w:sz w:val="24"/>
        </w:rPr>
        <w:t> </w:t>
      </w:r>
      <w:r>
        <w:rPr>
          <w:sz w:val="24"/>
        </w:rPr>
        <w:t>Formulación,</w:t>
        <w:tab/>
        <w:t>Evaluación </w:t>
      </w:r>
      <w:r>
        <w:rPr>
          <w:spacing w:val="10"/>
          <w:sz w:val="24"/>
        </w:rPr>
        <w:t> </w:t>
      </w:r>
      <w:r>
        <w:rPr>
          <w:sz w:val="24"/>
        </w:rPr>
        <w:t>y </w:t>
      </w:r>
      <w:r>
        <w:rPr>
          <w:spacing w:val="9"/>
          <w:sz w:val="24"/>
        </w:rPr>
        <w:t> </w:t>
      </w:r>
      <w:r>
        <w:rPr>
          <w:sz w:val="24"/>
        </w:rPr>
        <w:t>Monitoreo</w:t>
      </w:r>
      <w:r>
        <w:rPr>
          <w:w w:val="99"/>
          <w:sz w:val="24"/>
        </w:rPr>
        <w:t> </w:t>
      </w:r>
      <w:r>
        <w:rPr>
          <w:sz w:val="24"/>
        </w:rPr>
        <w:t>de Proyectos Sociales. División de Desarrollo Social CEPAL. Chile 2002. </w:t>
      </w:r>
      <w:hyperlink r:id="rId74">
        <w:r>
          <w:rPr>
            <w:color w:val="0000FF"/>
            <w:sz w:val="24"/>
            <w:u w:val="single" w:color="0000FF"/>
          </w:rPr>
          <w:t>http://www.eclac.cl/dds/noticias/paginas/8/15448/Manual_dds_200408.pdf </w:t>
        </w:r>
      </w:hyperlink>
      <w:r>
        <w:rPr>
          <w:sz w:val="24"/>
        </w:rPr>
        <w:t>[29 de julio de</w:t>
      </w:r>
      <w:r>
        <w:rPr>
          <w:spacing w:val="-15"/>
          <w:sz w:val="24"/>
        </w:rPr>
        <w:t> </w:t>
      </w:r>
      <w:r>
        <w:rPr>
          <w:sz w:val="24"/>
        </w:rPr>
        <w:t>2014].</w:t>
      </w:r>
    </w:p>
    <w:p>
      <w:pPr>
        <w:pStyle w:val="ListParagraph"/>
        <w:numPr>
          <w:ilvl w:val="2"/>
          <w:numId w:val="25"/>
        </w:numPr>
        <w:tabs>
          <w:tab w:pos="810" w:val="left" w:leader="none"/>
        </w:tabs>
        <w:spacing w:line="360" w:lineRule="auto" w:before="2" w:after="0"/>
        <w:ind w:left="852" w:right="126" w:hanging="391"/>
        <w:jc w:val="both"/>
        <w:rPr>
          <w:sz w:val="24"/>
        </w:rPr>
      </w:pPr>
      <w:r>
        <w:rPr>
          <w:sz w:val="24"/>
        </w:rPr>
        <w:t>MIDEPLAN. Metodología General de Preparación y Evaluación de Proyectos. División de Planificación, Estudios e Inversión Departamento de Inversiones. Chile</w:t>
      </w:r>
      <w:r>
        <w:rPr>
          <w:spacing w:val="-16"/>
          <w:sz w:val="24"/>
        </w:rPr>
        <w:t> </w:t>
      </w:r>
      <w:r>
        <w:rPr>
          <w:sz w:val="24"/>
        </w:rPr>
        <w:t>2006.</w:t>
      </w:r>
    </w:p>
    <w:p>
      <w:pPr>
        <w:spacing w:after="0" w:line="360" w:lineRule="auto"/>
        <w:jc w:val="both"/>
        <w:rPr>
          <w:sz w:val="24"/>
        </w:rPr>
        <w:sectPr>
          <w:footerReference w:type="default" r:id="rId70"/>
          <w:pgSz w:w="12240" w:h="15840"/>
          <w:pgMar w:footer="0" w:header="0" w:top="1460" w:bottom="280" w:left="1600" w:right="1580"/>
        </w:sectPr>
      </w:pPr>
    </w:p>
    <w:p>
      <w:pPr>
        <w:pStyle w:val="ListParagraph"/>
        <w:numPr>
          <w:ilvl w:val="2"/>
          <w:numId w:val="25"/>
        </w:numPr>
        <w:tabs>
          <w:tab w:pos="690" w:val="left" w:leader="none"/>
          <w:tab w:pos="5386" w:val="left" w:leader="none"/>
          <w:tab w:pos="5537" w:val="left" w:leader="none"/>
          <w:tab w:pos="7209" w:val="left" w:leader="none"/>
        </w:tabs>
        <w:spacing w:line="360" w:lineRule="auto" w:before="46" w:after="0"/>
        <w:ind w:left="732" w:right="109" w:hanging="391"/>
        <w:jc w:val="left"/>
        <w:rPr>
          <w:sz w:val="24"/>
        </w:rPr>
      </w:pPr>
      <w:r>
        <w:rPr>
          <w:sz w:val="24"/>
        </w:rPr>
        <w:t>SHCP. Lineamientos para </w:t>
      </w:r>
      <w:r>
        <w:rPr>
          <w:spacing w:val="19"/>
          <w:sz w:val="24"/>
        </w:rPr>
        <w:t> </w:t>
      </w:r>
      <w:r>
        <w:rPr>
          <w:sz w:val="24"/>
        </w:rPr>
        <w:t>la</w:t>
      </w:r>
      <w:r>
        <w:rPr>
          <w:spacing w:val="29"/>
          <w:sz w:val="24"/>
        </w:rPr>
        <w:t> </w:t>
      </w:r>
      <w:r>
        <w:rPr>
          <w:sz w:val="24"/>
        </w:rPr>
        <w:t>Elaboración</w:t>
        <w:tab/>
        <w:t>y</w:t>
      </w:r>
      <w:r>
        <w:rPr>
          <w:spacing w:val="28"/>
          <w:sz w:val="24"/>
        </w:rPr>
        <w:t> </w:t>
      </w:r>
      <w:r>
        <w:rPr>
          <w:sz w:val="24"/>
        </w:rPr>
        <w:t>Presentación</w:t>
        <w:tab/>
        <w:t>de</w:t>
      </w:r>
      <w:r>
        <w:rPr>
          <w:spacing w:val="28"/>
          <w:sz w:val="24"/>
        </w:rPr>
        <w:t> </w:t>
      </w:r>
      <w:r>
        <w:rPr>
          <w:sz w:val="24"/>
        </w:rPr>
        <w:t>los</w:t>
      </w:r>
      <w:r>
        <w:rPr>
          <w:spacing w:val="28"/>
          <w:sz w:val="24"/>
        </w:rPr>
        <w:t> </w:t>
      </w:r>
      <w:r>
        <w:rPr>
          <w:sz w:val="24"/>
        </w:rPr>
        <w:t>Análisis</w:t>
      </w:r>
      <w:r>
        <w:rPr>
          <w:w w:val="99"/>
          <w:sz w:val="24"/>
        </w:rPr>
        <w:t> </w:t>
      </w:r>
      <w:r>
        <w:rPr>
          <w:sz w:val="24"/>
        </w:rPr>
        <w:t>Costo y Beneficio de los Programas y Proyectos de Inversión. DOF. 2008. </w:t>
      </w:r>
      <w:hyperlink r:id="rId76">
        <w:r>
          <w:rPr>
            <w:color w:val="0000FF"/>
            <w:sz w:val="24"/>
            <w:u w:val="single" w:color="0000FF"/>
          </w:rPr>
          <w:t>http://www.shcp.gob.mx/LASHCP/MarcoJuridico/ProgramasYProyectosDeI </w:t>
        </w:r>
      </w:hyperlink>
      <w:r>
        <w:rPr>
          <w:color w:val="0000FF"/>
          <w:sz w:val="24"/>
          <w:u w:val="single" w:color="0000FF"/>
        </w:rPr>
        <w:t>nversion/Lineamientos/costo_beneficio.pdf</w:t>
      </w:r>
      <w:r>
        <w:rPr>
          <w:color w:val="0000FF"/>
          <w:sz w:val="24"/>
        </w:rPr>
        <w:tab/>
        <w:tab/>
      </w:r>
      <w:r>
        <w:rPr>
          <w:sz w:val="24"/>
        </w:rPr>
        <w:t>[29 de Julio de</w:t>
      </w:r>
      <w:r>
        <w:rPr>
          <w:spacing w:val="-14"/>
          <w:sz w:val="24"/>
        </w:rPr>
        <w:t> </w:t>
      </w:r>
      <w:r>
        <w:rPr>
          <w:sz w:val="24"/>
        </w:rPr>
        <w:t>2014]</w:t>
      </w:r>
    </w:p>
    <w:p>
      <w:pPr>
        <w:pStyle w:val="ListParagraph"/>
        <w:numPr>
          <w:ilvl w:val="2"/>
          <w:numId w:val="25"/>
        </w:numPr>
        <w:tabs>
          <w:tab w:pos="690" w:val="left" w:leader="none"/>
          <w:tab w:pos="4603" w:val="left" w:leader="none"/>
        </w:tabs>
        <w:spacing w:line="360" w:lineRule="auto" w:before="2" w:after="0"/>
        <w:ind w:left="732" w:right="102" w:hanging="391"/>
        <w:jc w:val="left"/>
        <w:rPr>
          <w:sz w:val="24"/>
        </w:rPr>
      </w:pPr>
      <w:r>
        <w:rPr>
          <w:sz w:val="24"/>
        </w:rPr>
        <w:t>SHCP. Lineamientos para el Registro en la Cartera de Programas y Proyectos de Inversión. DOF. 2013. </w:t>
      </w:r>
      <w:hyperlink r:id="rId76">
        <w:r>
          <w:rPr>
            <w:color w:val="0000FF"/>
            <w:sz w:val="24"/>
            <w:u w:val="single" w:color="0000FF"/>
          </w:rPr>
          <w:t>http://www.shcp.gob.mx/LASHCP/MarcoJuridico/ProgramasYProyectosDeI </w:t>
        </w:r>
      </w:hyperlink>
      <w:r>
        <w:rPr>
          <w:color w:val="0000FF"/>
          <w:sz w:val="24"/>
          <w:u w:val="single" w:color="0000FF"/>
        </w:rPr>
        <w:t>nversion/Lineamientos/registro.pdf</w:t>
      </w:r>
      <w:r>
        <w:rPr>
          <w:color w:val="0000FF"/>
          <w:sz w:val="24"/>
        </w:rPr>
        <w:tab/>
      </w:r>
      <w:r>
        <w:rPr>
          <w:sz w:val="24"/>
        </w:rPr>
        <w:t>[29 de Julio de</w:t>
      </w:r>
      <w:r>
        <w:rPr>
          <w:spacing w:val="-14"/>
          <w:sz w:val="24"/>
        </w:rPr>
        <w:t> </w:t>
      </w:r>
      <w:r>
        <w:rPr>
          <w:sz w:val="24"/>
        </w:rPr>
        <w:t>2014]</w:t>
      </w:r>
    </w:p>
    <w:p>
      <w:pPr>
        <w:pStyle w:val="ListParagraph"/>
        <w:numPr>
          <w:ilvl w:val="2"/>
          <w:numId w:val="25"/>
        </w:numPr>
        <w:tabs>
          <w:tab w:pos="690" w:val="left" w:leader="none"/>
          <w:tab w:pos="6869" w:val="left" w:leader="none"/>
        </w:tabs>
        <w:spacing w:line="360" w:lineRule="auto" w:before="2" w:after="0"/>
        <w:ind w:left="732" w:right="99" w:hanging="391"/>
        <w:jc w:val="left"/>
        <w:rPr>
          <w:sz w:val="24"/>
        </w:rPr>
      </w:pPr>
      <w:r>
        <w:rPr>
          <w:sz w:val="24"/>
        </w:rPr>
        <w:t>SHCP. Lineamientos para la Elaboracion del Análisis Costo-Beneficio de los Proyectos para Prestación de Servicios a cargo de las Dependencias y Entidades de la Administración Pública Federal. DOF. 2009 </w:t>
      </w:r>
      <w:hyperlink r:id="rId76">
        <w:r>
          <w:rPr>
            <w:color w:val="0000FF"/>
            <w:sz w:val="24"/>
            <w:u w:val="single" w:color="0000FF"/>
          </w:rPr>
          <w:t>http://www.shcp.gob.mx/LASHCP/MarcoJuridico/ProgramasYProyectosDeI </w:t>
        </w:r>
      </w:hyperlink>
      <w:r>
        <w:rPr>
          <w:color w:val="0000FF"/>
          <w:sz w:val="24"/>
          <w:u w:val="single" w:color="0000FF"/>
        </w:rPr>
        <w:t>nversion/Lineamientos/lineamientos_agosto_2009.pdf</w:t>
      </w:r>
      <w:r>
        <w:rPr>
          <w:color w:val="0000FF"/>
          <w:sz w:val="24"/>
        </w:rPr>
        <w:tab/>
      </w:r>
      <w:r>
        <w:rPr>
          <w:sz w:val="24"/>
        </w:rPr>
        <w:t>[29   de </w:t>
      </w:r>
      <w:r>
        <w:rPr>
          <w:spacing w:val="54"/>
          <w:sz w:val="24"/>
        </w:rPr>
        <w:t> </w:t>
      </w:r>
      <w:r>
        <w:rPr>
          <w:sz w:val="24"/>
        </w:rPr>
        <w:t>Julio </w:t>
      </w:r>
      <w:r>
        <w:rPr>
          <w:spacing w:val="60"/>
          <w:sz w:val="24"/>
        </w:rPr>
        <w:t> </w:t>
      </w:r>
      <w:r>
        <w:rPr>
          <w:sz w:val="24"/>
        </w:rPr>
        <w:t>de</w:t>
      </w:r>
      <w:r>
        <w:rPr>
          <w:w w:val="99"/>
          <w:sz w:val="24"/>
        </w:rPr>
        <w:t> </w:t>
      </w:r>
      <w:r>
        <w:rPr>
          <w:sz w:val="24"/>
        </w:rPr>
        <w:t>2014]</w:t>
      </w:r>
    </w:p>
    <w:p>
      <w:pPr>
        <w:pStyle w:val="ListParagraph"/>
        <w:numPr>
          <w:ilvl w:val="2"/>
          <w:numId w:val="25"/>
        </w:numPr>
        <w:tabs>
          <w:tab w:pos="690" w:val="left" w:leader="none"/>
        </w:tabs>
        <w:spacing w:line="360" w:lineRule="auto" w:before="2" w:after="0"/>
        <w:ind w:left="732" w:right="109" w:hanging="391"/>
        <w:jc w:val="both"/>
        <w:rPr>
          <w:sz w:val="24"/>
        </w:rPr>
      </w:pPr>
      <w:r>
        <w:rPr>
          <w:sz w:val="24"/>
        </w:rPr>
        <w:t>Beltrán Barco A. Guía de Identificación, Formulación y Evaluación Social de Proyectos de Inversión Pública del Sector Salud a nivel  de  Perfil.  Ministerio de Economía y Finanzas. Dirección General de Programación Multianual del Sector Público. Perú 2006. 239</w:t>
      </w:r>
      <w:r>
        <w:rPr>
          <w:spacing w:val="-32"/>
          <w:sz w:val="24"/>
        </w:rPr>
        <w:t> </w:t>
      </w:r>
      <w:r>
        <w:rPr>
          <w:sz w:val="24"/>
        </w:rPr>
        <w:t>p.</w:t>
      </w:r>
    </w:p>
    <w:p>
      <w:pPr>
        <w:pStyle w:val="ListParagraph"/>
        <w:numPr>
          <w:ilvl w:val="2"/>
          <w:numId w:val="25"/>
        </w:numPr>
        <w:tabs>
          <w:tab w:pos="690" w:val="left" w:leader="none"/>
        </w:tabs>
        <w:spacing w:line="360" w:lineRule="auto" w:before="2" w:after="0"/>
        <w:ind w:left="732" w:right="98" w:hanging="391"/>
        <w:jc w:val="both"/>
        <w:rPr>
          <w:sz w:val="24"/>
        </w:rPr>
      </w:pPr>
      <w:r>
        <w:rPr>
          <w:sz w:val="24"/>
        </w:rPr>
        <w:t>Meixueiro Garmendia J. Pérez Cruz M.A. Mascle Allemand AL.  Metodología para la Evaluación de Proyectos de Salud (Ampliación y construcción de Centros, Hospitales o Institutos de  Salud).  CEPEP.  México 2009.</w:t>
      </w:r>
      <w:r>
        <w:rPr>
          <w:spacing w:val="-12"/>
          <w:sz w:val="24"/>
        </w:rPr>
        <w:t> </w:t>
      </w:r>
      <w:r>
        <w:rPr>
          <w:sz w:val="24"/>
        </w:rPr>
        <w:t>55p</w:t>
      </w:r>
    </w:p>
    <w:p>
      <w:pPr>
        <w:pStyle w:val="ListParagraph"/>
        <w:numPr>
          <w:ilvl w:val="2"/>
          <w:numId w:val="25"/>
        </w:numPr>
        <w:tabs>
          <w:tab w:pos="690" w:val="left" w:leader="none"/>
          <w:tab w:pos="5649" w:val="left" w:leader="none"/>
        </w:tabs>
        <w:spacing w:line="360" w:lineRule="auto" w:before="2" w:after="0"/>
        <w:ind w:left="732" w:right="109" w:hanging="391"/>
        <w:jc w:val="left"/>
        <w:rPr>
          <w:sz w:val="24"/>
        </w:rPr>
      </w:pPr>
      <w:r>
        <w:rPr>
          <w:sz w:val="24"/>
        </w:rPr>
        <w:t>ECRI.  Talk  to  the  </w:t>
      </w:r>
      <w:r>
        <w:rPr>
          <w:spacing w:val="56"/>
          <w:sz w:val="24"/>
        </w:rPr>
        <w:t> </w:t>
      </w:r>
      <w:r>
        <w:rPr>
          <w:sz w:val="24"/>
        </w:rPr>
        <w:t>Specialist: </w:t>
      </w:r>
      <w:r>
        <w:rPr>
          <w:spacing w:val="31"/>
          <w:sz w:val="24"/>
        </w:rPr>
        <w:t> </w:t>
      </w:r>
      <w:r>
        <w:rPr>
          <w:sz w:val="24"/>
        </w:rPr>
        <w:t>Estimated</w:t>
        <w:tab/>
        <w:t>Life  Expectancy </w:t>
      </w:r>
      <w:r>
        <w:rPr>
          <w:spacing w:val="57"/>
          <w:sz w:val="24"/>
        </w:rPr>
        <w:t> </w:t>
      </w:r>
      <w:r>
        <w:rPr>
          <w:sz w:val="24"/>
        </w:rPr>
        <w:t>of </w:t>
      </w:r>
      <w:r>
        <w:rPr>
          <w:spacing w:val="31"/>
          <w:sz w:val="24"/>
        </w:rPr>
        <w:t> </w:t>
      </w:r>
      <w:r>
        <w:rPr>
          <w:sz w:val="24"/>
        </w:rPr>
        <w:t>Medical</w:t>
      </w:r>
      <w:r>
        <w:rPr>
          <w:w w:val="99"/>
          <w:sz w:val="24"/>
        </w:rPr>
        <w:t> </w:t>
      </w:r>
      <w:r>
        <w:rPr>
          <w:sz w:val="24"/>
        </w:rPr>
        <w:t>DevicesHealth  Devices 2000</w:t>
      </w:r>
      <w:r>
        <w:rPr>
          <w:spacing w:val="-25"/>
          <w:sz w:val="24"/>
        </w:rPr>
        <w:t> </w:t>
      </w:r>
      <w:r>
        <w:rPr>
          <w:sz w:val="24"/>
        </w:rPr>
        <w:t>Sep;29(9):343</w:t>
      </w:r>
    </w:p>
    <w:p>
      <w:pPr>
        <w:pStyle w:val="ListParagraph"/>
        <w:numPr>
          <w:ilvl w:val="2"/>
          <w:numId w:val="25"/>
        </w:numPr>
        <w:tabs>
          <w:tab w:pos="690" w:val="left" w:leader="none"/>
        </w:tabs>
        <w:spacing w:line="240" w:lineRule="auto" w:before="2" w:after="0"/>
        <w:ind w:left="689" w:right="0" w:hanging="348"/>
        <w:jc w:val="left"/>
        <w:rPr>
          <w:sz w:val="24"/>
        </w:rPr>
      </w:pPr>
      <w:r>
        <w:rPr>
          <w:sz w:val="24"/>
        </w:rPr>
        <w:t>ECRI. Biomedical Benchmark.</w:t>
      </w:r>
      <w:r>
        <w:rPr>
          <w:spacing w:val="-23"/>
          <w:sz w:val="24"/>
        </w:rPr>
        <w:t> </w:t>
      </w:r>
      <w:r>
        <w:rPr>
          <w:sz w:val="24"/>
        </w:rPr>
        <w:t>2009.</w:t>
      </w:r>
    </w:p>
    <w:p>
      <w:pPr>
        <w:pStyle w:val="ListParagraph"/>
        <w:numPr>
          <w:ilvl w:val="2"/>
          <w:numId w:val="25"/>
        </w:numPr>
        <w:tabs>
          <w:tab w:pos="690" w:val="left" w:leader="none"/>
        </w:tabs>
        <w:spacing w:line="360" w:lineRule="auto" w:before="139" w:after="0"/>
        <w:ind w:left="732" w:right="101" w:hanging="391"/>
        <w:jc w:val="both"/>
        <w:rPr>
          <w:sz w:val="24"/>
        </w:rPr>
      </w:pPr>
      <w:r>
        <w:rPr>
          <w:sz w:val="24"/>
        </w:rPr>
        <w:t>CEPEP.  Guía  General  para  la  Preparación  y  Presentación  de   Estudios de Evaluación Socioeconómica de Proyectos de Reemplazo de Equipos.. México</w:t>
      </w:r>
      <w:r>
        <w:rPr>
          <w:spacing w:val="-16"/>
          <w:sz w:val="24"/>
        </w:rPr>
        <w:t> </w:t>
      </w:r>
      <w:r>
        <w:rPr>
          <w:sz w:val="24"/>
        </w:rPr>
        <w:t>2005.</w:t>
      </w:r>
    </w:p>
    <w:p>
      <w:pPr>
        <w:pStyle w:val="ListParagraph"/>
        <w:numPr>
          <w:ilvl w:val="2"/>
          <w:numId w:val="25"/>
        </w:numPr>
        <w:tabs>
          <w:tab w:pos="690" w:val="left" w:leader="none"/>
        </w:tabs>
        <w:spacing w:line="360" w:lineRule="auto" w:before="2" w:after="0"/>
        <w:ind w:left="732" w:right="110" w:hanging="391"/>
        <w:jc w:val="left"/>
        <w:rPr>
          <w:sz w:val="24"/>
        </w:rPr>
      </w:pPr>
      <w:r>
        <w:rPr>
          <w:sz w:val="24"/>
        </w:rPr>
        <w:t>Gobierno del Distrito Federal. Valores Unitarios de suelo para las colonias. </w:t>
      </w:r>
      <w:hyperlink r:id="rId77">
        <w:r>
          <w:rPr>
            <w:color w:val="0000FF"/>
            <w:sz w:val="24"/>
            <w:u w:val="single" w:color="0000FF"/>
          </w:rPr>
          <w:t>http://www.finanzas.df.gob.mx/tesoreria/v_unitarios/AREA_2011_CUAHU.p </w:t>
        </w:r>
      </w:hyperlink>
      <w:r>
        <w:rPr>
          <w:color w:val="0000FF"/>
          <w:sz w:val="24"/>
          <w:u w:val="single" w:color="0000FF"/>
        </w:rPr>
        <w:t>df  </w:t>
      </w:r>
      <w:r>
        <w:rPr>
          <w:sz w:val="24"/>
        </w:rPr>
        <w:t>[10 de julio de</w:t>
      </w:r>
      <w:r>
        <w:rPr>
          <w:spacing w:val="-17"/>
          <w:sz w:val="24"/>
        </w:rPr>
        <w:t> </w:t>
      </w:r>
      <w:r>
        <w:rPr>
          <w:sz w:val="24"/>
        </w:rPr>
        <w:t>2014].</w:t>
      </w:r>
    </w:p>
    <w:p>
      <w:pPr>
        <w:spacing w:after="0" w:line="360" w:lineRule="auto"/>
        <w:jc w:val="left"/>
        <w:rPr>
          <w:sz w:val="24"/>
        </w:rPr>
        <w:sectPr>
          <w:footerReference w:type="default" r:id="rId75"/>
          <w:pgSz w:w="12240" w:h="15840"/>
          <w:pgMar w:footer="0" w:header="0" w:top="1380" w:bottom="280" w:left="1720" w:right="1600"/>
        </w:sectPr>
      </w:pPr>
    </w:p>
    <w:p>
      <w:pPr>
        <w:pStyle w:val="ListParagraph"/>
        <w:numPr>
          <w:ilvl w:val="2"/>
          <w:numId w:val="25"/>
        </w:numPr>
        <w:tabs>
          <w:tab w:pos="690" w:val="left" w:leader="none"/>
          <w:tab w:pos="2180" w:val="left" w:leader="none"/>
          <w:tab w:pos="2598" w:val="left" w:leader="none"/>
          <w:tab w:pos="2836" w:val="left" w:leader="none"/>
          <w:tab w:pos="4085" w:val="left" w:leader="none"/>
          <w:tab w:pos="5302" w:val="left" w:leader="none"/>
          <w:tab w:pos="6450" w:val="left" w:leader="none"/>
          <w:tab w:pos="7901" w:val="left" w:leader="none"/>
          <w:tab w:pos="8504" w:val="left" w:leader="none"/>
        </w:tabs>
        <w:spacing w:line="360" w:lineRule="auto" w:before="46" w:after="0"/>
        <w:ind w:left="732" w:right="108" w:hanging="391"/>
        <w:jc w:val="left"/>
        <w:rPr>
          <w:sz w:val="24"/>
        </w:rPr>
      </w:pPr>
      <w:r>
        <w:rPr>
          <w:sz w:val="24"/>
        </w:rPr>
        <w:t>Gobierno</w:t>
        <w:tab/>
        <w:t>del</w:t>
        <w:tab/>
        <w:tab/>
        <w:t>Distrito</w:t>
        <w:tab/>
        <w:t>Federal.</w:t>
        <w:tab/>
        <w:t>Valores</w:t>
        <w:tab/>
        <w:t>Unitarios</w:t>
        <w:tab/>
        <w:t>de</w:t>
        <w:tab/>
      </w:r>
      <w:r>
        <w:rPr>
          <w:spacing w:val="-1"/>
          <w:sz w:val="24"/>
        </w:rPr>
        <w:t>las </w:t>
      </w:r>
      <w:r>
        <w:rPr>
          <w:sz w:val="24"/>
        </w:rPr>
        <w:t>construcciones</w:t>
        <w:tab/>
        <w:t>de  tipo</w:t>
      </w:r>
      <w:r>
        <w:rPr>
          <w:spacing w:val="53"/>
          <w:sz w:val="24"/>
        </w:rPr>
        <w:t> </w:t>
      </w:r>
      <w:r>
        <w:rPr>
          <w:sz w:val="24"/>
        </w:rPr>
        <w:t>no</w:t>
      </w:r>
      <w:r>
        <w:rPr>
          <w:spacing w:val="-6"/>
          <w:sz w:val="24"/>
        </w:rPr>
        <w:t> </w:t>
      </w:r>
      <w:r>
        <w:rPr>
          <w:sz w:val="24"/>
        </w:rPr>
        <w:t>habitacional.</w:t>
      </w:r>
      <w:r>
        <w:rPr>
          <w:w w:val="99"/>
          <w:sz w:val="24"/>
        </w:rPr>
        <w:t> </w:t>
      </w:r>
      <w:hyperlink r:id="rId79">
        <w:r>
          <w:rPr>
            <w:color w:val="0000FF"/>
            <w:sz w:val="24"/>
            <w:u w:val="single" w:color="0000FF"/>
          </w:rPr>
          <w:t>http://www.finanzas.df.gob.mx/tesoreria/v_unitarios/VUC_2011.pdf</w:t>
        </w:r>
      </w:hyperlink>
    </w:p>
    <w:p>
      <w:pPr>
        <w:pStyle w:val="BodyText"/>
        <w:spacing w:before="5"/>
        <w:ind w:left="732" w:right="2951"/>
      </w:pPr>
      <w:r>
        <w:rPr/>
        <w:t>[10 de julio de 2014].</w:t>
      </w:r>
    </w:p>
    <w:p>
      <w:pPr>
        <w:pStyle w:val="ListParagraph"/>
        <w:numPr>
          <w:ilvl w:val="2"/>
          <w:numId w:val="25"/>
        </w:numPr>
        <w:tabs>
          <w:tab w:pos="690" w:val="left" w:leader="none"/>
          <w:tab w:pos="2899" w:val="left" w:leader="none"/>
          <w:tab w:pos="3881" w:val="left" w:leader="none"/>
          <w:tab w:pos="5238" w:val="left" w:leader="none"/>
          <w:tab w:pos="6966" w:val="left" w:leader="none"/>
          <w:tab w:pos="7294" w:val="left" w:leader="none"/>
        </w:tabs>
        <w:spacing w:line="360" w:lineRule="auto" w:before="137" w:after="0"/>
        <w:ind w:left="732" w:right="109" w:hanging="391"/>
        <w:jc w:val="left"/>
        <w:rPr>
          <w:sz w:val="24"/>
        </w:rPr>
      </w:pPr>
      <w:r>
        <w:rPr>
          <w:sz w:val="24"/>
        </w:rPr>
        <w:t>DGPLADES.</w:t>
      </w:r>
      <w:r>
        <w:rPr>
          <w:spacing w:val="35"/>
          <w:sz w:val="24"/>
        </w:rPr>
        <w:t> </w:t>
      </w:r>
      <w:r>
        <w:rPr>
          <w:sz w:val="24"/>
        </w:rPr>
        <w:t>Guía</w:t>
        <w:tab/>
        <w:t>para</w:t>
      </w:r>
      <w:r>
        <w:rPr>
          <w:spacing w:val="37"/>
          <w:sz w:val="24"/>
        </w:rPr>
        <w:t> </w:t>
      </w:r>
      <w:r>
        <w:rPr>
          <w:sz w:val="24"/>
        </w:rPr>
        <w:t>la</w:t>
        <w:tab/>
        <w:t>evaluación</w:t>
        <w:tab/>
        <w:t>de</w:t>
      </w:r>
      <w:r>
        <w:rPr>
          <w:spacing w:val="35"/>
          <w:sz w:val="24"/>
        </w:rPr>
        <w:t> </w:t>
      </w:r>
      <w:r>
        <w:rPr>
          <w:sz w:val="24"/>
        </w:rPr>
        <w:t>proyectos</w:t>
        <w:tab/>
        <w:t>y</w:t>
        <w:tab/>
        <w:t>programas</w:t>
      </w:r>
      <w:r>
        <w:rPr>
          <w:spacing w:val="25"/>
          <w:sz w:val="24"/>
        </w:rPr>
        <w:t> </w:t>
      </w:r>
      <w:r>
        <w:rPr>
          <w:sz w:val="24"/>
        </w:rPr>
        <w:t>de</w:t>
      </w:r>
      <w:r>
        <w:rPr>
          <w:w w:val="99"/>
          <w:sz w:val="24"/>
        </w:rPr>
        <w:t> </w:t>
      </w:r>
      <w:r>
        <w:rPr>
          <w:sz w:val="24"/>
        </w:rPr>
        <w:t>inversión.  2da ed.Secretaria de Salud. México 2009. 49</w:t>
      </w:r>
      <w:r>
        <w:rPr>
          <w:spacing w:val="-41"/>
          <w:sz w:val="24"/>
        </w:rPr>
        <w:t> </w:t>
      </w:r>
      <w:r>
        <w:rPr>
          <w:sz w:val="24"/>
        </w:rPr>
        <w:t>p.</w:t>
      </w:r>
    </w:p>
    <w:p>
      <w:pPr>
        <w:pStyle w:val="ListParagraph"/>
        <w:numPr>
          <w:ilvl w:val="2"/>
          <w:numId w:val="25"/>
        </w:numPr>
        <w:tabs>
          <w:tab w:pos="690" w:val="left" w:leader="none"/>
        </w:tabs>
        <w:spacing w:line="360" w:lineRule="auto" w:before="2" w:after="0"/>
        <w:ind w:left="732" w:right="100" w:hanging="391"/>
        <w:jc w:val="both"/>
        <w:rPr>
          <w:sz w:val="24"/>
        </w:rPr>
      </w:pPr>
      <w:r>
        <w:rPr>
          <w:sz w:val="24"/>
        </w:rPr>
        <w:t>Drummond MF, O’brien B, Stoddart G, Torrance G. Métodos para la evaluación económica de los programas de asistencia sanitaria. 2da ed.  Ed. Diez de Santos. 2001. 364</w:t>
      </w:r>
      <w:r>
        <w:rPr>
          <w:spacing w:val="-22"/>
          <w:sz w:val="24"/>
        </w:rPr>
        <w:t> </w:t>
      </w:r>
      <w:r>
        <w:rPr>
          <w:sz w:val="24"/>
        </w:rPr>
        <w:t>p.</w:t>
      </w:r>
    </w:p>
    <w:sectPr>
      <w:footerReference w:type="default" r:id="rId78"/>
      <w:pgSz w:w="12240" w:h="15840"/>
      <w:pgMar w:footer="0" w:header="0" w:top="1380" w:bottom="280" w:left="172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399963pt;margin-top:730.76001pt;width:9.6pt;height:13.05pt;mso-position-horizontal-relative:page;mso-position-vertical-relative:page;z-index:-179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25pt;height:13.05pt;mso-position-horizontal-relative:page;mso-position-vertical-relative:page;z-index:-179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25pt;height:13.05pt;mso-position-horizontal-relative:page;mso-position-vertical-relative:page;z-index:-179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25pt;height:13.05pt;mso-position-horizontal-relative:page;mso-position-vertical-relative:page;z-index:-179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25pt;height:13.05pt;mso-position-horizontal-relative:page;mso-position-vertical-relative:page;z-index:-179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30.76001pt;width:15.25pt;height:13.05pt;mso-position-horizontal-relative:page;mso-position-vertical-relative:page;z-index:-179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1008" w:hanging="346"/>
      </w:pPr>
      <w:rPr>
        <w:rFonts w:hint="default" w:ascii="Times New Roman" w:hAnsi="Times New Roman" w:eastAsia="Times New Roman" w:cs="Times New Roman"/>
        <w:w w:val="129"/>
        <w:sz w:val="24"/>
        <w:szCs w:val="24"/>
      </w:rPr>
    </w:lvl>
    <w:lvl w:ilvl="1">
      <w:start w:val="1"/>
      <w:numFmt w:val="bullet"/>
      <w:lvlText w:val="•"/>
      <w:lvlJc w:val="left"/>
      <w:pPr>
        <w:ind w:left="1804" w:hanging="346"/>
      </w:pPr>
      <w:rPr>
        <w:rFonts w:hint="default"/>
      </w:rPr>
    </w:lvl>
    <w:lvl w:ilvl="2">
      <w:start w:val="1"/>
      <w:numFmt w:val="bullet"/>
      <w:lvlText w:val="•"/>
      <w:lvlJc w:val="left"/>
      <w:pPr>
        <w:ind w:left="2608" w:hanging="346"/>
      </w:pPr>
      <w:rPr>
        <w:rFonts w:hint="default"/>
      </w:rPr>
    </w:lvl>
    <w:lvl w:ilvl="3">
      <w:start w:val="1"/>
      <w:numFmt w:val="bullet"/>
      <w:lvlText w:val="•"/>
      <w:lvlJc w:val="left"/>
      <w:pPr>
        <w:ind w:left="3412" w:hanging="346"/>
      </w:pPr>
      <w:rPr>
        <w:rFonts w:hint="default"/>
      </w:rPr>
    </w:lvl>
    <w:lvl w:ilvl="4">
      <w:start w:val="1"/>
      <w:numFmt w:val="bullet"/>
      <w:lvlText w:val="•"/>
      <w:lvlJc w:val="left"/>
      <w:pPr>
        <w:ind w:left="4216" w:hanging="346"/>
      </w:pPr>
      <w:rPr>
        <w:rFonts w:hint="default"/>
      </w:rPr>
    </w:lvl>
    <w:lvl w:ilvl="5">
      <w:start w:val="1"/>
      <w:numFmt w:val="bullet"/>
      <w:lvlText w:val="•"/>
      <w:lvlJc w:val="left"/>
      <w:pPr>
        <w:ind w:left="5020" w:hanging="346"/>
      </w:pPr>
      <w:rPr>
        <w:rFonts w:hint="default"/>
      </w:rPr>
    </w:lvl>
    <w:lvl w:ilvl="6">
      <w:start w:val="1"/>
      <w:numFmt w:val="bullet"/>
      <w:lvlText w:val="•"/>
      <w:lvlJc w:val="left"/>
      <w:pPr>
        <w:ind w:left="5824" w:hanging="346"/>
      </w:pPr>
      <w:rPr>
        <w:rFonts w:hint="default"/>
      </w:rPr>
    </w:lvl>
    <w:lvl w:ilvl="7">
      <w:start w:val="1"/>
      <w:numFmt w:val="bullet"/>
      <w:lvlText w:val="•"/>
      <w:lvlJc w:val="left"/>
      <w:pPr>
        <w:ind w:left="6628" w:hanging="346"/>
      </w:pPr>
      <w:rPr>
        <w:rFonts w:hint="default"/>
      </w:rPr>
    </w:lvl>
    <w:lvl w:ilvl="8">
      <w:start w:val="1"/>
      <w:numFmt w:val="bullet"/>
      <w:lvlText w:val="•"/>
      <w:lvlJc w:val="left"/>
      <w:pPr>
        <w:ind w:left="7432" w:hanging="346"/>
      </w:pPr>
      <w:rPr>
        <w:rFonts w:hint="default"/>
      </w:rPr>
    </w:lvl>
  </w:abstractNum>
  <w:abstractNum w:abstractNumId="24">
    <w:multiLevelType w:val="hybridMultilevel"/>
    <w:lvl w:ilvl="0">
      <w:start w:val="3"/>
      <w:numFmt w:val="decimal"/>
      <w:lvlText w:val="%1"/>
      <w:lvlJc w:val="left"/>
      <w:pPr>
        <w:ind w:left="570" w:hanging="402"/>
        <w:jc w:val="left"/>
      </w:pPr>
      <w:rPr>
        <w:rFonts w:hint="default"/>
      </w:rPr>
    </w:lvl>
    <w:lvl w:ilvl="1">
      <w:start w:val="1"/>
      <w:numFmt w:val="decimal"/>
      <w:lvlText w:val="%1.%2"/>
      <w:lvlJc w:val="left"/>
      <w:pPr>
        <w:ind w:left="570" w:hanging="402"/>
        <w:jc w:val="right"/>
      </w:pPr>
      <w:rPr>
        <w:rFonts w:hint="default" w:ascii="Arial" w:hAnsi="Arial" w:eastAsia="Arial" w:cs="Arial"/>
        <w:b/>
        <w:bCs/>
        <w:w w:val="99"/>
        <w:sz w:val="24"/>
        <w:szCs w:val="24"/>
      </w:rPr>
    </w:lvl>
    <w:lvl w:ilvl="2">
      <w:start w:val="1"/>
      <w:numFmt w:val="decimal"/>
      <w:lvlText w:val="%3."/>
      <w:lvlJc w:val="left"/>
      <w:pPr>
        <w:ind w:left="852" w:hanging="348"/>
        <w:jc w:val="right"/>
      </w:pPr>
      <w:rPr>
        <w:rFonts w:hint="default" w:ascii="Arial" w:hAnsi="Arial" w:eastAsia="Arial" w:cs="Arial"/>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46" w:hanging="348"/>
      </w:pPr>
      <w:rPr>
        <w:rFonts w:hint="default"/>
      </w:rPr>
    </w:lvl>
    <w:lvl w:ilvl="5">
      <w:start w:val="1"/>
      <w:numFmt w:val="bullet"/>
      <w:lvlText w:val="•"/>
      <w:lvlJc w:val="left"/>
      <w:pPr>
        <w:ind w:left="4442" w:hanging="348"/>
      </w:pPr>
      <w:rPr>
        <w:rFonts w:hint="default"/>
      </w:rPr>
    </w:lvl>
    <w:lvl w:ilvl="6">
      <w:start w:val="1"/>
      <w:numFmt w:val="bullet"/>
      <w:lvlText w:val="•"/>
      <w:lvlJc w:val="left"/>
      <w:pPr>
        <w:ind w:left="5337" w:hanging="348"/>
      </w:pPr>
      <w:rPr>
        <w:rFonts w:hint="default"/>
      </w:rPr>
    </w:lvl>
    <w:lvl w:ilvl="7">
      <w:start w:val="1"/>
      <w:numFmt w:val="bullet"/>
      <w:lvlText w:val="•"/>
      <w:lvlJc w:val="left"/>
      <w:pPr>
        <w:ind w:left="6233" w:hanging="348"/>
      </w:pPr>
      <w:rPr>
        <w:rFonts w:hint="default"/>
      </w:rPr>
    </w:lvl>
    <w:lvl w:ilvl="8">
      <w:start w:val="1"/>
      <w:numFmt w:val="bullet"/>
      <w:lvlText w:val="•"/>
      <w:lvlJc w:val="left"/>
      <w:pPr>
        <w:ind w:left="7128" w:hanging="348"/>
      </w:pPr>
      <w:rPr>
        <w:rFonts w:hint="default"/>
      </w:rPr>
    </w:lvl>
  </w:abstractNum>
  <w:abstractNum w:abstractNumId="23">
    <w:multiLevelType w:val="hybridMultilevel"/>
    <w:lvl w:ilvl="0">
      <w:start w:val="4"/>
      <w:numFmt w:val="decimal"/>
      <w:lvlText w:val="%1"/>
      <w:lvlJc w:val="left"/>
      <w:pPr>
        <w:ind w:left="627" w:hanging="406"/>
        <w:jc w:val="left"/>
      </w:pPr>
      <w:rPr>
        <w:rFonts w:hint="default"/>
      </w:rPr>
    </w:lvl>
    <w:lvl w:ilvl="1">
      <w:start w:val="7"/>
      <w:numFmt w:val="decimal"/>
      <w:lvlText w:val="%1.%2"/>
      <w:lvlJc w:val="left"/>
      <w:pPr>
        <w:ind w:left="101" w:hanging="406"/>
        <w:jc w:val="right"/>
      </w:pPr>
      <w:rPr>
        <w:rFonts w:hint="default" w:ascii="Arial" w:hAnsi="Arial" w:eastAsia="Arial" w:cs="Arial"/>
        <w:b/>
        <w:bCs/>
        <w:w w:val="99"/>
        <w:sz w:val="24"/>
        <w:szCs w:val="24"/>
      </w:rPr>
    </w:lvl>
    <w:lvl w:ilvl="2">
      <w:start w:val="1"/>
      <w:numFmt w:val="bullet"/>
      <w:lvlText w:val="•"/>
      <w:lvlJc w:val="left"/>
      <w:pPr>
        <w:ind w:left="1568" w:hanging="406"/>
      </w:pPr>
      <w:rPr>
        <w:rFonts w:hint="default"/>
      </w:rPr>
    </w:lvl>
    <w:lvl w:ilvl="3">
      <w:start w:val="1"/>
      <w:numFmt w:val="bullet"/>
      <w:lvlText w:val="•"/>
      <w:lvlJc w:val="left"/>
      <w:pPr>
        <w:ind w:left="2517" w:hanging="406"/>
      </w:pPr>
      <w:rPr>
        <w:rFonts w:hint="default"/>
      </w:rPr>
    </w:lvl>
    <w:lvl w:ilvl="4">
      <w:start w:val="1"/>
      <w:numFmt w:val="bullet"/>
      <w:lvlText w:val="•"/>
      <w:lvlJc w:val="left"/>
      <w:pPr>
        <w:ind w:left="3466" w:hanging="406"/>
      </w:pPr>
      <w:rPr>
        <w:rFonts w:hint="default"/>
      </w:rPr>
    </w:lvl>
    <w:lvl w:ilvl="5">
      <w:start w:val="1"/>
      <w:numFmt w:val="bullet"/>
      <w:lvlText w:val="•"/>
      <w:lvlJc w:val="left"/>
      <w:pPr>
        <w:ind w:left="4415" w:hanging="406"/>
      </w:pPr>
      <w:rPr>
        <w:rFonts w:hint="default"/>
      </w:rPr>
    </w:lvl>
    <w:lvl w:ilvl="6">
      <w:start w:val="1"/>
      <w:numFmt w:val="bullet"/>
      <w:lvlText w:val="•"/>
      <w:lvlJc w:val="left"/>
      <w:pPr>
        <w:ind w:left="5364" w:hanging="406"/>
      </w:pPr>
      <w:rPr>
        <w:rFonts w:hint="default"/>
      </w:rPr>
    </w:lvl>
    <w:lvl w:ilvl="7">
      <w:start w:val="1"/>
      <w:numFmt w:val="bullet"/>
      <w:lvlText w:val="•"/>
      <w:lvlJc w:val="left"/>
      <w:pPr>
        <w:ind w:left="6313" w:hanging="406"/>
      </w:pPr>
      <w:rPr>
        <w:rFonts w:hint="default"/>
      </w:rPr>
    </w:lvl>
    <w:lvl w:ilvl="8">
      <w:start w:val="1"/>
      <w:numFmt w:val="bullet"/>
      <w:lvlText w:val="•"/>
      <w:lvlJc w:val="left"/>
      <w:pPr>
        <w:ind w:left="7262" w:hanging="406"/>
      </w:pPr>
      <w:rPr>
        <w:rFonts w:hint="default"/>
      </w:rPr>
    </w:lvl>
  </w:abstractNum>
  <w:abstractNum w:abstractNumId="22">
    <w:multiLevelType w:val="hybridMultilevel"/>
    <w:lvl w:ilvl="0">
      <w:start w:val="4"/>
      <w:numFmt w:val="decimal"/>
      <w:lvlText w:val="%1"/>
      <w:lvlJc w:val="left"/>
      <w:pPr>
        <w:ind w:left="644" w:hanging="404"/>
        <w:jc w:val="left"/>
      </w:pPr>
      <w:rPr>
        <w:rFonts w:hint="default"/>
      </w:rPr>
    </w:lvl>
    <w:lvl w:ilvl="1">
      <w:start w:val="1"/>
      <w:numFmt w:val="decimal"/>
      <w:lvlText w:val="%1.%2"/>
      <w:lvlJc w:val="left"/>
      <w:pPr>
        <w:ind w:left="644" w:hanging="404"/>
        <w:jc w:val="right"/>
      </w:pPr>
      <w:rPr>
        <w:rFonts w:hint="default" w:ascii="Arial" w:hAnsi="Arial" w:eastAsia="Arial" w:cs="Arial"/>
        <w:b/>
        <w:bCs/>
        <w:w w:val="99"/>
        <w:sz w:val="24"/>
        <w:szCs w:val="24"/>
      </w:rPr>
    </w:lvl>
    <w:lvl w:ilvl="2">
      <w:start w:val="1"/>
      <w:numFmt w:val="bullet"/>
      <w:lvlText w:val="•"/>
      <w:lvlJc w:val="left"/>
      <w:pPr>
        <w:ind w:left="1746" w:hanging="404"/>
      </w:pPr>
      <w:rPr>
        <w:rFonts w:hint="default"/>
      </w:rPr>
    </w:lvl>
    <w:lvl w:ilvl="3">
      <w:start w:val="1"/>
      <w:numFmt w:val="bullet"/>
      <w:lvlText w:val="•"/>
      <w:lvlJc w:val="left"/>
      <w:pPr>
        <w:ind w:left="2673" w:hanging="404"/>
      </w:pPr>
      <w:rPr>
        <w:rFonts w:hint="default"/>
      </w:rPr>
    </w:lvl>
    <w:lvl w:ilvl="4">
      <w:start w:val="1"/>
      <w:numFmt w:val="bullet"/>
      <w:lvlText w:val="•"/>
      <w:lvlJc w:val="left"/>
      <w:pPr>
        <w:ind w:left="3600" w:hanging="404"/>
      </w:pPr>
      <w:rPr>
        <w:rFonts w:hint="default"/>
      </w:rPr>
    </w:lvl>
    <w:lvl w:ilvl="5">
      <w:start w:val="1"/>
      <w:numFmt w:val="bullet"/>
      <w:lvlText w:val="•"/>
      <w:lvlJc w:val="left"/>
      <w:pPr>
        <w:ind w:left="4526" w:hanging="404"/>
      </w:pPr>
      <w:rPr>
        <w:rFonts w:hint="default"/>
      </w:rPr>
    </w:lvl>
    <w:lvl w:ilvl="6">
      <w:start w:val="1"/>
      <w:numFmt w:val="bullet"/>
      <w:lvlText w:val="•"/>
      <w:lvlJc w:val="left"/>
      <w:pPr>
        <w:ind w:left="5453" w:hanging="404"/>
      </w:pPr>
      <w:rPr>
        <w:rFonts w:hint="default"/>
      </w:rPr>
    </w:lvl>
    <w:lvl w:ilvl="7">
      <w:start w:val="1"/>
      <w:numFmt w:val="bullet"/>
      <w:lvlText w:val="•"/>
      <w:lvlJc w:val="left"/>
      <w:pPr>
        <w:ind w:left="6380" w:hanging="404"/>
      </w:pPr>
      <w:rPr>
        <w:rFonts w:hint="default"/>
      </w:rPr>
    </w:lvl>
    <w:lvl w:ilvl="8">
      <w:start w:val="1"/>
      <w:numFmt w:val="bullet"/>
      <w:lvlText w:val="•"/>
      <w:lvlJc w:val="left"/>
      <w:pPr>
        <w:ind w:left="7306" w:hanging="404"/>
      </w:pPr>
      <w:rPr>
        <w:rFonts w:hint="default"/>
      </w:rPr>
    </w:lvl>
  </w:abstractNum>
  <w:abstractNum w:abstractNumId="20">
    <w:multiLevelType w:val="hybridMultilevel"/>
    <w:lvl w:ilvl="0">
      <w:start w:val="3"/>
      <w:numFmt w:val="decimal"/>
      <w:lvlText w:val="%1"/>
      <w:lvlJc w:val="left"/>
      <w:pPr>
        <w:ind w:left="569" w:hanging="468"/>
        <w:jc w:val="left"/>
      </w:pPr>
      <w:rPr>
        <w:rFonts w:hint="default"/>
      </w:rPr>
    </w:lvl>
    <w:lvl w:ilvl="1">
      <w:start w:val="6"/>
      <w:numFmt w:val="decimal"/>
      <w:lvlText w:val="%1.%2"/>
      <w:lvlJc w:val="left"/>
      <w:pPr>
        <w:ind w:left="569" w:hanging="468"/>
        <w:jc w:val="left"/>
      </w:pPr>
      <w:rPr>
        <w:rFonts w:hint="default" w:ascii="Arial" w:hAnsi="Arial" w:eastAsia="Arial" w:cs="Arial"/>
        <w:b/>
        <w:bCs/>
        <w:w w:val="99"/>
        <w:sz w:val="24"/>
        <w:szCs w:val="24"/>
      </w:rPr>
    </w:lvl>
    <w:lvl w:ilvl="2">
      <w:start w:val="1"/>
      <w:numFmt w:val="bullet"/>
      <w:lvlText w:val="•"/>
      <w:lvlJc w:val="left"/>
      <w:pPr>
        <w:ind w:left="1008" w:hanging="346"/>
      </w:pPr>
      <w:rPr>
        <w:rFonts w:hint="default" w:ascii="Times New Roman" w:hAnsi="Times New Roman" w:eastAsia="Times New Roman" w:cs="Times New Roman"/>
        <w:w w:val="129"/>
        <w:sz w:val="24"/>
        <w:szCs w:val="24"/>
      </w:rPr>
    </w:lvl>
    <w:lvl w:ilvl="3">
      <w:start w:val="1"/>
      <w:numFmt w:val="bullet"/>
      <w:lvlText w:val="•"/>
      <w:lvlJc w:val="left"/>
      <w:pPr>
        <w:ind w:left="2786" w:hanging="346"/>
      </w:pPr>
      <w:rPr>
        <w:rFonts w:hint="default"/>
      </w:rPr>
    </w:lvl>
    <w:lvl w:ilvl="4">
      <w:start w:val="1"/>
      <w:numFmt w:val="bullet"/>
      <w:lvlText w:val="•"/>
      <w:lvlJc w:val="left"/>
      <w:pPr>
        <w:ind w:left="3680" w:hanging="346"/>
      </w:pPr>
      <w:rPr>
        <w:rFonts w:hint="default"/>
      </w:rPr>
    </w:lvl>
    <w:lvl w:ilvl="5">
      <w:start w:val="1"/>
      <w:numFmt w:val="bullet"/>
      <w:lvlText w:val="•"/>
      <w:lvlJc w:val="left"/>
      <w:pPr>
        <w:ind w:left="4573" w:hanging="346"/>
      </w:pPr>
      <w:rPr>
        <w:rFonts w:hint="default"/>
      </w:rPr>
    </w:lvl>
    <w:lvl w:ilvl="6">
      <w:start w:val="1"/>
      <w:numFmt w:val="bullet"/>
      <w:lvlText w:val="•"/>
      <w:lvlJc w:val="left"/>
      <w:pPr>
        <w:ind w:left="5466" w:hanging="346"/>
      </w:pPr>
      <w:rPr>
        <w:rFonts w:hint="default"/>
      </w:rPr>
    </w:lvl>
    <w:lvl w:ilvl="7">
      <w:start w:val="1"/>
      <w:numFmt w:val="bullet"/>
      <w:lvlText w:val="•"/>
      <w:lvlJc w:val="left"/>
      <w:pPr>
        <w:ind w:left="6360" w:hanging="346"/>
      </w:pPr>
      <w:rPr>
        <w:rFonts w:hint="default"/>
      </w:rPr>
    </w:lvl>
    <w:lvl w:ilvl="8">
      <w:start w:val="1"/>
      <w:numFmt w:val="bullet"/>
      <w:lvlText w:val="•"/>
      <w:lvlJc w:val="left"/>
      <w:pPr>
        <w:ind w:left="7253" w:hanging="346"/>
      </w:pPr>
      <w:rPr>
        <w:rFonts w:hint="default"/>
      </w:rPr>
    </w:lvl>
  </w:abstractNum>
  <w:abstractNum w:abstractNumId="19">
    <w:multiLevelType w:val="hybridMultilevel"/>
    <w:lvl w:ilvl="0">
      <w:start w:val="4"/>
      <w:numFmt w:val="decimal"/>
      <w:lvlText w:val="%1"/>
      <w:lvlJc w:val="left"/>
      <w:pPr>
        <w:ind w:left="568" w:hanging="467"/>
        <w:jc w:val="left"/>
      </w:pPr>
      <w:rPr>
        <w:rFonts w:hint="default"/>
      </w:rPr>
    </w:lvl>
    <w:lvl w:ilvl="1">
      <w:start w:val="6"/>
      <w:numFmt w:val="decimal"/>
      <w:lvlText w:val="%1.%2"/>
      <w:lvlJc w:val="left"/>
      <w:pPr>
        <w:ind w:left="568" w:hanging="467"/>
        <w:jc w:val="left"/>
      </w:pPr>
      <w:rPr>
        <w:rFonts w:hint="default" w:ascii="Arial" w:hAnsi="Arial" w:eastAsia="Arial" w:cs="Arial"/>
        <w:b/>
        <w:bCs/>
        <w:w w:val="99"/>
        <w:sz w:val="24"/>
        <w:szCs w:val="24"/>
      </w:rPr>
    </w:lvl>
    <w:lvl w:ilvl="2">
      <w:start w:val="1"/>
      <w:numFmt w:val="lowerLetter"/>
      <w:lvlText w:val="%3)"/>
      <w:lvlJc w:val="left"/>
      <w:pPr>
        <w:ind w:left="1229" w:hanging="360"/>
        <w:jc w:val="left"/>
      </w:pPr>
      <w:rPr>
        <w:rFonts w:hint="default" w:ascii="Arial" w:hAnsi="Arial" w:eastAsia="Arial" w:cs="Arial"/>
        <w:w w:val="99"/>
        <w:sz w:val="24"/>
        <w:szCs w:val="24"/>
      </w:rPr>
    </w:lvl>
    <w:lvl w:ilvl="3">
      <w:start w:val="1"/>
      <w:numFmt w:val="bullet"/>
      <w:lvlText w:val="•"/>
      <w:lvlJc w:val="left"/>
      <w:pPr>
        <w:ind w:left="2957" w:hanging="360"/>
      </w:pPr>
      <w:rPr>
        <w:rFonts w:hint="default"/>
      </w:rPr>
    </w:lvl>
    <w:lvl w:ilvl="4">
      <w:start w:val="1"/>
      <w:numFmt w:val="bullet"/>
      <w:lvlText w:val="•"/>
      <w:lvlJc w:val="left"/>
      <w:pPr>
        <w:ind w:left="3826" w:hanging="360"/>
      </w:pPr>
      <w:rPr>
        <w:rFonts w:hint="default"/>
      </w:rPr>
    </w:lvl>
    <w:lvl w:ilvl="5">
      <w:start w:val="1"/>
      <w:numFmt w:val="bullet"/>
      <w:lvlText w:val="•"/>
      <w:lvlJc w:val="left"/>
      <w:pPr>
        <w:ind w:left="4695" w:hanging="360"/>
      </w:pPr>
      <w:rPr>
        <w:rFonts w:hint="default"/>
      </w:rPr>
    </w:lvl>
    <w:lvl w:ilvl="6">
      <w:start w:val="1"/>
      <w:numFmt w:val="bullet"/>
      <w:lvlText w:val="•"/>
      <w:lvlJc w:val="left"/>
      <w:pPr>
        <w:ind w:left="5564"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2" w:hanging="360"/>
      </w:pPr>
      <w:rPr>
        <w:rFonts w:hint="default"/>
      </w:rPr>
    </w:lvl>
  </w:abstractNum>
  <w:abstractNum w:abstractNumId="18">
    <w:multiLevelType w:val="hybridMultilevel"/>
    <w:lvl w:ilvl="0">
      <w:start w:val="1"/>
      <w:numFmt w:val="lowerLetter"/>
      <w:lvlText w:val="%1)"/>
      <w:lvlJc w:val="left"/>
      <w:pPr>
        <w:ind w:left="461" w:hanging="360"/>
        <w:jc w:val="left"/>
      </w:pPr>
      <w:rPr>
        <w:rFonts w:hint="default" w:ascii="Arial" w:hAnsi="Arial" w:eastAsia="Arial" w:cs="Arial"/>
        <w:w w:val="99"/>
        <w:sz w:val="24"/>
        <w:szCs w:val="24"/>
      </w:rPr>
    </w:lvl>
    <w:lvl w:ilvl="1">
      <w:start w:val="1"/>
      <w:numFmt w:val="lowerLetter"/>
      <w:lvlText w:val="%2)"/>
      <w:lvlJc w:val="left"/>
      <w:pPr>
        <w:ind w:left="1023" w:hanging="1738"/>
        <w:jc w:val="right"/>
      </w:pPr>
      <w:rPr>
        <w:rFonts w:hint="default" w:ascii="Arial" w:hAnsi="Arial" w:eastAsia="Arial" w:cs="Arial"/>
        <w:w w:val="99"/>
        <w:sz w:val="24"/>
        <w:szCs w:val="24"/>
      </w:rPr>
    </w:lvl>
    <w:lvl w:ilvl="2">
      <w:start w:val="1"/>
      <w:numFmt w:val="bullet"/>
      <w:lvlText w:val="•"/>
      <w:lvlJc w:val="left"/>
      <w:pPr>
        <w:ind w:left="1911" w:hanging="1738"/>
      </w:pPr>
      <w:rPr>
        <w:rFonts w:hint="default"/>
      </w:rPr>
    </w:lvl>
    <w:lvl w:ilvl="3">
      <w:start w:val="1"/>
      <w:numFmt w:val="bullet"/>
      <w:lvlText w:val="•"/>
      <w:lvlJc w:val="left"/>
      <w:pPr>
        <w:ind w:left="2802" w:hanging="1738"/>
      </w:pPr>
      <w:rPr>
        <w:rFonts w:hint="default"/>
      </w:rPr>
    </w:lvl>
    <w:lvl w:ilvl="4">
      <w:start w:val="1"/>
      <w:numFmt w:val="bullet"/>
      <w:lvlText w:val="•"/>
      <w:lvlJc w:val="left"/>
      <w:pPr>
        <w:ind w:left="3693" w:hanging="1738"/>
      </w:pPr>
      <w:rPr>
        <w:rFonts w:hint="default"/>
      </w:rPr>
    </w:lvl>
    <w:lvl w:ilvl="5">
      <w:start w:val="1"/>
      <w:numFmt w:val="bullet"/>
      <w:lvlText w:val="•"/>
      <w:lvlJc w:val="left"/>
      <w:pPr>
        <w:ind w:left="4584" w:hanging="1738"/>
      </w:pPr>
      <w:rPr>
        <w:rFonts w:hint="default"/>
      </w:rPr>
    </w:lvl>
    <w:lvl w:ilvl="6">
      <w:start w:val="1"/>
      <w:numFmt w:val="bullet"/>
      <w:lvlText w:val="•"/>
      <w:lvlJc w:val="left"/>
      <w:pPr>
        <w:ind w:left="5475" w:hanging="1738"/>
      </w:pPr>
      <w:rPr>
        <w:rFonts w:hint="default"/>
      </w:rPr>
    </w:lvl>
    <w:lvl w:ilvl="7">
      <w:start w:val="1"/>
      <w:numFmt w:val="bullet"/>
      <w:lvlText w:val="•"/>
      <w:lvlJc w:val="left"/>
      <w:pPr>
        <w:ind w:left="6366" w:hanging="1738"/>
      </w:pPr>
      <w:rPr>
        <w:rFonts w:hint="default"/>
      </w:rPr>
    </w:lvl>
    <w:lvl w:ilvl="8">
      <w:start w:val="1"/>
      <w:numFmt w:val="bullet"/>
      <w:lvlText w:val="•"/>
      <w:lvlJc w:val="left"/>
      <w:pPr>
        <w:ind w:left="7257" w:hanging="1738"/>
      </w:pPr>
      <w:rPr>
        <w:rFonts w:hint="default"/>
      </w:rPr>
    </w:lvl>
  </w:abstractNum>
  <w:abstractNum w:abstractNumId="17">
    <w:multiLevelType w:val="hybridMultilevel"/>
    <w:lvl w:ilvl="0">
      <w:start w:val="1"/>
      <w:numFmt w:val="lowerLetter"/>
      <w:lvlText w:val="%1)"/>
      <w:lvlJc w:val="left"/>
      <w:pPr>
        <w:ind w:left="101" w:hanging="281"/>
        <w:jc w:val="left"/>
      </w:pPr>
      <w:rPr>
        <w:rFonts w:hint="default" w:ascii="Arial" w:hAnsi="Arial" w:eastAsia="Arial" w:cs="Arial"/>
        <w:w w:val="99"/>
        <w:sz w:val="24"/>
        <w:szCs w:val="24"/>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16">
    <w:multiLevelType w:val="hybridMultilevel"/>
    <w:lvl w:ilvl="0">
      <w:start w:val="1"/>
      <w:numFmt w:val="decimal"/>
      <w:lvlText w:val="%1."/>
      <w:lvlJc w:val="left"/>
      <w:pPr>
        <w:ind w:left="101" w:hanging="283"/>
        <w:jc w:val="left"/>
      </w:pPr>
      <w:rPr>
        <w:rFonts w:hint="default" w:ascii="Arial" w:hAnsi="Arial" w:eastAsia="Arial" w:cs="Arial"/>
        <w:w w:val="99"/>
        <w:sz w:val="24"/>
        <w:szCs w:val="24"/>
      </w:rPr>
    </w:lvl>
    <w:lvl w:ilvl="1">
      <w:start w:val="1"/>
      <w:numFmt w:val="bullet"/>
      <w:lvlText w:val="•"/>
      <w:lvlJc w:val="left"/>
      <w:pPr>
        <w:ind w:left="998" w:hanging="283"/>
      </w:pPr>
      <w:rPr>
        <w:rFonts w:hint="default"/>
      </w:rPr>
    </w:lvl>
    <w:lvl w:ilvl="2">
      <w:start w:val="1"/>
      <w:numFmt w:val="bullet"/>
      <w:lvlText w:val="•"/>
      <w:lvlJc w:val="left"/>
      <w:pPr>
        <w:ind w:left="1896" w:hanging="283"/>
      </w:pPr>
      <w:rPr>
        <w:rFonts w:hint="default"/>
      </w:rPr>
    </w:lvl>
    <w:lvl w:ilvl="3">
      <w:start w:val="1"/>
      <w:numFmt w:val="bullet"/>
      <w:lvlText w:val="•"/>
      <w:lvlJc w:val="left"/>
      <w:pPr>
        <w:ind w:left="2794" w:hanging="283"/>
      </w:pPr>
      <w:rPr>
        <w:rFonts w:hint="default"/>
      </w:rPr>
    </w:lvl>
    <w:lvl w:ilvl="4">
      <w:start w:val="1"/>
      <w:numFmt w:val="bullet"/>
      <w:lvlText w:val="•"/>
      <w:lvlJc w:val="left"/>
      <w:pPr>
        <w:ind w:left="3692" w:hanging="283"/>
      </w:pPr>
      <w:rPr>
        <w:rFonts w:hint="default"/>
      </w:rPr>
    </w:lvl>
    <w:lvl w:ilvl="5">
      <w:start w:val="1"/>
      <w:numFmt w:val="bullet"/>
      <w:lvlText w:val="•"/>
      <w:lvlJc w:val="left"/>
      <w:pPr>
        <w:ind w:left="4590" w:hanging="283"/>
      </w:pPr>
      <w:rPr>
        <w:rFonts w:hint="default"/>
      </w:rPr>
    </w:lvl>
    <w:lvl w:ilvl="6">
      <w:start w:val="1"/>
      <w:numFmt w:val="bullet"/>
      <w:lvlText w:val="•"/>
      <w:lvlJc w:val="left"/>
      <w:pPr>
        <w:ind w:left="5488" w:hanging="283"/>
      </w:pPr>
      <w:rPr>
        <w:rFonts w:hint="default"/>
      </w:rPr>
    </w:lvl>
    <w:lvl w:ilvl="7">
      <w:start w:val="1"/>
      <w:numFmt w:val="bullet"/>
      <w:lvlText w:val="•"/>
      <w:lvlJc w:val="left"/>
      <w:pPr>
        <w:ind w:left="6386" w:hanging="283"/>
      </w:pPr>
      <w:rPr>
        <w:rFonts w:hint="default"/>
      </w:rPr>
    </w:lvl>
    <w:lvl w:ilvl="8">
      <w:start w:val="1"/>
      <w:numFmt w:val="bullet"/>
      <w:lvlText w:val="•"/>
      <w:lvlJc w:val="left"/>
      <w:pPr>
        <w:ind w:left="7284" w:hanging="283"/>
      </w:pPr>
      <w:rPr>
        <w:rFonts w:hint="default"/>
      </w:rPr>
    </w:lvl>
  </w:abstractNum>
  <w:abstractNum w:abstractNumId="15">
    <w:multiLevelType w:val="hybridMultilevel"/>
    <w:lvl w:ilvl="0">
      <w:start w:val="1"/>
      <w:numFmt w:val="decimal"/>
      <w:lvlText w:val="%1."/>
      <w:lvlJc w:val="left"/>
      <w:pPr>
        <w:ind w:left="101" w:hanging="321"/>
        <w:jc w:val="left"/>
      </w:pPr>
      <w:rPr>
        <w:rFonts w:hint="default" w:ascii="Arial" w:hAnsi="Arial" w:eastAsia="Arial" w:cs="Arial"/>
        <w:w w:val="99"/>
        <w:sz w:val="24"/>
        <w:szCs w:val="24"/>
      </w:rPr>
    </w:lvl>
    <w:lvl w:ilvl="1">
      <w:start w:val="1"/>
      <w:numFmt w:val="bullet"/>
      <w:lvlText w:val="•"/>
      <w:lvlJc w:val="left"/>
      <w:pPr>
        <w:ind w:left="1000" w:hanging="321"/>
      </w:pPr>
      <w:rPr>
        <w:rFonts w:hint="default"/>
      </w:rPr>
    </w:lvl>
    <w:lvl w:ilvl="2">
      <w:start w:val="1"/>
      <w:numFmt w:val="bullet"/>
      <w:lvlText w:val="•"/>
      <w:lvlJc w:val="left"/>
      <w:pPr>
        <w:ind w:left="1900" w:hanging="321"/>
      </w:pPr>
      <w:rPr>
        <w:rFonts w:hint="default"/>
      </w:rPr>
    </w:lvl>
    <w:lvl w:ilvl="3">
      <w:start w:val="1"/>
      <w:numFmt w:val="bullet"/>
      <w:lvlText w:val="•"/>
      <w:lvlJc w:val="left"/>
      <w:pPr>
        <w:ind w:left="2800" w:hanging="321"/>
      </w:pPr>
      <w:rPr>
        <w:rFonts w:hint="default"/>
      </w:rPr>
    </w:lvl>
    <w:lvl w:ilvl="4">
      <w:start w:val="1"/>
      <w:numFmt w:val="bullet"/>
      <w:lvlText w:val="•"/>
      <w:lvlJc w:val="left"/>
      <w:pPr>
        <w:ind w:left="3700" w:hanging="321"/>
      </w:pPr>
      <w:rPr>
        <w:rFonts w:hint="default"/>
      </w:rPr>
    </w:lvl>
    <w:lvl w:ilvl="5">
      <w:start w:val="1"/>
      <w:numFmt w:val="bullet"/>
      <w:lvlText w:val="•"/>
      <w:lvlJc w:val="left"/>
      <w:pPr>
        <w:ind w:left="4600" w:hanging="321"/>
      </w:pPr>
      <w:rPr>
        <w:rFonts w:hint="default"/>
      </w:rPr>
    </w:lvl>
    <w:lvl w:ilvl="6">
      <w:start w:val="1"/>
      <w:numFmt w:val="bullet"/>
      <w:lvlText w:val="•"/>
      <w:lvlJc w:val="left"/>
      <w:pPr>
        <w:ind w:left="5500" w:hanging="321"/>
      </w:pPr>
      <w:rPr>
        <w:rFonts w:hint="default"/>
      </w:rPr>
    </w:lvl>
    <w:lvl w:ilvl="7">
      <w:start w:val="1"/>
      <w:numFmt w:val="bullet"/>
      <w:lvlText w:val="•"/>
      <w:lvlJc w:val="left"/>
      <w:pPr>
        <w:ind w:left="6400" w:hanging="321"/>
      </w:pPr>
      <w:rPr>
        <w:rFonts w:hint="default"/>
      </w:rPr>
    </w:lvl>
    <w:lvl w:ilvl="8">
      <w:start w:val="1"/>
      <w:numFmt w:val="bullet"/>
      <w:lvlText w:val="•"/>
      <w:lvlJc w:val="left"/>
      <w:pPr>
        <w:ind w:left="7300" w:hanging="321"/>
      </w:pPr>
      <w:rPr>
        <w:rFonts w:hint="default"/>
      </w:rPr>
    </w:lvl>
  </w:abstractNum>
  <w:abstractNum w:abstractNumId="14">
    <w:multiLevelType w:val="hybridMultilevel"/>
    <w:lvl w:ilvl="0">
      <w:start w:val="2"/>
      <w:numFmt w:val="decimal"/>
      <w:lvlText w:val="%1"/>
      <w:lvlJc w:val="left"/>
      <w:pPr>
        <w:ind w:left="101" w:hanging="463"/>
        <w:jc w:val="left"/>
      </w:pPr>
      <w:rPr>
        <w:rFonts w:hint="default"/>
      </w:rPr>
    </w:lvl>
    <w:lvl w:ilvl="1">
      <w:start w:val="5"/>
      <w:numFmt w:val="decimal"/>
      <w:lvlText w:val="%1.%2"/>
      <w:lvlJc w:val="left"/>
      <w:pPr>
        <w:ind w:left="101" w:hanging="463"/>
        <w:jc w:val="left"/>
      </w:pPr>
      <w:rPr>
        <w:rFonts w:hint="default" w:ascii="Arial" w:hAnsi="Arial" w:eastAsia="Arial" w:cs="Arial"/>
        <w:b/>
        <w:bCs/>
        <w:w w:val="99"/>
        <w:sz w:val="24"/>
        <w:szCs w:val="24"/>
      </w:rPr>
    </w:lvl>
    <w:lvl w:ilvl="2">
      <w:start w:val="1"/>
      <w:numFmt w:val="decimal"/>
      <w:lvlText w:val="%1.%2.%3"/>
      <w:lvlJc w:val="left"/>
      <w:pPr>
        <w:ind w:left="101" w:hanging="649"/>
        <w:jc w:val="left"/>
      </w:pPr>
      <w:rPr>
        <w:rFonts w:hint="default"/>
        <w:b/>
        <w:bCs/>
        <w:i/>
        <w:spacing w:val="-2"/>
        <w:w w:val="99"/>
      </w:rPr>
    </w:lvl>
    <w:lvl w:ilvl="3">
      <w:start w:val="1"/>
      <w:numFmt w:val="bullet"/>
      <w:lvlText w:val="•"/>
      <w:lvlJc w:val="left"/>
      <w:pPr>
        <w:ind w:left="2800" w:hanging="649"/>
      </w:pPr>
      <w:rPr>
        <w:rFonts w:hint="default"/>
      </w:rPr>
    </w:lvl>
    <w:lvl w:ilvl="4">
      <w:start w:val="1"/>
      <w:numFmt w:val="bullet"/>
      <w:lvlText w:val="•"/>
      <w:lvlJc w:val="left"/>
      <w:pPr>
        <w:ind w:left="3700" w:hanging="649"/>
      </w:pPr>
      <w:rPr>
        <w:rFonts w:hint="default"/>
      </w:rPr>
    </w:lvl>
    <w:lvl w:ilvl="5">
      <w:start w:val="1"/>
      <w:numFmt w:val="bullet"/>
      <w:lvlText w:val="•"/>
      <w:lvlJc w:val="left"/>
      <w:pPr>
        <w:ind w:left="4600" w:hanging="649"/>
      </w:pPr>
      <w:rPr>
        <w:rFonts w:hint="default"/>
      </w:rPr>
    </w:lvl>
    <w:lvl w:ilvl="6">
      <w:start w:val="1"/>
      <w:numFmt w:val="bullet"/>
      <w:lvlText w:val="•"/>
      <w:lvlJc w:val="left"/>
      <w:pPr>
        <w:ind w:left="5500" w:hanging="649"/>
      </w:pPr>
      <w:rPr>
        <w:rFonts w:hint="default"/>
      </w:rPr>
    </w:lvl>
    <w:lvl w:ilvl="7">
      <w:start w:val="1"/>
      <w:numFmt w:val="bullet"/>
      <w:lvlText w:val="•"/>
      <w:lvlJc w:val="left"/>
      <w:pPr>
        <w:ind w:left="6400" w:hanging="649"/>
      </w:pPr>
      <w:rPr>
        <w:rFonts w:hint="default"/>
      </w:rPr>
    </w:lvl>
    <w:lvl w:ilvl="8">
      <w:start w:val="1"/>
      <w:numFmt w:val="bullet"/>
      <w:lvlText w:val="•"/>
      <w:lvlJc w:val="left"/>
      <w:pPr>
        <w:ind w:left="7300" w:hanging="649"/>
      </w:pPr>
      <w:rPr>
        <w:rFonts w:hint="default"/>
      </w:rPr>
    </w:lvl>
  </w:abstractNum>
  <w:abstractNum w:abstractNumId="13">
    <w:multiLevelType w:val="hybridMultilevel"/>
    <w:lvl w:ilvl="0">
      <w:start w:val="1"/>
      <w:numFmt w:val="decimal"/>
      <w:lvlText w:val="%1."/>
      <w:lvlJc w:val="left"/>
      <w:pPr>
        <w:ind w:left="101" w:hanging="304"/>
        <w:jc w:val="left"/>
      </w:pPr>
      <w:rPr>
        <w:rFonts w:hint="default" w:ascii="Arial" w:hAnsi="Arial" w:eastAsia="Arial" w:cs="Arial"/>
        <w:w w:val="99"/>
        <w:sz w:val="24"/>
        <w:szCs w:val="24"/>
      </w:rPr>
    </w:lvl>
    <w:lvl w:ilvl="1">
      <w:start w:val="1"/>
      <w:numFmt w:val="bullet"/>
      <w:lvlText w:val="•"/>
      <w:lvlJc w:val="left"/>
      <w:pPr>
        <w:ind w:left="994" w:hanging="304"/>
      </w:pPr>
      <w:rPr>
        <w:rFonts w:hint="default"/>
      </w:rPr>
    </w:lvl>
    <w:lvl w:ilvl="2">
      <w:start w:val="1"/>
      <w:numFmt w:val="bullet"/>
      <w:lvlText w:val="•"/>
      <w:lvlJc w:val="left"/>
      <w:pPr>
        <w:ind w:left="1888" w:hanging="304"/>
      </w:pPr>
      <w:rPr>
        <w:rFonts w:hint="default"/>
      </w:rPr>
    </w:lvl>
    <w:lvl w:ilvl="3">
      <w:start w:val="1"/>
      <w:numFmt w:val="bullet"/>
      <w:lvlText w:val="•"/>
      <w:lvlJc w:val="left"/>
      <w:pPr>
        <w:ind w:left="2782" w:hanging="304"/>
      </w:pPr>
      <w:rPr>
        <w:rFonts w:hint="default"/>
      </w:rPr>
    </w:lvl>
    <w:lvl w:ilvl="4">
      <w:start w:val="1"/>
      <w:numFmt w:val="bullet"/>
      <w:lvlText w:val="•"/>
      <w:lvlJc w:val="left"/>
      <w:pPr>
        <w:ind w:left="3676" w:hanging="304"/>
      </w:pPr>
      <w:rPr>
        <w:rFonts w:hint="default"/>
      </w:rPr>
    </w:lvl>
    <w:lvl w:ilvl="5">
      <w:start w:val="1"/>
      <w:numFmt w:val="bullet"/>
      <w:lvlText w:val="•"/>
      <w:lvlJc w:val="left"/>
      <w:pPr>
        <w:ind w:left="4570" w:hanging="304"/>
      </w:pPr>
      <w:rPr>
        <w:rFonts w:hint="default"/>
      </w:rPr>
    </w:lvl>
    <w:lvl w:ilvl="6">
      <w:start w:val="1"/>
      <w:numFmt w:val="bullet"/>
      <w:lvlText w:val="•"/>
      <w:lvlJc w:val="left"/>
      <w:pPr>
        <w:ind w:left="5464" w:hanging="304"/>
      </w:pPr>
      <w:rPr>
        <w:rFonts w:hint="default"/>
      </w:rPr>
    </w:lvl>
    <w:lvl w:ilvl="7">
      <w:start w:val="1"/>
      <w:numFmt w:val="bullet"/>
      <w:lvlText w:val="•"/>
      <w:lvlJc w:val="left"/>
      <w:pPr>
        <w:ind w:left="6358" w:hanging="304"/>
      </w:pPr>
      <w:rPr>
        <w:rFonts w:hint="default"/>
      </w:rPr>
    </w:lvl>
    <w:lvl w:ilvl="8">
      <w:start w:val="1"/>
      <w:numFmt w:val="bullet"/>
      <w:lvlText w:val="•"/>
      <w:lvlJc w:val="left"/>
      <w:pPr>
        <w:ind w:left="7252" w:hanging="304"/>
      </w:pPr>
      <w:rPr>
        <w:rFonts w:hint="default"/>
      </w:rPr>
    </w:lvl>
  </w:abstractNum>
  <w:abstractNum w:abstractNumId="12">
    <w:multiLevelType w:val="hybridMultilevel"/>
    <w:lvl w:ilvl="0">
      <w:start w:val="1"/>
      <w:numFmt w:val="decimal"/>
      <w:lvlText w:val="%1."/>
      <w:lvlJc w:val="left"/>
      <w:pPr>
        <w:ind w:left="101" w:hanging="268"/>
        <w:jc w:val="left"/>
      </w:pPr>
      <w:rPr>
        <w:rFonts w:hint="default" w:ascii="Arial" w:hAnsi="Arial" w:eastAsia="Arial" w:cs="Arial"/>
        <w:w w:val="99"/>
        <w:sz w:val="24"/>
        <w:szCs w:val="24"/>
      </w:rPr>
    </w:lvl>
    <w:lvl w:ilvl="1">
      <w:start w:val="1"/>
      <w:numFmt w:val="bullet"/>
      <w:lvlText w:val="•"/>
      <w:lvlJc w:val="left"/>
      <w:pPr>
        <w:ind w:left="996" w:hanging="268"/>
      </w:pPr>
      <w:rPr>
        <w:rFonts w:hint="default"/>
      </w:rPr>
    </w:lvl>
    <w:lvl w:ilvl="2">
      <w:start w:val="1"/>
      <w:numFmt w:val="bullet"/>
      <w:lvlText w:val="•"/>
      <w:lvlJc w:val="left"/>
      <w:pPr>
        <w:ind w:left="1892" w:hanging="268"/>
      </w:pPr>
      <w:rPr>
        <w:rFonts w:hint="default"/>
      </w:rPr>
    </w:lvl>
    <w:lvl w:ilvl="3">
      <w:start w:val="1"/>
      <w:numFmt w:val="bullet"/>
      <w:lvlText w:val="•"/>
      <w:lvlJc w:val="left"/>
      <w:pPr>
        <w:ind w:left="2788" w:hanging="268"/>
      </w:pPr>
      <w:rPr>
        <w:rFonts w:hint="default"/>
      </w:rPr>
    </w:lvl>
    <w:lvl w:ilvl="4">
      <w:start w:val="1"/>
      <w:numFmt w:val="bullet"/>
      <w:lvlText w:val="•"/>
      <w:lvlJc w:val="left"/>
      <w:pPr>
        <w:ind w:left="3684" w:hanging="268"/>
      </w:pPr>
      <w:rPr>
        <w:rFonts w:hint="default"/>
      </w:rPr>
    </w:lvl>
    <w:lvl w:ilvl="5">
      <w:start w:val="1"/>
      <w:numFmt w:val="bullet"/>
      <w:lvlText w:val="•"/>
      <w:lvlJc w:val="left"/>
      <w:pPr>
        <w:ind w:left="4580" w:hanging="268"/>
      </w:pPr>
      <w:rPr>
        <w:rFonts w:hint="default"/>
      </w:rPr>
    </w:lvl>
    <w:lvl w:ilvl="6">
      <w:start w:val="1"/>
      <w:numFmt w:val="bullet"/>
      <w:lvlText w:val="•"/>
      <w:lvlJc w:val="left"/>
      <w:pPr>
        <w:ind w:left="5476" w:hanging="268"/>
      </w:pPr>
      <w:rPr>
        <w:rFonts w:hint="default"/>
      </w:rPr>
    </w:lvl>
    <w:lvl w:ilvl="7">
      <w:start w:val="1"/>
      <w:numFmt w:val="bullet"/>
      <w:lvlText w:val="•"/>
      <w:lvlJc w:val="left"/>
      <w:pPr>
        <w:ind w:left="6372" w:hanging="268"/>
      </w:pPr>
      <w:rPr>
        <w:rFonts w:hint="default"/>
      </w:rPr>
    </w:lvl>
    <w:lvl w:ilvl="8">
      <w:start w:val="1"/>
      <w:numFmt w:val="bullet"/>
      <w:lvlText w:val="•"/>
      <w:lvlJc w:val="left"/>
      <w:pPr>
        <w:ind w:left="7268" w:hanging="268"/>
      </w:pPr>
      <w:rPr>
        <w:rFonts w:hint="default"/>
      </w:rPr>
    </w:lvl>
  </w:abstractNum>
  <w:abstractNum w:abstractNumId="11">
    <w:multiLevelType w:val="hybridMultilevel"/>
    <w:lvl w:ilvl="0">
      <w:start w:val="1"/>
      <w:numFmt w:val="decimal"/>
      <w:lvlText w:val="%1."/>
      <w:lvlJc w:val="left"/>
      <w:pPr>
        <w:ind w:left="101" w:hanging="328"/>
        <w:jc w:val="left"/>
      </w:pPr>
      <w:rPr>
        <w:rFonts w:hint="default" w:ascii="Arial" w:hAnsi="Arial" w:eastAsia="Arial" w:cs="Arial"/>
        <w:w w:val="99"/>
        <w:sz w:val="24"/>
        <w:szCs w:val="24"/>
      </w:rPr>
    </w:lvl>
    <w:lvl w:ilvl="1">
      <w:start w:val="1"/>
      <w:numFmt w:val="bullet"/>
      <w:lvlText w:val="•"/>
      <w:lvlJc w:val="left"/>
      <w:pPr>
        <w:ind w:left="996" w:hanging="328"/>
      </w:pPr>
      <w:rPr>
        <w:rFonts w:hint="default"/>
      </w:rPr>
    </w:lvl>
    <w:lvl w:ilvl="2">
      <w:start w:val="1"/>
      <w:numFmt w:val="bullet"/>
      <w:lvlText w:val="•"/>
      <w:lvlJc w:val="left"/>
      <w:pPr>
        <w:ind w:left="1892" w:hanging="328"/>
      </w:pPr>
      <w:rPr>
        <w:rFonts w:hint="default"/>
      </w:rPr>
    </w:lvl>
    <w:lvl w:ilvl="3">
      <w:start w:val="1"/>
      <w:numFmt w:val="bullet"/>
      <w:lvlText w:val="•"/>
      <w:lvlJc w:val="left"/>
      <w:pPr>
        <w:ind w:left="2788" w:hanging="328"/>
      </w:pPr>
      <w:rPr>
        <w:rFonts w:hint="default"/>
      </w:rPr>
    </w:lvl>
    <w:lvl w:ilvl="4">
      <w:start w:val="1"/>
      <w:numFmt w:val="bullet"/>
      <w:lvlText w:val="•"/>
      <w:lvlJc w:val="left"/>
      <w:pPr>
        <w:ind w:left="3684" w:hanging="328"/>
      </w:pPr>
      <w:rPr>
        <w:rFonts w:hint="default"/>
      </w:rPr>
    </w:lvl>
    <w:lvl w:ilvl="5">
      <w:start w:val="1"/>
      <w:numFmt w:val="bullet"/>
      <w:lvlText w:val="•"/>
      <w:lvlJc w:val="left"/>
      <w:pPr>
        <w:ind w:left="4580" w:hanging="328"/>
      </w:pPr>
      <w:rPr>
        <w:rFonts w:hint="default"/>
      </w:rPr>
    </w:lvl>
    <w:lvl w:ilvl="6">
      <w:start w:val="1"/>
      <w:numFmt w:val="bullet"/>
      <w:lvlText w:val="•"/>
      <w:lvlJc w:val="left"/>
      <w:pPr>
        <w:ind w:left="5476" w:hanging="328"/>
      </w:pPr>
      <w:rPr>
        <w:rFonts w:hint="default"/>
      </w:rPr>
    </w:lvl>
    <w:lvl w:ilvl="7">
      <w:start w:val="1"/>
      <w:numFmt w:val="bullet"/>
      <w:lvlText w:val="•"/>
      <w:lvlJc w:val="left"/>
      <w:pPr>
        <w:ind w:left="6372" w:hanging="328"/>
      </w:pPr>
      <w:rPr>
        <w:rFonts w:hint="default"/>
      </w:rPr>
    </w:lvl>
    <w:lvl w:ilvl="8">
      <w:start w:val="1"/>
      <w:numFmt w:val="bullet"/>
      <w:lvlText w:val="•"/>
      <w:lvlJc w:val="left"/>
      <w:pPr>
        <w:ind w:left="7268" w:hanging="328"/>
      </w:pPr>
      <w:rPr>
        <w:rFonts w:hint="default"/>
      </w:rPr>
    </w:lvl>
  </w:abstractNum>
  <w:abstractNum w:abstractNumId="10">
    <w:multiLevelType w:val="hybridMultilevel"/>
    <w:lvl w:ilvl="0">
      <w:start w:val="1"/>
      <w:numFmt w:val="decimal"/>
      <w:lvlText w:val="%1."/>
      <w:lvlJc w:val="left"/>
      <w:pPr>
        <w:ind w:left="101" w:hanging="275"/>
        <w:jc w:val="left"/>
      </w:pPr>
      <w:rPr>
        <w:rFonts w:hint="default" w:ascii="Arial" w:hAnsi="Arial" w:eastAsia="Arial" w:cs="Arial"/>
        <w:w w:val="99"/>
        <w:sz w:val="24"/>
        <w:szCs w:val="24"/>
      </w:rPr>
    </w:lvl>
    <w:lvl w:ilvl="1">
      <w:start w:val="1"/>
      <w:numFmt w:val="bullet"/>
      <w:lvlText w:val="•"/>
      <w:lvlJc w:val="left"/>
      <w:pPr>
        <w:ind w:left="998" w:hanging="275"/>
      </w:pPr>
      <w:rPr>
        <w:rFonts w:hint="default"/>
      </w:rPr>
    </w:lvl>
    <w:lvl w:ilvl="2">
      <w:start w:val="1"/>
      <w:numFmt w:val="bullet"/>
      <w:lvlText w:val="•"/>
      <w:lvlJc w:val="left"/>
      <w:pPr>
        <w:ind w:left="1896" w:hanging="275"/>
      </w:pPr>
      <w:rPr>
        <w:rFonts w:hint="default"/>
      </w:rPr>
    </w:lvl>
    <w:lvl w:ilvl="3">
      <w:start w:val="1"/>
      <w:numFmt w:val="bullet"/>
      <w:lvlText w:val="•"/>
      <w:lvlJc w:val="left"/>
      <w:pPr>
        <w:ind w:left="2794" w:hanging="275"/>
      </w:pPr>
      <w:rPr>
        <w:rFonts w:hint="default"/>
      </w:rPr>
    </w:lvl>
    <w:lvl w:ilvl="4">
      <w:start w:val="1"/>
      <w:numFmt w:val="bullet"/>
      <w:lvlText w:val="•"/>
      <w:lvlJc w:val="left"/>
      <w:pPr>
        <w:ind w:left="3692" w:hanging="275"/>
      </w:pPr>
      <w:rPr>
        <w:rFonts w:hint="default"/>
      </w:rPr>
    </w:lvl>
    <w:lvl w:ilvl="5">
      <w:start w:val="1"/>
      <w:numFmt w:val="bullet"/>
      <w:lvlText w:val="•"/>
      <w:lvlJc w:val="left"/>
      <w:pPr>
        <w:ind w:left="4590" w:hanging="275"/>
      </w:pPr>
      <w:rPr>
        <w:rFonts w:hint="default"/>
      </w:rPr>
    </w:lvl>
    <w:lvl w:ilvl="6">
      <w:start w:val="1"/>
      <w:numFmt w:val="bullet"/>
      <w:lvlText w:val="•"/>
      <w:lvlJc w:val="left"/>
      <w:pPr>
        <w:ind w:left="5488" w:hanging="275"/>
      </w:pPr>
      <w:rPr>
        <w:rFonts w:hint="default"/>
      </w:rPr>
    </w:lvl>
    <w:lvl w:ilvl="7">
      <w:start w:val="1"/>
      <w:numFmt w:val="bullet"/>
      <w:lvlText w:val="•"/>
      <w:lvlJc w:val="left"/>
      <w:pPr>
        <w:ind w:left="6386" w:hanging="275"/>
      </w:pPr>
      <w:rPr>
        <w:rFonts w:hint="default"/>
      </w:rPr>
    </w:lvl>
    <w:lvl w:ilvl="8">
      <w:start w:val="1"/>
      <w:numFmt w:val="bullet"/>
      <w:lvlText w:val="•"/>
      <w:lvlJc w:val="left"/>
      <w:pPr>
        <w:ind w:left="7284" w:hanging="275"/>
      </w:pPr>
      <w:rPr>
        <w:rFonts w:hint="default"/>
      </w:rPr>
    </w:lvl>
  </w:abstractNum>
  <w:abstractNum w:abstractNumId="9">
    <w:multiLevelType w:val="hybridMultilevel"/>
    <w:lvl w:ilvl="0">
      <w:start w:val="2"/>
      <w:numFmt w:val="decimal"/>
      <w:lvlText w:val="%1"/>
      <w:lvlJc w:val="left"/>
      <w:pPr>
        <w:ind w:left="503" w:hanging="403"/>
        <w:jc w:val="left"/>
      </w:pPr>
      <w:rPr>
        <w:rFonts w:hint="default"/>
      </w:rPr>
    </w:lvl>
    <w:lvl w:ilvl="1">
      <w:start w:val="3"/>
      <w:numFmt w:val="decimal"/>
      <w:lvlText w:val="%1.%2"/>
      <w:lvlJc w:val="left"/>
      <w:pPr>
        <w:ind w:left="503" w:hanging="403"/>
        <w:jc w:val="left"/>
      </w:pPr>
      <w:rPr>
        <w:rFonts w:hint="default" w:ascii="Arial" w:hAnsi="Arial" w:eastAsia="Arial" w:cs="Arial"/>
        <w:b/>
        <w:bCs/>
        <w:spacing w:val="0"/>
        <w:w w:val="99"/>
        <w:sz w:val="24"/>
        <w:szCs w:val="24"/>
      </w:rPr>
    </w:lvl>
    <w:lvl w:ilvl="2">
      <w:start w:val="1"/>
      <w:numFmt w:val="decimal"/>
      <w:lvlText w:val="%1.%2.%3"/>
      <w:lvlJc w:val="left"/>
      <w:pPr>
        <w:ind w:left="702" w:hanging="601"/>
        <w:jc w:val="left"/>
      </w:pPr>
      <w:rPr>
        <w:rFonts w:hint="default" w:ascii="Arial" w:hAnsi="Arial" w:eastAsia="Arial" w:cs="Arial"/>
        <w:b/>
        <w:bCs/>
        <w:spacing w:val="-2"/>
        <w:w w:val="99"/>
        <w:sz w:val="24"/>
        <w:szCs w:val="24"/>
      </w:rPr>
    </w:lvl>
    <w:lvl w:ilvl="3">
      <w:start w:val="1"/>
      <w:numFmt w:val="bullet"/>
      <w:lvlText w:val="•"/>
      <w:lvlJc w:val="left"/>
      <w:pPr>
        <w:ind w:left="2553" w:hanging="601"/>
      </w:pPr>
      <w:rPr>
        <w:rFonts w:hint="default"/>
      </w:rPr>
    </w:lvl>
    <w:lvl w:ilvl="4">
      <w:start w:val="1"/>
      <w:numFmt w:val="bullet"/>
      <w:lvlText w:val="•"/>
      <w:lvlJc w:val="left"/>
      <w:pPr>
        <w:ind w:left="3480" w:hanging="601"/>
      </w:pPr>
      <w:rPr>
        <w:rFonts w:hint="default"/>
      </w:rPr>
    </w:lvl>
    <w:lvl w:ilvl="5">
      <w:start w:val="1"/>
      <w:numFmt w:val="bullet"/>
      <w:lvlText w:val="•"/>
      <w:lvlJc w:val="left"/>
      <w:pPr>
        <w:ind w:left="4406" w:hanging="601"/>
      </w:pPr>
      <w:rPr>
        <w:rFonts w:hint="default"/>
      </w:rPr>
    </w:lvl>
    <w:lvl w:ilvl="6">
      <w:start w:val="1"/>
      <w:numFmt w:val="bullet"/>
      <w:lvlText w:val="•"/>
      <w:lvlJc w:val="left"/>
      <w:pPr>
        <w:ind w:left="5333" w:hanging="601"/>
      </w:pPr>
      <w:rPr>
        <w:rFonts w:hint="default"/>
      </w:rPr>
    </w:lvl>
    <w:lvl w:ilvl="7">
      <w:start w:val="1"/>
      <w:numFmt w:val="bullet"/>
      <w:lvlText w:val="•"/>
      <w:lvlJc w:val="left"/>
      <w:pPr>
        <w:ind w:left="6260" w:hanging="601"/>
      </w:pPr>
      <w:rPr>
        <w:rFonts w:hint="default"/>
      </w:rPr>
    </w:lvl>
    <w:lvl w:ilvl="8">
      <w:start w:val="1"/>
      <w:numFmt w:val="bullet"/>
      <w:lvlText w:val="•"/>
      <w:lvlJc w:val="left"/>
      <w:pPr>
        <w:ind w:left="7186" w:hanging="601"/>
      </w:pPr>
      <w:rPr>
        <w:rFonts w:hint="default"/>
      </w:rPr>
    </w:lvl>
  </w:abstractNum>
  <w:abstractNum w:abstractNumId="8">
    <w:multiLevelType w:val="hybridMultilevel"/>
    <w:lvl w:ilvl="0">
      <w:start w:val="1"/>
      <w:numFmt w:val="decimal"/>
      <w:lvlText w:val="%1."/>
      <w:lvlJc w:val="left"/>
      <w:pPr>
        <w:ind w:left="101" w:hanging="283"/>
        <w:jc w:val="right"/>
      </w:pPr>
      <w:rPr>
        <w:rFonts w:hint="default" w:ascii="Arial" w:hAnsi="Arial" w:eastAsia="Arial" w:cs="Arial"/>
        <w:w w:val="99"/>
        <w:sz w:val="24"/>
        <w:szCs w:val="24"/>
      </w:rPr>
    </w:lvl>
    <w:lvl w:ilvl="1">
      <w:start w:val="1"/>
      <w:numFmt w:val="bullet"/>
      <w:lvlText w:val="•"/>
      <w:lvlJc w:val="left"/>
      <w:pPr>
        <w:ind w:left="994" w:hanging="283"/>
      </w:pPr>
      <w:rPr>
        <w:rFonts w:hint="default"/>
      </w:rPr>
    </w:lvl>
    <w:lvl w:ilvl="2">
      <w:start w:val="1"/>
      <w:numFmt w:val="bullet"/>
      <w:lvlText w:val="•"/>
      <w:lvlJc w:val="left"/>
      <w:pPr>
        <w:ind w:left="1888" w:hanging="283"/>
      </w:pPr>
      <w:rPr>
        <w:rFonts w:hint="default"/>
      </w:rPr>
    </w:lvl>
    <w:lvl w:ilvl="3">
      <w:start w:val="1"/>
      <w:numFmt w:val="bullet"/>
      <w:lvlText w:val="•"/>
      <w:lvlJc w:val="left"/>
      <w:pPr>
        <w:ind w:left="2782" w:hanging="283"/>
      </w:pPr>
      <w:rPr>
        <w:rFonts w:hint="default"/>
      </w:rPr>
    </w:lvl>
    <w:lvl w:ilvl="4">
      <w:start w:val="1"/>
      <w:numFmt w:val="bullet"/>
      <w:lvlText w:val="•"/>
      <w:lvlJc w:val="left"/>
      <w:pPr>
        <w:ind w:left="3676" w:hanging="283"/>
      </w:pPr>
      <w:rPr>
        <w:rFonts w:hint="default"/>
      </w:rPr>
    </w:lvl>
    <w:lvl w:ilvl="5">
      <w:start w:val="1"/>
      <w:numFmt w:val="bullet"/>
      <w:lvlText w:val="•"/>
      <w:lvlJc w:val="left"/>
      <w:pPr>
        <w:ind w:left="4570" w:hanging="283"/>
      </w:pPr>
      <w:rPr>
        <w:rFonts w:hint="default"/>
      </w:rPr>
    </w:lvl>
    <w:lvl w:ilvl="6">
      <w:start w:val="1"/>
      <w:numFmt w:val="bullet"/>
      <w:lvlText w:val="•"/>
      <w:lvlJc w:val="left"/>
      <w:pPr>
        <w:ind w:left="5464" w:hanging="283"/>
      </w:pPr>
      <w:rPr>
        <w:rFonts w:hint="default"/>
      </w:rPr>
    </w:lvl>
    <w:lvl w:ilvl="7">
      <w:start w:val="1"/>
      <w:numFmt w:val="bullet"/>
      <w:lvlText w:val="•"/>
      <w:lvlJc w:val="left"/>
      <w:pPr>
        <w:ind w:left="6358" w:hanging="283"/>
      </w:pPr>
      <w:rPr>
        <w:rFonts w:hint="default"/>
      </w:rPr>
    </w:lvl>
    <w:lvl w:ilvl="8">
      <w:start w:val="1"/>
      <w:numFmt w:val="bullet"/>
      <w:lvlText w:val="•"/>
      <w:lvlJc w:val="left"/>
      <w:pPr>
        <w:ind w:left="7252" w:hanging="283"/>
      </w:pPr>
      <w:rPr>
        <w:rFonts w:hint="default"/>
      </w:rPr>
    </w:lvl>
  </w:abstractNum>
  <w:abstractNum w:abstractNumId="7">
    <w:multiLevelType w:val="hybridMultilevel"/>
    <w:lvl w:ilvl="0">
      <w:start w:val="2"/>
      <w:numFmt w:val="decimal"/>
      <w:lvlText w:val="%1"/>
      <w:lvlJc w:val="left"/>
      <w:pPr>
        <w:ind w:left="503" w:hanging="402"/>
        <w:jc w:val="left"/>
      </w:pPr>
      <w:rPr>
        <w:rFonts w:hint="default"/>
      </w:rPr>
    </w:lvl>
    <w:lvl w:ilvl="1">
      <w:start w:val="1"/>
      <w:numFmt w:val="decimal"/>
      <w:lvlText w:val="%1.%2"/>
      <w:lvlJc w:val="left"/>
      <w:pPr>
        <w:ind w:left="503" w:hanging="402"/>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553" w:hanging="603"/>
      </w:pPr>
      <w:rPr>
        <w:rFonts w:hint="default"/>
      </w:rPr>
    </w:lvl>
    <w:lvl w:ilvl="4">
      <w:start w:val="1"/>
      <w:numFmt w:val="bullet"/>
      <w:lvlText w:val="•"/>
      <w:lvlJc w:val="left"/>
      <w:pPr>
        <w:ind w:left="3480" w:hanging="603"/>
      </w:pPr>
      <w:rPr>
        <w:rFonts w:hint="default"/>
      </w:rPr>
    </w:lvl>
    <w:lvl w:ilvl="5">
      <w:start w:val="1"/>
      <w:numFmt w:val="bullet"/>
      <w:lvlText w:val="•"/>
      <w:lvlJc w:val="left"/>
      <w:pPr>
        <w:ind w:left="4406" w:hanging="603"/>
      </w:pPr>
      <w:rPr>
        <w:rFonts w:hint="default"/>
      </w:rPr>
    </w:lvl>
    <w:lvl w:ilvl="6">
      <w:start w:val="1"/>
      <w:numFmt w:val="bullet"/>
      <w:lvlText w:val="•"/>
      <w:lvlJc w:val="left"/>
      <w:pPr>
        <w:ind w:left="5333" w:hanging="603"/>
      </w:pPr>
      <w:rPr>
        <w:rFonts w:hint="default"/>
      </w:rPr>
    </w:lvl>
    <w:lvl w:ilvl="7">
      <w:start w:val="1"/>
      <w:numFmt w:val="bullet"/>
      <w:lvlText w:val="•"/>
      <w:lvlJc w:val="left"/>
      <w:pPr>
        <w:ind w:left="6260" w:hanging="603"/>
      </w:pPr>
      <w:rPr>
        <w:rFonts w:hint="default"/>
      </w:rPr>
    </w:lvl>
    <w:lvl w:ilvl="8">
      <w:start w:val="1"/>
      <w:numFmt w:val="bullet"/>
      <w:lvlText w:val="•"/>
      <w:lvlJc w:val="left"/>
      <w:pPr>
        <w:ind w:left="7186" w:hanging="603"/>
      </w:pPr>
      <w:rPr>
        <w:rFonts w:hint="default"/>
      </w:rPr>
    </w:lvl>
  </w:abstractNum>
  <w:abstractNum w:abstractNumId="6">
    <w:multiLevelType w:val="hybridMultilevel"/>
    <w:lvl w:ilvl="0">
      <w:start w:val="1"/>
      <w:numFmt w:val="bullet"/>
      <w:lvlText w:val=""/>
      <w:lvlJc w:val="left"/>
      <w:pPr>
        <w:ind w:left="485" w:hanging="696"/>
      </w:pPr>
      <w:rPr>
        <w:rFonts w:hint="default"/>
        <w:w w:val="99"/>
      </w:rPr>
    </w:lvl>
    <w:lvl w:ilvl="1">
      <w:start w:val="1"/>
      <w:numFmt w:val="bullet"/>
      <w:lvlText w:val="•"/>
      <w:lvlJc w:val="left"/>
      <w:pPr>
        <w:ind w:left="1336" w:hanging="696"/>
      </w:pPr>
      <w:rPr>
        <w:rFonts w:hint="default"/>
      </w:rPr>
    </w:lvl>
    <w:lvl w:ilvl="2">
      <w:start w:val="1"/>
      <w:numFmt w:val="bullet"/>
      <w:lvlText w:val="•"/>
      <w:lvlJc w:val="left"/>
      <w:pPr>
        <w:ind w:left="2192" w:hanging="696"/>
      </w:pPr>
      <w:rPr>
        <w:rFonts w:hint="default"/>
      </w:rPr>
    </w:lvl>
    <w:lvl w:ilvl="3">
      <w:start w:val="1"/>
      <w:numFmt w:val="bullet"/>
      <w:lvlText w:val="•"/>
      <w:lvlJc w:val="left"/>
      <w:pPr>
        <w:ind w:left="3048" w:hanging="696"/>
      </w:pPr>
      <w:rPr>
        <w:rFonts w:hint="default"/>
      </w:rPr>
    </w:lvl>
    <w:lvl w:ilvl="4">
      <w:start w:val="1"/>
      <w:numFmt w:val="bullet"/>
      <w:lvlText w:val="•"/>
      <w:lvlJc w:val="left"/>
      <w:pPr>
        <w:ind w:left="3904" w:hanging="696"/>
      </w:pPr>
      <w:rPr>
        <w:rFonts w:hint="default"/>
      </w:rPr>
    </w:lvl>
    <w:lvl w:ilvl="5">
      <w:start w:val="1"/>
      <w:numFmt w:val="bullet"/>
      <w:lvlText w:val="•"/>
      <w:lvlJc w:val="left"/>
      <w:pPr>
        <w:ind w:left="4760" w:hanging="696"/>
      </w:pPr>
      <w:rPr>
        <w:rFonts w:hint="default"/>
      </w:rPr>
    </w:lvl>
    <w:lvl w:ilvl="6">
      <w:start w:val="1"/>
      <w:numFmt w:val="bullet"/>
      <w:lvlText w:val="•"/>
      <w:lvlJc w:val="left"/>
      <w:pPr>
        <w:ind w:left="5616" w:hanging="696"/>
      </w:pPr>
      <w:rPr>
        <w:rFonts w:hint="default"/>
      </w:rPr>
    </w:lvl>
    <w:lvl w:ilvl="7">
      <w:start w:val="1"/>
      <w:numFmt w:val="bullet"/>
      <w:lvlText w:val="•"/>
      <w:lvlJc w:val="left"/>
      <w:pPr>
        <w:ind w:left="6472" w:hanging="696"/>
      </w:pPr>
      <w:rPr>
        <w:rFonts w:hint="default"/>
      </w:rPr>
    </w:lvl>
    <w:lvl w:ilvl="8">
      <w:start w:val="1"/>
      <w:numFmt w:val="bullet"/>
      <w:lvlText w:val="•"/>
      <w:lvlJc w:val="left"/>
      <w:pPr>
        <w:ind w:left="7328" w:hanging="696"/>
      </w:pPr>
      <w:rPr>
        <w:rFonts w:hint="default"/>
      </w:rPr>
    </w:lvl>
  </w:abstractNum>
  <w:abstractNum w:abstractNumId="5">
    <w:multiLevelType w:val="hybridMultilevel"/>
    <w:lvl w:ilvl="0">
      <w:start w:val="1"/>
      <w:numFmt w:val="decimal"/>
      <w:lvlText w:val="%1"/>
      <w:lvlJc w:val="left"/>
      <w:pPr>
        <w:ind w:left="503" w:hanging="402"/>
        <w:jc w:val="left"/>
      </w:pPr>
      <w:rPr>
        <w:rFonts w:hint="default"/>
      </w:rPr>
    </w:lvl>
    <w:lvl w:ilvl="1">
      <w:start w:val="1"/>
      <w:numFmt w:val="decimal"/>
      <w:lvlText w:val="%1.%2"/>
      <w:lvlJc w:val="left"/>
      <w:pPr>
        <w:ind w:left="503" w:hanging="402"/>
        <w:jc w:val="left"/>
      </w:pPr>
      <w:rPr>
        <w:rFonts w:hint="default" w:ascii="Arial" w:hAnsi="Arial" w:eastAsia="Arial" w:cs="Arial"/>
        <w:b/>
        <w:bCs/>
        <w:w w:val="99"/>
        <w:sz w:val="24"/>
        <w:szCs w:val="24"/>
      </w:rPr>
    </w:lvl>
    <w:lvl w:ilvl="2">
      <w:start w:val="1"/>
      <w:numFmt w:val="bullet"/>
      <w:lvlText w:val="•"/>
      <w:lvlJc w:val="left"/>
      <w:pPr>
        <w:ind w:left="2208" w:hanging="402"/>
      </w:pPr>
      <w:rPr>
        <w:rFonts w:hint="default"/>
      </w:rPr>
    </w:lvl>
    <w:lvl w:ilvl="3">
      <w:start w:val="1"/>
      <w:numFmt w:val="bullet"/>
      <w:lvlText w:val="•"/>
      <w:lvlJc w:val="left"/>
      <w:pPr>
        <w:ind w:left="3062" w:hanging="402"/>
      </w:pPr>
      <w:rPr>
        <w:rFonts w:hint="default"/>
      </w:rPr>
    </w:lvl>
    <w:lvl w:ilvl="4">
      <w:start w:val="1"/>
      <w:numFmt w:val="bullet"/>
      <w:lvlText w:val="•"/>
      <w:lvlJc w:val="left"/>
      <w:pPr>
        <w:ind w:left="3916" w:hanging="402"/>
      </w:pPr>
      <w:rPr>
        <w:rFonts w:hint="default"/>
      </w:rPr>
    </w:lvl>
    <w:lvl w:ilvl="5">
      <w:start w:val="1"/>
      <w:numFmt w:val="bullet"/>
      <w:lvlText w:val="•"/>
      <w:lvlJc w:val="left"/>
      <w:pPr>
        <w:ind w:left="4770" w:hanging="402"/>
      </w:pPr>
      <w:rPr>
        <w:rFonts w:hint="default"/>
      </w:rPr>
    </w:lvl>
    <w:lvl w:ilvl="6">
      <w:start w:val="1"/>
      <w:numFmt w:val="bullet"/>
      <w:lvlText w:val="•"/>
      <w:lvlJc w:val="left"/>
      <w:pPr>
        <w:ind w:left="5624" w:hanging="402"/>
      </w:pPr>
      <w:rPr>
        <w:rFonts w:hint="default"/>
      </w:rPr>
    </w:lvl>
    <w:lvl w:ilvl="7">
      <w:start w:val="1"/>
      <w:numFmt w:val="bullet"/>
      <w:lvlText w:val="•"/>
      <w:lvlJc w:val="left"/>
      <w:pPr>
        <w:ind w:left="6478" w:hanging="402"/>
      </w:pPr>
      <w:rPr>
        <w:rFonts w:hint="default"/>
      </w:rPr>
    </w:lvl>
    <w:lvl w:ilvl="8">
      <w:start w:val="1"/>
      <w:numFmt w:val="bullet"/>
      <w:lvlText w:val="•"/>
      <w:lvlJc w:val="left"/>
      <w:pPr>
        <w:ind w:left="7332" w:hanging="402"/>
      </w:pPr>
      <w:rPr>
        <w:rFonts w:hint="default"/>
      </w:rPr>
    </w:lvl>
  </w:abstractNum>
  <w:abstractNum w:abstractNumId="4">
    <w:multiLevelType w:val="hybridMultilevel"/>
    <w:lvl w:ilvl="0">
      <w:start w:val="4"/>
      <w:numFmt w:val="decimal"/>
      <w:lvlText w:val="%1"/>
      <w:lvlJc w:val="left"/>
      <w:pPr>
        <w:ind w:left="851" w:hanging="608"/>
        <w:jc w:val="left"/>
      </w:pPr>
      <w:rPr>
        <w:rFonts w:hint="default"/>
      </w:rPr>
    </w:lvl>
    <w:lvl w:ilvl="1">
      <w:start w:val="19"/>
      <w:numFmt w:val="decimal"/>
      <w:lvlText w:val="%1.%2"/>
      <w:lvlJc w:val="left"/>
      <w:pPr>
        <w:ind w:left="851" w:hanging="608"/>
        <w:jc w:val="right"/>
      </w:pPr>
      <w:rPr>
        <w:rFonts w:hint="default"/>
        <w:w w:val="99"/>
      </w:rPr>
    </w:lvl>
    <w:lvl w:ilvl="2">
      <w:start w:val="1"/>
      <w:numFmt w:val="bullet"/>
      <w:lvlText w:val="•"/>
      <w:lvlJc w:val="left"/>
      <w:pPr>
        <w:ind w:left="2824" w:hanging="608"/>
      </w:pPr>
      <w:rPr>
        <w:rFonts w:hint="default"/>
      </w:rPr>
    </w:lvl>
    <w:lvl w:ilvl="3">
      <w:start w:val="1"/>
      <w:numFmt w:val="bullet"/>
      <w:lvlText w:val="•"/>
      <w:lvlJc w:val="left"/>
      <w:pPr>
        <w:ind w:left="3806" w:hanging="608"/>
      </w:pPr>
      <w:rPr>
        <w:rFonts w:hint="default"/>
      </w:rPr>
    </w:lvl>
    <w:lvl w:ilvl="4">
      <w:start w:val="1"/>
      <w:numFmt w:val="bullet"/>
      <w:lvlText w:val="•"/>
      <w:lvlJc w:val="left"/>
      <w:pPr>
        <w:ind w:left="4788" w:hanging="608"/>
      </w:pPr>
      <w:rPr>
        <w:rFonts w:hint="default"/>
      </w:rPr>
    </w:lvl>
    <w:lvl w:ilvl="5">
      <w:start w:val="1"/>
      <w:numFmt w:val="bullet"/>
      <w:lvlText w:val="•"/>
      <w:lvlJc w:val="left"/>
      <w:pPr>
        <w:ind w:left="5770" w:hanging="608"/>
      </w:pPr>
      <w:rPr>
        <w:rFonts w:hint="default"/>
      </w:rPr>
    </w:lvl>
    <w:lvl w:ilvl="6">
      <w:start w:val="1"/>
      <w:numFmt w:val="bullet"/>
      <w:lvlText w:val="•"/>
      <w:lvlJc w:val="left"/>
      <w:pPr>
        <w:ind w:left="6752" w:hanging="608"/>
      </w:pPr>
      <w:rPr>
        <w:rFonts w:hint="default"/>
      </w:rPr>
    </w:lvl>
    <w:lvl w:ilvl="7">
      <w:start w:val="1"/>
      <w:numFmt w:val="bullet"/>
      <w:lvlText w:val="•"/>
      <w:lvlJc w:val="left"/>
      <w:pPr>
        <w:ind w:left="7734" w:hanging="608"/>
      </w:pPr>
      <w:rPr>
        <w:rFonts w:hint="default"/>
      </w:rPr>
    </w:lvl>
    <w:lvl w:ilvl="8">
      <w:start w:val="1"/>
      <w:numFmt w:val="bullet"/>
      <w:lvlText w:val="•"/>
      <w:lvlJc w:val="left"/>
      <w:pPr>
        <w:ind w:left="8716" w:hanging="608"/>
      </w:pPr>
      <w:rPr>
        <w:rFonts w:hint="default"/>
      </w:rPr>
    </w:lvl>
  </w:abstractNum>
  <w:abstractNum w:abstractNumId="3">
    <w:multiLevelType w:val="hybridMultilevel"/>
    <w:lvl w:ilvl="0">
      <w:start w:val="3"/>
      <w:numFmt w:val="decimal"/>
      <w:lvlText w:val="%1"/>
      <w:lvlJc w:val="left"/>
      <w:pPr>
        <w:ind w:left="851" w:hanging="473"/>
        <w:jc w:val="left"/>
      </w:pPr>
      <w:rPr>
        <w:rFonts w:hint="default"/>
      </w:rPr>
    </w:lvl>
    <w:lvl w:ilvl="1">
      <w:start w:val="1"/>
      <w:numFmt w:val="decimal"/>
      <w:lvlText w:val="%1.%2"/>
      <w:lvlJc w:val="left"/>
      <w:pPr>
        <w:ind w:left="851" w:hanging="473"/>
        <w:jc w:val="left"/>
      </w:pPr>
      <w:rPr>
        <w:rFonts w:hint="default" w:ascii="Arial" w:hAnsi="Arial" w:eastAsia="Arial" w:cs="Arial"/>
        <w:w w:val="99"/>
        <w:sz w:val="24"/>
        <w:szCs w:val="24"/>
      </w:rPr>
    </w:lvl>
    <w:lvl w:ilvl="2">
      <w:start w:val="1"/>
      <w:numFmt w:val="bullet"/>
      <w:lvlText w:val="•"/>
      <w:lvlJc w:val="left"/>
      <w:pPr>
        <w:ind w:left="2824" w:hanging="473"/>
      </w:pPr>
      <w:rPr>
        <w:rFonts w:hint="default"/>
      </w:rPr>
    </w:lvl>
    <w:lvl w:ilvl="3">
      <w:start w:val="1"/>
      <w:numFmt w:val="bullet"/>
      <w:lvlText w:val="•"/>
      <w:lvlJc w:val="left"/>
      <w:pPr>
        <w:ind w:left="3806" w:hanging="473"/>
      </w:pPr>
      <w:rPr>
        <w:rFonts w:hint="default"/>
      </w:rPr>
    </w:lvl>
    <w:lvl w:ilvl="4">
      <w:start w:val="1"/>
      <w:numFmt w:val="bullet"/>
      <w:lvlText w:val="•"/>
      <w:lvlJc w:val="left"/>
      <w:pPr>
        <w:ind w:left="4788" w:hanging="473"/>
      </w:pPr>
      <w:rPr>
        <w:rFonts w:hint="default"/>
      </w:rPr>
    </w:lvl>
    <w:lvl w:ilvl="5">
      <w:start w:val="1"/>
      <w:numFmt w:val="bullet"/>
      <w:lvlText w:val="•"/>
      <w:lvlJc w:val="left"/>
      <w:pPr>
        <w:ind w:left="5770" w:hanging="473"/>
      </w:pPr>
      <w:rPr>
        <w:rFonts w:hint="default"/>
      </w:rPr>
    </w:lvl>
    <w:lvl w:ilvl="6">
      <w:start w:val="1"/>
      <w:numFmt w:val="bullet"/>
      <w:lvlText w:val="•"/>
      <w:lvlJc w:val="left"/>
      <w:pPr>
        <w:ind w:left="6752" w:hanging="473"/>
      </w:pPr>
      <w:rPr>
        <w:rFonts w:hint="default"/>
      </w:rPr>
    </w:lvl>
    <w:lvl w:ilvl="7">
      <w:start w:val="1"/>
      <w:numFmt w:val="bullet"/>
      <w:lvlText w:val="•"/>
      <w:lvlJc w:val="left"/>
      <w:pPr>
        <w:ind w:left="7734" w:hanging="473"/>
      </w:pPr>
      <w:rPr>
        <w:rFonts w:hint="default"/>
      </w:rPr>
    </w:lvl>
    <w:lvl w:ilvl="8">
      <w:start w:val="1"/>
      <w:numFmt w:val="bullet"/>
      <w:lvlText w:val="•"/>
      <w:lvlJc w:val="left"/>
      <w:pPr>
        <w:ind w:left="8716" w:hanging="473"/>
      </w:pPr>
      <w:rPr>
        <w:rFonts w:hint="default"/>
      </w:rPr>
    </w:lvl>
  </w:abstractNum>
  <w:abstractNum w:abstractNumId="2">
    <w:multiLevelType w:val="hybridMultilevel"/>
    <w:lvl w:ilvl="0">
      <w:start w:val="2"/>
      <w:numFmt w:val="decimal"/>
      <w:lvlText w:val="%1"/>
      <w:lvlJc w:val="left"/>
      <w:pPr>
        <w:ind w:left="858" w:hanging="540"/>
        <w:jc w:val="left"/>
      </w:pPr>
      <w:rPr>
        <w:rFonts w:hint="default"/>
      </w:rPr>
    </w:lvl>
    <w:lvl w:ilvl="1">
      <w:start w:val="3"/>
      <w:numFmt w:val="decimal"/>
      <w:lvlText w:val="%1.%2"/>
      <w:lvlJc w:val="left"/>
      <w:pPr>
        <w:ind w:left="858" w:hanging="540"/>
        <w:jc w:val="left"/>
      </w:pPr>
      <w:rPr>
        <w:rFonts w:hint="default" w:ascii="Arial" w:hAnsi="Arial" w:eastAsia="Arial" w:cs="Arial"/>
        <w:w w:val="99"/>
        <w:sz w:val="24"/>
        <w:szCs w:val="24"/>
      </w:rPr>
    </w:lvl>
    <w:lvl w:ilvl="2">
      <w:start w:val="1"/>
      <w:numFmt w:val="decimal"/>
      <w:lvlText w:val="%1.%2.%3"/>
      <w:lvlJc w:val="left"/>
      <w:pPr>
        <w:ind w:left="791" w:hanging="672"/>
        <w:jc w:val="left"/>
      </w:pPr>
      <w:rPr>
        <w:rFonts w:hint="default" w:ascii="Arial" w:hAnsi="Arial" w:eastAsia="Arial" w:cs="Arial"/>
        <w:spacing w:val="-2"/>
        <w:w w:val="99"/>
        <w:sz w:val="24"/>
        <w:szCs w:val="24"/>
      </w:rPr>
    </w:lvl>
    <w:lvl w:ilvl="3">
      <w:start w:val="1"/>
      <w:numFmt w:val="bullet"/>
      <w:lvlText w:val="•"/>
      <w:lvlJc w:val="left"/>
      <w:pPr>
        <w:ind w:left="3051" w:hanging="672"/>
      </w:pPr>
      <w:rPr>
        <w:rFonts w:hint="default"/>
      </w:rPr>
    </w:lvl>
    <w:lvl w:ilvl="4">
      <w:start w:val="1"/>
      <w:numFmt w:val="bullet"/>
      <w:lvlText w:val="•"/>
      <w:lvlJc w:val="left"/>
      <w:pPr>
        <w:ind w:left="4146" w:hanging="672"/>
      </w:pPr>
      <w:rPr>
        <w:rFonts w:hint="default"/>
      </w:rPr>
    </w:lvl>
    <w:lvl w:ilvl="5">
      <w:start w:val="1"/>
      <w:numFmt w:val="bullet"/>
      <w:lvlText w:val="•"/>
      <w:lvlJc w:val="left"/>
      <w:pPr>
        <w:ind w:left="5242" w:hanging="672"/>
      </w:pPr>
      <w:rPr>
        <w:rFonts w:hint="default"/>
      </w:rPr>
    </w:lvl>
    <w:lvl w:ilvl="6">
      <w:start w:val="1"/>
      <w:numFmt w:val="bullet"/>
      <w:lvlText w:val="•"/>
      <w:lvlJc w:val="left"/>
      <w:pPr>
        <w:ind w:left="6337" w:hanging="672"/>
      </w:pPr>
      <w:rPr>
        <w:rFonts w:hint="default"/>
      </w:rPr>
    </w:lvl>
    <w:lvl w:ilvl="7">
      <w:start w:val="1"/>
      <w:numFmt w:val="bullet"/>
      <w:lvlText w:val="•"/>
      <w:lvlJc w:val="left"/>
      <w:pPr>
        <w:ind w:left="7433" w:hanging="672"/>
      </w:pPr>
      <w:rPr>
        <w:rFonts w:hint="default"/>
      </w:rPr>
    </w:lvl>
    <w:lvl w:ilvl="8">
      <w:start w:val="1"/>
      <w:numFmt w:val="bullet"/>
      <w:lvlText w:val="•"/>
      <w:lvlJc w:val="left"/>
      <w:pPr>
        <w:ind w:left="8528" w:hanging="672"/>
      </w:pPr>
      <w:rPr>
        <w:rFonts w:hint="default"/>
      </w:rPr>
    </w:lvl>
  </w:abstractNum>
  <w:abstractNum w:abstractNumId="1">
    <w:multiLevelType w:val="hybridMultilevel"/>
    <w:lvl w:ilvl="0">
      <w:start w:val="2"/>
      <w:numFmt w:val="decimal"/>
      <w:lvlText w:val="%1"/>
      <w:lvlJc w:val="left"/>
      <w:pPr>
        <w:ind w:left="858" w:hanging="540"/>
        <w:jc w:val="left"/>
      </w:pPr>
      <w:rPr>
        <w:rFonts w:hint="default"/>
      </w:rPr>
    </w:lvl>
    <w:lvl w:ilvl="1">
      <w:start w:val="1"/>
      <w:numFmt w:val="decimal"/>
      <w:lvlText w:val="%1.%2"/>
      <w:lvlJc w:val="left"/>
      <w:pPr>
        <w:ind w:left="858" w:hanging="540"/>
        <w:jc w:val="left"/>
      </w:pPr>
      <w:rPr>
        <w:rFonts w:hint="default" w:ascii="Arial" w:hAnsi="Arial" w:eastAsia="Arial" w:cs="Arial"/>
        <w:w w:val="99"/>
        <w:sz w:val="24"/>
        <w:szCs w:val="24"/>
      </w:rPr>
    </w:lvl>
    <w:lvl w:ilvl="2">
      <w:start w:val="1"/>
      <w:numFmt w:val="decimal"/>
      <w:lvlText w:val="%1.%2.%3"/>
      <w:lvlJc w:val="left"/>
      <w:pPr>
        <w:ind w:left="858" w:hanging="740"/>
        <w:jc w:val="left"/>
      </w:pPr>
      <w:rPr>
        <w:rFonts w:hint="default" w:ascii="Arial" w:hAnsi="Arial" w:eastAsia="Arial" w:cs="Arial"/>
        <w:spacing w:val="-2"/>
        <w:w w:val="99"/>
        <w:sz w:val="24"/>
        <w:szCs w:val="24"/>
      </w:rPr>
    </w:lvl>
    <w:lvl w:ilvl="3">
      <w:start w:val="1"/>
      <w:numFmt w:val="bullet"/>
      <w:lvlText w:val="•"/>
      <w:lvlJc w:val="left"/>
      <w:pPr>
        <w:ind w:left="3818" w:hanging="740"/>
      </w:pPr>
      <w:rPr>
        <w:rFonts w:hint="default"/>
      </w:rPr>
    </w:lvl>
    <w:lvl w:ilvl="4">
      <w:start w:val="1"/>
      <w:numFmt w:val="bullet"/>
      <w:lvlText w:val="•"/>
      <w:lvlJc w:val="left"/>
      <w:pPr>
        <w:ind w:left="4804" w:hanging="740"/>
      </w:pPr>
      <w:rPr>
        <w:rFonts w:hint="default"/>
      </w:rPr>
    </w:lvl>
    <w:lvl w:ilvl="5">
      <w:start w:val="1"/>
      <w:numFmt w:val="bullet"/>
      <w:lvlText w:val="•"/>
      <w:lvlJc w:val="left"/>
      <w:pPr>
        <w:ind w:left="5790" w:hanging="740"/>
      </w:pPr>
      <w:rPr>
        <w:rFonts w:hint="default"/>
      </w:rPr>
    </w:lvl>
    <w:lvl w:ilvl="6">
      <w:start w:val="1"/>
      <w:numFmt w:val="bullet"/>
      <w:lvlText w:val="•"/>
      <w:lvlJc w:val="left"/>
      <w:pPr>
        <w:ind w:left="6776" w:hanging="740"/>
      </w:pPr>
      <w:rPr>
        <w:rFonts w:hint="default"/>
      </w:rPr>
    </w:lvl>
    <w:lvl w:ilvl="7">
      <w:start w:val="1"/>
      <w:numFmt w:val="bullet"/>
      <w:lvlText w:val="•"/>
      <w:lvlJc w:val="left"/>
      <w:pPr>
        <w:ind w:left="7762" w:hanging="740"/>
      </w:pPr>
      <w:rPr>
        <w:rFonts w:hint="default"/>
      </w:rPr>
    </w:lvl>
    <w:lvl w:ilvl="8">
      <w:start w:val="1"/>
      <w:numFmt w:val="bullet"/>
      <w:lvlText w:val="•"/>
      <w:lvlJc w:val="left"/>
      <w:pPr>
        <w:ind w:left="8748" w:hanging="740"/>
      </w:pPr>
      <w:rPr>
        <w:rFonts w:hint="default"/>
      </w:rPr>
    </w:lvl>
  </w:abstractNum>
  <w:abstractNum w:abstractNumId="0">
    <w:multiLevelType w:val="hybridMultilevel"/>
    <w:lvl w:ilvl="0">
      <w:start w:val="1"/>
      <w:numFmt w:val="decimal"/>
      <w:lvlText w:val="%1"/>
      <w:lvlJc w:val="left"/>
      <w:pPr>
        <w:ind w:left="791" w:hanging="473"/>
        <w:jc w:val="left"/>
      </w:pPr>
      <w:rPr>
        <w:rFonts w:hint="default"/>
      </w:rPr>
    </w:lvl>
    <w:lvl w:ilvl="1">
      <w:start w:val="1"/>
      <w:numFmt w:val="decimal"/>
      <w:lvlText w:val="%1.%2"/>
      <w:lvlJc w:val="left"/>
      <w:pPr>
        <w:ind w:left="791" w:hanging="473"/>
        <w:jc w:val="left"/>
      </w:pPr>
      <w:rPr>
        <w:rFonts w:hint="default" w:ascii="Arial" w:hAnsi="Arial" w:eastAsia="Arial" w:cs="Arial"/>
        <w:w w:val="99"/>
        <w:sz w:val="24"/>
        <w:szCs w:val="24"/>
      </w:rPr>
    </w:lvl>
    <w:lvl w:ilvl="2">
      <w:start w:val="1"/>
      <w:numFmt w:val="bullet"/>
      <w:lvlText w:val="•"/>
      <w:lvlJc w:val="left"/>
      <w:pPr>
        <w:ind w:left="2784" w:hanging="473"/>
      </w:pPr>
      <w:rPr>
        <w:rFonts w:hint="default"/>
      </w:rPr>
    </w:lvl>
    <w:lvl w:ilvl="3">
      <w:start w:val="1"/>
      <w:numFmt w:val="bullet"/>
      <w:lvlText w:val="•"/>
      <w:lvlJc w:val="left"/>
      <w:pPr>
        <w:ind w:left="3776" w:hanging="473"/>
      </w:pPr>
      <w:rPr>
        <w:rFonts w:hint="default"/>
      </w:rPr>
    </w:lvl>
    <w:lvl w:ilvl="4">
      <w:start w:val="1"/>
      <w:numFmt w:val="bullet"/>
      <w:lvlText w:val="•"/>
      <w:lvlJc w:val="left"/>
      <w:pPr>
        <w:ind w:left="4768" w:hanging="473"/>
      </w:pPr>
      <w:rPr>
        <w:rFonts w:hint="default"/>
      </w:rPr>
    </w:lvl>
    <w:lvl w:ilvl="5">
      <w:start w:val="1"/>
      <w:numFmt w:val="bullet"/>
      <w:lvlText w:val="•"/>
      <w:lvlJc w:val="left"/>
      <w:pPr>
        <w:ind w:left="5760" w:hanging="473"/>
      </w:pPr>
      <w:rPr>
        <w:rFonts w:hint="default"/>
      </w:rPr>
    </w:lvl>
    <w:lvl w:ilvl="6">
      <w:start w:val="1"/>
      <w:numFmt w:val="bullet"/>
      <w:lvlText w:val="•"/>
      <w:lvlJc w:val="left"/>
      <w:pPr>
        <w:ind w:left="6752" w:hanging="473"/>
      </w:pPr>
      <w:rPr>
        <w:rFonts w:hint="default"/>
      </w:rPr>
    </w:lvl>
    <w:lvl w:ilvl="7">
      <w:start w:val="1"/>
      <w:numFmt w:val="bullet"/>
      <w:lvlText w:val="•"/>
      <w:lvlJc w:val="left"/>
      <w:pPr>
        <w:ind w:left="7744" w:hanging="473"/>
      </w:pPr>
      <w:rPr>
        <w:rFonts w:hint="default"/>
      </w:rPr>
    </w:lvl>
    <w:lvl w:ilvl="8">
      <w:start w:val="1"/>
      <w:numFmt w:val="bullet"/>
      <w:lvlText w:val="•"/>
      <w:lvlJc w:val="left"/>
      <w:pPr>
        <w:ind w:left="8736" w:hanging="473"/>
      </w:pPr>
      <w:rPr>
        <w:rFonts w:hint="default"/>
      </w:rPr>
    </w:lvl>
  </w:abstractNum>
  <w:num w:numId="22">
    <w:abstractNumId w:val="21"/>
  </w:num>
  <w:num w:numId="25">
    <w:abstractNumId w:val="24"/>
  </w:num>
  <w:num w:numId="24">
    <w:abstractNumId w:val="23"/>
  </w:num>
  <w:num w:numId="23">
    <w:abstractNumId w:val="22"/>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76"/>
      <w:ind w:left="791" w:hanging="672"/>
    </w:pPr>
    <w:rPr>
      <w:rFonts w:ascii="Arial" w:hAnsi="Arial" w:eastAsia="Arial" w:cs="Arial"/>
      <w:b/>
      <w:bCs/>
      <w:sz w:val="24"/>
      <w:szCs w:val="24"/>
    </w:rPr>
  </w:style>
  <w:style w:styleId="TOC2" w:type="paragraph">
    <w:name w:val="TOC 2"/>
    <w:basedOn w:val="Normal"/>
    <w:uiPriority w:val="1"/>
    <w:qFormat/>
    <w:pPr>
      <w:spacing w:line="191" w:lineRule="exact"/>
      <w:ind w:left="119"/>
    </w:pPr>
    <w:rPr>
      <w:rFonts w:ascii="Arial" w:hAnsi="Arial" w:eastAsia="Arial" w:cs="Arial"/>
      <w:sz w:val="24"/>
      <w:szCs w:val="24"/>
    </w:rPr>
  </w:style>
  <w:style w:styleId="TOC3" w:type="paragraph">
    <w:name w:val="TOC 3"/>
    <w:basedOn w:val="Normal"/>
    <w:uiPriority w:val="1"/>
    <w:qFormat/>
    <w:pPr>
      <w:spacing w:before="76"/>
      <w:ind w:left="119" w:hanging="672"/>
    </w:pPr>
    <w:rPr>
      <w:rFonts w:ascii="Arial" w:hAnsi="Arial" w:eastAsia="Arial" w:cs="Arial"/>
      <w:b/>
      <w:bCs/>
      <w:i/>
    </w:rPr>
  </w:style>
  <w:style w:styleId="TOC4" w:type="paragraph">
    <w:name w:val="TOC 4"/>
    <w:basedOn w:val="Normal"/>
    <w:uiPriority w:val="1"/>
    <w:qFormat/>
    <w:pPr>
      <w:spacing w:before="63"/>
      <w:ind w:left="217"/>
    </w:pPr>
    <w:rPr>
      <w:rFonts w:ascii="Arial" w:hAnsi="Arial" w:eastAsia="Arial" w:cs="Arial"/>
      <w:b/>
      <w:bCs/>
      <w:i/>
    </w:rPr>
  </w:style>
  <w:style w:styleId="TOC5" w:type="paragraph">
    <w:name w:val="TOC 5"/>
    <w:basedOn w:val="Normal"/>
    <w:uiPriority w:val="1"/>
    <w:qFormat/>
    <w:pPr>
      <w:spacing w:before="76"/>
      <w:ind w:left="791" w:hanging="473"/>
    </w:pPr>
    <w:rPr>
      <w:rFonts w:ascii="Arial" w:hAnsi="Arial" w:eastAsia="Arial" w:cs="Arial"/>
      <w:b/>
      <w:bCs/>
      <w:sz w:val="24"/>
      <w:szCs w:val="24"/>
    </w:rPr>
  </w:style>
  <w:style w:styleId="TOC6" w:type="paragraph">
    <w:name w:val="TOC 6"/>
    <w:basedOn w:val="Normal"/>
    <w:uiPriority w:val="1"/>
    <w:qFormat/>
    <w:pPr>
      <w:spacing w:line="191" w:lineRule="exact"/>
      <w:ind w:left="318"/>
    </w:pPr>
    <w:rPr>
      <w:rFonts w:ascii="Arial" w:hAnsi="Arial" w:eastAsia="Arial" w:cs="Arial"/>
      <w:sz w:val="24"/>
      <w:szCs w:val="24"/>
    </w:rPr>
  </w:style>
  <w:style w:styleId="TOC7" w:type="paragraph">
    <w:name w:val="TOC 7"/>
    <w:basedOn w:val="Normal"/>
    <w:uiPriority w:val="1"/>
    <w:qFormat/>
    <w:pPr>
      <w:spacing w:before="90"/>
      <w:ind w:left="721"/>
    </w:pPr>
    <w:rPr>
      <w:rFonts w:ascii="Arial" w:hAnsi="Arial" w:eastAsia="Arial" w:cs="Arial"/>
      <w:b/>
      <w:bCs/>
      <w:sz w:val="24"/>
      <w:szCs w:val="24"/>
    </w:rPr>
  </w:style>
  <w:style w:styleId="TOC8" w:type="paragraph">
    <w:name w:val="TOC 8"/>
    <w:basedOn w:val="Normal"/>
    <w:uiPriority w:val="1"/>
    <w:qFormat/>
    <w:pPr>
      <w:spacing w:line="211" w:lineRule="exact"/>
      <w:ind w:left="791"/>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101"/>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
      <w:ind w:left="101"/>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footer" Target="footer3.xml"/><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jpe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footer" Target="footer4.xml"/><Relationship Id="rId30" Type="http://schemas.openxmlformats.org/officeDocument/2006/relationships/image" Target="media/image22.jpeg"/><Relationship Id="rId31" Type="http://schemas.openxmlformats.org/officeDocument/2006/relationships/image" Target="media/image23.jpeg"/><Relationship Id="rId32" Type="http://schemas.openxmlformats.org/officeDocument/2006/relationships/footer" Target="footer5.xml"/><Relationship Id="rId33" Type="http://schemas.openxmlformats.org/officeDocument/2006/relationships/image" Target="media/image24.jpeg"/><Relationship Id="rId34" Type="http://schemas.openxmlformats.org/officeDocument/2006/relationships/image" Target="media/image25.jpeg"/><Relationship Id="rId35" Type="http://schemas.openxmlformats.org/officeDocument/2006/relationships/image" Target="media/image26.png"/><Relationship Id="rId36" Type="http://schemas.openxmlformats.org/officeDocument/2006/relationships/image" Target="media/image27.jpeg"/><Relationship Id="rId37" Type="http://schemas.openxmlformats.org/officeDocument/2006/relationships/image" Target="media/image28.png"/><Relationship Id="rId38" Type="http://schemas.openxmlformats.org/officeDocument/2006/relationships/footer" Target="footer6.xml"/><Relationship Id="rId39" Type="http://schemas.openxmlformats.org/officeDocument/2006/relationships/footer" Target="footer7.xml"/><Relationship Id="rId40" Type="http://schemas.openxmlformats.org/officeDocument/2006/relationships/footer" Target="footer8.xml"/><Relationship Id="rId41" Type="http://schemas.openxmlformats.org/officeDocument/2006/relationships/footer" Target="footer9.xml"/><Relationship Id="rId42" Type="http://schemas.openxmlformats.org/officeDocument/2006/relationships/footer" Target="footer10.xml"/><Relationship Id="rId43" Type="http://schemas.openxmlformats.org/officeDocument/2006/relationships/footer" Target="footer11.xml"/><Relationship Id="rId44" Type="http://schemas.openxmlformats.org/officeDocument/2006/relationships/footer" Target="footer12.xml"/><Relationship Id="rId45" Type="http://schemas.openxmlformats.org/officeDocument/2006/relationships/footer" Target="footer13.xml"/><Relationship Id="rId46" Type="http://schemas.openxmlformats.org/officeDocument/2006/relationships/footer" Target="footer14.xml"/><Relationship Id="rId47" Type="http://schemas.openxmlformats.org/officeDocument/2006/relationships/footer" Target="footer15.xml"/><Relationship Id="rId48" Type="http://schemas.openxmlformats.org/officeDocument/2006/relationships/footer" Target="footer16.xml"/><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image" Target="media/image29.png"/><Relationship Id="rId53" Type="http://schemas.openxmlformats.org/officeDocument/2006/relationships/footer" Target="footer20.xml"/><Relationship Id="rId54" Type="http://schemas.openxmlformats.org/officeDocument/2006/relationships/footer" Target="footer21.xml"/><Relationship Id="rId55" Type="http://schemas.openxmlformats.org/officeDocument/2006/relationships/image" Target="media/image30.jpeg"/><Relationship Id="rId56" Type="http://schemas.openxmlformats.org/officeDocument/2006/relationships/footer" Target="footer22.xml"/><Relationship Id="rId57" Type="http://schemas.openxmlformats.org/officeDocument/2006/relationships/footer" Target="footer23.xml"/><Relationship Id="rId58" Type="http://schemas.openxmlformats.org/officeDocument/2006/relationships/hyperlink" Target="http://www.hospitaldejesus.com.mx/" TargetMode="External"/><Relationship Id="rId59" Type="http://schemas.openxmlformats.org/officeDocument/2006/relationships/footer" Target="footer24.xml"/><Relationship Id="rId60" Type="http://schemas.openxmlformats.org/officeDocument/2006/relationships/image" Target="media/image31.jpeg"/><Relationship Id="rId61" Type="http://schemas.openxmlformats.org/officeDocument/2006/relationships/footer" Target="footer25.xml"/><Relationship Id="rId62" Type="http://schemas.openxmlformats.org/officeDocument/2006/relationships/image" Target="media/image32.jpeg"/><Relationship Id="rId63" Type="http://schemas.openxmlformats.org/officeDocument/2006/relationships/footer" Target="footer26.xml"/><Relationship Id="rId64" Type="http://schemas.openxmlformats.org/officeDocument/2006/relationships/image" Target="media/image33.png"/><Relationship Id="rId65" Type="http://schemas.openxmlformats.org/officeDocument/2006/relationships/footer" Target="footer27.xml"/><Relationship Id="rId66" Type="http://schemas.openxmlformats.org/officeDocument/2006/relationships/image" Target="media/image34.jpeg"/><Relationship Id="rId67" Type="http://schemas.openxmlformats.org/officeDocument/2006/relationships/footer" Target="footer28.xml"/><Relationship Id="rId68" Type="http://schemas.openxmlformats.org/officeDocument/2006/relationships/image" Target="media/image35.jpeg"/><Relationship Id="rId69" Type="http://schemas.openxmlformats.org/officeDocument/2006/relationships/footer" Target="footer29.xml"/><Relationship Id="rId70" Type="http://schemas.openxmlformats.org/officeDocument/2006/relationships/footer" Target="footer30.xml"/><Relationship Id="rId71" Type="http://schemas.openxmlformats.org/officeDocument/2006/relationships/hyperlink" Target="http://www.javeriana.edu.co/fcea/rev_gerenc_polsalud/vol7_n_15/estudios_" TargetMode="External"/><Relationship Id="rId72" Type="http://schemas.openxmlformats.org/officeDocument/2006/relationships/hyperlink" Target="http://www.economia.puc.cl/docs/trd_59.pdf" TargetMode="External"/><Relationship Id="rId73" Type="http://schemas.openxmlformats.org/officeDocument/2006/relationships/hyperlink" Target="http://www.congreso.gob.pe/historico/cip/temas/descentralizacion/pdf/06A0" TargetMode="External"/><Relationship Id="rId74" Type="http://schemas.openxmlformats.org/officeDocument/2006/relationships/hyperlink" Target="http://www.eclac.cl/dds/noticias/paginas/8/15448/Manual_dds_200408.pdf" TargetMode="External"/><Relationship Id="rId75" Type="http://schemas.openxmlformats.org/officeDocument/2006/relationships/footer" Target="footer31.xml"/><Relationship Id="rId76" Type="http://schemas.openxmlformats.org/officeDocument/2006/relationships/hyperlink" Target="http://www.shcp.gob.mx/LASHCP/MarcoJuridico/ProgramasYProyectosDeI" TargetMode="External"/><Relationship Id="rId77" Type="http://schemas.openxmlformats.org/officeDocument/2006/relationships/hyperlink" Target="http://www.finanzas.df.gob.mx/tesoreria/v_unitarios/AREA_2011_CUAHU.p" TargetMode="External"/><Relationship Id="rId78" Type="http://schemas.openxmlformats.org/officeDocument/2006/relationships/footer" Target="footer32.xml"/><Relationship Id="rId79" Type="http://schemas.openxmlformats.org/officeDocument/2006/relationships/hyperlink" Target="http://www.finanzas.df.gob.mx/tesoreria/v_unitarios/VUC_2011.pdf" TargetMode="External"/><Relationship Id="rId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2017-05-18T19:01:57Z</dcterms:created>
  <dcterms:modified xsi:type="dcterms:W3CDTF">2017-05-18T19:01:57Z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