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Default Extension="jpeg" ContentType="image/jpeg"/>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5.xml" ContentType="application/vnd.openxmlformats-officedocument.wordprocessingml.header+xml"/>
  <Override PartName="/word/footer18.xml" ContentType="application/vnd.openxmlformats-officedocument.wordprocessingml.footer+xml"/>
  <Override PartName="/word/header6.xml" ContentType="application/vnd.openxmlformats-officedocument.wordprocessingml.header+xml"/>
  <Override PartName="/word/footer19.xml" ContentType="application/vnd.openxmlformats-officedocument.wordprocessingml.footer+xml"/>
  <Override PartName="/word/header7.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8.xml" ContentType="application/vnd.openxmlformats-officedocument.wordprocessingml.header+xml"/>
  <Override PartName="/word/footer23.xml" ContentType="application/vnd.openxmlformats-officedocument.wordprocessingml.footer+xml"/>
  <Override PartName="/word/header9.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10.xml" ContentType="application/vnd.openxmlformats-officedocument.wordprocessingml.header+xml"/>
  <Override PartName="/word/footer31.xml" ContentType="application/vnd.openxmlformats-officedocument.wordprocessingml.footer+xml"/>
  <Override PartName="/word/header11.xml" ContentType="application/vnd.openxmlformats-officedocument.wordprocessingml.head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29"/>
        <w:ind w:left="113" w:right="184" w:firstLine="0"/>
        <w:jc w:val="center"/>
        <w:rPr>
          <w:rFonts w:ascii="Times New Roman" w:hAnsi="Times New Roman"/>
          <w:sz w:val="40"/>
        </w:rPr>
      </w:pPr>
      <w:bookmarkStart w:name="1. Portada" w:id="1"/>
      <w:bookmarkEnd w:id="1"/>
      <w:r>
        <w:rPr/>
      </w:r>
      <w:r>
        <w:rPr>
          <w:rFonts w:ascii="Times New Roman" w:hAnsi="Times New Roman"/>
          <w:sz w:val="40"/>
        </w:rPr>
        <w:t>UNIVERSIDAD AUTÓNOMA DEL ESTADO DE MÉXICO</w:t>
      </w:r>
    </w:p>
    <w:p>
      <w:pPr>
        <w:spacing w:before="0"/>
        <w:ind w:left="113" w:right="182" w:firstLine="0"/>
        <w:jc w:val="center"/>
        <w:rPr>
          <w:rFonts w:ascii="Times New Roman" w:hAnsi="Times New Roman"/>
          <w:sz w:val="28"/>
        </w:rPr>
      </w:pPr>
      <w:r>
        <w:rPr>
          <w:rFonts w:ascii="Times New Roman" w:hAnsi="Times New Roman"/>
          <w:sz w:val="28"/>
        </w:rPr>
        <w:t>FACULTAD DE CONTADURÍA Y ADMINISTRACIÓN</w:t>
      </w:r>
    </w:p>
    <w:p>
      <w:pPr>
        <w:pStyle w:val="BodyText"/>
        <w:spacing w:before="9"/>
        <w:rPr>
          <w:rFonts w:ascii="Times New Roman"/>
          <w:sz w:val="26"/>
        </w:rPr>
      </w:pPr>
      <w:r>
        <w:rPr/>
        <w:drawing>
          <wp:anchor distT="0" distB="0" distL="0" distR="0" allowOverlap="1" layoutInCell="1" locked="0" behindDoc="0" simplePos="0" relativeHeight="0">
            <wp:simplePos x="0" y="0"/>
            <wp:positionH relativeFrom="page">
              <wp:posOffset>3137916</wp:posOffset>
            </wp:positionH>
            <wp:positionV relativeFrom="paragraph">
              <wp:posOffset>220611</wp:posOffset>
            </wp:positionV>
            <wp:extent cx="1620478"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20478" cy="1420177"/>
                    </a:xfrm>
                    <a:prstGeom prst="rect">
                      <a:avLst/>
                    </a:prstGeom>
                  </pic:spPr>
                </pic:pic>
              </a:graphicData>
            </a:graphic>
          </wp:anchor>
        </w:drawing>
      </w:r>
    </w:p>
    <w:p>
      <w:pPr>
        <w:pStyle w:val="BodyText"/>
        <w:spacing w:before="9"/>
        <w:rPr>
          <w:rFonts w:ascii="Times New Roman"/>
          <w:sz w:val="32"/>
        </w:rPr>
      </w:pPr>
    </w:p>
    <w:p>
      <w:pPr>
        <w:spacing w:line="302" w:lineRule="auto" w:before="1"/>
        <w:ind w:left="874" w:right="949" w:firstLine="0"/>
        <w:jc w:val="center"/>
        <w:rPr>
          <w:rFonts w:ascii="Times New Roman" w:hAnsi="Times New Roman"/>
          <w:sz w:val="40"/>
        </w:rPr>
      </w:pPr>
      <w:r>
        <w:rPr>
          <w:rFonts w:ascii="Times New Roman" w:hAnsi="Times New Roman"/>
          <w:sz w:val="40"/>
        </w:rPr>
        <w:t>Análisis Financiero de la empresa “Valeo” 2008 - 2011</w:t>
      </w:r>
    </w:p>
    <w:p>
      <w:pPr>
        <w:pStyle w:val="BodyText"/>
        <w:rPr>
          <w:rFonts w:ascii="Times New Roman"/>
          <w:sz w:val="40"/>
        </w:rPr>
      </w:pPr>
    </w:p>
    <w:p>
      <w:pPr>
        <w:pStyle w:val="BodyText"/>
        <w:rPr>
          <w:rFonts w:ascii="Times New Roman"/>
          <w:sz w:val="40"/>
        </w:rPr>
      </w:pPr>
    </w:p>
    <w:p>
      <w:pPr>
        <w:spacing w:before="305"/>
        <w:ind w:left="113" w:right="182" w:firstLine="0"/>
        <w:jc w:val="center"/>
        <w:rPr>
          <w:rFonts w:ascii="Times New Roman"/>
          <w:sz w:val="40"/>
        </w:rPr>
      </w:pPr>
      <w:r>
        <w:rPr>
          <w:rFonts w:ascii="Times New Roman"/>
          <w:sz w:val="40"/>
        </w:rPr>
        <w:t>TRABAJO TERMINAL DE GRADO</w:t>
      </w:r>
    </w:p>
    <w:p>
      <w:pPr>
        <w:spacing w:before="269"/>
        <w:ind w:left="109" w:right="184" w:firstLine="0"/>
        <w:jc w:val="center"/>
        <w:rPr>
          <w:rFonts w:ascii="Times New Roman"/>
          <w:sz w:val="28"/>
        </w:rPr>
      </w:pPr>
      <w:r>
        <w:rPr>
          <w:rFonts w:ascii="Times New Roman"/>
          <w:sz w:val="28"/>
        </w:rPr>
        <w:t>QUE PARA OBTENER EL GRADO DE</w:t>
      </w:r>
    </w:p>
    <w:p>
      <w:pPr>
        <w:spacing w:line="391" w:lineRule="auto" w:before="246"/>
        <w:ind w:left="874" w:right="947" w:firstLine="0"/>
        <w:jc w:val="center"/>
        <w:rPr>
          <w:rFonts w:ascii="Times New Roman" w:hAnsi="Times New Roman"/>
          <w:sz w:val="36"/>
        </w:rPr>
      </w:pPr>
      <w:r>
        <w:rPr>
          <w:rFonts w:ascii="Times New Roman" w:hAnsi="Times New Roman"/>
          <w:sz w:val="36"/>
        </w:rPr>
        <w:t>MAESTRO EN ADMINISTRACIÓN FINANCIERA</w:t>
      </w:r>
    </w:p>
    <w:p>
      <w:pPr>
        <w:pStyle w:val="BodyText"/>
        <w:rPr>
          <w:rFonts w:ascii="Times New Roman"/>
          <w:sz w:val="36"/>
        </w:rPr>
      </w:pPr>
    </w:p>
    <w:p>
      <w:pPr>
        <w:spacing w:before="277"/>
        <w:ind w:left="109" w:right="184" w:firstLine="0"/>
        <w:jc w:val="center"/>
        <w:rPr>
          <w:rFonts w:ascii="Times New Roman"/>
          <w:sz w:val="28"/>
        </w:rPr>
      </w:pPr>
      <w:r>
        <w:rPr>
          <w:rFonts w:ascii="Times New Roman"/>
          <w:sz w:val="28"/>
        </w:rPr>
        <w:t>PRESENTA</w:t>
      </w:r>
    </w:p>
    <w:p>
      <w:pPr>
        <w:pStyle w:val="BodyText"/>
        <w:rPr>
          <w:rFonts w:ascii="Times New Roman"/>
          <w:sz w:val="28"/>
        </w:rPr>
      </w:pPr>
    </w:p>
    <w:p>
      <w:pPr>
        <w:pStyle w:val="BodyText"/>
        <w:rPr>
          <w:rFonts w:ascii="Times New Roman"/>
          <w:sz w:val="28"/>
        </w:rPr>
      </w:pPr>
    </w:p>
    <w:p>
      <w:pPr>
        <w:spacing w:before="180"/>
        <w:ind w:left="113" w:right="184" w:firstLine="0"/>
        <w:jc w:val="center"/>
        <w:rPr>
          <w:rFonts w:ascii="Times New Roman" w:hAnsi="Times New Roman"/>
          <w:b/>
          <w:sz w:val="32"/>
        </w:rPr>
      </w:pPr>
      <w:r>
        <w:rPr>
          <w:rFonts w:ascii="Times New Roman" w:hAnsi="Times New Roman"/>
          <w:b/>
          <w:sz w:val="32"/>
        </w:rPr>
        <w:t>BRENDA KARINA PELAYO GUTIÉRREZ</w:t>
      </w:r>
    </w:p>
    <w:p>
      <w:pPr>
        <w:pStyle w:val="BodyText"/>
        <w:rPr>
          <w:rFonts w:ascii="Times New Roman"/>
          <w:b/>
          <w:sz w:val="32"/>
        </w:rPr>
      </w:pPr>
    </w:p>
    <w:p>
      <w:pPr>
        <w:pStyle w:val="BodyText"/>
        <w:rPr>
          <w:rFonts w:ascii="Times New Roman"/>
          <w:b/>
          <w:sz w:val="44"/>
        </w:rPr>
      </w:pPr>
    </w:p>
    <w:p>
      <w:pPr>
        <w:spacing w:line="508" w:lineRule="auto" w:before="0"/>
        <w:ind w:left="3425" w:right="2724" w:hanging="759"/>
        <w:jc w:val="left"/>
        <w:rPr>
          <w:rFonts w:ascii="Times New Roman" w:hAnsi="Times New Roman"/>
          <w:sz w:val="18"/>
        </w:rPr>
      </w:pPr>
      <w:r>
        <w:rPr>
          <w:rFonts w:ascii="Times New Roman" w:hAnsi="Times New Roman"/>
          <w:sz w:val="18"/>
        </w:rPr>
        <w:t>M.B.A. ROGELIO ARZATE FERNÁNDEZ TUTOR ACADÉMICO</w:t>
      </w:r>
    </w:p>
    <w:p>
      <w:pPr>
        <w:pStyle w:val="BodyText"/>
        <w:rPr>
          <w:rFonts w:ascii="Times New Roman"/>
          <w:sz w:val="18"/>
        </w:rPr>
      </w:pPr>
    </w:p>
    <w:p>
      <w:pPr>
        <w:pStyle w:val="BodyText"/>
        <w:spacing w:before="8"/>
        <w:rPr>
          <w:rFonts w:ascii="Times New Roman"/>
          <w:sz w:val="20"/>
        </w:rPr>
      </w:pPr>
    </w:p>
    <w:p>
      <w:pPr>
        <w:spacing w:before="0"/>
        <w:ind w:left="0" w:right="112" w:firstLine="0"/>
        <w:jc w:val="right"/>
        <w:rPr>
          <w:rFonts w:ascii="Times New Roman"/>
          <w:sz w:val="18"/>
        </w:rPr>
      </w:pPr>
      <w:r>
        <w:rPr>
          <w:rFonts w:ascii="Times New Roman"/>
          <w:sz w:val="18"/>
        </w:rPr>
        <w:t>Mayo, 2014</w:t>
      </w:r>
    </w:p>
    <w:p>
      <w:pPr>
        <w:spacing w:after="0"/>
        <w:jc w:val="right"/>
        <w:rPr>
          <w:rFonts w:ascii="Times New Roman"/>
          <w:sz w:val="18"/>
        </w:rPr>
        <w:sectPr>
          <w:type w:val="continuous"/>
          <w:pgSz w:w="11900" w:h="16840"/>
          <w:pgMar w:top="1380" w:bottom="280" w:left="1660" w:right="1580"/>
        </w:sectPr>
      </w:pPr>
    </w:p>
    <w:p>
      <w:pPr>
        <w:pStyle w:val="BodyText"/>
        <w:spacing w:before="6"/>
        <w:rPr>
          <w:rFonts w:ascii="Times New Roman"/>
          <w:sz w:val="10"/>
        </w:rPr>
      </w:pPr>
    </w:p>
    <w:p>
      <w:pPr>
        <w:pStyle w:val="Heading2"/>
        <w:numPr>
          <w:ilvl w:val="0"/>
          <w:numId w:val="1"/>
        </w:numPr>
        <w:tabs>
          <w:tab w:pos="472" w:val="left" w:leader="none"/>
          <w:tab w:pos="473" w:val="left" w:leader="none"/>
          <w:tab w:pos="8604" w:val="right" w:leader="dot"/>
        </w:tabs>
        <w:spacing w:line="240" w:lineRule="auto" w:before="67" w:after="0"/>
        <w:ind w:left="472" w:right="0" w:hanging="362"/>
        <w:jc w:val="left"/>
        <w:rPr>
          <w:rFonts w:ascii="Cambria" w:hAnsi="Cambria"/>
        </w:rPr>
      </w:pPr>
      <w:bookmarkStart w:name="5. Trabajo terminal 03.05.2014" w:id="2"/>
      <w:bookmarkEnd w:id="2"/>
      <w:r>
        <w:rPr>
          <w:b w:val="0"/>
        </w:rPr>
      </w:r>
      <w:bookmarkStart w:name="5. Trabajo terminal 03.05.2014" w:id="3"/>
      <w:bookmarkEnd w:id="3"/>
      <w:r>
        <w:rPr>
          <w:rFonts w:ascii="Cambria" w:hAnsi="Cambria"/>
        </w:rPr>
        <w:t>CAPÍ</w:t>
      </w:r>
      <w:r>
        <w:rPr>
          <w:rFonts w:ascii="Cambria" w:hAnsi="Cambria"/>
        </w:rPr>
        <w:t>TULO I</w:t>
      </w:r>
      <w:r>
        <w:rPr>
          <w:rFonts w:ascii="Cambria" w:hAnsi="Cambria"/>
          <w:spacing w:val="-2"/>
        </w:rPr>
        <w:t> </w:t>
      </w:r>
      <w:r>
        <w:rPr>
          <w:rFonts w:ascii="Cambria" w:hAnsi="Cambria"/>
        </w:rPr>
        <w:t>MARCO</w:t>
      </w:r>
      <w:r>
        <w:rPr>
          <w:rFonts w:ascii="Cambria" w:hAnsi="Cambria"/>
          <w:spacing w:val="-1"/>
        </w:rPr>
        <w:t> </w:t>
      </w:r>
      <w:r>
        <w:rPr>
          <w:rFonts w:ascii="Cambria" w:hAnsi="Cambria"/>
        </w:rPr>
        <w:t>TEÓRICO</w:t>
      </w:r>
      <w:r>
        <w:rPr>
          <w:rFonts w:ascii="Times New Roman" w:hAnsi="Times New Roman"/>
          <w:b w:val="0"/>
        </w:rPr>
        <w:tab/>
      </w:r>
      <w:r>
        <w:rPr>
          <w:rFonts w:ascii="Cambria" w:hAnsi="Cambria"/>
        </w:rPr>
        <w:t>5</w:t>
      </w:r>
    </w:p>
    <w:p>
      <w:pPr>
        <w:pStyle w:val="ListParagraph"/>
        <w:numPr>
          <w:ilvl w:val="1"/>
          <w:numId w:val="1"/>
        </w:numPr>
        <w:tabs>
          <w:tab w:pos="633" w:val="left" w:leader="none"/>
          <w:tab w:pos="634" w:val="left" w:leader="none"/>
          <w:tab w:pos="8603" w:val="right" w:leader="dot"/>
        </w:tabs>
        <w:spacing w:line="240" w:lineRule="auto" w:before="293" w:after="0"/>
        <w:ind w:left="633" w:right="0" w:hanging="523"/>
        <w:jc w:val="left"/>
        <w:rPr>
          <w:rFonts w:ascii="Calibri"/>
          <w:b/>
          <w:sz w:val="19"/>
        </w:rPr>
      </w:pPr>
      <w:r>
        <w:rPr>
          <w:rFonts w:ascii="Calibri"/>
          <w:b/>
          <w:w w:val="105"/>
          <w:sz w:val="19"/>
        </w:rPr>
        <w:t>Concepto de finanzas</w:t>
      </w:r>
      <w:r>
        <w:rPr>
          <w:rFonts w:ascii="Times New Roman"/>
          <w:w w:val="105"/>
          <w:sz w:val="19"/>
        </w:rPr>
        <w:tab/>
      </w:r>
      <w:r>
        <w:rPr>
          <w:rFonts w:ascii="Calibri"/>
          <w:b/>
          <w:w w:val="105"/>
          <w:sz w:val="19"/>
        </w:rPr>
        <w:t>6</w:t>
      </w:r>
    </w:p>
    <w:p>
      <w:pPr>
        <w:pStyle w:val="ListParagraph"/>
        <w:numPr>
          <w:ilvl w:val="1"/>
          <w:numId w:val="1"/>
        </w:numPr>
        <w:tabs>
          <w:tab w:pos="633" w:val="left" w:leader="none"/>
          <w:tab w:pos="634" w:val="left" w:leader="none"/>
          <w:tab w:pos="8603" w:val="right" w:leader="dot"/>
        </w:tabs>
        <w:spacing w:line="240" w:lineRule="auto" w:before="286" w:after="0"/>
        <w:ind w:left="633" w:right="0" w:hanging="523"/>
        <w:jc w:val="left"/>
        <w:rPr>
          <w:rFonts w:ascii="Calibri" w:hAnsi="Calibri"/>
          <w:b/>
          <w:sz w:val="19"/>
        </w:rPr>
      </w:pPr>
      <w:r>
        <w:rPr>
          <w:rFonts w:ascii="Calibri" w:hAnsi="Calibri"/>
          <w:b/>
          <w:w w:val="105"/>
          <w:sz w:val="19"/>
        </w:rPr>
        <w:t>Breve reseña de</w:t>
      </w:r>
      <w:r>
        <w:rPr>
          <w:rFonts w:ascii="Calibri" w:hAnsi="Calibri"/>
          <w:b/>
          <w:spacing w:val="3"/>
          <w:w w:val="105"/>
          <w:sz w:val="19"/>
        </w:rPr>
        <w:t> </w:t>
      </w:r>
      <w:r>
        <w:rPr>
          <w:rFonts w:ascii="Calibri" w:hAnsi="Calibri"/>
          <w:b/>
          <w:w w:val="105"/>
          <w:sz w:val="19"/>
        </w:rPr>
        <w:t>las finanzas</w:t>
      </w:r>
      <w:r>
        <w:rPr>
          <w:rFonts w:ascii="Times New Roman" w:hAnsi="Times New Roman"/>
          <w:w w:val="105"/>
          <w:sz w:val="19"/>
        </w:rPr>
        <w:tab/>
      </w:r>
      <w:r>
        <w:rPr>
          <w:rFonts w:ascii="Calibri" w:hAnsi="Calibri"/>
          <w:b/>
          <w:w w:val="105"/>
          <w:sz w:val="19"/>
        </w:rPr>
        <w:t>7</w:t>
      </w:r>
    </w:p>
    <w:p>
      <w:pPr>
        <w:pStyle w:val="ListParagraph"/>
        <w:numPr>
          <w:ilvl w:val="1"/>
          <w:numId w:val="1"/>
        </w:numPr>
        <w:tabs>
          <w:tab w:pos="633" w:val="left" w:leader="none"/>
          <w:tab w:pos="634" w:val="left" w:leader="none"/>
          <w:tab w:pos="8604" w:val="right" w:leader="dot"/>
        </w:tabs>
        <w:spacing w:line="240" w:lineRule="auto" w:before="291" w:after="0"/>
        <w:ind w:left="633" w:right="0" w:hanging="523"/>
        <w:jc w:val="left"/>
        <w:rPr>
          <w:rFonts w:ascii="Calibri"/>
          <w:b/>
          <w:sz w:val="19"/>
        </w:rPr>
      </w:pPr>
      <w:r>
        <w:rPr>
          <w:rFonts w:ascii="Calibri"/>
          <w:b/>
          <w:w w:val="105"/>
          <w:sz w:val="19"/>
        </w:rPr>
        <w:t>Objetivo de</w:t>
      </w:r>
      <w:r>
        <w:rPr>
          <w:rFonts w:ascii="Calibri"/>
          <w:b/>
          <w:spacing w:val="1"/>
          <w:w w:val="105"/>
          <w:sz w:val="19"/>
        </w:rPr>
        <w:t> </w:t>
      </w:r>
      <w:r>
        <w:rPr>
          <w:rFonts w:ascii="Calibri"/>
          <w:b/>
          <w:w w:val="105"/>
          <w:sz w:val="19"/>
        </w:rPr>
        <w:t>las finanzas</w:t>
      </w:r>
      <w:r>
        <w:rPr>
          <w:rFonts w:ascii="Times New Roman"/>
          <w:w w:val="105"/>
          <w:sz w:val="19"/>
        </w:rPr>
        <w:tab/>
      </w:r>
      <w:r>
        <w:rPr>
          <w:rFonts w:ascii="Calibri"/>
          <w:b/>
          <w:w w:val="105"/>
          <w:sz w:val="19"/>
        </w:rPr>
        <w:t>10</w:t>
      </w:r>
    </w:p>
    <w:p>
      <w:pPr>
        <w:pStyle w:val="ListParagraph"/>
        <w:numPr>
          <w:ilvl w:val="1"/>
          <w:numId w:val="1"/>
        </w:numPr>
        <w:tabs>
          <w:tab w:pos="633" w:val="left" w:leader="none"/>
          <w:tab w:pos="634" w:val="left" w:leader="none"/>
          <w:tab w:pos="8604" w:val="right" w:leader="dot"/>
        </w:tabs>
        <w:spacing w:line="240" w:lineRule="auto" w:before="286" w:after="0"/>
        <w:ind w:left="633" w:right="0" w:hanging="523"/>
        <w:jc w:val="left"/>
        <w:rPr>
          <w:rFonts w:ascii="Calibri" w:hAnsi="Calibri"/>
          <w:b/>
          <w:sz w:val="19"/>
        </w:rPr>
      </w:pPr>
      <w:r>
        <w:rPr>
          <w:rFonts w:ascii="Calibri" w:hAnsi="Calibri"/>
          <w:b/>
          <w:w w:val="105"/>
          <w:sz w:val="19"/>
        </w:rPr>
        <w:t>Clasificación de</w:t>
      </w:r>
      <w:r>
        <w:rPr>
          <w:rFonts w:ascii="Calibri" w:hAnsi="Calibri"/>
          <w:b/>
          <w:spacing w:val="1"/>
          <w:w w:val="105"/>
          <w:sz w:val="19"/>
        </w:rPr>
        <w:t> </w:t>
      </w:r>
      <w:r>
        <w:rPr>
          <w:rFonts w:ascii="Calibri" w:hAnsi="Calibri"/>
          <w:b/>
          <w:w w:val="105"/>
          <w:sz w:val="19"/>
        </w:rPr>
        <w:t>las finanzas</w:t>
      </w:r>
      <w:r>
        <w:rPr>
          <w:rFonts w:ascii="Times New Roman" w:hAnsi="Times New Roman"/>
          <w:w w:val="105"/>
          <w:sz w:val="19"/>
        </w:rPr>
        <w:tab/>
      </w:r>
      <w:r>
        <w:rPr>
          <w:rFonts w:ascii="Calibri" w:hAnsi="Calibri"/>
          <w:b/>
          <w:w w:val="105"/>
          <w:sz w:val="19"/>
        </w:rPr>
        <w:t>10</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Finanzas Públicas</w:t>
      </w:r>
      <w:r>
        <w:rPr>
          <w:rFonts w:ascii="Times New Roman" w:hAnsi="Times New Roman"/>
          <w:w w:val="105"/>
          <w:sz w:val="19"/>
        </w:rPr>
        <w:tab/>
      </w:r>
      <w:r>
        <w:rPr>
          <w:rFonts w:ascii="Calibri" w:hAnsi="Calibri"/>
          <w:w w:val="105"/>
          <w:sz w:val="19"/>
        </w:rPr>
        <w:t>10</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Finanzas Internacionales.</w:t>
      </w:r>
      <w:r>
        <w:rPr>
          <w:rFonts w:ascii="Times New Roman"/>
          <w:w w:val="105"/>
          <w:sz w:val="19"/>
        </w:rPr>
        <w:tab/>
      </w:r>
      <w:r>
        <w:rPr>
          <w:rFonts w:ascii="Calibri"/>
          <w:w w:val="105"/>
          <w:sz w:val="19"/>
        </w:rPr>
        <w:t>11</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sz w:val="19"/>
        </w:rPr>
      </w:pPr>
      <w:r>
        <w:rPr>
          <w:rFonts w:ascii="Calibri"/>
          <w:w w:val="105"/>
          <w:sz w:val="19"/>
        </w:rPr>
        <w:t>Finanzas corporativas</w:t>
      </w:r>
      <w:r>
        <w:rPr>
          <w:rFonts w:ascii="Times New Roman"/>
          <w:w w:val="105"/>
          <w:sz w:val="19"/>
        </w:rPr>
        <w:tab/>
      </w:r>
      <w:r>
        <w:rPr>
          <w:rFonts w:ascii="Calibri"/>
          <w:w w:val="105"/>
          <w:sz w:val="19"/>
        </w:rPr>
        <w:t>12</w:t>
      </w:r>
    </w:p>
    <w:p>
      <w:pPr>
        <w:pStyle w:val="ListParagraph"/>
        <w:numPr>
          <w:ilvl w:val="3"/>
          <w:numId w:val="1"/>
        </w:numPr>
        <w:tabs>
          <w:tab w:pos="1356" w:val="left" w:leader="none"/>
          <w:tab w:pos="1357" w:val="left" w:leader="none"/>
          <w:tab w:pos="8604" w:val="right" w:leader="dot"/>
        </w:tabs>
        <w:spacing w:line="240" w:lineRule="auto" w:before="46" w:after="0"/>
        <w:ind w:left="1356" w:right="0" w:hanging="806"/>
        <w:jc w:val="left"/>
        <w:rPr>
          <w:rFonts w:ascii="Calibri"/>
          <w:sz w:val="19"/>
        </w:rPr>
      </w:pPr>
      <w:r>
        <w:rPr>
          <w:rFonts w:ascii="Calibri"/>
          <w:w w:val="105"/>
          <w:sz w:val="19"/>
        </w:rPr>
        <w:t>Tipos de decisiones</w:t>
      </w:r>
      <w:r>
        <w:rPr>
          <w:rFonts w:ascii="Times New Roman"/>
          <w:w w:val="105"/>
          <w:sz w:val="19"/>
        </w:rPr>
        <w:tab/>
      </w:r>
      <w:r>
        <w:rPr>
          <w:rFonts w:ascii="Calibri"/>
          <w:w w:val="105"/>
          <w:sz w:val="19"/>
        </w:rPr>
        <w:t>12</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Finanzas Bursátiles</w:t>
      </w:r>
      <w:r>
        <w:rPr>
          <w:rFonts w:ascii="Times New Roman" w:hAnsi="Times New Roman"/>
          <w:w w:val="105"/>
          <w:sz w:val="19"/>
        </w:rPr>
        <w:tab/>
      </w:r>
      <w:r>
        <w:rPr>
          <w:rFonts w:ascii="Calibri" w:hAnsi="Calibri"/>
          <w:w w:val="105"/>
          <w:sz w:val="19"/>
        </w:rPr>
        <w:t>13</w:t>
      </w:r>
    </w:p>
    <w:p>
      <w:pPr>
        <w:pStyle w:val="ListParagraph"/>
        <w:numPr>
          <w:ilvl w:val="3"/>
          <w:numId w:val="1"/>
        </w:numPr>
        <w:tabs>
          <w:tab w:pos="1356" w:val="left" w:leader="none"/>
          <w:tab w:pos="1357" w:val="left" w:leader="none"/>
          <w:tab w:pos="8604" w:val="right" w:leader="dot"/>
        </w:tabs>
        <w:spacing w:line="240" w:lineRule="auto" w:before="46" w:after="0"/>
        <w:ind w:left="1356" w:right="0" w:hanging="806"/>
        <w:jc w:val="left"/>
        <w:rPr>
          <w:rFonts w:ascii="Calibri" w:hAnsi="Calibri"/>
          <w:sz w:val="19"/>
        </w:rPr>
      </w:pPr>
      <w:r>
        <w:rPr>
          <w:rFonts w:ascii="Calibri" w:hAnsi="Calibri"/>
          <w:w w:val="105"/>
          <w:sz w:val="19"/>
        </w:rPr>
        <w:t>Participantes en las</w:t>
      </w:r>
      <w:r>
        <w:rPr>
          <w:rFonts w:ascii="Calibri" w:hAnsi="Calibri"/>
          <w:spacing w:val="2"/>
          <w:w w:val="105"/>
          <w:sz w:val="19"/>
        </w:rPr>
        <w:t> </w:t>
      </w:r>
      <w:r>
        <w:rPr>
          <w:rFonts w:ascii="Calibri" w:hAnsi="Calibri"/>
          <w:w w:val="105"/>
          <w:sz w:val="19"/>
        </w:rPr>
        <w:t>finanzas bursátiles</w:t>
      </w:r>
      <w:r>
        <w:rPr>
          <w:rFonts w:ascii="Times New Roman" w:hAnsi="Times New Roman"/>
          <w:w w:val="105"/>
          <w:sz w:val="19"/>
        </w:rPr>
        <w:tab/>
      </w:r>
      <w:r>
        <w:rPr>
          <w:rFonts w:ascii="Calibri" w:hAnsi="Calibri"/>
          <w:w w:val="105"/>
          <w:sz w:val="19"/>
        </w:rPr>
        <w:t>13</w:t>
      </w:r>
    </w:p>
    <w:p>
      <w:pPr>
        <w:pStyle w:val="ListParagraph"/>
        <w:numPr>
          <w:ilvl w:val="1"/>
          <w:numId w:val="1"/>
        </w:numPr>
        <w:tabs>
          <w:tab w:pos="633" w:val="left" w:leader="none"/>
          <w:tab w:pos="634" w:val="left" w:leader="none"/>
          <w:tab w:pos="8604" w:val="right" w:leader="dot"/>
        </w:tabs>
        <w:spacing w:line="240" w:lineRule="auto" w:before="291" w:after="0"/>
        <w:ind w:left="633" w:right="0" w:hanging="523"/>
        <w:jc w:val="left"/>
        <w:rPr>
          <w:rFonts w:ascii="Calibri" w:hAnsi="Calibri"/>
          <w:b/>
          <w:sz w:val="19"/>
        </w:rPr>
      </w:pPr>
      <w:r>
        <w:rPr>
          <w:rFonts w:ascii="Calibri" w:hAnsi="Calibri"/>
          <w:b/>
          <w:w w:val="105"/>
          <w:sz w:val="19"/>
        </w:rPr>
        <w:t>Administración Financiera</w:t>
      </w:r>
      <w:r>
        <w:rPr>
          <w:rFonts w:ascii="Times New Roman" w:hAnsi="Times New Roman"/>
          <w:w w:val="105"/>
          <w:sz w:val="19"/>
        </w:rPr>
        <w:tab/>
      </w:r>
      <w:r>
        <w:rPr>
          <w:rFonts w:ascii="Calibri" w:hAnsi="Calibri"/>
          <w:b/>
          <w:w w:val="105"/>
          <w:sz w:val="19"/>
        </w:rPr>
        <w:t>14</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Papel del</w:t>
      </w:r>
      <w:r>
        <w:rPr>
          <w:rFonts w:ascii="Calibri"/>
          <w:spacing w:val="1"/>
          <w:w w:val="105"/>
          <w:sz w:val="19"/>
        </w:rPr>
        <w:t> </w:t>
      </w:r>
      <w:r>
        <w:rPr>
          <w:rFonts w:ascii="Calibri"/>
          <w:w w:val="105"/>
          <w:sz w:val="19"/>
        </w:rPr>
        <w:t>administrador financiero</w:t>
      </w:r>
      <w:r>
        <w:rPr>
          <w:rFonts w:ascii="Times New Roman"/>
          <w:w w:val="105"/>
          <w:sz w:val="19"/>
        </w:rPr>
        <w:tab/>
      </w:r>
      <w:r>
        <w:rPr>
          <w:rFonts w:ascii="Calibri"/>
          <w:w w:val="105"/>
          <w:sz w:val="19"/>
        </w:rPr>
        <w:t>14</w:t>
      </w:r>
    </w:p>
    <w:p>
      <w:pPr>
        <w:pStyle w:val="ListParagraph"/>
        <w:numPr>
          <w:ilvl w:val="1"/>
          <w:numId w:val="1"/>
        </w:numPr>
        <w:tabs>
          <w:tab w:pos="633" w:val="left" w:leader="none"/>
          <w:tab w:pos="634" w:val="left" w:leader="none"/>
          <w:tab w:pos="8604" w:val="right" w:leader="dot"/>
        </w:tabs>
        <w:spacing w:line="240" w:lineRule="auto" w:before="291" w:after="0"/>
        <w:ind w:left="633" w:right="0" w:hanging="523"/>
        <w:jc w:val="left"/>
        <w:rPr>
          <w:rFonts w:ascii="Calibri" w:hAnsi="Calibri"/>
          <w:b/>
          <w:sz w:val="19"/>
        </w:rPr>
      </w:pPr>
      <w:r>
        <w:rPr>
          <w:rFonts w:ascii="Calibri" w:hAnsi="Calibri"/>
          <w:b/>
          <w:w w:val="105"/>
          <w:sz w:val="19"/>
        </w:rPr>
        <w:t>Relación de las finanzas con</w:t>
      </w:r>
      <w:r>
        <w:rPr>
          <w:rFonts w:ascii="Calibri" w:hAnsi="Calibri"/>
          <w:b/>
          <w:spacing w:val="5"/>
          <w:w w:val="105"/>
          <w:sz w:val="19"/>
        </w:rPr>
        <w:t> </w:t>
      </w:r>
      <w:r>
        <w:rPr>
          <w:rFonts w:ascii="Calibri" w:hAnsi="Calibri"/>
          <w:b/>
          <w:w w:val="105"/>
          <w:sz w:val="19"/>
        </w:rPr>
        <w:t>otras áreas</w:t>
      </w:r>
      <w:r>
        <w:rPr>
          <w:rFonts w:ascii="Times New Roman" w:hAnsi="Times New Roman"/>
          <w:w w:val="105"/>
          <w:sz w:val="19"/>
        </w:rPr>
        <w:tab/>
      </w:r>
      <w:r>
        <w:rPr>
          <w:rFonts w:ascii="Calibri" w:hAnsi="Calibri"/>
          <w:b/>
          <w:w w:val="105"/>
          <w:sz w:val="19"/>
        </w:rPr>
        <w:t>15</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hAnsi="Calibri"/>
          <w:sz w:val="19"/>
        </w:rPr>
      </w:pPr>
      <w:r>
        <w:rPr>
          <w:rFonts w:ascii="Calibri" w:hAnsi="Calibri"/>
          <w:w w:val="105"/>
          <w:sz w:val="19"/>
        </w:rPr>
        <w:t>Relación de las finanzas con</w:t>
      </w:r>
      <w:r>
        <w:rPr>
          <w:rFonts w:ascii="Calibri" w:hAnsi="Calibri"/>
          <w:spacing w:val="5"/>
          <w:w w:val="105"/>
          <w:sz w:val="19"/>
        </w:rPr>
        <w:t> </w:t>
      </w:r>
      <w:r>
        <w:rPr>
          <w:rFonts w:ascii="Calibri" w:hAnsi="Calibri"/>
          <w:w w:val="105"/>
          <w:sz w:val="19"/>
        </w:rPr>
        <w:t>la economía</w:t>
      </w:r>
      <w:r>
        <w:rPr>
          <w:rFonts w:ascii="Times New Roman" w:hAnsi="Times New Roman"/>
          <w:w w:val="105"/>
          <w:sz w:val="19"/>
        </w:rPr>
        <w:tab/>
      </w:r>
      <w:r>
        <w:rPr>
          <w:rFonts w:ascii="Calibri" w:hAnsi="Calibri"/>
          <w:w w:val="105"/>
          <w:sz w:val="19"/>
        </w:rPr>
        <w:t>15</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Relación de las finanzas con</w:t>
      </w:r>
      <w:r>
        <w:rPr>
          <w:rFonts w:ascii="Calibri" w:hAnsi="Calibri"/>
          <w:spacing w:val="5"/>
          <w:w w:val="105"/>
          <w:sz w:val="19"/>
        </w:rPr>
        <w:t> </w:t>
      </w:r>
      <w:r>
        <w:rPr>
          <w:rFonts w:ascii="Calibri" w:hAnsi="Calibri"/>
          <w:w w:val="105"/>
          <w:sz w:val="19"/>
        </w:rPr>
        <w:t>la contabilidad.</w:t>
      </w:r>
      <w:r>
        <w:rPr>
          <w:rFonts w:ascii="Times New Roman" w:hAnsi="Times New Roman"/>
          <w:w w:val="105"/>
          <w:sz w:val="19"/>
        </w:rPr>
        <w:tab/>
      </w:r>
      <w:r>
        <w:rPr>
          <w:rFonts w:ascii="Calibri" w:hAnsi="Calibri"/>
          <w:w w:val="105"/>
          <w:sz w:val="19"/>
        </w:rPr>
        <w:t>16</w:t>
      </w:r>
    </w:p>
    <w:p>
      <w:pPr>
        <w:pStyle w:val="ListParagraph"/>
        <w:numPr>
          <w:ilvl w:val="1"/>
          <w:numId w:val="1"/>
        </w:numPr>
        <w:tabs>
          <w:tab w:pos="633" w:val="left" w:leader="none"/>
          <w:tab w:pos="634" w:val="left" w:leader="none"/>
          <w:tab w:pos="8604" w:val="right" w:leader="dot"/>
        </w:tabs>
        <w:spacing w:line="240" w:lineRule="auto" w:before="286" w:after="0"/>
        <w:ind w:left="633" w:right="0" w:hanging="523"/>
        <w:jc w:val="left"/>
        <w:rPr>
          <w:rFonts w:ascii="Calibri" w:hAnsi="Calibri"/>
          <w:b/>
          <w:sz w:val="19"/>
        </w:rPr>
      </w:pPr>
      <w:r>
        <w:rPr>
          <w:rFonts w:ascii="Calibri" w:hAnsi="Calibri"/>
          <w:b/>
          <w:w w:val="105"/>
          <w:sz w:val="19"/>
        </w:rPr>
        <w:t>Definición y métodos de</w:t>
      </w:r>
      <w:r>
        <w:rPr>
          <w:rFonts w:ascii="Calibri" w:hAnsi="Calibri"/>
          <w:b/>
          <w:spacing w:val="3"/>
          <w:w w:val="105"/>
          <w:sz w:val="19"/>
        </w:rPr>
        <w:t> </w:t>
      </w:r>
      <w:r>
        <w:rPr>
          <w:rFonts w:ascii="Calibri" w:hAnsi="Calibri"/>
          <w:b/>
          <w:w w:val="105"/>
          <w:sz w:val="19"/>
        </w:rPr>
        <w:t>Análisis financiero</w:t>
      </w:r>
      <w:r>
        <w:rPr>
          <w:rFonts w:ascii="Times New Roman" w:hAnsi="Times New Roman"/>
          <w:w w:val="105"/>
          <w:sz w:val="19"/>
        </w:rPr>
        <w:tab/>
      </w:r>
      <w:r>
        <w:rPr>
          <w:rFonts w:ascii="Calibri" w:hAnsi="Calibri"/>
          <w:b/>
          <w:w w:val="105"/>
          <w:sz w:val="19"/>
        </w:rPr>
        <w:t>17</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hAnsi="Calibri"/>
          <w:sz w:val="19"/>
        </w:rPr>
      </w:pPr>
      <w:r>
        <w:rPr>
          <w:rFonts w:ascii="Calibri" w:hAnsi="Calibri"/>
          <w:w w:val="105"/>
          <w:sz w:val="19"/>
        </w:rPr>
        <w:t>Representaciones esquemáticas</w:t>
      </w:r>
      <w:r>
        <w:rPr>
          <w:rFonts w:ascii="Times New Roman" w:hAnsi="Times New Roman"/>
          <w:w w:val="105"/>
          <w:sz w:val="19"/>
        </w:rPr>
        <w:tab/>
      </w:r>
      <w:r>
        <w:rPr>
          <w:rFonts w:ascii="Calibri" w:hAnsi="Calibri"/>
          <w:w w:val="105"/>
          <w:sz w:val="19"/>
        </w:rPr>
        <w:t>17</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Método de</w:t>
      </w:r>
      <w:r>
        <w:rPr>
          <w:rFonts w:ascii="Calibri" w:hAnsi="Calibri"/>
          <w:spacing w:val="1"/>
          <w:w w:val="105"/>
          <w:sz w:val="19"/>
        </w:rPr>
        <w:t> </w:t>
      </w:r>
      <w:r>
        <w:rPr>
          <w:rFonts w:ascii="Calibri" w:hAnsi="Calibri"/>
          <w:w w:val="105"/>
          <w:sz w:val="19"/>
        </w:rPr>
        <w:t>Análisis Vertical</w:t>
      </w:r>
      <w:r>
        <w:rPr>
          <w:rFonts w:ascii="Times New Roman" w:hAnsi="Times New Roman"/>
          <w:w w:val="105"/>
          <w:sz w:val="19"/>
        </w:rPr>
        <w:tab/>
      </w:r>
      <w:r>
        <w:rPr>
          <w:rFonts w:ascii="Calibri" w:hAnsi="Calibri"/>
          <w:w w:val="105"/>
          <w:sz w:val="19"/>
        </w:rPr>
        <w:t>17</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Procedimiento de</w:t>
      </w:r>
      <w:r>
        <w:rPr>
          <w:rFonts w:ascii="Calibri"/>
          <w:spacing w:val="2"/>
          <w:w w:val="105"/>
          <w:sz w:val="19"/>
        </w:rPr>
        <w:t> </w:t>
      </w:r>
      <w:r>
        <w:rPr>
          <w:rFonts w:ascii="Calibri"/>
          <w:w w:val="105"/>
          <w:sz w:val="19"/>
        </w:rPr>
        <w:t>porcentajes integrales</w:t>
      </w:r>
      <w:r>
        <w:rPr>
          <w:rFonts w:ascii="Times New Roman"/>
          <w:w w:val="105"/>
          <w:sz w:val="19"/>
        </w:rPr>
        <w:tab/>
      </w:r>
      <w:r>
        <w:rPr>
          <w:rFonts w:ascii="Calibri"/>
          <w:w w:val="105"/>
          <w:sz w:val="19"/>
        </w:rPr>
        <w:t>18</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Método de</w:t>
      </w:r>
      <w:r>
        <w:rPr>
          <w:rFonts w:ascii="Calibri" w:hAnsi="Calibri"/>
          <w:spacing w:val="1"/>
          <w:w w:val="105"/>
          <w:sz w:val="19"/>
        </w:rPr>
        <w:t> </w:t>
      </w:r>
      <w:r>
        <w:rPr>
          <w:rFonts w:ascii="Calibri" w:hAnsi="Calibri"/>
          <w:w w:val="105"/>
          <w:sz w:val="19"/>
        </w:rPr>
        <w:t>análisis horizontal</w:t>
      </w:r>
      <w:r>
        <w:rPr>
          <w:rFonts w:ascii="Times New Roman" w:hAnsi="Times New Roman"/>
          <w:w w:val="105"/>
          <w:sz w:val="19"/>
        </w:rPr>
        <w:tab/>
      </w:r>
      <w:r>
        <w:rPr>
          <w:rFonts w:ascii="Calibri" w:hAnsi="Calibri"/>
          <w:w w:val="105"/>
          <w:sz w:val="19"/>
        </w:rPr>
        <w:t>18</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hAnsi="Calibri"/>
          <w:sz w:val="19"/>
        </w:rPr>
      </w:pPr>
      <w:r>
        <w:rPr>
          <w:rFonts w:ascii="Calibri" w:hAnsi="Calibri"/>
          <w:w w:val="105"/>
          <w:sz w:val="19"/>
        </w:rPr>
        <w:t>Estado de origen y aplicación de</w:t>
      </w:r>
      <w:r>
        <w:rPr>
          <w:rFonts w:ascii="Calibri" w:hAnsi="Calibri"/>
          <w:spacing w:val="5"/>
          <w:w w:val="105"/>
          <w:sz w:val="19"/>
        </w:rPr>
        <w:t> </w:t>
      </w:r>
      <w:r>
        <w:rPr>
          <w:rFonts w:ascii="Calibri" w:hAnsi="Calibri"/>
          <w:w w:val="105"/>
          <w:sz w:val="19"/>
        </w:rPr>
        <w:t>los recursos</w:t>
      </w:r>
      <w:r>
        <w:rPr>
          <w:rFonts w:ascii="Times New Roman" w:hAnsi="Times New Roman"/>
          <w:w w:val="105"/>
          <w:sz w:val="19"/>
        </w:rPr>
        <w:tab/>
      </w:r>
      <w:r>
        <w:rPr>
          <w:rFonts w:ascii="Calibri" w:hAnsi="Calibri"/>
          <w:w w:val="105"/>
          <w:sz w:val="19"/>
        </w:rPr>
        <w:t>18</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hAnsi="Calibri"/>
          <w:sz w:val="19"/>
        </w:rPr>
      </w:pPr>
      <w:r>
        <w:rPr>
          <w:rFonts w:ascii="Calibri" w:hAnsi="Calibri"/>
          <w:w w:val="105"/>
          <w:sz w:val="19"/>
        </w:rPr>
        <w:t>Método de</w:t>
      </w:r>
      <w:r>
        <w:rPr>
          <w:rFonts w:ascii="Calibri" w:hAnsi="Calibri"/>
          <w:spacing w:val="1"/>
          <w:w w:val="105"/>
          <w:sz w:val="19"/>
        </w:rPr>
        <w:t> </w:t>
      </w:r>
      <w:r>
        <w:rPr>
          <w:rFonts w:ascii="Calibri" w:hAnsi="Calibri"/>
          <w:w w:val="105"/>
          <w:sz w:val="19"/>
        </w:rPr>
        <w:t>análisis histórico</w:t>
      </w:r>
      <w:r>
        <w:rPr>
          <w:rFonts w:ascii="Times New Roman" w:hAnsi="Times New Roman"/>
          <w:w w:val="105"/>
          <w:sz w:val="19"/>
        </w:rPr>
        <w:tab/>
      </w:r>
      <w:r>
        <w:rPr>
          <w:rFonts w:ascii="Calibri" w:hAnsi="Calibri"/>
          <w:w w:val="105"/>
          <w:sz w:val="19"/>
        </w:rPr>
        <w:t>18</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hAnsi="Calibri"/>
          <w:sz w:val="19"/>
        </w:rPr>
      </w:pPr>
      <w:r>
        <w:rPr>
          <w:rFonts w:ascii="Calibri" w:hAnsi="Calibri"/>
          <w:w w:val="105"/>
          <w:sz w:val="19"/>
        </w:rPr>
        <w:t>Método de tendencias</w:t>
      </w:r>
      <w:r>
        <w:rPr>
          <w:rFonts w:ascii="Times New Roman" w:hAnsi="Times New Roman"/>
          <w:w w:val="105"/>
          <w:sz w:val="19"/>
        </w:rPr>
        <w:tab/>
      </w:r>
      <w:r>
        <w:rPr>
          <w:rFonts w:ascii="Calibri" w:hAnsi="Calibri"/>
          <w:w w:val="105"/>
          <w:sz w:val="19"/>
        </w:rPr>
        <w:t>18</w:t>
      </w:r>
    </w:p>
    <w:p>
      <w:pPr>
        <w:pStyle w:val="ListParagraph"/>
        <w:numPr>
          <w:ilvl w:val="1"/>
          <w:numId w:val="1"/>
        </w:numPr>
        <w:tabs>
          <w:tab w:pos="633" w:val="left" w:leader="none"/>
          <w:tab w:pos="634" w:val="left" w:leader="none"/>
          <w:tab w:pos="8604" w:val="right" w:leader="dot"/>
        </w:tabs>
        <w:spacing w:line="240" w:lineRule="auto" w:before="291" w:after="0"/>
        <w:ind w:left="633" w:right="0" w:hanging="523"/>
        <w:jc w:val="left"/>
        <w:rPr>
          <w:rFonts w:ascii="Calibri"/>
          <w:b/>
          <w:sz w:val="19"/>
        </w:rPr>
      </w:pPr>
      <w:r>
        <w:rPr>
          <w:rFonts w:ascii="Calibri"/>
          <w:b/>
          <w:w w:val="105"/>
          <w:sz w:val="19"/>
        </w:rPr>
        <w:t>Estados financieros</w:t>
      </w:r>
      <w:r>
        <w:rPr>
          <w:rFonts w:ascii="Times New Roman"/>
          <w:w w:val="105"/>
          <w:sz w:val="19"/>
        </w:rPr>
        <w:tab/>
      </w:r>
      <w:r>
        <w:rPr>
          <w:rFonts w:ascii="Calibri"/>
          <w:b/>
          <w:w w:val="105"/>
          <w:sz w:val="19"/>
        </w:rPr>
        <w:t>19</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Estado</w:t>
      </w:r>
      <w:r>
        <w:rPr>
          <w:rFonts w:ascii="Calibri"/>
          <w:spacing w:val="1"/>
          <w:w w:val="105"/>
          <w:sz w:val="19"/>
        </w:rPr>
        <w:t> </w:t>
      </w:r>
      <w:r>
        <w:rPr>
          <w:rFonts w:ascii="Calibri"/>
          <w:w w:val="105"/>
          <w:sz w:val="19"/>
        </w:rPr>
        <w:t>de resultados</w:t>
      </w:r>
      <w:r>
        <w:rPr>
          <w:rFonts w:ascii="Times New Roman"/>
          <w:w w:val="105"/>
          <w:sz w:val="19"/>
        </w:rPr>
        <w:tab/>
      </w:r>
      <w:r>
        <w:rPr>
          <w:rFonts w:ascii="Calibri"/>
          <w:w w:val="105"/>
          <w:sz w:val="19"/>
        </w:rPr>
        <w:t>20</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sz w:val="19"/>
        </w:rPr>
      </w:pPr>
      <w:r>
        <w:rPr>
          <w:rFonts w:ascii="Calibri"/>
          <w:w w:val="105"/>
          <w:sz w:val="19"/>
        </w:rPr>
        <w:t>Balance general</w:t>
      </w:r>
      <w:r>
        <w:rPr>
          <w:rFonts w:ascii="Times New Roman"/>
          <w:w w:val="105"/>
          <w:sz w:val="19"/>
        </w:rPr>
        <w:tab/>
      </w:r>
      <w:r>
        <w:rPr>
          <w:rFonts w:ascii="Calibri"/>
          <w:w w:val="105"/>
          <w:sz w:val="19"/>
        </w:rPr>
        <w:t>20</w:t>
      </w:r>
    </w:p>
    <w:p>
      <w:pPr>
        <w:pStyle w:val="ListParagraph"/>
        <w:numPr>
          <w:ilvl w:val="3"/>
          <w:numId w:val="1"/>
        </w:numPr>
        <w:tabs>
          <w:tab w:pos="1356" w:val="left" w:leader="none"/>
          <w:tab w:pos="1357" w:val="left" w:leader="none"/>
          <w:tab w:pos="8604" w:val="right" w:leader="dot"/>
        </w:tabs>
        <w:spacing w:line="240" w:lineRule="auto" w:before="46" w:after="0"/>
        <w:ind w:left="1356" w:right="0" w:hanging="806"/>
        <w:jc w:val="left"/>
        <w:rPr>
          <w:rFonts w:ascii="Calibri"/>
          <w:sz w:val="19"/>
        </w:rPr>
      </w:pPr>
      <w:r>
        <w:rPr>
          <w:rFonts w:ascii="Calibri"/>
          <w:w w:val="105"/>
          <w:sz w:val="19"/>
        </w:rPr>
        <w:t>Activos corrientes</w:t>
      </w:r>
      <w:r>
        <w:rPr>
          <w:rFonts w:ascii="Times New Roman"/>
          <w:w w:val="105"/>
          <w:sz w:val="19"/>
        </w:rPr>
        <w:tab/>
      </w:r>
      <w:r>
        <w:rPr>
          <w:rFonts w:ascii="Calibri"/>
          <w:w w:val="105"/>
          <w:sz w:val="19"/>
        </w:rPr>
        <w:t>21</w:t>
      </w:r>
    </w:p>
    <w:p>
      <w:pPr>
        <w:pStyle w:val="ListParagraph"/>
        <w:numPr>
          <w:ilvl w:val="3"/>
          <w:numId w:val="1"/>
        </w:numPr>
        <w:tabs>
          <w:tab w:pos="1356" w:val="left" w:leader="none"/>
          <w:tab w:pos="1357" w:val="left" w:leader="none"/>
          <w:tab w:pos="8604" w:val="right" w:leader="dot"/>
        </w:tabs>
        <w:spacing w:line="240" w:lineRule="auto" w:before="51" w:after="0"/>
        <w:ind w:left="1356" w:right="0" w:hanging="806"/>
        <w:jc w:val="left"/>
        <w:rPr>
          <w:rFonts w:ascii="Calibri"/>
          <w:sz w:val="19"/>
        </w:rPr>
      </w:pPr>
      <w:r>
        <w:rPr>
          <w:rFonts w:ascii="Calibri"/>
          <w:w w:val="105"/>
          <w:sz w:val="19"/>
        </w:rPr>
        <w:t>Pasivos corrientes</w:t>
      </w:r>
      <w:r>
        <w:rPr>
          <w:rFonts w:ascii="Times New Roman"/>
          <w:w w:val="105"/>
          <w:sz w:val="19"/>
        </w:rPr>
        <w:tab/>
      </w:r>
      <w:r>
        <w:rPr>
          <w:rFonts w:ascii="Calibri"/>
          <w:w w:val="105"/>
          <w:sz w:val="19"/>
        </w:rPr>
        <w:t>21</w:t>
      </w:r>
    </w:p>
    <w:p>
      <w:pPr>
        <w:pStyle w:val="ListParagraph"/>
        <w:numPr>
          <w:ilvl w:val="3"/>
          <w:numId w:val="1"/>
        </w:numPr>
        <w:tabs>
          <w:tab w:pos="1356" w:val="left" w:leader="none"/>
          <w:tab w:pos="1357" w:val="left" w:leader="none"/>
          <w:tab w:pos="8604" w:val="right" w:leader="dot"/>
        </w:tabs>
        <w:spacing w:line="240" w:lineRule="auto" w:before="46" w:after="0"/>
        <w:ind w:left="1356" w:right="0" w:hanging="806"/>
        <w:jc w:val="left"/>
        <w:rPr>
          <w:rFonts w:ascii="Calibri"/>
          <w:sz w:val="19"/>
        </w:rPr>
      </w:pPr>
      <w:r>
        <w:rPr>
          <w:rFonts w:ascii="Calibri"/>
          <w:w w:val="105"/>
          <w:sz w:val="19"/>
        </w:rPr>
        <w:t>Los valores negociables.</w:t>
      </w:r>
      <w:r>
        <w:rPr>
          <w:rFonts w:ascii="Times New Roman"/>
          <w:w w:val="105"/>
          <w:sz w:val="19"/>
        </w:rPr>
        <w:tab/>
      </w:r>
      <w:r>
        <w:rPr>
          <w:rFonts w:ascii="Calibri"/>
          <w:w w:val="105"/>
          <w:sz w:val="19"/>
        </w:rPr>
        <w:t>21</w:t>
      </w:r>
    </w:p>
    <w:p>
      <w:pPr>
        <w:pStyle w:val="ListParagraph"/>
        <w:numPr>
          <w:ilvl w:val="3"/>
          <w:numId w:val="1"/>
        </w:numPr>
        <w:tabs>
          <w:tab w:pos="1356" w:val="left" w:leader="none"/>
          <w:tab w:pos="1357" w:val="left" w:leader="none"/>
          <w:tab w:pos="8604" w:val="right" w:leader="dot"/>
        </w:tabs>
        <w:spacing w:line="240" w:lineRule="auto" w:before="51" w:after="0"/>
        <w:ind w:left="1356" w:right="0" w:hanging="806"/>
        <w:jc w:val="left"/>
        <w:rPr>
          <w:rFonts w:ascii="Calibri"/>
          <w:sz w:val="19"/>
        </w:rPr>
      </w:pPr>
      <w:r>
        <w:rPr>
          <w:rFonts w:ascii="Calibri"/>
          <w:w w:val="105"/>
          <w:sz w:val="19"/>
        </w:rPr>
        <w:t>Cuentas por cobrar</w:t>
      </w:r>
      <w:r>
        <w:rPr>
          <w:rFonts w:ascii="Times New Roman"/>
          <w:w w:val="105"/>
          <w:sz w:val="19"/>
        </w:rPr>
        <w:tab/>
      </w:r>
      <w:r>
        <w:rPr>
          <w:rFonts w:ascii="Calibri"/>
          <w:w w:val="105"/>
          <w:sz w:val="19"/>
        </w:rPr>
        <w:t>22</w:t>
      </w:r>
    </w:p>
    <w:p>
      <w:pPr>
        <w:pStyle w:val="ListParagraph"/>
        <w:numPr>
          <w:ilvl w:val="4"/>
          <w:numId w:val="1"/>
        </w:numPr>
        <w:tabs>
          <w:tab w:pos="1728" w:val="left" w:leader="none"/>
          <w:tab w:pos="1729" w:val="left" w:leader="none"/>
          <w:tab w:pos="8604" w:val="right" w:leader="dot"/>
        </w:tabs>
        <w:spacing w:line="240" w:lineRule="auto" w:before="46" w:after="0"/>
        <w:ind w:left="1728" w:right="0" w:hanging="958"/>
        <w:jc w:val="left"/>
        <w:rPr>
          <w:rFonts w:ascii="Calibri"/>
          <w:sz w:val="19"/>
        </w:rPr>
      </w:pPr>
      <w:r>
        <w:rPr>
          <w:rFonts w:ascii="Calibri"/>
          <w:w w:val="105"/>
          <w:sz w:val="19"/>
        </w:rPr>
        <w:t>Inventarios</w:t>
      </w:r>
      <w:r>
        <w:rPr>
          <w:rFonts w:ascii="Times New Roman"/>
          <w:w w:val="105"/>
          <w:sz w:val="19"/>
        </w:rPr>
        <w:tab/>
      </w:r>
      <w:r>
        <w:rPr>
          <w:rFonts w:ascii="Calibri"/>
          <w:w w:val="105"/>
          <w:sz w:val="19"/>
        </w:rPr>
        <w:t>22</w:t>
      </w:r>
    </w:p>
    <w:p>
      <w:pPr>
        <w:pStyle w:val="ListParagraph"/>
        <w:numPr>
          <w:ilvl w:val="4"/>
          <w:numId w:val="1"/>
        </w:numPr>
        <w:tabs>
          <w:tab w:pos="1728" w:val="left" w:leader="none"/>
          <w:tab w:pos="1729" w:val="left" w:leader="none"/>
          <w:tab w:pos="8604" w:val="right" w:leader="dot"/>
        </w:tabs>
        <w:spacing w:line="240" w:lineRule="auto" w:before="51" w:after="0"/>
        <w:ind w:left="1728" w:right="0" w:hanging="958"/>
        <w:jc w:val="left"/>
        <w:rPr>
          <w:rFonts w:ascii="Calibri"/>
          <w:sz w:val="19"/>
        </w:rPr>
      </w:pPr>
      <w:r>
        <w:rPr>
          <w:rFonts w:ascii="Calibri"/>
          <w:w w:val="105"/>
          <w:sz w:val="19"/>
        </w:rPr>
        <w:t>Activos fijos brutos</w:t>
      </w:r>
      <w:r>
        <w:rPr>
          <w:rFonts w:ascii="Times New Roman"/>
          <w:w w:val="105"/>
          <w:sz w:val="19"/>
        </w:rPr>
        <w:tab/>
      </w:r>
      <w:r>
        <w:rPr>
          <w:rFonts w:ascii="Calibri"/>
          <w:w w:val="105"/>
          <w:sz w:val="19"/>
        </w:rPr>
        <w:t>22</w:t>
      </w:r>
    </w:p>
    <w:p>
      <w:pPr>
        <w:pStyle w:val="ListParagraph"/>
        <w:numPr>
          <w:ilvl w:val="4"/>
          <w:numId w:val="1"/>
        </w:numPr>
        <w:tabs>
          <w:tab w:pos="1728" w:val="left" w:leader="none"/>
          <w:tab w:pos="1729" w:val="left" w:leader="none"/>
          <w:tab w:pos="8604" w:val="right" w:leader="dot"/>
        </w:tabs>
        <w:spacing w:line="240" w:lineRule="auto" w:before="46" w:after="0"/>
        <w:ind w:left="1728" w:right="0" w:hanging="958"/>
        <w:jc w:val="left"/>
        <w:rPr>
          <w:rFonts w:ascii="Calibri"/>
          <w:sz w:val="19"/>
        </w:rPr>
      </w:pPr>
      <w:r>
        <w:rPr>
          <w:rFonts w:ascii="Calibri"/>
          <w:w w:val="105"/>
          <w:sz w:val="19"/>
        </w:rPr>
        <w:t>Cuentas por pagar</w:t>
      </w:r>
      <w:r>
        <w:rPr>
          <w:rFonts w:ascii="Times New Roman"/>
          <w:w w:val="105"/>
          <w:sz w:val="19"/>
        </w:rPr>
        <w:tab/>
      </w:r>
      <w:r>
        <w:rPr>
          <w:rFonts w:ascii="Calibri"/>
          <w:w w:val="105"/>
          <w:sz w:val="19"/>
        </w:rPr>
        <w:t>22</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sz w:val="19"/>
        </w:rPr>
      </w:pPr>
      <w:r>
        <w:rPr>
          <w:rFonts w:ascii="Calibri"/>
          <w:w w:val="105"/>
          <w:sz w:val="19"/>
        </w:rPr>
        <w:t>Estado de</w:t>
      </w:r>
      <w:r>
        <w:rPr>
          <w:rFonts w:ascii="Calibri"/>
          <w:spacing w:val="2"/>
          <w:w w:val="105"/>
          <w:sz w:val="19"/>
        </w:rPr>
        <w:t> </w:t>
      </w:r>
      <w:r>
        <w:rPr>
          <w:rFonts w:ascii="Calibri"/>
          <w:w w:val="105"/>
          <w:sz w:val="19"/>
        </w:rPr>
        <w:t>ganancias retenidas</w:t>
      </w:r>
      <w:r>
        <w:rPr>
          <w:rFonts w:ascii="Times New Roman"/>
          <w:w w:val="105"/>
          <w:sz w:val="19"/>
        </w:rPr>
        <w:tab/>
      </w:r>
      <w:r>
        <w:rPr>
          <w:rFonts w:ascii="Calibri"/>
          <w:w w:val="105"/>
          <w:sz w:val="19"/>
        </w:rPr>
        <w:t>23</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Estado de flujos</w:t>
      </w:r>
      <w:r>
        <w:rPr>
          <w:rFonts w:ascii="Calibri"/>
          <w:spacing w:val="3"/>
          <w:w w:val="105"/>
          <w:sz w:val="19"/>
        </w:rPr>
        <w:t> </w:t>
      </w:r>
      <w:r>
        <w:rPr>
          <w:rFonts w:ascii="Calibri"/>
          <w:w w:val="105"/>
          <w:sz w:val="19"/>
        </w:rPr>
        <w:t>de efectivo</w:t>
      </w:r>
      <w:r>
        <w:rPr>
          <w:rFonts w:ascii="Times New Roman"/>
          <w:w w:val="105"/>
          <w:sz w:val="19"/>
        </w:rPr>
        <w:tab/>
      </w:r>
      <w:r>
        <w:rPr>
          <w:rFonts w:ascii="Calibri"/>
          <w:w w:val="105"/>
          <w:sz w:val="19"/>
        </w:rPr>
        <w:t>23</w:t>
      </w:r>
    </w:p>
    <w:p>
      <w:pPr>
        <w:pStyle w:val="ListParagraph"/>
        <w:numPr>
          <w:ilvl w:val="2"/>
          <w:numId w:val="1"/>
        </w:numPr>
        <w:tabs>
          <w:tab w:pos="984" w:val="left" w:leader="none"/>
          <w:tab w:pos="985" w:val="left" w:leader="none"/>
          <w:tab w:pos="8604" w:val="right" w:leader="dot"/>
        </w:tabs>
        <w:spacing w:line="240" w:lineRule="auto" w:before="51" w:after="0"/>
        <w:ind w:left="984" w:right="0" w:hanging="654"/>
        <w:jc w:val="left"/>
        <w:rPr>
          <w:rFonts w:ascii="Calibri"/>
          <w:sz w:val="19"/>
        </w:rPr>
      </w:pPr>
      <w:r>
        <w:rPr>
          <w:rFonts w:ascii="Calibri"/>
          <w:w w:val="105"/>
          <w:sz w:val="19"/>
        </w:rPr>
        <w:t>Notas de los</w:t>
      </w:r>
      <w:r>
        <w:rPr>
          <w:rFonts w:ascii="Calibri"/>
          <w:spacing w:val="2"/>
          <w:w w:val="105"/>
          <w:sz w:val="19"/>
        </w:rPr>
        <w:t> </w:t>
      </w:r>
      <w:r>
        <w:rPr>
          <w:rFonts w:ascii="Calibri"/>
          <w:w w:val="105"/>
          <w:sz w:val="19"/>
        </w:rPr>
        <w:t>estados financieros</w:t>
      </w:r>
      <w:r>
        <w:rPr>
          <w:rFonts w:ascii="Times New Roman"/>
          <w:w w:val="105"/>
          <w:sz w:val="19"/>
        </w:rPr>
        <w:tab/>
      </w:r>
      <w:r>
        <w:rPr>
          <w:rFonts w:ascii="Calibri"/>
          <w:w w:val="105"/>
          <w:sz w:val="19"/>
        </w:rPr>
        <w:t>23</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hAnsi="Calibri"/>
          <w:sz w:val="19"/>
        </w:rPr>
      </w:pPr>
      <w:r>
        <w:rPr>
          <w:rFonts w:ascii="Calibri" w:hAnsi="Calibri"/>
          <w:w w:val="105"/>
          <w:sz w:val="19"/>
        </w:rPr>
        <w:t>Consolidación de estados</w:t>
      </w:r>
      <w:r>
        <w:rPr>
          <w:rFonts w:ascii="Calibri" w:hAnsi="Calibri"/>
          <w:spacing w:val="2"/>
          <w:w w:val="105"/>
          <w:sz w:val="19"/>
        </w:rPr>
        <w:t> </w:t>
      </w:r>
      <w:r>
        <w:rPr>
          <w:rFonts w:ascii="Calibri" w:hAnsi="Calibri"/>
          <w:w w:val="105"/>
          <w:sz w:val="19"/>
        </w:rPr>
        <w:t>financieros internacionales</w:t>
      </w:r>
      <w:r>
        <w:rPr>
          <w:rFonts w:ascii="Times New Roman" w:hAnsi="Times New Roman"/>
          <w:w w:val="105"/>
          <w:sz w:val="19"/>
        </w:rPr>
        <w:tab/>
      </w:r>
      <w:r>
        <w:rPr>
          <w:rFonts w:ascii="Calibri" w:hAnsi="Calibri"/>
          <w:w w:val="105"/>
          <w:sz w:val="19"/>
        </w:rPr>
        <w:t>24</w:t>
      </w:r>
    </w:p>
    <w:p>
      <w:pPr>
        <w:pStyle w:val="ListParagraph"/>
        <w:numPr>
          <w:ilvl w:val="1"/>
          <w:numId w:val="1"/>
        </w:numPr>
        <w:tabs>
          <w:tab w:pos="633" w:val="left" w:leader="none"/>
          <w:tab w:pos="634" w:val="left" w:leader="none"/>
          <w:tab w:pos="8604" w:val="right" w:leader="dot"/>
        </w:tabs>
        <w:spacing w:line="240" w:lineRule="auto" w:before="291" w:after="0"/>
        <w:ind w:left="633" w:right="0" w:hanging="523"/>
        <w:jc w:val="left"/>
        <w:rPr>
          <w:rFonts w:ascii="Calibri"/>
          <w:b/>
          <w:sz w:val="19"/>
        </w:rPr>
      </w:pPr>
      <w:r>
        <w:rPr>
          <w:rFonts w:ascii="Calibri"/>
          <w:b/>
          <w:w w:val="105"/>
          <w:sz w:val="19"/>
        </w:rPr>
        <w:t>Razones financieras</w:t>
      </w:r>
      <w:r>
        <w:rPr>
          <w:rFonts w:ascii="Times New Roman"/>
          <w:w w:val="105"/>
          <w:sz w:val="19"/>
        </w:rPr>
        <w:tab/>
      </w:r>
      <w:r>
        <w:rPr>
          <w:rFonts w:ascii="Calibri"/>
          <w:b/>
          <w:w w:val="105"/>
          <w:sz w:val="19"/>
        </w:rPr>
        <w:t>25</w:t>
      </w:r>
    </w:p>
    <w:p>
      <w:pPr>
        <w:pStyle w:val="ListParagraph"/>
        <w:numPr>
          <w:ilvl w:val="2"/>
          <w:numId w:val="1"/>
        </w:numPr>
        <w:tabs>
          <w:tab w:pos="984" w:val="left" w:leader="none"/>
          <w:tab w:pos="985" w:val="left" w:leader="none"/>
          <w:tab w:pos="8604" w:val="right" w:leader="dot"/>
        </w:tabs>
        <w:spacing w:line="240" w:lineRule="auto" w:before="46" w:after="0"/>
        <w:ind w:left="984" w:right="0" w:hanging="654"/>
        <w:jc w:val="left"/>
        <w:rPr>
          <w:rFonts w:ascii="Calibri"/>
          <w:sz w:val="19"/>
        </w:rPr>
      </w:pPr>
      <w:r>
        <w:rPr>
          <w:rFonts w:ascii="Calibri"/>
          <w:w w:val="105"/>
          <w:sz w:val="19"/>
        </w:rPr>
        <w:t>Razones de liquidez</w:t>
      </w:r>
      <w:r>
        <w:rPr>
          <w:rFonts w:ascii="Times New Roman"/>
          <w:w w:val="105"/>
          <w:sz w:val="19"/>
        </w:rPr>
        <w:tab/>
      </w:r>
      <w:r>
        <w:rPr>
          <w:rFonts w:ascii="Calibri"/>
          <w:w w:val="105"/>
          <w:sz w:val="19"/>
        </w:rPr>
        <w:t>26</w:t>
      </w:r>
    </w:p>
    <w:p>
      <w:pPr>
        <w:spacing w:after="0" w:line="240" w:lineRule="auto"/>
        <w:jc w:val="left"/>
        <w:rPr>
          <w:rFonts w:ascii="Calibri"/>
          <w:sz w:val="19"/>
        </w:rPr>
        <w:sectPr>
          <w:pgSz w:w="11910" w:h="16840"/>
          <w:pgMar w:top="1580" w:bottom="280" w:left="1600" w:right="1600"/>
        </w:sectPr>
      </w:pPr>
    </w:p>
    <w:sdt>
      <w:sdtPr>
        <w:docPartObj>
          <w:docPartGallery w:val="Table of Contents"/>
          <w:docPartUnique/>
        </w:docPartObj>
      </w:sdtPr>
      <w:sdtEndPr/>
      <w:sdtContent>
        <w:p>
          <w:pPr>
            <w:pStyle w:val="TOC4"/>
            <w:numPr>
              <w:ilvl w:val="3"/>
              <w:numId w:val="1"/>
            </w:numPr>
            <w:tabs>
              <w:tab w:pos="1356" w:val="left" w:leader="none"/>
              <w:tab w:pos="1357" w:val="left" w:leader="none"/>
              <w:tab w:pos="8604" w:val="right" w:leader="dot"/>
            </w:tabs>
            <w:spacing w:line="240" w:lineRule="auto" w:before="462" w:after="0"/>
            <w:ind w:left="1356" w:right="0" w:hanging="806"/>
            <w:jc w:val="left"/>
          </w:pPr>
          <w:hyperlink w:history="true" w:anchor="_TOC_250063">
            <w:r>
              <w:rPr>
                <w:w w:val="105"/>
              </w:rPr>
              <w:t>Liquidez corriente</w:t>
            </w:r>
            <w:r>
              <w:rPr>
                <w:spacing w:val="1"/>
                <w:w w:val="105"/>
              </w:rPr>
              <w:t> </w:t>
            </w:r>
            <w:r>
              <w:rPr>
                <w:w w:val="105"/>
              </w:rPr>
              <w:t>(Current ratio)</w:t>
            </w:r>
            <w:r>
              <w:rPr>
                <w:rFonts w:ascii="Times New Roman"/>
                <w:w w:val="105"/>
              </w:rPr>
              <w:tab/>
            </w:r>
            <w:r>
              <w:rPr>
                <w:w w:val="105"/>
              </w:rPr>
              <w:t>26</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62">
            <w:r>
              <w:rPr>
                <w:w w:val="105"/>
              </w:rPr>
              <w:t>Razón rápida o prueba ácida</w:t>
            </w:r>
            <w:r>
              <w:rPr>
                <w:spacing w:val="4"/>
                <w:w w:val="105"/>
              </w:rPr>
              <w:t> </w:t>
            </w:r>
            <w:r>
              <w:rPr>
                <w:w w:val="105"/>
              </w:rPr>
              <w:t>(Quick test)</w:t>
            </w:r>
            <w:r>
              <w:rPr>
                <w:rFonts w:ascii="Times New Roman" w:hAnsi="Times New Roman"/>
                <w:w w:val="105"/>
              </w:rPr>
              <w:tab/>
            </w:r>
            <w:r>
              <w:rPr>
                <w:w w:val="105"/>
              </w:rPr>
              <w:t>26</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61">
            <w:r>
              <w:rPr>
                <w:w w:val="105"/>
              </w:rPr>
              <w:t>Índices de actividad</w:t>
            </w:r>
            <w:r>
              <w:rPr>
                <w:rFonts w:ascii="Times New Roman" w:hAnsi="Times New Roman"/>
                <w:w w:val="105"/>
              </w:rPr>
              <w:tab/>
            </w:r>
            <w:r>
              <w:rPr>
                <w:w w:val="105"/>
              </w:rPr>
              <w:t>27</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60">
            <w:r>
              <w:rPr>
                <w:w w:val="105"/>
              </w:rPr>
              <w:t>Rotación</w:t>
            </w:r>
            <w:r>
              <w:rPr>
                <w:spacing w:val="1"/>
                <w:w w:val="105"/>
              </w:rPr>
              <w:t> </w:t>
            </w:r>
            <w:r>
              <w:rPr>
                <w:w w:val="105"/>
              </w:rPr>
              <w:t>de inventarios</w:t>
            </w:r>
            <w:r>
              <w:rPr>
                <w:rFonts w:ascii="Times New Roman" w:hAnsi="Times New Roman"/>
                <w:w w:val="105"/>
              </w:rPr>
              <w:tab/>
            </w:r>
            <w:r>
              <w:rPr>
                <w:w w:val="105"/>
              </w:rPr>
              <w:t>27</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59">
            <w:r>
              <w:rPr>
                <w:w w:val="105"/>
              </w:rPr>
              <w:t>Periodo promedio</w:t>
            </w:r>
            <w:r>
              <w:rPr>
                <w:spacing w:val="3"/>
                <w:w w:val="105"/>
              </w:rPr>
              <w:t> </w:t>
            </w:r>
            <w:r>
              <w:rPr>
                <w:w w:val="105"/>
              </w:rPr>
              <w:t>de cobro</w:t>
            </w:r>
            <w:r>
              <w:rPr>
                <w:rFonts w:ascii="Times New Roman"/>
                <w:w w:val="105"/>
              </w:rPr>
              <w:tab/>
            </w:r>
            <w:r>
              <w:rPr>
                <w:w w:val="105"/>
              </w:rPr>
              <w:t>27</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58">
            <w:r>
              <w:rPr>
                <w:w w:val="105"/>
              </w:rPr>
              <w:t>Periodo promedio</w:t>
            </w:r>
            <w:r>
              <w:rPr>
                <w:spacing w:val="3"/>
                <w:w w:val="105"/>
              </w:rPr>
              <w:t> </w:t>
            </w:r>
            <w:r>
              <w:rPr>
                <w:w w:val="105"/>
              </w:rPr>
              <w:t>de pago</w:t>
            </w:r>
            <w:r>
              <w:rPr>
                <w:rFonts w:ascii="Times New Roman"/>
                <w:w w:val="105"/>
              </w:rPr>
              <w:tab/>
            </w:r>
            <w:r>
              <w:rPr>
                <w:w w:val="105"/>
              </w:rPr>
              <w:t>27</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57">
            <w:r>
              <w:rPr>
                <w:w w:val="105"/>
              </w:rPr>
              <w:t>Rotación de los</w:t>
            </w:r>
            <w:r>
              <w:rPr>
                <w:spacing w:val="3"/>
                <w:w w:val="105"/>
              </w:rPr>
              <w:t> </w:t>
            </w:r>
            <w:r>
              <w:rPr>
                <w:w w:val="105"/>
              </w:rPr>
              <w:t>activos totales</w:t>
            </w:r>
            <w:r>
              <w:rPr>
                <w:rFonts w:ascii="Times New Roman" w:hAnsi="Times New Roman"/>
                <w:w w:val="105"/>
              </w:rPr>
              <w:tab/>
            </w:r>
            <w:r>
              <w:rPr>
                <w:w w:val="105"/>
              </w:rPr>
              <w:t>28</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56">
            <w:r>
              <w:rPr>
                <w:w w:val="105"/>
              </w:rPr>
              <w:t>Razones de endeudamiento.</w:t>
            </w:r>
            <w:r>
              <w:rPr>
                <w:rFonts w:ascii="Times New Roman"/>
                <w:w w:val="105"/>
              </w:rPr>
              <w:tab/>
            </w:r>
            <w:r>
              <w:rPr>
                <w:w w:val="105"/>
              </w:rPr>
              <w:t>28</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55">
            <w:r>
              <w:rPr>
                <w:w w:val="105"/>
              </w:rPr>
              <w:t>Índice de endeudamiento</w:t>
            </w:r>
            <w:r>
              <w:rPr>
                <w:rFonts w:ascii="Times New Roman" w:hAnsi="Times New Roman"/>
                <w:w w:val="105"/>
              </w:rPr>
              <w:tab/>
            </w:r>
            <w:r>
              <w:rPr>
                <w:w w:val="105"/>
              </w:rPr>
              <w:t>29</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54">
            <w:r>
              <w:rPr>
                <w:w w:val="105"/>
              </w:rPr>
              <w:t>Razón de cargos de</w:t>
            </w:r>
            <w:r>
              <w:rPr>
                <w:spacing w:val="3"/>
                <w:w w:val="105"/>
              </w:rPr>
              <w:t> </w:t>
            </w:r>
            <w:r>
              <w:rPr>
                <w:w w:val="105"/>
              </w:rPr>
              <w:t>interés fijo.</w:t>
            </w:r>
            <w:r>
              <w:rPr>
                <w:rFonts w:ascii="Times New Roman" w:hAnsi="Times New Roman"/>
                <w:w w:val="105"/>
              </w:rPr>
              <w:tab/>
            </w:r>
            <w:r>
              <w:rPr>
                <w:w w:val="105"/>
              </w:rPr>
              <w:t>29</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53">
            <w:r>
              <w:rPr>
                <w:w w:val="105"/>
              </w:rPr>
              <w:t>Índice de cobertura de</w:t>
            </w:r>
            <w:r>
              <w:rPr>
                <w:spacing w:val="2"/>
                <w:w w:val="105"/>
              </w:rPr>
              <w:t> </w:t>
            </w:r>
            <w:r>
              <w:rPr>
                <w:w w:val="105"/>
              </w:rPr>
              <w:t>pagos fijos</w:t>
            </w:r>
            <w:r>
              <w:rPr>
                <w:rFonts w:ascii="Times New Roman" w:hAnsi="Times New Roman"/>
                <w:w w:val="105"/>
              </w:rPr>
              <w:tab/>
            </w:r>
            <w:r>
              <w:rPr>
                <w:w w:val="105"/>
              </w:rPr>
              <w:t>29</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52">
            <w:r>
              <w:rPr>
                <w:w w:val="105"/>
              </w:rPr>
              <w:t>Índices de rentabilidad</w:t>
            </w:r>
            <w:r>
              <w:rPr>
                <w:rFonts w:ascii="Times New Roman" w:hAnsi="Times New Roman"/>
                <w:w w:val="105"/>
              </w:rPr>
              <w:tab/>
            </w:r>
            <w:r>
              <w:rPr>
                <w:w w:val="105"/>
              </w:rPr>
              <w:t>30</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51">
            <w:r>
              <w:rPr>
                <w:w w:val="105"/>
              </w:rPr>
              <w:t>Estados de pérdidas y ganancias de</w:t>
            </w:r>
            <w:r>
              <w:rPr>
                <w:spacing w:val="3"/>
                <w:w w:val="105"/>
              </w:rPr>
              <w:t> </w:t>
            </w:r>
            <w:r>
              <w:rPr>
                <w:w w:val="105"/>
              </w:rPr>
              <w:t>tamaño</w:t>
            </w:r>
            <w:r>
              <w:rPr>
                <w:spacing w:val="1"/>
                <w:w w:val="105"/>
              </w:rPr>
              <w:t> </w:t>
            </w:r>
            <w:r>
              <w:rPr>
                <w:w w:val="105"/>
              </w:rPr>
              <w:t>común.</w:t>
            </w:r>
            <w:r>
              <w:rPr>
                <w:rFonts w:ascii="Times New Roman" w:hAnsi="Times New Roman"/>
                <w:w w:val="105"/>
              </w:rPr>
              <w:tab/>
            </w:r>
            <w:r>
              <w:rPr>
                <w:w w:val="105"/>
              </w:rPr>
              <w:t>30</w:t>
            </w:r>
          </w:hyperlink>
        </w:p>
        <w:p>
          <w:pPr>
            <w:pStyle w:val="TOC5"/>
            <w:numPr>
              <w:ilvl w:val="4"/>
              <w:numId w:val="1"/>
            </w:numPr>
            <w:tabs>
              <w:tab w:pos="1728" w:val="left" w:leader="none"/>
              <w:tab w:pos="1729" w:val="left" w:leader="none"/>
              <w:tab w:pos="8604" w:val="right" w:leader="dot"/>
            </w:tabs>
            <w:spacing w:line="240" w:lineRule="auto" w:before="51" w:after="0"/>
            <w:ind w:left="1728" w:right="0" w:hanging="958"/>
            <w:jc w:val="left"/>
          </w:pPr>
          <w:hyperlink w:history="true" w:anchor="_TOC_250050">
            <w:r>
              <w:rPr>
                <w:w w:val="105"/>
              </w:rPr>
              <w:t>Margen de</w:t>
            </w:r>
            <w:r>
              <w:rPr>
                <w:spacing w:val="1"/>
                <w:w w:val="105"/>
              </w:rPr>
              <w:t> </w:t>
            </w:r>
            <w:r>
              <w:rPr>
                <w:w w:val="105"/>
              </w:rPr>
              <w:t>utilidad bruta</w:t>
            </w:r>
            <w:r>
              <w:rPr>
                <w:rFonts w:ascii="Times New Roman"/>
                <w:w w:val="105"/>
              </w:rPr>
              <w:tab/>
            </w:r>
            <w:r>
              <w:rPr>
                <w:w w:val="105"/>
              </w:rPr>
              <w:t>30</w:t>
            </w:r>
          </w:hyperlink>
        </w:p>
        <w:p>
          <w:pPr>
            <w:pStyle w:val="TOC5"/>
            <w:numPr>
              <w:ilvl w:val="4"/>
              <w:numId w:val="1"/>
            </w:numPr>
            <w:tabs>
              <w:tab w:pos="1728" w:val="left" w:leader="none"/>
              <w:tab w:pos="1729" w:val="left" w:leader="none"/>
              <w:tab w:pos="8604" w:val="right" w:leader="dot"/>
            </w:tabs>
            <w:spacing w:line="240" w:lineRule="auto" w:before="46" w:after="0"/>
            <w:ind w:left="1728" w:right="0" w:hanging="958"/>
            <w:jc w:val="left"/>
          </w:pPr>
          <w:hyperlink w:history="true" w:anchor="_TOC_250049">
            <w:r>
              <w:rPr>
                <w:w w:val="105"/>
              </w:rPr>
              <w:t>Margen de</w:t>
            </w:r>
            <w:r>
              <w:rPr>
                <w:spacing w:val="1"/>
                <w:w w:val="105"/>
              </w:rPr>
              <w:t> </w:t>
            </w:r>
            <w:r>
              <w:rPr>
                <w:w w:val="105"/>
              </w:rPr>
              <w:t>utilidad operativa</w:t>
            </w:r>
            <w:r>
              <w:rPr>
                <w:rFonts w:ascii="Times New Roman"/>
                <w:w w:val="105"/>
              </w:rPr>
              <w:tab/>
            </w:r>
            <w:r>
              <w:rPr>
                <w:w w:val="105"/>
              </w:rPr>
              <w:t>30</w:t>
            </w:r>
          </w:hyperlink>
        </w:p>
        <w:p>
          <w:pPr>
            <w:pStyle w:val="TOC5"/>
            <w:numPr>
              <w:ilvl w:val="4"/>
              <w:numId w:val="1"/>
            </w:numPr>
            <w:tabs>
              <w:tab w:pos="1728" w:val="left" w:leader="none"/>
              <w:tab w:pos="1729" w:val="left" w:leader="none"/>
              <w:tab w:pos="8604" w:val="right" w:leader="dot"/>
            </w:tabs>
            <w:spacing w:line="240" w:lineRule="auto" w:before="51" w:after="0"/>
            <w:ind w:left="1728" w:right="0" w:hanging="958"/>
            <w:jc w:val="left"/>
          </w:pPr>
          <w:hyperlink w:history="true" w:anchor="_TOC_250048">
            <w:r>
              <w:rPr>
                <w:w w:val="105"/>
              </w:rPr>
              <w:t>Margen de</w:t>
            </w:r>
            <w:r>
              <w:rPr>
                <w:spacing w:val="1"/>
                <w:w w:val="105"/>
              </w:rPr>
              <w:t> </w:t>
            </w:r>
            <w:r>
              <w:rPr>
                <w:w w:val="105"/>
              </w:rPr>
              <w:t>utilidad neta</w:t>
            </w:r>
            <w:r>
              <w:rPr>
                <w:rFonts w:ascii="Times New Roman"/>
                <w:w w:val="105"/>
              </w:rPr>
              <w:tab/>
            </w:r>
            <w:r>
              <w:rPr>
                <w:w w:val="105"/>
              </w:rPr>
              <w:t>31</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47">
            <w:r>
              <w:rPr>
                <w:w w:val="105"/>
              </w:rPr>
              <w:t>Ganancias por</w:t>
            </w:r>
            <w:r>
              <w:rPr>
                <w:spacing w:val="1"/>
                <w:w w:val="105"/>
              </w:rPr>
              <w:t> </w:t>
            </w:r>
            <w:r>
              <w:rPr>
                <w:w w:val="105"/>
              </w:rPr>
              <w:t>acciones (EPS)</w:t>
            </w:r>
            <w:r>
              <w:rPr>
                <w:rFonts w:ascii="Times New Roman"/>
                <w:w w:val="105"/>
              </w:rPr>
              <w:tab/>
            </w:r>
            <w:r>
              <w:rPr>
                <w:w w:val="105"/>
              </w:rPr>
              <w:t>31</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46">
            <w:r>
              <w:rPr>
                <w:w w:val="105"/>
              </w:rPr>
              <w:t>Rendimiento sobre los activos</w:t>
            </w:r>
            <w:r>
              <w:rPr>
                <w:spacing w:val="2"/>
                <w:w w:val="105"/>
              </w:rPr>
              <w:t> </w:t>
            </w:r>
            <w:r>
              <w:rPr>
                <w:w w:val="105"/>
              </w:rPr>
              <w:t>totales (ROA)</w:t>
            </w:r>
            <w:r>
              <w:rPr>
                <w:rFonts w:ascii="Times New Roman"/>
                <w:w w:val="105"/>
              </w:rPr>
              <w:tab/>
            </w:r>
            <w:r>
              <w:rPr>
                <w:w w:val="105"/>
              </w:rPr>
              <w:t>31</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45">
            <w:r>
              <w:rPr>
                <w:w w:val="105"/>
              </w:rPr>
              <w:t>Retorno sobre el</w:t>
            </w:r>
            <w:r>
              <w:rPr>
                <w:spacing w:val="2"/>
                <w:w w:val="105"/>
              </w:rPr>
              <w:t> </w:t>
            </w:r>
            <w:r>
              <w:rPr>
                <w:w w:val="105"/>
              </w:rPr>
              <w:t>patrimonio (ROE)</w:t>
            </w:r>
            <w:r>
              <w:rPr>
                <w:rFonts w:ascii="Times New Roman"/>
                <w:w w:val="105"/>
              </w:rPr>
              <w:tab/>
            </w:r>
            <w:r>
              <w:rPr>
                <w:w w:val="105"/>
              </w:rPr>
              <w:t>32</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44">
            <w:r>
              <w:rPr>
                <w:w w:val="105"/>
              </w:rPr>
              <w:t>Razones de mercado.</w:t>
            </w:r>
            <w:r>
              <w:rPr>
                <w:rFonts w:ascii="Times New Roman"/>
                <w:w w:val="105"/>
              </w:rPr>
              <w:tab/>
            </w:r>
            <w:r>
              <w:rPr>
                <w:w w:val="105"/>
              </w:rPr>
              <w:t>32</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43">
            <w:r>
              <w:rPr>
                <w:w w:val="105"/>
              </w:rPr>
              <w:t>Relación</w:t>
            </w:r>
            <w:r>
              <w:rPr>
                <w:spacing w:val="1"/>
                <w:w w:val="105"/>
              </w:rPr>
              <w:t> </w:t>
            </w:r>
            <w:r>
              <w:rPr>
                <w:w w:val="105"/>
              </w:rPr>
              <w:t>precio/ganancias (P/E)</w:t>
            </w:r>
            <w:r>
              <w:rPr>
                <w:rFonts w:ascii="Times New Roman" w:hAnsi="Times New Roman"/>
                <w:w w:val="105"/>
              </w:rPr>
              <w:tab/>
            </w:r>
            <w:r>
              <w:rPr>
                <w:w w:val="105"/>
              </w:rPr>
              <w:t>33</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42">
            <w:r>
              <w:rPr>
                <w:w w:val="105"/>
              </w:rPr>
              <w:t>Razón</w:t>
            </w:r>
            <w:r>
              <w:rPr>
                <w:spacing w:val="1"/>
                <w:w w:val="105"/>
              </w:rPr>
              <w:t> </w:t>
            </w:r>
            <w:r>
              <w:rPr>
                <w:w w:val="105"/>
              </w:rPr>
              <w:t>mercado/libro (M/L)</w:t>
            </w:r>
            <w:r>
              <w:rPr>
                <w:rFonts w:ascii="Times New Roman" w:hAnsi="Times New Roman"/>
                <w:w w:val="105"/>
              </w:rPr>
              <w:tab/>
            </w:r>
            <w:r>
              <w:rPr>
                <w:w w:val="105"/>
              </w:rPr>
              <w:t>33</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41">
            <w:r>
              <w:rPr>
                <w:w w:val="105"/>
              </w:rPr>
              <w:t>Sistema de</w:t>
            </w:r>
            <w:r>
              <w:rPr>
                <w:spacing w:val="1"/>
                <w:w w:val="105"/>
              </w:rPr>
              <w:t> </w:t>
            </w:r>
            <w:r>
              <w:rPr>
                <w:w w:val="105"/>
              </w:rPr>
              <w:t>análisis DuPont</w:t>
            </w:r>
            <w:r>
              <w:rPr>
                <w:rFonts w:ascii="Times New Roman" w:hAnsi="Times New Roman"/>
                <w:w w:val="105"/>
              </w:rPr>
              <w:tab/>
            </w:r>
            <w:r>
              <w:rPr>
                <w:w w:val="105"/>
              </w:rPr>
              <w:t>33</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40">
            <w:r>
              <w:rPr>
                <w:w w:val="105"/>
              </w:rPr>
              <w:t>Fórmula DuPont modificada.</w:t>
            </w:r>
            <w:r>
              <w:rPr>
                <w:rFonts w:ascii="Times New Roman" w:hAnsi="Times New Roman"/>
                <w:w w:val="105"/>
              </w:rPr>
              <w:tab/>
            </w:r>
            <w:r>
              <w:rPr>
                <w:w w:val="105"/>
              </w:rPr>
              <w:t>34</w:t>
            </w:r>
          </w:hyperlink>
        </w:p>
        <w:p>
          <w:pPr>
            <w:pStyle w:val="TOC1"/>
            <w:numPr>
              <w:ilvl w:val="0"/>
              <w:numId w:val="1"/>
            </w:numPr>
            <w:tabs>
              <w:tab w:pos="472" w:val="left" w:leader="none"/>
              <w:tab w:pos="473" w:val="left" w:leader="none"/>
              <w:tab w:pos="8604" w:val="right" w:leader="dot"/>
            </w:tabs>
            <w:spacing w:line="240" w:lineRule="auto" w:before="397" w:after="0"/>
            <w:ind w:left="472" w:right="0" w:hanging="362"/>
            <w:jc w:val="left"/>
          </w:pPr>
          <w:hyperlink w:history="true" w:anchor="_TOC_250039">
            <w:r>
              <w:rPr/>
              <w:t>CAPÍTULO II MARCO</w:t>
            </w:r>
            <w:r>
              <w:rPr>
                <w:spacing w:val="-2"/>
              </w:rPr>
              <w:t> </w:t>
            </w:r>
            <w:r>
              <w:rPr/>
              <w:t>DE</w:t>
            </w:r>
            <w:r>
              <w:rPr>
                <w:spacing w:val="-1"/>
              </w:rPr>
              <w:t> </w:t>
            </w:r>
            <w:r>
              <w:rPr/>
              <w:t>REFERENCIA</w:t>
            </w:r>
            <w:r>
              <w:rPr>
                <w:rFonts w:ascii="Times New Roman" w:hAnsi="Times New Roman"/>
                <w:b w:val="0"/>
              </w:rPr>
              <w:tab/>
            </w:r>
            <w:r>
              <w:rPr/>
              <w:t>36</w:t>
            </w:r>
          </w:hyperlink>
        </w:p>
        <w:p>
          <w:pPr>
            <w:pStyle w:val="TOC2"/>
            <w:numPr>
              <w:ilvl w:val="1"/>
              <w:numId w:val="1"/>
            </w:numPr>
            <w:tabs>
              <w:tab w:pos="633" w:val="left" w:leader="none"/>
              <w:tab w:pos="634" w:val="left" w:leader="none"/>
              <w:tab w:pos="8604" w:val="right" w:leader="dot"/>
            </w:tabs>
            <w:spacing w:line="240" w:lineRule="auto" w:before="289" w:after="0"/>
            <w:ind w:left="633" w:right="0" w:hanging="523"/>
            <w:jc w:val="left"/>
          </w:pPr>
          <w:hyperlink w:history="true" w:anchor="_TOC_250038">
            <w:r>
              <w:rPr>
                <w:w w:val="105"/>
              </w:rPr>
              <w:t>Introducción Marco</w:t>
            </w:r>
            <w:r>
              <w:rPr>
                <w:spacing w:val="1"/>
                <w:w w:val="105"/>
              </w:rPr>
              <w:t> </w:t>
            </w:r>
            <w:r>
              <w:rPr>
                <w:w w:val="105"/>
              </w:rPr>
              <w:t>de referencia</w:t>
            </w:r>
            <w:r>
              <w:rPr>
                <w:rFonts w:ascii="Times New Roman" w:hAnsi="Times New Roman"/>
                <w:b w:val="0"/>
                <w:w w:val="105"/>
              </w:rPr>
              <w:tab/>
            </w:r>
            <w:r>
              <w:rPr>
                <w:w w:val="105"/>
              </w:rPr>
              <w:t>37</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37">
            <w:r>
              <w:rPr>
                <w:w w:val="105"/>
              </w:rPr>
              <w:t>Datos generales de la</w:t>
            </w:r>
            <w:r>
              <w:rPr>
                <w:spacing w:val="2"/>
                <w:w w:val="105"/>
              </w:rPr>
              <w:t> </w:t>
            </w:r>
            <w:r>
              <w:rPr>
                <w:w w:val="105"/>
              </w:rPr>
              <w:t>empresa Valeo</w:t>
            </w:r>
            <w:r>
              <w:rPr>
                <w:rFonts w:ascii="Times New Roman"/>
                <w:w w:val="105"/>
              </w:rPr>
              <w:tab/>
            </w:r>
            <w:r>
              <w:rPr>
                <w:w w:val="105"/>
              </w:rPr>
              <w:t>37</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36">
            <w:r>
              <w:rPr>
                <w:w w:val="105"/>
              </w:rPr>
              <w:t>Historia de la</w:t>
            </w:r>
            <w:r>
              <w:rPr>
                <w:spacing w:val="2"/>
                <w:w w:val="105"/>
              </w:rPr>
              <w:t> </w:t>
            </w:r>
            <w:r>
              <w:rPr>
                <w:w w:val="105"/>
              </w:rPr>
              <w:t>empresa Valeo</w:t>
            </w:r>
            <w:r>
              <w:rPr>
                <w:rFonts w:ascii="Times New Roman"/>
                <w:w w:val="105"/>
              </w:rPr>
              <w:tab/>
            </w:r>
            <w:r>
              <w:rPr>
                <w:w w:val="105"/>
              </w:rPr>
              <w:t>37</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35">
            <w:r>
              <w:rPr>
                <w:w w:val="105"/>
              </w:rPr>
              <w:t>Estructura de la</w:t>
            </w:r>
            <w:r>
              <w:rPr>
                <w:spacing w:val="2"/>
                <w:w w:val="105"/>
              </w:rPr>
              <w:t> </w:t>
            </w:r>
            <w:r>
              <w:rPr>
                <w:w w:val="105"/>
              </w:rPr>
              <w:t>empresa Valeo</w:t>
            </w:r>
            <w:r>
              <w:rPr>
                <w:rFonts w:ascii="Times New Roman"/>
                <w:w w:val="105"/>
              </w:rPr>
              <w:tab/>
            </w:r>
            <w:r>
              <w:rPr>
                <w:w w:val="105"/>
              </w:rPr>
              <w:t>38</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34">
            <w:r>
              <w:rPr>
                <w:w w:val="105"/>
              </w:rPr>
              <w:t>Estructura legal de la</w:t>
            </w:r>
            <w:r>
              <w:rPr>
                <w:spacing w:val="2"/>
                <w:w w:val="105"/>
              </w:rPr>
              <w:t> </w:t>
            </w:r>
            <w:r>
              <w:rPr>
                <w:w w:val="105"/>
              </w:rPr>
              <w:t>empresa Valeo</w:t>
            </w:r>
            <w:r>
              <w:rPr>
                <w:rFonts w:ascii="Times New Roman"/>
                <w:w w:val="105"/>
              </w:rPr>
              <w:tab/>
            </w:r>
            <w:r>
              <w:rPr>
                <w:w w:val="105"/>
              </w:rPr>
              <w:t>38</w:t>
            </w:r>
          </w:hyperlink>
        </w:p>
        <w:p>
          <w:pPr>
            <w:pStyle w:val="TOC4"/>
            <w:numPr>
              <w:ilvl w:val="3"/>
              <w:numId w:val="1"/>
            </w:numPr>
            <w:tabs>
              <w:tab w:pos="1356" w:val="left" w:leader="none"/>
              <w:tab w:pos="1357" w:val="left" w:leader="none"/>
              <w:tab w:pos="8604" w:val="right" w:leader="dot"/>
            </w:tabs>
            <w:spacing w:line="240" w:lineRule="auto" w:before="51" w:after="0"/>
            <w:ind w:left="1356" w:right="0" w:hanging="806"/>
            <w:jc w:val="left"/>
          </w:pPr>
          <w:hyperlink w:history="true" w:anchor="_TOC_250033">
            <w:r>
              <w:rPr>
                <w:w w:val="105"/>
              </w:rPr>
              <w:t>Estructura operacional de la</w:t>
            </w:r>
            <w:r>
              <w:rPr>
                <w:spacing w:val="1"/>
                <w:w w:val="105"/>
              </w:rPr>
              <w:t> </w:t>
            </w:r>
            <w:r>
              <w:rPr>
                <w:w w:val="105"/>
              </w:rPr>
              <w:t>empresa Valeo</w:t>
            </w:r>
            <w:r>
              <w:rPr>
                <w:rFonts w:ascii="Times New Roman"/>
                <w:w w:val="105"/>
              </w:rPr>
              <w:tab/>
            </w:r>
            <w:r>
              <w:rPr>
                <w:w w:val="105"/>
              </w:rPr>
              <w:t>39</w:t>
            </w:r>
          </w:hyperlink>
        </w:p>
        <w:p>
          <w:pPr>
            <w:pStyle w:val="TOC4"/>
            <w:numPr>
              <w:ilvl w:val="3"/>
              <w:numId w:val="1"/>
            </w:numPr>
            <w:tabs>
              <w:tab w:pos="1356" w:val="left" w:leader="none"/>
              <w:tab w:pos="1357" w:val="left" w:leader="none"/>
              <w:tab w:pos="8604" w:val="right" w:leader="dot"/>
            </w:tabs>
            <w:spacing w:line="240" w:lineRule="auto" w:before="46" w:after="0"/>
            <w:ind w:left="1356" w:right="0" w:hanging="806"/>
            <w:jc w:val="left"/>
          </w:pPr>
          <w:hyperlink w:history="true" w:anchor="_TOC_250032">
            <w:r>
              <w:rPr>
                <w:w w:val="105"/>
              </w:rPr>
              <w:t>Estructura funcional</w:t>
            </w:r>
            <w:r>
              <w:rPr>
                <w:rFonts w:ascii="Times New Roman"/>
                <w:w w:val="105"/>
              </w:rPr>
              <w:tab/>
            </w:r>
            <w:r>
              <w:rPr>
                <w:w w:val="105"/>
              </w:rPr>
              <w:t>40</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31">
            <w:r>
              <w:rPr>
                <w:w w:val="105"/>
              </w:rPr>
              <w:t>Excelencia operacional</w:t>
            </w:r>
            <w:r>
              <w:rPr>
                <w:rFonts w:ascii="Times New Roman"/>
                <w:w w:val="105"/>
              </w:rPr>
              <w:tab/>
            </w:r>
            <w:r>
              <w:rPr>
                <w:w w:val="105"/>
              </w:rPr>
              <w:t>42</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30">
            <w:r>
              <w:rPr>
                <w:w w:val="105"/>
              </w:rPr>
              <w:t>Ética y cumplimiento</w:t>
            </w:r>
            <w:r>
              <w:rPr>
                <w:rFonts w:ascii="Times New Roman" w:hAnsi="Times New Roman"/>
                <w:w w:val="105"/>
              </w:rPr>
              <w:tab/>
            </w:r>
            <w:r>
              <w:rPr>
                <w:w w:val="105"/>
              </w:rPr>
              <w:t>43</w:t>
            </w:r>
          </w:hyperlink>
        </w:p>
        <w:p>
          <w:pPr>
            <w:pStyle w:val="TOC2"/>
            <w:numPr>
              <w:ilvl w:val="1"/>
              <w:numId w:val="1"/>
            </w:numPr>
            <w:tabs>
              <w:tab w:pos="633" w:val="left" w:leader="none"/>
              <w:tab w:pos="634" w:val="left" w:leader="none"/>
              <w:tab w:pos="8604" w:val="right" w:leader="dot"/>
            </w:tabs>
            <w:spacing w:line="240" w:lineRule="auto" w:before="291" w:after="0"/>
            <w:ind w:left="633" w:right="0" w:hanging="523"/>
            <w:jc w:val="left"/>
          </w:pPr>
          <w:hyperlink w:history="true" w:anchor="_TOC_250029">
            <w:r>
              <w:rPr>
                <w:w w:val="105"/>
              </w:rPr>
              <w:t>Visión</w:t>
            </w:r>
            <w:r>
              <w:rPr>
                <w:rFonts w:ascii="Times New Roman" w:hAnsi="Times New Roman"/>
                <w:b w:val="0"/>
                <w:w w:val="105"/>
              </w:rPr>
              <w:tab/>
            </w:r>
            <w:r>
              <w:rPr>
                <w:w w:val="105"/>
              </w:rPr>
              <w:t>45</w:t>
            </w:r>
          </w:hyperlink>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28">
            <w:r>
              <w:rPr>
                <w:w w:val="105"/>
              </w:rPr>
              <w:t>Estrategia.</w:t>
            </w:r>
            <w:r>
              <w:rPr>
                <w:rFonts w:ascii="Times New Roman"/>
                <w:b w:val="0"/>
                <w:w w:val="105"/>
              </w:rPr>
              <w:tab/>
            </w:r>
            <w:r>
              <w:rPr>
                <w:w w:val="105"/>
              </w:rPr>
              <w:t>46</w:t>
            </w:r>
          </w:hyperlink>
        </w:p>
        <w:p>
          <w:pPr>
            <w:pStyle w:val="TOC2"/>
            <w:numPr>
              <w:ilvl w:val="1"/>
              <w:numId w:val="1"/>
            </w:numPr>
            <w:tabs>
              <w:tab w:pos="633" w:val="left" w:leader="none"/>
              <w:tab w:pos="634" w:val="left" w:leader="none"/>
              <w:tab w:pos="8604" w:val="right" w:leader="dot"/>
            </w:tabs>
            <w:spacing w:line="240" w:lineRule="auto" w:before="291" w:after="0"/>
            <w:ind w:left="633" w:right="0" w:hanging="523"/>
            <w:jc w:val="left"/>
          </w:pPr>
          <w:hyperlink w:history="true" w:anchor="_TOC_250027">
            <w:r>
              <w:rPr>
                <w:w w:val="105"/>
              </w:rPr>
              <w:t>Productos</w:t>
            </w:r>
            <w:r>
              <w:rPr>
                <w:rFonts w:ascii="Times New Roman"/>
                <w:b w:val="0"/>
                <w:w w:val="105"/>
              </w:rPr>
              <w:tab/>
            </w:r>
            <w:r>
              <w:rPr>
                <w:w w:val="105"/>
              </w:rPr>
              <w:t>48</w:t>
            </w:r>
          </w:hyperlink>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26">
            <w:r>
              <w:rPr>
                <w:w w:val="105"/>
              </w:rPr>
              <w:t>Factores de riesgo operacional</w:t>
            </w:r>
            <w:r>
              <w:rPr>
                <w:spacing w:val="1"/>
                <w:w w:val="105"/>
              </w:rPr>
              <w:t> </w:t>
            </w:r>
            <w:r>
              <w:rPr>
                <w:w w:val="105"/>
              </w:rPr>
              <w:t>de Valeo</w:t>
            </w:r>
            <w:r>
              <w:rPr>
                <w:rFonts w:ascii="Times New Roman"/>
                <w:b w:val="0"/>
                <w:w w:val="105"/>
              </w:rPr>
              <w:tab/>
            </w:r>
            <w:r>
              <w:rPr>
                <w:w w:val="105"/>
              </w:rPr>
              <w:t>55</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25">
            <w:r>
              <w:rPr>
                <w:w w:val="105"/>
              </w:rPr>
              <w:t>Riesgos asociados con la industria de</w:t>
            </w:r>
            <w:r>
              <w:rPr>
                <w:spacing w:val="3"/>
                <w:w w:val="105"/>
              </w:rPr>
              <w:t> </w:t>
            </w:r>
            <w:r>
              <w:rPr>
                <w:w w:val="105"/>
              </w:rPr>
              <w:t>equipamiento automotriz</w:t>
            </w:r>
            <w:r>
              <w:rPr>
                <w:rFonts w:ascii="Times New Roman"/>
                <w:w w:val="105"/>
              </w:rPr>
              <w:tab/>
            </w:r>
            <w:r>
              <w:rPr>
                <w:w w:val="105"/>
              </w:rPr>
              <w:t>55</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24">
            <w:r>
              <w:rPr>
                <w:w w:val="105"/>
              </w:rPr>
              <w:t>Riesgos relacionados al desarrollo de</w:t>
            </w:r>
            <w:r>
              <w:rPr>
                <w:spacing w:val="1"/>
                <w:w w:val="105"/>
              </w:rPr>
              <w:t> </w:t>
            </w:r>
            <w:r>
              <w:rPr>
                <w:w w:val="105"/>
              </w:rPr>
              <w:t>nuevos productos</w:t>
            </w:r>
            <w:r>
              <w:rPr>
                <w:rFonts w:ascii="Times New Roman"/>
                <w:w w:val="105"/>
              </w:rPr>
              <w:tab/>
            </w:r>
            <w:r>
              <w:rPr>
                <w:w w:val="105"/>
              </w:rPr>
              <w:t>56</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r>
            <w:rPr>
              <w:w w:val="105"/>
            </w:rPr>
            <w:t>Riesgos de proveedores</w:t>
          </w:r>
          <w:r>
            <w:rPr>
              <w:rFonts w:ascii="Times New Roman"/>
              <w:w w:val="105"/>
            </w:rPr>
            <w:tab/>
          </w:r>
          <w:r>
            <w:rPr>
              <w:w w:val="105"/>
            </w:rPr>
            <w:t>57</w:t>
          </w:r>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r>
            <w:rPr>
              <w:w w:val="105"/>
            </w:rPr>
            <w:t>Riesgos geopolíticos</w:t>
          </w:r>
          <w:r>
            <w:rPr>
              <w:rFonts w:ascii="Times New Roman" w:hAnsi="Times New Roman"/>
              <w:w w:val="105"/>
            </w:rPr>
            <w:tab/>
          </w:r>
          <w:r>
            <w:rPr>
              <w:w w:val="105"/>
            </w:rPr>
            <w:t>58</w:t>
          </w:r>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r>
            <w:rPr>
              <w:w w:val="105"/>
            </w:rPr>
            <w:t>Riesgos de falla de sistemas de Tecnologías</w:t>
          </w:r>
          <w:r>
            <w:rPr>
              <w:spacing w:val="3"/>
              <w:w w:val="105"/>
            </w:rPr>
            <w:t> </w:t>
          </w:r>
          <w:r>
            <w:rPr>
              <w:w w:val="105"/>
            </w:rPr>
            <w:t>de Información</w:t>
          </w:r>
          <w:r>
            <w:rPr>
              <w:rFonts w:ascii="Times New Roman" w:hAnsi="Times New Roman"/>
              <w:w w:val="105"/>
            </w:rPr>
            <w:tab/>
          </w:r>
          <w:r>
            <w:rPr>
              <w:w w:val="105"/>
            </w:rPr>
            <w:t>59</w:t>
          </w:r>
        </w:p>
        <w:p>
          <w:pPr>
            <w:pStyle w:val="TOC2"/>
            <w:numPr>
              <w:ilvl w:val="1"/>
              <w:numId w:val="1"/>
            </w:numPr>
            <w:tabs>
              <w:tab w:pos="633" w:val="left" w:leader="none"/>
              <w:tab w:pos="634" w:val="left" w:leader="none"/>
              <w:tab w:pos="8604" w:val="right" w:leader="dot"/>
            </w:tabs>
            <w:spacing w:line="240" w:lineRule="auto" w:before="462" w:after="0"/>
            <w:ind w:left="633" w:right="0" w:hanging="523"/>
            <w:jc w:val="left"/>
          </w:pPr>
          <w:hyperlink w:history="true" w:anchor="_TOC_250023">
            <w:r>
              <w:rPr>
                <w:w w:val="105"/>
              </w:rPr>
              <w:t>Factores de</w:t>
            </w:r>
            <w:r>
              <w:rPr>
                <w:spacing w:val="1"/>
                <w:w w:val="105"/>
              </w:rPr>
              <w:t> </w:t>
            </w:r>
            <w:r>
              <w:rPr>
                <w:w w:val="105"/>
              </w:rPr>
              <w:t>Riesgo financiero</w:t>
            </w:r>
            <w:r>
              <w:rPr>
                <w:rFonts w:ascii="Times New Roman"/>
                <w:b w:val="0"/>
                <w:w w:val="105"/>
              </w:rPr>
              <w:tab/>
            </w:r>
            <w:r>
              <w:rPr>
                <w:w w:val="105"/>
              </w:rPr>
              <w:t>60</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r>
            <w:rPr>
              <w:w w:val="105"/>
            </w:rPr>
            <w:t>Riesgos de liquidez</w:t>
          </w:r>
          <w:r>
            <w:rPr>
              <w:rFonts w:ascii="Times New Roman"/>
              <w:w w:val="105"/>
            </w:rPr>
            <w:tab/>
          </w:r>
          <w:r>
            <w:rPr>
              <w:w w:val="105"/>
            </w:rPr>
            <w:t>60</w:t>
          </w:r>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22">
            <w:r>
              <w:rPr>
                <w:w w:val="105"/>
              </w:rPr>
              <w:t>Calificación</w:t>
            </w:r>
            <w:r>
              <w:rPr>
                <w:spacing w:val="1"/>
                <w:w w:val="105"/>
              </w:rPr>
              <w:t> </w:t>
            </w:r>
            <w:r>
              <w:rPr>
                <w:w w:val="105"/>
              </w:rPr>
              <w:t>crediticia</w:t>
            </w:r>
            <w:r>
              <w:rPr>
                <w:rFonts w:ascii="Times New Roman" w:hAnsi="Times New Roman"/>
                <w:w w:val="105"/>
              </w:rPr>
              <w:tab/>
            </w:r>
            <w:r>
              <w:rPr>
                <w:w w:val="105"/>
              </w:rPr>
              <w:t>62</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r>
            <w:rPr>
              <w:w w:val="105"/>
            </w:rPr>
            <w:t>Riesgos relacionados con</w:t>
          </w:r>
          <w:r>
            <w:rPr>
              <w:spacing w:val="3"/>
              <w:w w:val="105"/>
            </w:rPr>
            <w:t> </w:t>
          </w:r>
          <w:r>
            <w:rPr>
              <w:w w:val="105"/>
            </w:rPr>
            <w:t>la mercancía</w:t>
          </w:r>
          <w:r>
            <w:rPr>
              <w:rFonts w:ascii="Times New Roman" w:hAnsi="Times New Roman"/>
              <w:w w:val="105"/>
            </w:rPr>
            <w:tab/>
          </w:r>
          <w:r>
            <w:rPr>
              <w:w w:val="105"/>
            </w:rPr>
            <w:t>63</w:t>
          </w:r>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r>
            <w:rPr>
              <w:w w:val="105"/>
            </w:rPr>
            <w:t>Riesgo del tipo</w:t>
          </w:r>
          <w:r>
            <w:rPr>
              <w:spacing w:val="2"/>
              <w:w w:val="105"/>
            </w:rPr>
            <w:t> </w:t>
          </w:r>
          <w:r>
            <w:rPr>
              <w:w w:val="105"/>
            </w:rPr>
            <w:t>de cambio.</w:t>
          </w:r>
          <w:r>
            <w:rPr>
              <w:rFonts w:ascii="Times New Roman"/>
              <w:w w:val="105"/>
            </w:rPr>
            <w:tab/>
          </w:r>
          <w:r>
            <w:rPr>
              <w:w w:val="105"/>
            </w:rPr>
            <w:t>64</w:t>
          </w:r>
        </w:p>
        <w:p>
          <w:pPr>
            <w:pStyle w:val="TOC3"/>
            <w:numPr>
              <w:ilvl w:val="2"/>
              <w:numId w:val="1"/>
            </w:numPr>
            <w:tabs>
              <w:tab w:pos="782" w:val="left" w:leader="none"/>
              <w:tab w:pos="8604" w:val="right" w:leader="dot"/>
            </w:tabs>
            <w:spacing w:line="240" w:lineRule="auto" w:before="51" w:after="0"/>
            <w:ind w:left="781" w:right="0" w:hanging="451"/>
            <w:jc w:val="left"/>
          </w:pPr>
          <w:r>
            <w:rPr>
              <w:w w:val="105"/>
            </w:rPr>
            <w:t>Riesgo de tasas</w:t>
          </w:r>
          <w:r>
            <w:rPr>
              <w:spacing w:val="3"/>
              <w:w w:val="105"/>
            </w:rPr>
            <w:t> </w:t>
          </w:r>
          <w:r>
            <w:rPr>
              <w:w w:val="105"/>
            </w:rPr>
            <w:t>de interés</w:t>
          </w:r>
          <w:r>
            <w:rPr>
              <w:rFonts w:ascii="Times New Roman" w:hAnsi="Times New Roman"/>
              <w:w w:val="105"/>
            </w:rPr>
            <w:tab/>
          </w:r>
          <w:r>
            <w:rPr>
              <w:w w:val="105"/>
            </w:rPr>
            <w:t>65</w:t>
          </w:r>
        </w:p>
        <w:p>
          <w:pPr>
            <w:pStyle w:val="TOC1"/>
            <w:numPr>
              <w:ilvl w:val="0"/>
              <w:numId w:val="1"/>
            </w:numPr>
            <w:tabs>
              <w:tab w:pos="472" w:val="left" w:leader="none"/>
              <w:tab w:pos="473" w:val="left" w:leader="none"/>
              <w:tab w:pos="8604" w:val="right" w:leader="dot"/>
            </w:tabs>
            <w:spacing w:line="240" w:lineRule="auto" w:before="397" w:after="0"/>
            <w:ind w:left="472" w:right="0" w:hanging="362"/>
            <w:jc w:val="left"/>
          </w:pPr>
          <w:hyperlink w:history="true" w:anchor="_TOC_250021">
            <w:r>
              <w:rPr/>
              <w:t>CAPÍTULO III</w:t>
            </w:r>
            <w:r>
              <w:rPr>
                <w:spacing w:val="-2"/>
              </w:rPr>
              <w:t> </w:t>
            </w:r>
            <w:r>
              <w:rPr/>
              <w:t>INDUSTRIA</w:t>
            </w:r>
            <w:r>
              <w:rPr>
                <w:spacing w:val="-2"/>
              </w:rPr>
              <w:t> </w:t>
            </w:r>
            <w:r>
              <w:rPr/>
              <w:t>AUTOMOTRIZ</w:t>
            </w:r>
            <w:r>
              <w:rPr>
                <w:rFonts w:ascii="Times New Roman" w:hAnsi="Times New Roman"/>
                <w:b w:val="0"/>
              </w:rPr>
              <w:tab/>
            </w:r>
            <w:r>
              <w:rPr/>
              <w:t>67</w:t>
            </w:r>
          </w:hyperlink>
        </w:p>
        <w:p>
          <w:pPr>
            <w:pStyle w:val="TOC2"/>
            <w:numPr>
              <w:ilvl w:val="1"/>
              <w:numId w:val="1"/>
            </w:numPr>
            <w:tabs>
              <w:tab w:pos="633" w:val="left" w:leader="none"/>
              <w:tab w:pos="634" w:val="left" w:leader="none"/>
              <w:tab w:pos="8604" w:val="right" w:leader="dot"/>
            </w:tabs>
            <w:spacing w:line="240" w:lineRule="auto" w:before="293" w:after="0"/>
            <w:ind w:left="633" w:right="0" w:hanging="523"/>
            <w:jc w:val="left"/>
          </w:pPr>
          <w:hyperlink w:history="true" w:anchor="_TOC_250020">
            <w:r>
              <w:rPr>
                <w:w w:val="105"/>
              </w:rPr>
              <w:t>Dinámica de la</w:t>
            </w:r>
            <w:r>
              <w:rPr>
                <w:spacing w:val="2"/>
                <w:w w:val="105"/>
              </w:rPr>
              <w:t> </w:t>
            </w:r>
            <w:r>
              <w:rPr>
                <w:w w:val="105"/>
              </w:rPr>
              <w:t>industria automotriz</w:t>
            </w:r>
            <w:r>
              <w:rPr>
                <w:rFonts w:ascii="Times New Roman" w:hAnsi="Times New Roman"/>
                <w:b w:val="0"/>
                <w:w w:val="105"/>
              </w:rPr>
              <w:tab/>
            </w:r>
            <w:r>
              <w:rPr>
                <w:w w:val="105"/>
              </w:rPr>
              <w:t>68</w:t>
            </w:r>
          </w:hyperlink>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19">
            <w:r>
              <w:rPr>
                <w:w w:val="105"/>
              </w:rPr>
              <w:t>Industria Automotriz</w:t>
            </w:r>
            <w:r>
              <w:rPr>
                <w:spacing w:val="1"/>
                <w:w w:val="105"/>
              </w:rPr>
              <w:t> </w:t>
            </w:r>
            <w:r>
              <w:rPr>
                <w:w w:val="105"/>
              </w:rPr>
              <w:t>en México</w:t>
            </w:r>
            <w:r>
              <w:rPr>
                <w:rFonts w:ascii="Times New Roman" w:hAnsi="Times New Roman"/>
                <w:b w:val="0"/>
                <w:w w:val="105"/>
              </w:rPr>
              <w:tab/>
            </w:r>
            <w:r>
              <w:rPr>
                <w:w w:val="105"/>
              </w:rPr>
              <w:t>70</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18">
            <w:r>
              <w:rPr>
                <w:w w:val="105"/>
              </w:rPr>
              <w:t>Industria de autopartes</w:t>
            </w:r>
            <w:r>
              <w:rPr>
                <w:spacing w:val="2"/>
                <w:w w:val="105"/>
              </w:rPr>
              <w:t> </w:t>
            </w:r>
            <w:r>
              <w:rPr>
                <w:w w:val="105"/>
              </w:rPr>
              <w:t>en</w:t>
            </w:r>
            <w:r>
              <w:rPr>
                <w:spacing w:val="1"/>
                <w:w w:val="105"/>
              </w:rPr>
              <w:t> </w:t>
            </w:r>
            <w:r>
              <w:rPr>
                <w:w w:val="105"/>
              </w:rPr>
              <w:t>México</w:t>
            </w:r>
            <w:r>
              <w:rPr>
                <w:rFonts w:ascii="Times New Roman" w:hAnsi="Times New Roman"/>
                <w:w w:val="105"/>
              </w:rPr>
              <w:tab/>
            </w:r>
            <w:r>
              <w:rPr>
                <w:w w:val="105"/>
              </w:rPr>
              <w:t>76</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17">
            <w:r>
              <w:rPr>
                <w:w w:val="105"/>
              </w:rPr>
              <w:t>Empresa Valeo</w:t>
            </w:r>
            <w:r>
              <w:rPr>
                <w:spacing w:val="1"/>
                <w:w w:val="105"/>
              </w:rPr>
              <w:t> </w:t>
            </w:r>
            <w:r>
              <w:rPr>
                <w:w w:val="105"/>
              </w:rPr>
              <w:t>en México</w:t>
            </w:r>
            <w:r>
              <w:rPr>
                <w:rFonts w:ascii="Times New Roman" w:hAnsi="Times New Roman"/>
                <w:w w:val="105"/>
              </w:rPr>
              <w:tab/>
            </w:r>
            <w:r>
              <w:rPr>
                <w:w w:val="105"/>
              </w:rPr>
              <w:t>78</w:t>
            </w:r>
          </w:hyperlink>
        </w:p>
        <w:p>
          <w:pPr>
            <w:pStyle w:val="TOC1"/>
            <w:numPr>
              <w:ilvl w:val="0"/>
              <w:numId w:val="1"/>
            </w:numPr>
            <w:tabs>
              <w:tab w:pos="472" w:val="left" w:leader="none"/>
              <w:tab w:pos="473" w:val="left" w:leader="none"/>
              <w:tab w:pos="8604" w:val="right" w:leader="dot"/>
            </w:tabs>
            <w:spacing w:line="240" w:lineRule="auto" w:before="402" w:after="0"/>
            <w:ind w:left="472" w:right="0" w:hanging="362"/>
            <w:jc w:val="left"/>
          </w:pPr>
          <w:hyperlink w:history="true" w:anchor="_TOC_250016">
            <w:r>
              <w:rPr/>
              <w:t>CAPÍTULO 4</w:t>
            </w:r>
            <w:r>
              <w:rPr>
                <w:spacing w:val="-2"/>
              </w:rPr>
              <w:t> </w:t>
            </w:r>
            <w:r>
              <w:rPr/>
              <w:t>ANÁLISIS</w:t>
            </w:r>
            <w:r>
              <w:rPr>
                <w:spacing w:val="-2"/>
              </w:rPr>
              <w:t> </w:t>
            </w:r>
            <w:r>
              <w:rPr/>
              <w:t>FINANCIERO</w:t>
            </w:r>
            <w:r>
              <w:rPr>
                <w:rFonts w:ascii="Times New Roman" w:hAnsi="Times New Roman"/>
                <w:b w:val="0"/>
              </w:rPr>
              <w:tab/>
            </w:r>
            <w:r>
              <w:rPr/>
              <w:t>80</w:t>
            </w:r>
          </w:hyperlink>
        </w:p>
        <w:p>
          <w:pPr>
            <w:pStyle w:val="TOC2"/>
            <w:numPr>
              <w:ilvl w:val="1"/>
              <w:numId w:val="1"/>
            </w:numPr>
            <w:tabs>
              <w:tab w:pos="633" w:val="left" w:leader="none"/>
              <w:tab w:pos="634" w:val="left" w:leader="none"/>
              <w:tab w:pos="8604" w:val="right" w:leader="dot"/>
            </w:tabs>
            <w:spacing w:line="240" w:lineRule="auto" w:before="289" w:after="0"/>
            <w:ind w:left="633" w:right="0" w:hanging="523"/>
            <w:jc w:val="left"/>
          </w:pPr>
          <w:hyperlink w:history="true" w:anchor="_TOC_250015">
            <w:r>
              <w:rPr>
                <w:w w:val="105"/>
              </w:rPr>
              <w:t>Representaciones Esquemáticas</w:t>
            </w:r>
            <w:r>
              <w:rPr>
                <w:rFonts w:ascii="Times New Roman" w:hAnsi="Times New Roman"/>
                <w:b w:val="0"/>
                <w:w w:val="105"/>
              </w:rPr>
              <w:tab/>
            </w:r>
            <w:r>
              <w:rPr>
                <w:w w:val="105"/>
              </w:rPr>
              <w:t>84</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14">
            <w:r>
              <w:rPr>
                <w:w w:val="105"/>
              </w:rPr>
              <w:t>Balance general</w:t>
            </w:r>
            <w:r>
              <w:rPr>
                <w:rFonts w:ascii="Times New Roman"/>
                <w:w w:val="105"/>
              </w:rPr>
              <w:tab/>
            </w:r>
            <w:r>
              <w:rPr>
                <w:w w:val="105"/>
              </w:rPr>
              <w:t>84</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13">
            <w:r>
              <w:rPr>
                <w:w w:val="105"/>
              </w:rPr>
              <w:t>Estado</w:t>
            </w:r>
            <w:r>
              <w:rPr>
                <w:spacing w:val="1"/>
                <w:w w:val="105"/>
              </w:rPr>
              <w:t> </w:t>
            </w:r>
            <w:r>
              <w:rPr>
                <w:w w:val="105"/>
              </w:rPr>
              <w:t>de Resultados</w:t>
            </w:r>
            <w:r>
              <w:rPr>
                <w:rFonts w:ascii="Times New Roman"/>
                <w:w w:val="105"/>
              </w:rPr>
              <w:tab/>
            </w:r>
            <w:r>
              <w:rPr>
                <w:w w:val="105"/>
              </w:rPr>
              <w:t>88</w:t>
            </w:r>
          </w:hyperlink>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12">
            <w:r>
              <w:rPr>
                <w:w w:val="105"/>
              </w:rPr>
              <w:t>Comparativos por medio de</w:t>
            </w:r>
            <w:r>
              <w:rPr>
                <w:spacing w:val="2"/>
                <w:w w:val="105"/>
              </w:rPr>
              <w:t> </w:t>
            </w:r>
            <w:r>
              <w:rPr>
                <w:w w:val="105"/>
              </w:rPr>
              <w:t>porcentajes integrales</w:t>
            </w:r>
            <w:r>
              <w:rPr>
                <w:rFonts w:ascii="Times New Roman"/>
                <w:b w:val="0"/>
                <w:w w:val="105"/>
              </w:rPr>
              <w:tab/>
            </w:r>
            <w:r>
              <w:rPr>
                <w:w w:val="105"/>
              </w:rPr>
              <w:t>92</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11">
            <w:r>
              <w:rPr>
                <w:w w:val="105"/>
              </w:rPr>
              <w:t>Balance General</w:t>
            </w:r>
            <w:r>
              <w:rPr>
                <w:rFonts w:ascii="Times New Roman"/>
                <w:w w:val="105"/>
              </w:rPr>
              <w:tab/>
            </w:r>
            <w:r>
              <w:rPr>
                <w:w w:val="105"/>
              </w:rPr>
              <w:t>92</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10">
            <w:r>
              <w:rPr>
                <w:w w:val="105"/>
              </w:rPr>
              <w:t>Estado</w:t>
            </w:r>
            <w:r>
              <w:rPr>
                <w:spacing w:val="1"/>
                <w:w w:val="105"/>
              </w:rPr>
              <w:t> </w:t>
            </w:r>
            <w:r>
              <w:rPr>
                <w:w w:val="105"/>
              </w:rPr>
              <w:t>de resultados</w:t>
            </w:r>
            <w:r>
              <w:rPr>
                <w:rFonts w:ascii="Times New Roman"/>
                <w:w w:val="105"/>
              </w:rPr>
              <w:tab/>
            </w:r>
            <w:r>
              <w:rPr>
                <w:w w:val="105"/>
              </w:rPr>
              <w:t>93</w:t>
            </w:r>
          </w:hyperlink>
        </w:p>
        <w:p>
          <w:pPr>
            <w:pStyle w:val="TOC2"/>
            <w:numPr>
              <w:ilvl w:val="1"/>
              <w:numId w:val="1"/>
            </w:numPr>
            <w:tabs>
              <w:tab w:pos="633" w:val="left" w:leader="none"/>
              <w:tab w:pos="634" w:val="left" w:leader="none"/>
              <w:tab w:pos="8604" w:val="right" w:leader="dot"/>
            </w:tabs>
            <w:spacing w:line="240" w:lineRule="auto" w:before="291" w:after="0"/>
            <w:ind w:left="633" w:right="0" w:hanging="523"/>
            <w:jc w:val="left"/>
          </w:pPr>
          <w:hyperlink w:history="true" w:anchor="_TOC_250009">
            <w:r>
              <w:rPr>
                <w:w w:val="105"/>
              </w:rPr>
              <w:t>Estado de Origen y aplicación</w:t>
            </w:r>
            <w:r>
              <w:rPr>
                <w:spacing w:val="6"/>
                <w:w w:val="105"/>
              </w:rPr>
              <w:t> </w:t>
            </w:r>
            <w:r>
              <w:rPr>
                <w:w w:val="105"/>
              </w:rPr>
              <w:t>de recursos</w:t>
            </w:r>
            <w:r>
              <w:rPr>
                <w:rFonts w:ascii="Times New Roman" w:hAnsi="Times New Roman"/>
                <w:b w:val="0"/>
                <w:w w:val="105"/>
              </w:rPr>
              <w:tab/>
            </w:r>
            <w:r>
              <w:rPr>
                <w:w w:val="105"/>
              </w:rPr>
              <w:t>94</w:t>
            </w:r>
          </w:hyperlink>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08">
            <w:r>
              <w:rPr>
                <w:w w:val="105"/>
              </w:rPr>
              <w:t>Análisis Horizontal o de Tendencias a precios</w:t>
            </w:r>
            <w:r>
              <w:rPr>
                <w:spacing w:val="3"/>
                <w:w w:val="105"/>
              </w:rPr>
              <w:t> </w:t>
            </w:r>
            <w:r>
              <w:rPr>
                <w:w w:val="105"/>
              </w:rPr>
              <w:t>constantes 2011</w:t>
            </w:r>
            <w:r>
              <w:rPr>
                <w:rFonts w:ascii="Times New Roman" w:hAnsi="Times New Roman"/>
                <w:b w:val="0"/>
                <w:w w:val="105"/>
              </w:rPr>
              <w:tab/>
            </w:r>
            <w:r>
              <w:rPr>
                <w:w w:val="105"/>
              </w:rPr>
              <w:t>95</w:t>
            </w:r>
          </w:hyperlink>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07">
            <w:r>
              <w:rPr>
                <w:w w:val="105"/>
              </w:rPr>
              <w:t>Análisis horizontal de</w:t>
            </w:r>
            <w:r>
              <w:rPr>
                <w:spacing w:val="2"/>
                <w:w w:val="105"/>
              </w:rPr>
              <w:t> </w:t>
            </w:r>
            <w:r>
              <w:rPr>
                <w:w w:val="105"/>
              </w:rPr>
              <w:t>las ventas</w:t>
            </w:r>
            <w:r>
              <w:rPr>
                <w:rFonts w:ascii="Times New Roman" w:hAnsi="Times New Roman"/>
                <w:w w:val="105"/>
              </w:rPr>
              <w:tab/>
            </w:r>
            <w:r>
              <w:rPr>
                <w:w w:val="105"/>
              </w:rPr>
              <w:t>95</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hyperlink w:history="true" w:anchor="_TOC_250006">
            <w:r>
              <w:rPr>
                <w:w w:val="105"/>
              </w:rPr>
              <w:t>Análisis horizontal del margen</w:t>
            </w:r>
            <w:r>
              <w:rPr>
                <w:spacing w:val="3"/>
                <w:w w:val="105"/>
              </w:rPr>
              <w:t> </w:t>
            </w:r>
            <w:r>
              <w:rPr>
                <w:w w:val="105"/>
              </w:rPr>
              <w:t>de operación</w:t>
            </w:r>
            <w:r>
              <w:rPr>
                <w:rFonts w:ascii="Times New Roman" w:hAnsi="Times New Roman"/>
                <w:w w:val="105"/>
              </w:rPr>
              <w:tab/>
            </w:r>
            <w:r>
              <w:rPr>
                <w:w w:val="105"/>
              </w:rPr>
              <w:t>96</w:t>
            </w:r>
          </w:hyperlink>
        </w:p>
        <w:p>
          <w:pPr>
            <w:pStyle w:val="TOC2"/>
            <w:numPr>
              <w:ilvl w:val="1"/>
              <w:numId w:val="1"/>
            </w:numPr>
            <w:tabs>
              <w:tab w:pos="633" w:val="left" w:leader="none"/>
              <w:tab w:pos="634" w:val="left" w:leader="none"/>
              <w:tab w:pos="8604" w:val="right" w:leader="dot"/>
            </w:tabs>
            <w:spacing w:line="240" w:lineRule="auto" w:before="291" w:after="0"/>
            <w:ind w:left="633" w:right="0" w:hanging="523"/>
            <w:jc w:val="left"/>
          </w:pPr>
          <w:hyperlink w:history="true" w:anchor="_TOC_250005">
            <w:r>
              <w:rPr>
                <w:w w:val="105"/>
              </w:rPr>
              <w:t>Razones financieras</w:t>
            </w:r>
            <w:r>
              <w:rPr>
                <w:rFonts w:ascii="Times New Roman"/>
                <w:b w:val="0"/>
                <w:w w:val="105"/>
              </w:rPr>
              <w:tab/>
            </w:r>
            <w:r>
              <w:rPr>
                <w:w w:val="105"/>
              </w:rPr>
              <w:t>96</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r>
            <w:rPr>
              <w:w w:val="105"/>
            </w:rPr>
            <w:t>Razones de liquidez</w:t>
          </w:r>
          <w:r>
            <w:rPr>
              <w:rFonts w:ascii="Times New Roman"/>
              <w:w w:val="105"/>
            </w:rPr>
            <w:tab/>
          </w:r>
          <w:r>
            <w:rPr>
              <w:w w:val="105"/>
            </w:rPr>
            <w:t>96</w:t>
          </w:r>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hyperlink w:history="true" w:anchor="_TOC_250004">
            <w:r>
              <w:rPr>
                <w:w w:val="105"/>
              </w:rPr>
              <w:t>Índices de actividad</w:t>
            </w:r>
            <w:r>
              <w:rPr>
                <w:rFonts w:ascii="Times New Roman" w:hAnsi="Times New Roman"/>
                <w:w w:val="105"/>
              </w:rPr>
              <w:tab/>
            </w:r>
            <w:r>
              <w:rPr>
                <w:w w:val="105"/>
              </w:rPr>
              <w:t>99</w:t>
            </w:r>
          </w:hyperlink>
        </w:p>
        <w:p>
          <w:pPr>
            <w:pStyle w:val="TOC3"/>
            <w:numPr>
              <w:ilvl w:val="2"/>
              <w:numId w:val="1"/>
            </w:numPr>
            <w:tabs>
              <w:tab w:pos="984" w:val="left" w:leader="none"/>
              <w:tab w:pos="985" w:val="left" w:leader="none"/>
              <w:tab w:pos="8604" w:val="right" w:leader="dot"/>
            </w:tabs>
            <w:spacing w:line="240" w:lineRule="auto" w:before="46" w:after="0"/>
            <w:ind w:left="984" w:right="0" w:hanging="654"/>
            <w:jc w:val="left"/>
          </w:pPr>
          <w:r>
            <w:rPr>
              <w:w w:val="105"/>
            </w:rPr>
            <w:t>Razones de endeudamiento</w:t>
          </w:r>
          <w:r>
            <w:rPr>
              <w:rFonts w:ascii="Times New Roman"/>
              <w:w w:val="105"/>
            </w:rPr>
            <w:tab/>
          </w:r>
          <w:r>
            <w:rPr>
              <w:w w:val="105"/>
            </w:rPr>
            <w:t>102</w:t>
          </w:r>
        </w:p>
        <w:p>
          <w:pPr>
            <w:pStyle w:val="TOC3"/>
            <w:numPr>
              <w:ilvl w:val="2"/>
              <w:numId w:val="1"/>
            </w:numPr>
            <w:tabs>
              <w:tab w:pos="984" w:val="left" w:leader="none"/>
              <w:tab w:pos="985" w:val="left" w:leader="none"/>
              <w:tab w:pos="8604" w:val="right" w:leader="dot"/>
            </w:tabs>
            <w:spacing w:line="240" w:lineRule="auto" w:before="51" w:after="0"/>
            <w:ind w:left="984" w:right="0" w:hanging="654"/>
            <w:jc w:val="left"/>
          </w:pPr>
          <w:r>
            <w:rPr>
              <w:w w:val="105"/>
            </w:rPr>
            <w:t>Índices de rentabilidad</w:t>
          </w:r>
          <w:r>
            <w:rPr>
              <w:rFonts w:ascii="Times New Roman" w:hAnsi="Times New Roman"/>
              <w:w w:val="105"/>
            </w:rPr>
            <w:tab/>
          </w:r>
          <w:r>
            <w:rPr>
              <w:w w:val="105"/>
            </w:rPr>
            <w:t>104</w:t>
          </w:r>
        </w:p>
        <w:p>
          <w:pPr>
            <w:pStyle w:val="TOC2"/>
            <w:numPr>
              <w:ilvl w:val="1"/>
              <w:numId w:val="1"/>
            </w:numPr>
            <w:tabs>
              <w:tab w:pos="633" w:val="left" w:leader="none"/>
              <w:tab w:pos="634" w:val="left" w:leader="none"/>
              <w:tab w:pos="8604" w:val="right" w:leader="dot"/>
            </w:tabs>
            <w:spacing w:line="240" w:lineRule="auto" w:before="286" w:after="0"/>
            <w:ind w:left="633" w:right="0" w:hanging="523"/>
            <w:jc w:val="left"/>
          </w:pPr>
          <w:hyperlink w:history="true" w:anchor="_TOC_250003">
            <w:r>
              <w:rPr>
                <w:w w:val="105"/>
              </w:rPr>
              <w:t>Análisis Dupont</w:t>
            </w:r>
            <w:r>
              <w:rPr>
                <w:rFonts w:ascii="Times New Roman" w:hAnsi="Times New Roman"/>
                <w:b w:val="0"/>
                <w:w w:val="105"/>
              </w:rPr>
              <w:tab/>
            </w:r>
            <w:r>
              <w:rPr>
                <w:w w:val="105"/>
              </w:rPr>
              <w:t>110</w:t>
            </w:r>
          </w:hyperlink>
        </w:p>
        <w:p>
          <w:pPr>
            <w:pStyle w:val="TOC1"/>
            <w:numPr>
              <w:ilvl w:val="0"/>
              <w:numId w:val="1"/>
            </w:numPr>
            <w:tabs>
              <w:tab w:pos="472" w:val="left" w:leader="none"/>
              <w:tab w:pos="473" w:val="left" w:leader="none"/>
              <w:tab w:pos="8604" w:val="right" w:leader="dot"/>
            </w:tabs>
            <w:spacing w:line="240" w:lineRule="auto" w:before="402" w:after="0"/>
            <w:ind w:left="472" w:right="0" w:hanging="362"/>
            <w:jc w:val="left"/>
          </w:pPr>
          <w:hyperlink w:history="true" w:anchor="_TOC_250002">
            <w:r>
              <w:rPr/>
              <w:t>CAPÍTULO</w:t>
            </w:r>
            <w:r>
              <w:rPr>
                <w:spacing w:val="-1"/>
              </w:rPr>
              <w:t> </w:t>
            </w:r>
            <w:r>
              <w:rPr/>
              <w:t>V</w:t>
            </w:r>
            <w:r>
              <w:rPr>
                <w:spacing w:val="-2"/>
              </w:rPr>
              <w:t> </w:t>
            </w:r>
            <w:r>
              <w:rPr/>
              <w:t>CONCLUSIONES</w:t>
            </w:r>
            <w:r>
              <w:rPr>
                <w:rFonts w:ascii="Times New Roman" w:hAnsi="Times New Roman"/>
                <w:b w:val="0"/>
              </w:rPr>
              <w:tab/>
            </w:r>
            <w:r>
              <w:rPr/>
              <w:t>111</w:t>
            </w:r>
          </w:hyperlink>
        </w:p>
        <w:p>
          <w:pPr>
            <w:pStyle w:val="TOC2"/>
            <w:numPr>
              <w:ilvl w:val="1"/>
              <w:numId w:val="1"/>
            </w:numPr>
            <w:tabs>
              <w:tab w:pos="633" w:val="left" w:leader="none"/>
              <w:tab w:pos="634" w:val="left" w:leader="none"/>
              <w:tab w:pos="8604" w:val="right" w:leader="dot"/>
            </w:tabs>
            <w:spacing w:line="240" w:lineRule="auto" w:before="289" w:after="0"/>
            <w:ind w:left="633" w:right="0" w:hanging="523"/>
            <w:jc w:val="left"/>
          </w:pPr>
          <w:hyperlink w:history="true" w:anchor="_TOC_250001">
            <w:r>
              <w:rPr>
                <w:w w:val="105"/>
              </w:rPr>
              <w:t>Conclusiones</w:t>
            </w:r>
            <w:r>
              <w:rPr>
                <w:rFonts w:ascii="Times New Roman"/>
                <w:b w:val="0"/>
                <w:w w:val="105"/>
              </w:rPr>
              <w:tab/>
            </w:r>
            <w:r>
              <w:rPr>
                <w:w w:val="105"/>
              </w:rPr>
              <w:t>112</w:t>
            </w:r>
          </w:hyperlink>
        </w:p>
        <w:p>
          <w:pPr>
            <w:pStyle w:val="TOC2"/>
            <w:tabs>
              <w:tab w:pos="8604" w:val="right" w:leader="dot"/>
            </w:tabs>
            <w:spacing w:before="291"/>
            <w:ind w:left="110" w:firstLine="0"/>
          </w:pPr>
          <w:hyperlink w:history="true" w:anchor="_TOC_250000">
            <w:r>
              <w:rPr>
                <w:w w:val="105"/>
              </w:rPr>
              <w:t>BIBLIOGRAFÍA</w:t>
            </w:r>
            <w:r>
              <w:rPr>
                <w:rFonts w:ascii="Times New Roman" w:hAnsi="Times New Roman"/>
                <w:b w:val="0"/>
                <w:w w:val="105"/>
              </w:rPr>
              <w:tab/>
            </w:r>
            <w:r>
              <w:rPr>
                <w:w w:val="105"/>
              </w:rPr>
              <w:t>114</w:t>
            </w:r>
          </w:hyperlink>
        </w:p>
      </w:sdtContent>
    </w:sdt>
    <w:p>
      <w:pPr>
        <w:spacing w:after="0"/>
        <w:sectPr>
          <w:headerReference w:type="default" r:id="rId6"/>
          <w:footerReference w:type="default" r:id="rId7"/>
          <w:pgSz w:w="11910" w:h="16840"/>
          <w:pgMar w:header="755" w:footer="724" w:top="974" w:bottom="1639" w:left="1600" w:right="1580"/>
          <w:pgNumType w:start="3"/>
        </w:sect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spacing w:before="7"/>
        <w:rPr>
          <w:rFonts w:ascii="Calibri"/>
          <w:b/>
          <w:sz w:val="38"/>
        </w:rPr>
      </w:pPr>
    </w:p>
    <w:p>
      <w:pPr>
        <w:pStyle w:val="Heading1"/>
        <w:tabs>
          <w:tab w:pos="2460" w:val="left" w:leader="none"/>
        </w:tabs>
        <w:spacing w:before="0"/>
        <w:ind w:left="2028"/>
      </w:pPr>
      <w:r>
        <w:rPr/>
        <w:t>1</w:t>
        <w:tab/>
        <w:t>CAPÍTULO I MARCO</w:t>
      </w:r>
      <w:r>
        <w:rPr>
          <w:spacing w:val="-9"/>
        </w:rPr>
        <w:t> </w:t>
      </w:r>
      <w:r>
        <w:rPr/>
        <w:t>TEÓRICO</w:t>
      </w:r>
    </w:p>
    <w:p>
      <w:pPr>
        <w:spacing w:after="0"/>
        <w:sectPr>
          <w:headerReference w:type="default" r:id="rId8"/>
          <w:footerReference w:type="default" r:id="rId9"/>
          <w:pgSz w:w="11910" w:h="16840"/>
          <w:pgMar w:header="0" w:footer="0" w:top="1580" w:bottom="280" w:left="1680" w:right="1680"/>
        </w:sectPr>
      </w:pPr>
    </w:p>
    <w:p>
      <w:pPr>
        <w:pStyle w:val="BodyText"/>
        <w:rPr>
          <w:b/>
          <w:sz w:val="20"/>
        </w:rPr>
      </w:pPr>
    </w:p>
    <w:p>
      <w:pPr>
        <w:pStyle w:val="BodyText"/>
        <w:rPr>
          <w:b/>
          <w:sz w:val="20"/>
        </w:rPr>
      </w:pPr>
    </w:p>
    <w:p>
      <w:pPr>
        <w:pStyle w:val="BodyText"/>
        <w:rPr>
          <w:b/>
          <w:sz w:val="20"/>
        </w:rPr>
      </w:pPr>
    </w:p>
    <w:p>
      <w:pPr>
        <w:pStyle w:val="BodyText"/>
        <w:spacing w:before="6"/>
        <w:rPr>
          <w:b/>
          <w:sz w:val="22"/>
        </w:rPr>
      </w:pPr>
    </w:p>
    <w:p>
      <w:pPr>
        <w:pStyle w:val="Heading2"/>
        <w:numPr>
          <w:ilvl w:val="1"/>
          <w:numId w:val="2"/>
        </w:numPr>
        <w:tabs>
          <w:tab w:pos="754" w:val="left" w:leader="none"/>
        </w:tabs>
        <w:spacing w:line="240" w:lineRule="auto" w:before="69" w:after="0"/>
        <w:ind w:left="753" w:right="0" w:hanging="643"/>
        <w:jc w:val="both"/>
      </w:pPr>
      <w:r>
        <w:rPr/>
        <w:t>Concepto de finanzas.</w:t>
      </w:r>
    </w:p>
    <w:p>
      <w:pPr>
        <w:pStyle w:val="BodyText"/>
        <w:rPr>
          <w:b/>
        </w:rPr>
      </w:pPr>
    </w:p>
    <w:p>
      <w:pPr>
        <w:pStyle w:val="BodyText"/>
        <w:spacing w:before="7"/>
        <w:rPr>
          <w:b/>
        </w:rPr>
      </w:pPr>
    </w:p>
    <w:p>
      <w:pPr>
        <w:pStyle w:val="BodyText"/>
        <w:spacing w:line="360" w:lineRule="auto"/>
        <w:ind w:left="110" w:right="108"/>
        <w:jc w:val="both"/>
      </w:pPr>
      <w:r>
        <w:rPr/>
        <w:t>Las finanzas pueden definirse como la ciencia de la administración del dinero; son el conjunto de actividades que sirven para la administración de los distintos tipos de recursos financieros y la optimización de los mismos.</w:t>
      </w:r>
    </w:p>
    <w:p>
      <w:pPr>
        <w:pStyle w:val="BodyText"/>
      </w:pPr>
    </w:p>
    <w:p>
      <w:pPr>
        <w:pStyle w:val="BodyText"/>
        <w:spacing w:line="360" w:lineRule="auto" w:before="139"/>
        <w:ind w:left="110" w:right="108"/>
        <w:jc w:val="both"/>
      </w:pPr>
      <w:r>
        <w:rPr/>
        <w:t>Lawrence Gitman, define a las finanzas como el arte y la ciencia de administrar el dinero. Casi todos los individuos y organizaciones ganan o recaudan dinero y lo gastan o lo invierten. Las finanzas se ocupan del proceso, de las instituciones, de los mercados y de los instrumentos que participan en la transferencia de dinero entre individuos, empresas y gobiernos. (Gitman, 2007)</w:t>
      </w:r>
    </w:p>
    <w:p>
      <w:pPr>
        <w:pStyle w:val="BodyText"/>
      </w:pPr>
    </w:p>
    <w:p>
      <w:pPr>
        <w:pStyle w:val="BodyText"/>
        <w:spacing w:line="360" w:lineRule="auto" w:before="144"/>
        <w:ind w:left="110" w:right="108"/>
        <w:jc w:val="both"/>
      </w:pPr>
      <w:r>
        <w:rPr/>
        <w:t>De acuerdo con Bodie y Merton; las finanzas estudian la manera en que los recursos escasos se asignan a través del tiempo. (Bodie, 2007)</w:t>
      </w:r>
    </w:p>
    <w:p>
      <w:pPr>
        <w:pStyle w:val="BodyText"/>
      </w:pPr>
    </w:p>
    <w:p>
      <w:pPr>
        <w:pStyle w:val="BodyText"/>
        <w:spacing w:line="360" w:lineRule="auto" w:before="144"/>
        <w:ind w:left="110" w:right="108"/>
        <w:jc w:val="both"/>
      </w:pPr>
      <w:r>
        <w:rPr/>
        <w:t>Las finanzas son el arte y/o la ciencia numérica que facilita la toma de decisiones respecto al uso de los recursos financieros a nivel personal, corporativo o gubernamental ante una realidad de recursos escasos, objetivos infinitos e incertidumbre futura. (Robles, 2000)</w:t>
      </w:r>
    </w:p>
    <w:p>
      <w:pPr>
        <w:pStyle w:val="BodyText"/>
      </w:pPr>
    </w:p>
    <w:p>
      <w:pPr>
        <w:pStyle w:val="BodyText"/>
        <w:spacing w:line="360" w:lineRule="auto" w:before="144"/>
        <w:ind w:left="110" w:right="108"/>
        <w:jc w:val="both"/>
      </w:pPr>
      <w:r>
        <w:rPr/>
        <w:t>Por lo tanto, los participantes de la teoría de finanzas son los individuos, las empresas, los intermediarios financieros y los gobiernos. La función primordial de todo sistema económico es satisfacer las necesidades de las personas; la teoría de finanzas explica el comportamiento de los individuos como un intento de satisfacer esas preferencias. (Bodie, 2007)</w:t>
      </w:r>
    </w:p>
    <w:p>
      <w:pPr>
        <w:pStyle w:val="BodyText"/>
      </w:pPr>
    </w:p>
    <w:p>
      <w:pPr>
        <w:pStyle w:val="BodyText"/>
        <w:spacing w:line="362" w:lineRule="auto" w:before="139"/>
        <w:ind w:left="110" w:right="108"/>
        <w:jc w:val="both"/>
      </w:pPr>
      <w:r>
        <w:rPr/>
        <w:t>Los individuos enfrentan de manera cotidiana cuatro diferentes tipos de decisiones financieras:</w:t>
      </w:r>
    </w:p>
    <w:p>
      <w:pPr>
        <w:pStyle w:val="ListParagraph"/>
        <w:numPr>
          <w:ilvl w:val="2"/>
          <w:numId w:val="2"/>
        </w:numPr>
        <w:tabs>
          <w:tab w:pos="830" w:val="left" w:leader="none"/>
          <w:tab w:pos="831" w:val="left" w:leader="none"/>
        </w:tabs>
        <w:spacing w:line="240" w:lineRule="auto" w:before="0" w:after="0"/>
        <w:ind w:left="830" w:right="0" w:hanging="360"/>
        <w:jc w:val="left"/>
        <w:rPr>
          <w:sz w:val="24"/>
        </w:rPr>
      </w:pPr>
      <w:r>
        <w:rPr>
          <w:sz w:val="24"/>
        </w:rPr>
        <w:t>Ahorro</w:t>
      </w:r>
    </w:p>
    <w:p>
      <w:pPr>
        <w:pStyle w:val="ListParagraph"/>
        <w:numPr>
          <w:ilvl w:val="2"/>
          <w:numId w:val="2"/>
        </w:numPr>
        <w:tabs>
          <w:tab w:pos="830" w:val="left" w:leader="none"/>
          <w:tab w:pos="831" w:val="left" w:leader="none"/>
        </w:tabs>
        <w:spacing w:line="240" w:lineRule="auto" w:before="137" w:after="0"/>
        <w:ind w:left="830" w:right="0" w:hanging="360"/>
        <w:jc w:val="left"/>
        <w:rPr>
          <w:sz w:val="24"/>
        </w:rPr>
      </w:pPr>
      <w:r>
        <w:rPr>
          <w:sz w:val="24"/>
        </w:rPr>
        <w:t>Inversión</w:t>
      </w:r>
    </w:p>
    <w:p>
      <w:pPr>
        <w:pStyle w:val="ListParagraph"/>
        <w:numPr>
          <w:ilvl w:val="2"/>
          <w:numId w:val="2"/>
        </w:numPr>
        <w:tabs>
          <w:tab w:pos="830" w:val="left" w:leader="none"/>
          <w:tab w:pos="831" w:val="left" w:leader="none"/>
        </w:tabs>
        <w:spacing w:line="240" w:lineRule="auto" w:before="137" w:after="0"/>
        <w:ind w:left="830" w:right="0" w:hanging="360"/>
        <w:jc w:val="left"/>
        <w:rPr>
          <w:sz w:val="24"/>
        </w:rPr>
      </w:pPr>
      <w:r>
        <w:rPr>
          <w:sz w:val="24"/>
        </w:rPr>
        <w:t>Financiamiento</w:t>
      </w:r>
    </w:p>
    <w:p>
      <w:pPr>
        <w:pStyle w:val="ListParagraph"/>
        <w:numPr>
          <w:ilvl w:val="2"/>
          <w:numId w:val="2"/>
        </w:numPr>
        <w:tabs>
          <w:tab w:pos="830" w:val="left" w:leader="none"/>
          <w:tab w:pos="831" w:val="left" w:leader="none"/>
        </w:tabs>
        <w:spacing w:line="240" w:lineRule="auto" w:before="141" w:after="0"/>
        <w:ind w:left="830" w:right="0" w:hanging="360"/>
        <w:jc w:val="left"/>
        <w:rPr>
          <w:sz w:val="24"/>
        </w:rPr>
      </w:pPr>
      <w:r>
        <w:rPr>
          <w:sz w:val="24"/>
        </w:rPr>
        <w:t>Administración de riesgo</w:t>
      </w:r>
    </w:p>
    <w:p>
      <w:pPr>
        <w:spacing w:after="0" w:line="240" w:lineRule="auto"/>
        <w:jc w:val="left"/>
        <w:rPr>
          <w:sz w:val="24"/>
        </w:rPr>
        <w:sectPr>
          <w:footerReference w:type="default" r:id="rId10"/>
          <w:pgSz w:w="11910" w:h="16840"/>
          <w:pgMar w:footer="724" w:header="0" w:top="960" w:bottom="920" w:left="1600" w:right="1580"/>
          <w:pgNumType w:start="6"/>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2"/>
        <w:numPr>
          <w:ilvl w:val="1"/>
          <w:numId w:val="2"/>
        </w:numPr>
        <w:tabs>
          <w:tab w:pos="687" w:val="left" w:leader="none"/>
        </w:tabs>
        <w:spacing w:line="240" w:lineRule="auto" w:before="70" w:after="0"/>
        <w:ind w:left="686" w:right="0" w:hanging="576"/>
        <w:jc w:val="both"/>
      </w:pPr>
      <w:r>
        <w:rPr/>
        <w:t>Breve reseña de las</w:t>
      </w:r>
      <w:r>
        <w:rPr>
          <w:spacing w:val="-1"/>
        </w:rPr>
        <w:t> </w:t>
      </w:r>
      <w:r>
        <w:rPr/>
        <w:t>finanzas</w:t>
      </w:r>
    </w:p>
    <w:p>
      <w:pPr>
        <w:pStyle w:val="BodyText"/>
        <w:rPr>
          <w:b/>
        </w:rPr>
      </w:pPr>
    </w:p>
    <w:p>
      <w:pPr>
        <w:pStyle w:val="BodyText"/>
        <w:rPr>
          <w:b/>
        </w:rPr>
      </w:pPr>
    </w:p>
    <w:p>
      <w:pPr>
        <w:pStyle w:val="BodyText"/>
        <w:spacing w:line="360" w:lineRule="auto" w:before="204"/>
        <w:ind w:left="110" w:right="108"/>
        <w:jc w:val="both"/>
      </w:pPr>
      <w:r>
        <w:rPr/>
        <w:t>A principios del siglo XIX el gerente financiero limitaba sus obligaciones a la contabilidad y a la búsqueda de financiamiento para la empresa. La revolución industrial marcó un hito en la economía mundial, innovaciones como la  máquina de vapor permitieron el desarrollo y crecimiento de una serie de países. La crisis internacional de 1929 mostró el resultado de la rivalidad entre grupos financieros norteamericanos y británicos, los préstamos sin prudencia llevaron a un clima de inestabilidad dando como resultado problemas de financiación, quiebres y liquidaciones.</w:t>
      </w:r>
    </w:p>
    <w:p>
      <w:pPr>
        <w:pStyle w:val="BodyText"/>
        <w:spacing w:line="360" w:lineRule="auto" w:before="209"/>
        <w:ind w:left="110" w:right="108"/>
        <w:jc w:val="both"/>
      </w:pPr>
      <w:r>
        <w:rPr/>
        <w:t>En los años cuarenta, se elabora la metodología para el análisis de las inversiones y se establecen los criterios de decisión financiera que den lugar a la maximización del valor de la empresa. Se crearon modelos de valuación  para la toma de decisiones financieras; el objetivo es la rentabilidad, crecimiento y diversificación internacional.</w:t>
      </w:r>
    </w:p>
    <w:p>
      <w:pPr>
        <w:pStyle w:val="BodyText"/>
        <w:spacing w:line="357" w:lineRule="auto" w:before="209"/>
        <w:ind w:left="110" w:right="108"/>
        <w:jc w:val="both"/>
      </w:pPr>
      <w:r>
        <w:rPr/>
        <w:t>La evolución de la teoría financiera tiene como punto neurálgico la segunda mitad del siglo XX, las contribuciones de esa época sin lugar a dudas son el cimiento de lo que hoy conocemos como el proceso, las instituciones, los mercados e instrumentos financieros.</w:t>
      </w:r>
    </w:p>
    <w:p>
      <w:pPr>
        <w:pStyle w:val="BodyText"/>
        <w:spacing w:line="360" w:lineRule="auto" w:before="212"/>
        <w:ind w:left="110" w:right="108"/>
        <w:jc w:val="both"/>
      </w:pPr>
      <w:r>
        <w:rPr/>
        <w:t>De acuerdo con Gómez Bezares, “la primera mitad del siglo XX estuvo dominada por la visión tradicional de las finanzas” antes de la década de los cincuentas, las finanzas eran estrictamente descriptivas, las nociones de esta época no tenían bases cuantitativas ni tomaban en cuenta decisiones de inversión. (Gómez-Bezares, 2005). La estructura financiera y de capital representaba el área neurálgica de estudio donde la teoría financiera se había concentrado para exponer las relaciones entre las empresas y los mercados de capitales, sin considerar que la estructura de las inversiones también influye en la riqueza de las empresas.</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Durante los primeros años de la década de los cincuenta, toma importancia la planificación y el control; así como la creación de presupuestos, controles de capital y tesorería.</w:t>
      </w:r>
    </w:p>
    <w:p>
      <w:pPr>
        <w:pStyle w:val="BodyText"/>
        <w:spacing w:line="357" w:lineRule="auto" w:before="209"/>
        <w:ind w:left="110" w:right="108"/>
        <w:jc w:val="both"/>
      </w:pPr>
      <w:r>
        <w:rPr/>
        <w:t>A partir de la segunda mitad de los años cincuenta, se identifica el desarrollo del “enfoque moderno de las finanzas” con las aportaciones de Markowitz, Tobin, Modigliani, Miller, Sharpe, Arrow, Debreu, Hirshleifer, Lintner, Jensen, Fama, Roll, Black, Scholes, Merton, Ross,</w:t>
      </w:r>
      <w:r>
        <w:rPr>
          <w:spacing w:val="-1"/>
        </w:rPr>
        <w:t> </w:t>
      </w:r>
      <w:r>
        <w:rPr/>
        <w:t>etc.</w:t>
      </w:r>
    </w:p>
    <w:p>
      <w:pPr>
        <w:pStyle w:val="BodyText"/>
        <w:spacing w:line="360" w:lineRule="auto" w:before="212"/>
        <w:ind w:left="110" w:right="108"/>
        <w:jc w:val="both"/>
      </w:pPr>
      <w:r>
        <w:rPr/>
        <w:t>En 1953 se publica en el Journal of Finance el documento titulado “Portfolio Selection” de Harry Markowitz, en este trabajo, el autor sentó las bases del enfoque moderno de las finanzas, creando aportaciones como la relación entre el riesgo y la rentabilidad, considerando al riesgo como una variable de las posibles rentabilidades a obtener, dando origen a la desviación estándar como la primer medida del riesgo en finanzas.</w:t>
      </w:r>
    </w:p>
    <w:p>
      <w:pPr>
        <w:pStyle w:val="BodyText"/>
        <w:spacing w:line="360" w:lineRule="auto" w:before="209"/>
        <w:ind w:left="110" w:right="108"/>
        <w:jc w:val="both"/>
      </w:pPr>
      <w:r>
        <w:rPr/>
        <w:t>Los títulos en negociación en el mercado de capitales están expuestos a variables provenientes de las decisiones de los inversionistas al momento de valuar el precio de estas acciones. “Las acciones son inversiones de riesgos variables y los inversionistas buscan maximizar rentabilidades, el riesgo podría ser reducido una vez que se pueda medir”; Markowitz mostró que una forma de reducir el riesgo inherente a los títulos en el mercado de capitales era constituyendo una cartera de inversión. Las correlaciones entre los títulos que conforman la cartera debían ser negativas, para, de esta forma, reducir el  riesgo sin disminuir la rentabilidad generada por dichos títulos.</w:t>
      </w:r>
    </w:p>
    <w:p>
      <w:pPr>
        <w:pStyle w:val="BodyText"/>
        <w:spacing w:line="360" w:lineRule="auto" w:before="209"/>
        <w:ind w:left="110" w:right="108"/>
        <w:jc w:val="both"/>
      </w:pPr>
      <w:r>
        <w:rPr/>
        <w:t>En 1958, Franco Modigliani y Merton Miller publicaron en el American  Economic Review su investigación “The cost of capital, Corporation Finance  and the theory of investment”, ésta investigación realizó grandes aportaciones a la teoría de la estructura del capital. Los autores consideraron en su estudio  que “en un mundo perfecto, con mercados eficientes, ausencia de costos de transacción y sin impuestos, la composición de la estructura financiera de la empresa es indiferente al valor de la compañía, en este caso, al empresario le da lo mismo financiar sus activos con deuda o con capital, pues esto no influye en la determinación del nivel de riqueza del accionista.” Por lo tanto, la estructura</w:t>
      </w:r>
      <w:r>
        <w:rPr>
          <w:spacing w:val="42"/>
        </w:rPr>
        <w:t> </w:t>
      </w:r>
      <w:r>
        <w:rPr/>
        <w:t>financiera</w:t>
      </w:r>
      <w:r>
        <w:rPr>
          <w:spacing w:val="42"/>
        </w:rPr>
        <w:t> </w:t>
      </w:r>
      <w:r>
        <w:rPr/>
        <w:t>de</w:t>
      </w:r>
      <w:r>
        <w:rPr>
          <w:spacing w:val="42"/>
        </w:rPr>
        <w:t> </w:t>
      </w:r>
      <w:r>
        <w:rPr/>
        <w:t>la</w:t>
      </w:r>
      <w:r>
        <w:rPr>
          <w:spacing w:val="42"/>
        </w:rPr>
        <w:t> </w:t>
      </w:r>
      <w:r>
        <w:rPr/>
        <w:t>empresa</w:t>
      </w:r>
      <w:r>
        <w:rPr>
          <w:spacing w:val="42"/>
        </w:rPr>
        <w:t> </w:t>
      </w:r>
      <w:r>
        <w:rPr/>
        <w:t>tiene</w:t>
      </w:r>
      <w:r>
        <w:rPr>
          <w:spacing w:val="42"/>
        </w:rPr>
        <w:t> </w:t>
      </w:r>
      <w:r>
        <w:rPr/>
        <w:t>una</w:t>
      </w:r>
      <w:r>
        <w:rPr>
          <w:spacing w:val="42"/>
        </w:rPr>
        <w:t> </w:t>
      </w:r>
      <w:r>
        <w:rPr/>
        <w:t>influencia</w:t>
      </w:r>
      <w:r>
        <w:rPr>
          <w:spacing w:val="42"/>
        </w:rPr>
        <w:t> </w:t>
      </w:r>
      <w:r>
        <w:rPr/>
        <w:t>determinante</w:t>
      </w:r>
      <w:r>
        <w:rPr>
          <w:spacing w:val="42"/>
        </w:rPr>
        <w:t> </w:t>
      </w:r>
      <w:r>
        <w:rPr/>
        <w:t>en</w:t>
      </w:r>
      <w:r>
        <w:rPr>
          <w:spacing w:val="42"/>
        </w:rPr>
        <w:t> </w:t>
      </w:r>
      <w:r>
        <w:rPr/>
        <w:t>los</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niveles de rentabilidad de una compañía; las ventajas tributarias provenientes de los niveles de deuda provocan un apalancamiento que puede generar mayor rentabilidad y elevar también, los niveles de riesgo financiero.</w:t>
      </w:r>
    </w:p>
    <w:p>
      <w:pPr>
        <w:pStyle w:val="BodyText"/>
        <w:spacing w:line="360" w:lineRule="auto" w:before="209"/>
        <w:ind w:left="110" w:right="108"/>
        <w:jc w:val="both"/>
      </w:pPr>
      <w:r>
        <w:rPr/>
        <w:t>En 1964, William Sharpe y Jack Treynor, entre otros, diseñaron el modelo CAPM (Capital Assets Prices Model) como un complemento a la aportación de Markowitz con respecto al riesgo; el riesgo específico puede reducirse a través de la diversificación mientras que el riesgo del mercado no puede ser reducido. En la medida que el inversionista observe un mayor riesgo en el mercado, demandará también una mayor rentabilidad en los títulos en los que desea invertir. El riesgo del mercado se incorpora al modelo a través de la variable </w:t>
      </w:r>
      <w:r>
        <w:rPr>
          <w:rFonts w:ascii="Symbol" w:hAnsi="Symbol"/>
        </w:rPr>
        <w:t></w:t>
      </w:r>
      <w:r>
        <w:rPr/>
        <w:t>, que se calcula como el producto de dividir la covarianza de las rentabilidades del mercado y del título a analizar por la varianza del mercado.</w:t>
      </w:r>
    </w:p>
    <w:p>
      <w:pPr>
        <w:pStyle w:val="BodyText"/>
        <w:spacing w:line="360" w:lineRule="auto" w:before="209"/>
        <w:ind w:left="110" w:right="108"/>
        <w:jc w:val="both"/>
      </w:pPr>
      <w:r>
        <w:rPr/>
        <w:t>La década de los setentas estuvo marcada por Eugene Fama quien publica en el Journal of Finance su estudio “Efficient Capital Markets: A review of theorical and empirical work”, creando un nuevo campo de estudio en las finanzas, las finanzas de los mercados. Los mercados de capitales, para que sean eficientes, deben ser rápidos y los precios correctos.</w:t>
      </w:r>
    </w:p>
    <w:p>
      <w:pPr>
        <w:pStyle w:val="BodyText"/>
        <w:spacing w:line="360" w:lineRule="auto" w:before="209"/>
        <w:ind w:left="110" w:right="108"/>
        <w:jc w:val="both"/>
      </w:pPr>
      <w:r>
        <w:rPr/>
        <w:t>Los especuladores en su afán de obtener niveles de rentabilidad por encima  del mercado crearon diversas formas de predecir el precio de una acción en el futuro, Fama mostró que esto era imposible en un mercado eficiente. “Los precios de los títulos siguen un recorrido aleatorio, de tal manera que es imposible predecir futuros precios. La eficiencia en precios muestra que el inversionista va añadiendo en el precio la información que obtiene del mercado, de modo que la valoración del precio de una acción incorpora toda la información disponible en el mercado, por lo tanto, la fijación de precios es una cuestión de percepción y de las expectativas de los inversionistas. Fama creó  la concepción de precio de equilibrio de títulos en el mercado de capital estableciendo que es imposible predecir el movimiento de los precios, por lo tanto no se pueden obtener ventajas en el mercado. La eficiencia operativa de los mercados no solo depende de las expectativas del inversionista al momento de valorar la información, sino también la estructura del mercado de capitales para poder divulgar y difundir la información. (Gómez Jacinto,</w:t>
      </w:r>
      <w:r>
        <w:rPr>
          <w:spacing w:val="-1"/>
        </w:rPr>
        <w:t> </w:t>
      </w:r>
      <w:r>
        <w:rPr/>
        <w:t>2009)</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El año de 1973 se vió marcado por dos publicaciones que marcan el surgimiento de los mercados de derivados; las opciones financieras son un instrumento utilizado para especular y forjar coberturas sobre riesgos de algún activo subyacente en los mercados financieros. Las opciones financieras surgieron en Estados Unidos, otorgan derechos, pero no obligaciones de ejecutar contratos previamente establecidos en cuanto a precios.</w:t>
      </w:r>
    </w:p>
    <w:p>
      <w:pPr>
        <w:pStyle w:val="BodyText"/>
        <w:spacing w:line="360" w:lineRule="auto" w:before="209"/>
        <w:ind w:left="110" w:right="108"/>
        <w:jc w:val="both"/>
      </w:pPr>
      <w:r>
        <w:rPr/>
        <w:t>La publicación de Black y Scholes y su fórmula para la valoración de opciones publicada en el Journal of Political Economy: “The pricing of Options and Corporate Liabilities”, permitió tener en cuenta todos los factores que influyen en el precio de la opción. Para valorar una opción se requiere de 5 parámetros: El precio de las acciones, el precio del ejercicio, la fecha de ejercicio, la tasa de interés libre de riesgo y la volatilidad de las acciones.</w:t>
      </w:r>
    </w:p>
    <w:p>
      <w:pPr>
        <w:pStyle w:val="Heading2"/>
        <w:numPr>
          <w:ilvl w:val="1"/>
          <w:numId w:val="2"/>
        </w:numPr>
        <w:tabs>
          <w:tab w:pos="754" w:val="left" w:leader="none"/>
        </w:tabs>
        <w:spacing w:line="240" w:lineRule="auto" w:before="204" w:after="0"/>
        <w:ind w:left="753" w:right="0" w:hanging="643"/>
        <w:jc w:val="both"/>
      </w:pPr>
      <w:r>
        <w:rPr/>
        <w:t>Objetivo de las finanzas.</w:t>
      </w:r>
    </w:p>
    <w:p>
      <w:pPr>
        <w:pStyle w:val="BodyText"/>
        <w:rPr>
          <w:b/>
        </w:rPr>
      </w:pPr>
    </w:p>
    <w:p>
      <w:pPr>
        <w:pStyle w:val="BodyText"/>
        <w:spacing w:before="2"/>
        <w:rPr>
          <w:b/>
        </w:rPr>
      </w:pPr>
    </w:p>
    <w:p>
      <w:pPr>
        <w:pStyle w:val="BodyText"/>
        <w:spacing w:line="360" w:lineRule="auto"/>
        <w:ind w:left="110" w:right="108"/>
        <w:jc w:val="both"/>
      </w:pPr>
      <w:r>
        <w:rPr/>
        <w:t>Las finanzas tienen por objetivo alcanzar la productividad óptima en el uso del dinero, que puede reflejarse en utilidad o aprovechamiento. Puede también considerarse que las finanzas buscan a través de análisis financieros realizar la toma de decisiones acertadas para alcanzar las metas y objetivos financieros a través de controles financieros, captación de fondos y recursos, entre otros. (Gitman, 2007)</w:t>
      </w:r>
    </w:p>
    <w:p>
      <w:pPr>
        <w:pStyle w:val="BodyText"/>
      </w:pPr>
    </w:p>
    <w:p>
      <w:pPr>
        <w:pStyle w:val="BodyText"/>
        <w:spacing w:before="7"/>
        <w:rPr>
          <w:sz w:val="29"/>
        </w:rPr>
      </w:pPr>
    </w:p>
    <w:p>
      <w:pPr>
        <w:pStyle w:val="Heading2"/>
        <w:numPr>
          <w:ilvl w:val="1"/>
          <w:numId w:val="2"/>
        </w:numPr>
        <w:tabs>
          <w:tab w:pos="687" w:val="left" w:leader="none"/>
        </w:tabs>
        <w:spacing w:line="240" w:lineRule="auto" w:before="0" w:after="0"/>
        <w:ind w:left="686" w:right="0" w:hanging="576"/>
        <w:jc w:val="both"/>
      </w:pPr>
      <w:r>
        <w:rPr/>
        <w:t>Clasificación de las finanzas.</w:t>
      </w:r>
    </w:p>
    <w:p>
      <w:pPr>
        <w:pStyle w:val="BodyText"/>
        <w:spacing w:line="360" w:lineRule="auto" w:before="141"/>
        <w:ind w:left="110" w:right="108"/>
        <w:jc w:val="both"/>
      </w:pPr>
      <w:r>
        <w:rPr/>
        <w:t>Con base en Laurence Gitman, existen diferentes clasificaciones de las finanzas:</w:t>
      </w:r>
    </w:p>
    <w:p>
      <w:pPr>
        <w:pStyle w:val="ListParagraph"/>
        <w:numPr>
          <w:ilvl w:val="2"/>
          <w:numId w:val="2"/>
        </w:numPr>
        <w:tabs>
          <w:tab w:pos="830" w:val="left" w:leader="none"/>
          <w:tab w:pos="831" w:val="left" w:leader="none"/>
        </w:tabs>
        <w:spacing w:line="240" w:lineRule="auto" w:before="2" w:after="0"/>
        <w:ind w:left="830" w:right="0" w:hanging="360"/>
        <w:jc w:val="left"/>
        <w:rPr>
          <w:sz w:val="24"/>
        </w:rPr>
      </w:pPr>
      <w:r>
        <w:rPr>
          <w:sz w:val="24"/>
        </w:rPr>
        <w:t>Finanzas Públicas.</w:t>
      </w:r>
    </w:p>
    <w:p>
      <w:pPr>
        <w:pStyle w:val="ListParagraph"/>
        <w:numPr>
          <w:ilvl w:val="2"/>
          <w:numId w:val="2"/>
        </w:numPr>
        <w:tabs>
          <w:tab w:pos="830" w:val="left" w:leader="none"/>
          <w:tab w:pos="831" w:val="left" w:leader="none"/>
        </w:tabs>
        <w:spacing w:line="240" w:lineRule="auto" w:before="137" w:after="0"/>
        <w:ind w:left="830" w:right="0" w:hanging="360"/>
        <w:jc w:val="left"/>
        <w:rPr>
          <w:sz w:val="24"/>
        </w:rPr>
      </w:pPr>
      <w:r>
        <w:rPr>
          <w:sz w:val="24"/>
        </w:rPr>
        <w:t>Finanzas Internacionales.</w:t>
      </w:r>
    </w:p>
    <w:p>
      <w:pPr>
        <w:pStyle w:val="ListParagraph"/>
        <w:numPr>
          <w:ilvl w:val="2"/>
          <w:numId w:val="2"/>
        </w:numPr>
        <w:tabs>
          <w:tab w:pos="830" w:val="left" w:leader="none"/>
          <w:tab w:pos="831" w:val="left" w:leader="none"/>
        </w:tabs>
        <w:spacing w:line="240" w:lineRule="auto" w:before="141" w:after="0"/>
        <w:ind w:left="830" w:right="0" w:hanging="360"/>
        <w:jc w:val="left"/>
        <w:rPr>
          <w:sz w:val="24"/>
        </w:rPr>
      </w:pPr>
      <w:r>
        <w:rPr>
          <w:sz w:val="24"/>
        </w:rPr>
        <w:t>Finanzas Corporativas.</w:t>
      </w:r>
    </w:p>
    <w:p>
      <w:pPr>
        <w:pStyle w:val="ListParagraph"/>
        <w:numPr>
          <w:ilvl w:val="2"/>
          <w:numId w:val="2"/>
        </w:numPr>
        <w:tabs>
          <w:tab w:pos="830" w:val="left" w:leader="none"/>
          <w:tab w:pos="831" w:val="left" w:leader="none"/>
        </w:tabs>
        <w:spacing w:line="240" w:lineRule="auto" w:before="137" w:after="0"/>
        <w:ind w:left="830" w:right="0" w:hanging="360"/>
        <w:jc w:val="left"/>
        <w:rPr>
          <w:sz w:val="24"/>
        </w:rPr>
      </w:pPr>
      <w:r>
        <w:rPr>
          <w:sz w:val="24"/>
        </w:rPr>
        <w:t>Finanzas</w:t>
      </w:r>
      <w:r>
        <w:rPr>
          <w:spacing w:val="-1"/>
          <w:sz w:val="24"/>
        </w:rPr>
        <w:t> </w:t>
      </w:r>
      <w:r>
        <w:rPr>
          <w:sz w:val="24"/>
        </w:rPr>
        <w:t>Bursátiles.</w:t>
      </w:r>
    </w:p>
    <w:p>
      <w:pPr>
        <w:pStyle w:val="BodyText"/>
      </w:pPr>
    </w:p>
    <w:p>
      <w:pPr>
        <w:pStyle w:val="BodyText"/>
      </w:pPr>
    </w:p>
    <w:p>
      <w:pPr>
        <w:pStyle w:val="Heading2"/>
        <w:numPr>
          <w:ilvl w:val="2"/>
          <w:numId w:val="3"/>
        </w:numPr>
        <w:tabs>
          <w:tab w:pos="898" w:val="left" w:leader="none"/>
        </w:tabs>
        <w:spacing w:line="240" w:lineRule="auto" w:before="194" w:after="0"/>
        <w:ind w:left="897" w:right="0" w:hanging="787"/>
        <w:jc w:val="both"/>
      </w:pPr>
      <w:r>
        <w:rPr/>
        <w:t>Finanzas Públicas.</w:t>
      </w:r>
    </w:p>
    <w:p>
      <w:pPr>
        <w:spacing w:after="0" w:line="240" w:lineRule="auto"/>
        <w:jc w:val="both"/>
        <w:sectPr>
          <w:footerReference w:type="default" r:id="rId11"/>
          <w:pgSz w:w="11910" w:h="16840"/>
          <w:pgMar w:footer="724" w:header="0" w:top="960" w:bottom="920" w:left="1600" w:right="1580"/>
        </w:sectPr>
      </w:pPr>
    </w:p>
    <w:p>
      <w:pPr>
        <w:pStyle w:val="BodyText"/>
        <w:rPr>
          <w:b/>
          <w:sz w:val="20"/>
        </w:rPr>
      </w:pPr>
    </w:p>
    <w:p>
      <w:pPr>
        <w:pStyle w:val="BodyText"/>
        <w:spacing w:before="3"/>
        <w:rPr>
          <w:b/>
          <w:sz w:val="19"/>
        </w:rPr>
      </w:pPr>
    </w:p>
    <w:p>
      <w:pPr>
        <w:pStyle w:val="BodyText"/>
        <w:spacing w:line="360" w:lineRule="auto"/>
        <w:ind w:left="110" w:right="108"/>
        <w:jc w:val="both"/>
      </w:pPr>
      <w:r>
        <w:rPr/>
        <w:t>Se definen como el conjunto de instrumentos donde se identifica el uso de herramientas macroeconómicas por parte del estado para poder cumplir sus objetivos. Las finanzas públicas analizan todo lo relacionado con la forma de satisfacer las necesidades que demanda la población que integra un estado; regirán las necesidades que se originan frente a las relaciones del estado con los individuos y en el mismo estado.</w:t>
      </w:r>
    </w:p>
    <w:p>
      <w:pPr>
        <w:pStyle w:val="BodyText"/>
      </w:pPr>
    </w:p>
    <w:p>
      <w:pPr>
        <w:pStyle w:val="BodyText"/>
        <w:spacing w:line="360" w:lineRule="auto" w:before="144"/>
        <w:ind w:left="110" w:right="108"/>
        <w:jc w:val="both"/>
      </w:pPr>
      <w:r>
        <w:rPr/>
        <w:t>De forma tal que el estado debe desarrollar una actividad de carácter económico encaminada a la obtención de medios que le permitan satisfacer las necesidades colectivas mediante la realización de servicios públicos.</w:t>
      </w:r>
    </w:p>
    <w:p>
      <w:pPr>
        <w:pStyle w:val="BodyText"/>
      </w:pPr>
    </w:p>
    <w:p>
      <w:pPr>
        <w:pStyle w:val="BodyText"/>
        <w:spacing w:line="360" w:lineRule="auto" w:before="144"/>
        <w:ind w:left="110" w:right="108"/>
        <w:jc w:val="both"/>
      </w:pPr>
      <w:r>
        <w:rPr/>
        <w:t>Las finanzas públicas tienen por objetivo brindar al entorno macroeconómico mayor estabilidad de forma tal que contribuyan al crecimiento de la economía, así como servir de instrumento de planeación económica a largo plazo. (Enciclopedia Financiera, 2012)</w:t>
      </w:r>
    </w:p>
    <w:p>
      <w:pPr>
        <w:pStyle w:val="BodyText"/>
      </w:pPr>
    </w:p>
    <w:p>
      <w:pPr>
        <w:pStyle w:val="BodyText"/>
        <w:spacing w:line="360" w:lineRule="auto" w:before="139"/>
        <w:ind w:left="110" w:right="108"/>
        <w:jc w:val="both"/>
      </w:pPr>
      <w:r>
        <w:rPr/>
        <w:t>El fundamento de las finanzas públicas se basa en establecer y recaudar uniformemente los impuestos en el territorio nacional y en generar gastos que manejados y utilizados racionalmente aumenten el bienestar de la población para que contribuyan al crecimiento de la economía. (Economia es, 2012)</w:t>
      </w:r>
    </w:p>
    <w:p>
      <w:pPr>
        <w:pStyle w:val="BodyText"/>
      </w:pPr>
    </w:p>
    <w:p>
      <w:pPr>
        <w:pStyle w:val="BodyText"/>
        <w:spacing w:before="2"/>
        <w:rPr>
          <w:sz w:val="29"/>
        </w:rPr>
      </w:pPr>
    </w:p>
    <w:p>
      <w:pPr>
        <w:pStyle w:val="Heading2"/>
        <w:numPr>
          <w:ilvl w:val="2"/>
          <w:numId w:val="3"/>
        </w:numPr>
        <w:tabs>
          <w:tab w:pos="831" w:val="left" w:leader="none"/>
        </w:tabs>
        <w:spacing w:line="240" w:lineRule="auto" w:before="1" w:after="0"/>
        <w:ind w:left="830" w:right="0" w:hanging="720"/>
        <w:jc w:val="both"/>
      </w:pPr>
      <w:r>
        <w:rPr/>
        <w:t>Finanzas Internacionales.</w:t>
      </w:r>
    </w:p>
    <w:p>
      <w:pPr>
        <w:pStyle w:val="BodyText"/>
        <w:spacing w:line="360" w:lineRule="auto" w:before="141"/>
        <w:ind w:left="110" w:right="108"/>
        <w:jc w:val="both"/>
      </w:pPr>
      <w:r>
        <w:rPr/>
        <w:t>Las finanzas internacionales son un área de conocimiento que combinan los elementos de finanzas corporativas y la economía internacional, estudian los flujos de efectivo a través de las fronteras nacionales (Kozikowski, 2007).</w:t>
      </w:r>
    </w:p>
    <w:p>
      <w:pPr>
        <w:pStyle w:val="BodyText"/>
        <w:spacing w:line="360" w:lineRule="auto" w:before="2"/>
        <w:ind w:left="110" w:right="108"/>
        <w:jc w:val="both"/>
      </w:pPr>
      <w:r>
        <w:rPr/>
        <w:t>Es la parte macroeconómica de la economía internacional teniendo como punto central de análisis la balanza de pagos y los procesos de ajuste a los desequilibrios en dicha balanza y la variable fundamental es el tipo de cambio.</w:t>
      </w:r>
    </w:p>
    <w:p>
      <w:pPr>
        <w:pStyle w:val="BodyText"/>
      </w:pPr>
    </w:p>
    <w:p>
      <w:pPr>
        <w:pStyle w:val="BodyText"/>
        <w:spacing w:line="360" w:lineRule="auto" w:before="144"/>
        <w:ind w:left="110" w:right="108"/>
        <w:jc w:val="both"/>
      </w:pPr>
      <w:r>
        <w:rPr/>
        <w:t>El estudio de las finanzas internacionales permite anticipar los efectos de acontecimientos internacionales que afectarán a la empresa, por ejemplo, los tipos de cambio, tasas de interés, inflación, valores de los activos.</w:t>
      </w:r>
    </w:p>
    <w:p>
      <w:pPr>
        <w:spacing w:after="0" w:line="360" w:lineRule="auto"/>
        <w:jc w:val="both"/>
        <w:sectPr>
          <w:footerReference w:type="default" r:id="rId12"/>
          <w:pgSz w:w="11910" w:h="16840"/>
          <w:pgMar w:footer="724" w:header="0" w:top="960" w:bottom="920" w:left="1600" w:right="1580"/>
          <w:pgNumType w:start="11"/>
        </w:sectPr>
      </w:pPr>
    </w:p>
    <w:p>
      <w:pPr>
        <w:pStyle w:val="BodyText"/>
        <w:rPr>
          <w:sz w:val="20"/>
        </w:rPr>
      </w:pPr>
    </w:p>
    <w:p>
      <w:pPr>
        <w:pStyle w:val="BodyText"/>
        <w:spacing w:before="3"/>
        <w:rPr>
          <w:sz w:val="19"/>
        </w:rPr>
      </w:pPr>
    </w:p>
    <w:p>
      <w:pPr>
        <w:pStyle w:val="Heading2"/>
        <w:numPr>
          <w:ilvl w:val="2"/>
          <w:numId w:val="3"/>
        </w:numPr>
        <w:tabs>
          <w:tab w:pos="831" w:val="left" w:leader="none"/>
        </w:tabs>
        <w:spacing w:line="240" w:lineRule="auto" w:before="0" w:after="0"/>
        <w:ind w:left="830" w:right="0" w:hanging="720"/>
        <w:jc w:val="both"/>
      </w:pPr>
      <w:r>
        <w:rPr/>
        <w:t>Finanzas corporativas.</w:t>
      </w:r>
    </w:p>
    <w:p>
      <w:pPr>
        <w:pStyle w:val="BodyText"/>
        <w:spacing w:line="360" w:lineRule="auto" w:before="137"/>
        <w:ind w:left="110" w:right="108"/>
        <w:jc w:val="both"/>
      </w:pPr>
      <w:r>
        <w:rPr/>
        <w:t>De acuerdo con Bodie y Merton, las finanzas corporativas son la rama de las finanzas que se ocupa de las decisiones financieras de las empresas (Bodie, 2007). Las finanzas corporativas se centran en la forma en la que las empresas pueden crear valor a través del uso eficiente de los recursos financieros.</w:t>
      </w:r>
    </w:p>
    <w:p>
      <w:pPr>
        <w:pStyle w:val="BodyText"/>
      </w:pPr>
    </w:p>
    <w:p>
      <w:pPr>
        <w:pStyle w:val="BodyText"/>
        <w:spacing w:before="7"/>
        <w:rPr>
          <w:sz w:val="29"/>
        </w:rPr>
      </w:pPr>
    </w:p>
    <w:p>
      <w:pPr>
        <w:pStyle w:val="Heading3"/>
        <w:numPr>
          <w:ilvl w:val="3"/>
          <w:numId w:val="3"/>
        </w:numPr>
        <w:tabs>
          <w:tab w:pos="975" w:val="left" w:leader="none"/>
        </w:tabs>
        <w:spacing w:line="240" w:lineRule="auto" w:before="0" w:after="0"/>
        <w:ind w:left="974" w:right="0" w:hanging="864"/>
        <w:jc w:val="both"/>
        <w:rPr>
          <w:i/>
        </w:rPr>
      </w:pPr>
      <w:r>
        <w:rPr>
          <w:i/>
        </w:rPr>
        <w:t>Tipos de</w:t>
      </w:r>
      <w:r>
        <w:rPr>
          <w:i/>
          <w:spacing w:val="-2"/>
        </w:rPr>
        <w:t> </w:t>
      </w:r>
      <w:r>
        <w:rPr>
          <w:i/>
        </w:rPr>
        <w:t>decisiones.</w:t>
      </w:r>
    </w:p>
    <w:p>
      <w:pPr>
        <w:pStyle w:val="BodyText"/>
        <w:spacing w:line="360" w:lineRule="auto" w:before="141"/>
        <w:ind w:left="110" w:right="108"/>
        <w:jc w:val="both"/>
      </w:pPr>
      <w:r>
        <w:rPr/>
        <w:t>De acuerdo con Gitman, las finanzas corporativas están centradas principalmente en tres tipos de decisiones:</w:t>
      </w:r>
    </w:p>
    <w:p>
      <w:pPr>
        <w:pStyle w:val="BodyText"/>
      </w:pPr>
    </w:p>
    <w:p>
      <w:pPr>
        <w:pStyle w:val="ListParagraph"/>
        <w:numPr>
          <w:ilvl w:val="4"/>
          <w:numId w:val="3"/>
        </w:numPr>
        <w:tabs>
          <w:tab w:pos="831" w:val="left" w:leader="none"/>
        </w:tabs>
        <w:spacing w:line="360" w:lineRule="auto" w:before="139" w:after="0"/>
        <w:ind w:left="830" w:right="108" w:hanging="360"/>
        <w:jc w:val="both"/>
        <w:rPr>
          <w:sz w:val="24"/>
        </w:rPr>
      </w:pPr>
      <w:r>
        <w:rPr>
          <w:b/>
          <w:sz w:val="24"/>
        </w:rPr>
        <w:t>Decisiones de inversión</w:t>
      </w:r>
      <w:r>
        <w:rPr>
          <w:sz w:val="24"/>
        </w:rPr>
        <w:t>; se centran en el estudio de los activos reales tangibles o intangibles en los cuales la empresa realizará la inversión. Toda empresa, para operar, requiere de toda una serie de  activos: planta de producción, equipo necesario para transformar la materia prima, trabajadores, planes de comercialización, manejo de inventarios, etcétera. La decisión óptima de inversión, cuando existen recursos escasos y distintos proyectos que compiten entre sí, requiere de  técnicas específicas que permitan cuantificar qué proyecto es el adecuado. Esta medida debe incorporar preceptos como el valor del dinero en el tiempo y el riesgo.</w:t>
      </w:r>
    </w:p>
    <w:p>
      <w:pPr>
        <w:pStyle w:val="BodyText"/>
      </w:pPr>
    </w:p>
    <w:p>
      <w:pPr>
        <w:pStyle w:val="ListParagraph"/>
        <w:numPr>
          <w:ilvl w:val="4"/>
          <w:numId w:val="3"/>
        </w:numPr>
        <w:tabs>
          <w:tab w:pos="831" w:val="left" w:leader="none"/>
        </w:tabs>
        <w:spacing w:line="360" w:lineRule="auto" w:before="144" w:after="0"/>
        <w:ind w:left="830" w:right="108" w:hanging="360"/>
        <w:jc w:val="both"/>
        <w:rPr>
          <w:sz w:val="24"/>
        </w:rPr>
      </w:pPr>
      <w:r>
        <w:rPr>
          <w:b/>
          <w:sz w:val="24"/>
        </w:rPr>
        <w:t>Decisiones de financiación</w:t>
      </w:r>
      <w:r>
        <w:rPr>
          <w:sz w:val="24"/>
        </w:rPr>
        <w:t>; estudia las distintas maneras de obtener fondos requeridos para que la empresa pueda poseer los activos en los que desea invertir. Las finanzas corporativas ayudan no solo a decidir cuál es el momento adecuado para endeudarse, también busca determinar qué tipo de financiamiento es mejor para la empresa. Para la toma de este tipo de decisiones se requiere conocer la estructura de capital de la empresa y analizar los beneficios y costos de cada una de las fuentes de financiamiento, así como el giro al que pertenece la empresa.</w:t>
      </w:r>
    </w:p>
    <w:p>
      <w:pPr>
        <w:pStyle w:val="BodyText"/>
      </w:pPr>
    </w:p>
    <w:p>
      <w:pPr>
        <w:pStyle w:val="BodyText"/>
        <w:spacing w:before="7"/>
        <w:rPr>
          <w:sz w:val="29"/>
        </w:rPr>
      </w:pPr>
    </w:p>
    <w:p>
      <w:pPr>
        <w:pStyle w:val="ListParagraph"/>
        <w:numPr>
          <w:ilvl w:val="4"/>
          <w:numId w:val="3"/>
        </w:numPr>
        <w:tabs>
          <w:tab w:pos="831" w:val="left" w:leader="none"/>
        </w:tabs>
        <w:spacing w:line="360" w:lineRule="auto" w:before="0" w:after="0"/>
        <w:ind w:left="830" w:right="108" w:hanging="360"/>
        <w:jc w:val="both"/>
        <w:rPr>
          <w:sz w:val="24"/>
        </w:rPr>
      </w:pPr>
      <w:r>
        <w:rPr>
          <w:b/>
          <w:sz w:val="24"/>
        </w:rPr>
        <w:t>Decisiones sobre dividendos</w:t>
      </w:r>
      <w:r>
        <w:rPr>
          <w:sz w:val="24"/>
        </w:rPr>
        <w:t>; los dividendos representan el efectivo generado por una empresa que es repartido entre los accionistas.  </w:t>
      </w:r>
      <w:r>
        <w:rPr>
          <w:spacing w:val="26"/>
          <w:sz w:val="24"/>
        </w:rPr>
        <w:t> </w:t>
      </w:r>
      <w:r>
        <w:rPr>
          <w:sz w:val="24"/>
        </w:rPr>
        <w:t>Toda</w:t>
      </w:r>
    </w:p>
    <w:p>
      <w:pPr>
        <w:spacing w:after="0" w:line="360" w:lineRule="auto"/>
        <w:jc w:val="both"/>
        <w:rPr>
          <w:sz w:val="24"/>
        </w:rPr>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830" w:right="108"/>
        <w:jc w:val="both"/>
      </w:pPr>
      <w:r>
        <w:rPr/>
        <w:t>empresa, una vez que ha seleccionado los proyectos de inversión adecuados y ha adoptado la mezcla óptima de financiamiento, debe decidir cuánto de los recursos generados deben ser reinvertidos en la empresa y cuánto debe ser repartido entre sus dueños.</w:t>
      </w:r>
    </w:p>
    <w:p>
      <w:pPr>
        <w:pStyle w:val="BodyText"/>
      </w:pPr>
    </w:p>
    <w:p>
      <w:pPr>
        <w:pStyle w:val="BodyText"/>
        <w:spacing w:before="2"/>
        <w:rPr>
          <w:sz w:val="29"/>
        </w:rPr>
      </w:pPr>
    </w:p>
    <w:p>
      <w:pPr>
        <w:pStyle w:val="Heading2"/>
        <w:numPr>
          <w:ilvl w:val="2"/>
          <w:numId w:val="4"/>
        </w:numPr>
        <w:tabs>
          <w:tab w:pos="831" w:val="left" w:leader="none"/>
        </w:tabs>
        <w:spacing w:line="240" w:lineRule="auto" w:before="1" w:after="0"/>
        <w:ind w:left="830" w:right="0" w:hanging="720"/>
        <w:jc w:val="both"/>
      </w:pPr>
      <w:r>
        <w:rPr/>
        <w:t>Finanzas Bursátiles.</w:t>
      </w:r>
    </w:p>
    <w:p>
      <w:pPr>
        <w:pStyle w:val="BodyText"/>
        <w:spacing w:line="362" w:lineRule="auto" w:before="141"/>
        <w:ind w:left="110" w:right="108"/>
        <w:jc w:val="both"/>
      </w:pPr>
      <w:r>
        <w:rPr/>
        <w:t>Estudia la forma como las empresas pueden financiar sus proyectos a través  de la emisión de acciones o títulos de</w:t>
      </w:r>
      <w:r>
        <w:rPr>
          <w:spacing w:val="-1"/>
        </w:rPr>
        <w:t> </w:t>
      </w:r>
      <w:r>
        <w:rPr/>
        <w:t>deuda.</w:t>
      </w:r>
    </w:p>
    <w:p>
      <w:pPr>
        <w:pStyle w:val="BodyText"/>
        <w:spacing w:before="10"/>
        <w:rPr>
          <w:sz w:val="35"/>
        </w:rPr>
      </w:pPr>
    </w:p>
    <w:p>
      <w:pPr>
        <w:pStyle w:val="BodyText"/>
        <w:spacing w:line="360" w:lineRule="auto"/>
        <w:ind w:left="110" w:right="108"/>
        <w:jc w:val="both"/>
      </w:pPr>
      <w:r>
        <w:rPr/>
        <w:t>“El mercado bursátil es aquél en el que se llevan a cabo las transacciones de títulos realizados por los intermediarios bursátiles, quienes captan los recursos provenientes de ahorradores e inversionistas, nacionales y extranjeros; aplicándolos a una amplia gama de valores que responden a las necesidades de financiamiento de empresas emisoras, instituciones de crédito y organismos gubernamentales.” (BANXICO, 2011)</w:t>
      </w:r>
    </w:p>
    <w:p>
      <w:pPr>
        <w:pStyle w:val="BodyText"/>
      </w:pPr>
    </w:p>
    <w:p>
      <w:pPr>
        <w:pStyle w:val="BodyText"/>
        <w:spacing w:before="7"/>
        <w:rPr>
          <w:sz w:val="29"/>
        </w:rPr>
      </w:pPr>
    </w:p>
    <w:p>
      <w:pPr>
        <w:pStyle w:val="Heading3"/>
        <w:numPr>
          <w:ilvl w:val="3"/>
          <w:numId w:val="4"/>
        </w:numPr>
        <w:tabs>
          <w:tab w:pos="975" w:val="left" w:leader="none"/>
        </w:tabs>
        <w:spacing w:line="240" w:lineRule="auto" w:before="0" w:after="0"/>
        <w:ind w:left="974" w:right="0" w:hanging="864"/>
        <w:jc w:val="both"/>
        <w:rPr>
          <w:i/>
        </w:rPr>
      </w:pPr>
      <w:r>
        <w:rPr>
          <w:i/>
        </w:rPr>
        <w:t>Participantes en las finanzas bursátiles</w:t>
      </w:r>
    </w:p>
    <w:p>
      <w:pPr>
        <w:pStyle w:val="BodyText"/>
        <w:spacing w:line="355" w:lineRule="auto" w:before="141"/>
        <w:ind w:left="110" w:right="108"/>
        <w:jc w:val="both"/>
      </w:pPr>
      <w:r>
        <w:rPr/>
        <w:t>Se reconoce como participantes del mercado de valores: a emisores, inversionistas e intermediarios bursátiles.</w:t>
      </w:r>
    </w:p>
    <w:p>
      <w:pPr>
        <w:pStyle w:val="BodyText"/>
      </w:pPr>
    </w:p>
    <w:p>
      <w:pPr>
        <w:pStyle w:val="BodyText"/>
        <w:spacing w:before="6"/>
        <w:rPr>
          <w:sz w:val="30"/>
        </w:rPr>
      </w:pPr>
    </w:p>
    <w:p>
      <w:pPr>
        <w:pStyle w:val="Heading2"/>
        <w:numPr>
          <w:ilvl w:val="4"/>
          <w:numId w:val="4"/>
        </w:numPr>
        <w:tabs>
          <w:tab w:pos="831" w:val="left" w:leader="none"/>
        </w:tabs>
        <w:spacing w:line="240" w:lineRule="auto" w:before="0" w:after="0"/>
        <w:ind w:left="830" w:right="0" w:hanging="360"/>
        <w:jc w:val="left"/>
        <w:rPr>
          <w:b w:val="0"/>
        </w:rPr>
      </w:pPr>
      <w:r>
        <w:rPr/>
        <w:t>Emisores</w:t>
      </w:r>
      <w:r>
        <w:rPr>
          <w:b w:val="0"/>
        </w:rPr>
        <w:t>.</w:t>
      </w:r>
    </w:p>
    <w:p>
      <w:pPr>
        <w:pStyle w:val="BodyText"/>
        <w:spacing w:line="360" w:lineRule="auto" w:before="137"/>
        <w:ind w:left="110" w:right="108"/>
        <w:jc w:val="both"/>
      </w:pPr>
      <w:r>
        <w:rPr/>
        <w:t>Son entidades que requieren de financiamiento para desarrollar sus proyectos  y los obtienen mediante la emisión de títulos. La emisión con base en el Banco de México (BANXICO, 2011) se define como: Acto de crear nuevos títulos,  sean acciones, obligaciones, fondos públicos, pagarés, etc. Conjunto de  valores que una emisora crea y pone en circulación. Una emisión puede ser pública, si se realiza la colocación de los títulos en el mercado de valores a través de la intermediación bursátil, y privada si la colocación se hace a los actuales accionistas o a través de la venta directa de un paquete de acciones del vendedor al comprador. Acto de poner en circulación títulos o valores en el mercado, con objeto de adquirir recursos financieros para solventar la actividad de una institución. (BANXICO,</w:t>
      </w:r>
      <w:r>
        <w:rPr>
          <w:spacing w:val="-1"/>
        </w:rPr>
        <w:t> </w:t>
      </w:r>
      <w:r>
        <w:rPr/>
        <w:t>2011)</w:t>
      </w:r>
    </w:p>
    <w:p>
      <w:pPr>
        <w:spacing w:after="0" w:line="360" w:lineRule="auto"/>
        <w:jc w:val="both"/>
        <w:sectPr>
          <w:pgSz w:w="11910" w:h="16840"/>
          <w:pgMar w:header="0" w:footer="724" w:top="960" w:bottom="9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Heading2"/>
        <w:numPr>
          <w:ilvl w:val="4"/>
          <w:numId w:val="4"/>
        </w:numPr>
        <w:tabs>
          <w:tab w:pos="831" w:val="left" w:leader="none"/>
        </w:tabs>
        <w:spacing w:line="240" w:lineRule="auto" w:before="70" w:after="0"/>
        <w:ind w:left="830" w:right="0" w:hanging="360"/>
        <w:jc w:val="left"/>
      </w:pPr>
      <w:r>
        <w:rPr/>
        <w:t>Inversionistas.</w:t>
      </w:r>
    </w:p>
    <w:p>
      <w:pPr>
        <w:pStyle w:val="BodyText"/>
        <w:spacing w:line="360" w:lineRule="auto" w:before="137"/>
        <w:ind w:left="110" w:right="108"/>
        <w:jc w:val="both"/>
      </w:pPr>
      <w:r>
        <w:rPr/>
        <w:t>Personas físicas o morales, nacionales o extranjeras que, a través de una casa de bolsa, colocan sus recursos a cambio de valores, para obtener  rendimientos. (BMV,</w:t>
      </w:r>
      <w:r>
        <w:rPr>
          <w:spacing w:val="-1"/>
        </w:rPr>
        <w:t> </w:t>
      </w:r>
      <w:r>
        <w:rPr/>
        <w:t>2011)</w:t>
      </w:r>
    </w:p>
    <w:p>
      <w:pPr>
        <w:pStyle w:val="BodyText"/>
        <w:spacing w:line="360" w:lineRule="auto" w:before="7"/>
        <w:ind w:left="110" w:right="108"/>
        <w:jc w:val="both"/>
      </w:pPr>
      <w:r>
        <w:rPr/>
        <w:t>La inversión se define como “el empleo de una suma de dinero en compras de bienes duraderos o títulos. Gasto que se efectúa para mantener en funcionamiento o para ampliar el equipo productivo de una empresa. Bienes y servicios producidos pero no consumidos”. (BANXICO, 2011)</w:t>
      </w:r>
    </w:p>
    <w:p>
      <w:pPr>
        <w:pStyle w:val="BodyText"/>
      </w:pPr>
    </w:p>
    <w:p>
      <w:pPr>
        <w:pStyle w:val="Heading2"/>
        <w:numPr>
          <w:ilvl w:val="4"/>
          <w:numId w:val="4"/>
        </w:numPr>
        <w:tabs>
          <w:tab w:pos="831" w:val="left" w:leader="none"/>
        </w:tabs>
        <w:spacing w:line="240" w:lineRule="auto" w:before="144" w:after="0"/>
        <w:ind w:left="830" w:right="0" w:hanging="360"/>
        <w:jc w:val="left"/>
      </w:pPr>
      <w:r>
        <w:rPr/>
        <w:t>Intermediarios bursátiles.</w:t>
      </w:r>
    </w:p>
    <w:p>
      <w:pPr>
        <w:pStyle w:val="BodyText"/>
        <w:spacing w:line="360" w:lineRule="auto" w:before="137"/>
        <w:ind w:left="110" w:right="108"/>
        <w:jc w:val="both"/>
      </w:pPr>
      <w:r>
        <w:rPr/>
        <w:t>Casas de bolsa a través de quienes se tiene contacto entre los inversionistas y las emisoras. (BMV, 2011)</w:t>
      </w:r>
    </w:p>
    <w:p>
      <w:pPr>
        <w:pStyle w:val="BodyText"/>
      </w:pPr>
    </w:p>
    <w:p>
      <w:pPr>
        <w:pStyle w:val="BodyText"/>
        <w:spacing w:before="7"/>
        <w:rPr>
          <w:sz w:val="29"/>
        </w:rPr>
      </w:pPr>
    </w:p>
    <w:p>
      <w:pPr>
        <w:pStyle w:val="Heading2"/>
        <w:numPr>
          <w:ilvl w:val="1"/>
          <w:numId w:val="4"/>
        </w:numPr>
        <w:tabs>
          <w:tab w:pos="754" w:val="left" w:leader="none"/>
        </w:tabs>
        <w:spacing w:line="240" w:lineRule="auto" w:before="0" w:after="0"/>
        <w:ind w:left="753" w:right="0" w:hanging="643"/>
        <w:jc w:val="both"/>
      </w:pPr>
      <w:r>
        <w:rPr/>
        <w:t>Administración Financiera.</w:t>
      </w:r>
    </w:p>
    <w:p>
      <w:pPr>
        <w:pStyle w:val="BodyText"/>
        <w:spacing w:line="360" w:lineRule="auto" w:before="141"/>
        <w:ind w:left="110" w:right="108"/>
        <w:jc w:val="both"/>
      </w:pPr>
      <w:r>
        <w:rPr/>
        <w:t>Es una fase de la administración general, que tiene por objeto maximizar el patrimonio de una empresa a largo plazo, mediante la obtención de recursos financieros por aportaciones de capital u obtención de créditos, su correcto manejo y aplicación, así como la coordinación eficiente del capital de trabajo inversiones y resultados, mediante la presentación e interpretación para tomar decisiones acertadas. (Perdomo, 2002)</w:t>
      </w:r>
    </w:p>
    <w:p>
      <w:pPr>
        <w:pStyle w:val="BodyText"/>
      </w:pPr>
    </w:p>
    <w:p>
      <w:pPr>
        <w:pStyle w:val="BodyText"/>
        <w:spacing w:line="362" w:lineRule="auto" w:before="139"/>
        <w:ind w:left="110" w:right="108"/>
        <w:jc w:val="both"/>
      </w:pPr>
      <w:r>
        <w:rPr/>
        <w:t>La administración financiera se ocupa de las tareas del administrador financiero en la empresa.</w:t>
      </w:r>
    </w:p>
    <w:p>
      <w:pPr>
        <w:pStyle w:val="BodyText"/>
      </w:pPr>
    </w:p>
    <w:p>
      <w:pPr>
        <w:pStyle w:val="BodyText"/>
        <w:rPr>
          <w:sz w:val="29"/>
        </w:rPr>
      </w:pPr>
    </w:p>
    <w:p>
      <w:pPr>
        <w:pStyle w:val="Heading2"/>
      </w:pPr>
      <w:r>
        <w:rPr/>
        <w:t>1.5.1   Papel del administrador financiero.</w:t>
      </w:r>
    </w:p>
    <w:p>
      <w:pPr>
        <w:pStyle w:val="BodyText"/>
        <w:spacing w:line="360" w:lineRule="auto" w:before="141"/>
        <w:ind w:left="110" w:right="108"/>
        <w:jc w:val="both"/>
      </w:pPr>
      <w:r>
        <w:rPr/>
        <w:t>El administrador financiero, administra activamente los asuntos financieros de cualquier tipo de empresa, financiera o no, privada o pública, grande o pequeña, lucrativa o sin fines de lucro. Realizan tareas financieras tan diversas como la planificación, la extensión de crédito a clientes, la evaluación  de fuertes gastos propuestos y la recaudación de dinero para financiar las operaciones de la empresa.</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firstLine="66"/>
        <w:jc w:val="both"/>
      </w:pPr>
      <w:r>
        <w:rPr/>
        <w:t>El administrador financiero actual participa de forma activa en el desarrollo y puesta en marcha de estrategias corporativas dirigidas al crecimiento de la empresa y el mejoramiento de su posición competitiva (Gitman, 2007). El administrador financiero tiene como responsabilidades:</w:t>
      </w:r>
    </w:p>
    <w:p>
      <w:pPr>
        <w:pStyle w:val="ListParagraph"/>
        <w:numPr>
          <w:ilvl w:val="0"/>
          <w:numId w:val="5"/>
        </w:numPr>
        <w:tabs>
          <w:tab w:pos="831" w:val="left" w:leader="none"/>
        </w:tabs>
        <w:spacing w:line="357" w:lineRule="auto" w:before="207" w:after="0"/>
        <w:ind w:left="830" w:right="108" w:hanging="360"/>
        <w:jc w:val="both"/>
        <w:rPr>
          <w:sz w:val="24"/>
        </w:rPr>
      </w:pPr>
      <w:r>
        <w:rPr>
          <w:sz w:val="24"/>
        </w:rPr>
        <w:t>Planificar y pronosticar. Coordina el proceso de planificación, es decir, interactúa con miembros de otros departamentos al hacer pronósticos y establecer los planes que moldearán el futuro de la compañía.</w:t>
      </w:r>
    </w:p>
    <w:p>
      <w:pPr>
        <w:pStyle w:val="ListParagraph"/>
        <w:numPr>
          <w:ilvl w:val="0"/>
          <w:numId w:val="5"/>
        </w:numPr>
        <w:tabs>
          <w:tab w:pos="831" w:val="left" w:leader="none"/>
        </w:tabs>
        <w:spacing w:line="357" w:lineRule="auto" w:before="3" w:after="0"/>
        <w:ind w:left="830" w:right="108" w:hanging="360"/>
        <w:jc w:val="both"/>
        <w:rPr>
          <w:sz w:val="24"/>
        </w:rPr>
      </w:pPr>
      <w:r>
        <w:rPr>
          <w:sz w:val="24"/>
        </w:rPr>
        <w:t>Tomar decisiones importantes de inversión y financiamiento. El personal de finanzas ayuda a determinar el crecimiento óptimo de las ventas, a decidir qué activos adquirir y elegir después el mejor instrumento para financiarlos.</w:t>
      </w:r>
    </w:p>
    <w:p>
      <w:pPr>
        <w:pStyle w:val="ListParagraph"/>
        <w:numPr>
          <w:ilvl w:val="0"/>
          <w:numId w:val="5"/>
        </w:numPr>
        <w:tabs>
          <w:tab w:pos="831" w:val="left" w:leader="none"/>
        </w:tabs>
        <w:spacing w:line="357" w:lineRule="auto" w:before="3" w:after="0"/>
        <w:ind w:left="830" w:right="108" w:hanging="360"/>
        <w:jc w:val="both"/>
        <w:rPr>
          <w:sz w:val="24"/>
        </w:rPr>
      </w:pPr>
      <w:r>
        <w:rPr>
          <w:sz w:val="24"/>
        </w:rPr>
        <w:t>Coordinar y controlar. El personal de finanzas necesita interactuar con otros departamentos parar cerciorarse de que la compañía sea administrada con la mayor eficiencia</w:t>
      </w:r>
      <w:r>
        <w:rPr>
          <w:spacing w:val="-1"/>
          <w:sz w:val="24"/>
        </w:rPr>
        <w:t> </w:t>
      </w:r>
      <w:r>
        <w:rPr>
          <w:sz w:val="24"/>
        </w:rPr>
        <w:t>posible.</w:t>
      </w:r>
    </w:p>
    <w:p>
      <w:pPr>
        <w:pStyle w:val="ListParagraph"/>
        <w:numPr>
          <w:ilvl w:val="0"/>
          <w:numId w:val="5"/>
        </w:numPr>
        <w:tabs>
          <w:tab w:pos="831" w:val="left" w:leader="none"/>
        </w:tabs>
        <w:spacing w:line="357" w:lineRule="auto" w:before="3" w:after="0"/>
        <w:ind w:left="830" w:right="108" w:hanging="360"/>
        <w:jc w:val="both"/>
        <w:rPr>
          <w:sz w:val="24"/>
        </w:rPr>
      </w:pPr>
      <w:r>
        <w:rPr>
          <w:sz w:val="24"/>
        </w:rPr>
        <w:t>Tratar con los mercados financieros. La empresa interactúa con los mercados financieros generales donde se generan los fondos, se intercambian sus valores y donde los inversionistas ganan o pierden dinero.</w:t>
      </w:r>
    </w:p>
    <w:p>
      <w:pPr>
        <w:pStyle w:val="ListParagraph"/>
        <w:numPr>
          <w:ilvl w:val="0"/>
          <w:numId w:val="5"/>
        </w:numPr>
        <w:tabs>
          <w:tab w:pos="831" w:val="left" w:leader="none"/>
        </w:tabs>
        <w:spacing w:line="355" w:lineRule="auto" w:before="8" w:after="0"/>
        <w:ind w:left="830" w:right="108" w:hanging="360"/>
        <w:jc w:val="both"/>
        <w:rPr>
          <w:sz w:val="24"/>
        </w:rPr>
      </w:pPr>
      <w:r>
        <w:rPr>
          <w:sz w:val="24"/>
        </w:rPr>
        <w:t>Manejar el riesgo. Todas las empresas corren riesgos, el administrador financiero debe reconocerlos y administrar los recursos con eficiencia para hacer frente a éstos.</w:t>
      </w:r>
    </w:p>
    <w:p>
      <w:pPr>
        <w:pStyle w:val="BodyText"/>
      </w:pPr>
    </w:p>
    <w:p>
      <w:pPr>
        <w:pStyle w:val="BodyText"/>
      </w:pPr>
    </w:p>
    <w:p>
      <w:pPr>
        <w:pStyle w:val="BodyText"/>
        <w:spacing w:before="7"/>
        <w:rPr>
          <w:sz w:val="23"/>
        </w:rPr>
      </w:pPr>
    </w:p>
    <w:p>
      <w:pPr>
        <w:pStyle w:val="Heading2"/>
        <w:numPr>
          <w:ilvl w:val="1"/>
          <w:numId w:val="6"/>
        </w:numPr>
        <w:tabs>
          <w:tab w:pos="687" w:val="left" w:leader="none"/>
        </w:tabs>
        <w:spacing w:line="240" w:lineRule="auto" w:before="0" w:after="0"/>
        <w:ind w:left="686" w:right="0" w:hanging="576"/>
        <w:jc w:val="both"/>
      </w:pPr>
      <w:r>
        <w:rPr/>
        <w:t>Relación de las finanzas con otras áreas.</w:t>
      </w:r>
    </w:p>
    <w:p>
      <w:pPr>
        <w:pStyle w:val="BodyText"/>
        <w:spacing w:line="357" w:lineRule="auto" w:before="141"/>
        <w:ind w:left="110" w:right="108"/>
        <w:jc w:val="both"/>
      </w:pPr>
      <w:r>
        <w:rPr/>
        <w:t>La función de las finanzas administrativas puede describirse ampliamente al considerar su papel dentro de la organización, su relación con la economía y la contabilidad.</w:t>
      </w:r>
    </w:p>
    <w:p>
      <w:pPr>
        <w:pStyle w:val="BodyText"/>
      </w:pPr>
    </w:p>
    <w:p>
      <w:pPr>
        <w:pStyle w:val="BodyText"/>
      </w:pPr>
    </w:p>
    <w:p>
      <w:pPr>
        <w:pStyle w:val="BodyText"/>
        <w:spacing w:before="9"/>
        <w:rPr>
          <w:sz w:val="23"/>
        </w:rPr>
      </w:pPr>
    </w:p>
    <w:p>
      <w:pPr>
        <w:pStyle w:val="Heading2"/>
        <w:numPr>
          <w:ilvl w:val="2"/>
          <w:numId w:val="6"/>
        </w:numPr>
        <w:tabs>
          <w:tab w:pos="831" w:val="left" w:leader="none"/>
        </w:tabs>
        <w:spacing w:line="240" w:lineRule="auto" w:before="1" w:after="0"/>
        <w:ind w:left="830" w:right="0" w:hanging="720"/>
        <w:jc w:val="both"/>
      </w:pPr>
      <w:r>
        <w:rPr/>
        <w:t>Relación de las finanzas con la economía.</w:t>
      </w:r>
    </w:p>
    <w:p>
      <w:pPr>
        <w:pStyle w:val="BodyText"/>
        <w:spacing w:line="360" w:lineRule="auto" w:before="137"/>
        <w:ind w:left="110" w:right="108"/>
        <w:jc w:val="both"/>
      </w:pPr>
      <w:r>
        <w:rPr/>
        <w:t>El campo de las finanzas se relaciona estrechamente con la economía. Los administradores financieros deben comprender la estructura económica y estar atentos a las consecuencias de los diversos niveles de la actividad   económica</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y a los cambios en la política económica. También deben tener la capacidad de usar las teorías económicas como directrices para lograr una operación empresarial eficiente. El principio económico más importante que se utiliza en las finanzas administrativas es el análisis de costos y beneficios marginales, principio económico que establece que se deben tomar decisiones financieras y llevar a cabo acciones sólo cuando los beneficios adicionales excedan los costos adicionales.</w:t>
      </w:r>
    </w:p>
    <w:p>
      <w:pPr>
        <w:pStyle w:val="BodyText"/>
      </w:pPr>
    </w:p>
    <w:p>
      <w:pPr>
        <w:pStyle w:val="BodyText"/>
      </w:pPr>
    </w:p>
    <w:p>
      <w:pPr>
        <w:pStyle w:val="BodyText"/>
        <w:spacing w:before="2"/>
        <w:rPr>
          <w:sz w:val="23"/>
        </w:rPr>
      </w:pPr>
    </w:p>
    <w:p>
      <w:pPr>
        <w:pStyle w:val="Heading2"/>
        <w:numPr>
          <w:ilvl w:val="2"/>
          <w:numId w:val="6"/>
        </w:numPr>
        <w:tabs>
          <w:tab w:pos="831" w:val="left" w:leader="none"/>
        </w:tabs>
        <w:spacing w:line="240" w:lineRule="auto" w:before="0" w:after="0"/>
        <w:ind w:left="830" w:right="0" w:hanging="720"/>
        <w:jc w:val="both"/>
      </w:pPr>
      <w:r>
        <w:rPr/>
        <w:t>Relación de las finanzas con la contabilidad.</w:t>
      </w:r>
    </w:p>
    <w:p>
      <w:pPr>
        <w:pStyle w:val="BodyText"/>
        <w:spacing w:line="360" w:lineRule="auto" w:before="141"/>
        <w:ind w:left="110" w:right="108"/>
        <w:jc w:val="both"/>
      </w:pPr>
      <w:r>
        <w:rPr/>
        <w:t>Para Gitman (Gitman, 2007) las actividades de finanzas y contabilidad de la empresa se relacionan de manera estrecha y generalmente se superponen; de hecho, con frecuencia no es fácil distinguir las finanzas administrativas de la contabilidad. Existen dos diferencias básicas entre las finanzas y la contabilidad; una se relaciona con la importancia de los flujos de efectivo y la otra con la toma de decisiones.</w:t>
      </w:r>
    </w:p>
    <w:p>
      <w:pPr>
        <w:pStyle w:val="BodyText"/>
        <w:spacing w:line="360" w:lineRule="auto" w:before="209"/>
        <w:ind w:left="110" w:right="108"/>
        <w:jc w:val="both"/>
      </w:pPr>
      <w:r>
        <w:rPr/>
        <w:t>La función principal del contador es generar y reportar los datos para medir el rendimiento de la empresa, evaluar su posición financiera, cumplir con los informes que requieren los reguladores de valores y presentarlos, declarar y pagar impuestos.</w:t>
      </w:r>
    </w:p>
    <w:p>
      <w:pPr>
        <w:pStyle w:val="BodyText"/>
        <w:spacing w:line="360" w:lineRule="auto" w:before="204"/>
        <w:ind w:left="110" w:right="108"/>
        <w:jc w:val="both"/>
      </w:pPr>
      <w:r>
        <w:rPr/>
        <w:t>El contador, por medio del uso de ciertos principios generalmente aceptados y estandarizados, elabora los estados financieros que registran los ingresos al momento de la venta.</w:t>
      </w:r>
    </w:p>
    <w:p>
      <w:pPr>
        <w:pStyle w:val="BodyText"/>
        <w:spacing w:line="360" w:lineRule="auto" w:before="209"/>
        <w:ind w:left="110" w:right="108"/>
        <w:jc w:val="both"/>
      </w:pPr>
      <w:r>
        <w:rPr/>
        <w:t>Por otra parte, el administrador financiero destaca sobre todo los flujos de efectivo, es decir, las entradas y salidas de efectivo. Mantiene la solvencia de la empresa mediante la planificación de los flujos de efectivo necesarios para cubrir sus obligaciones y adquirir los activos necesarios con el fin de lograr las metas de la empresa.</w:t>
      </w:r>
    </w:p>
    <w:p>
      <w:pPr>
        <w:pStyle w:val="BodyText"/>
        <w:spacing w:line="357" w:lineRule="auto" w:before="209"/>
        <w:ind w:left="110" w:right="108"/>
        <w:jc w:val="both"/>
      </w:pPr>
      <w:r>
        <w:rPr/>
        <w:t>El administrador financiero utiliza esta base de efectivo para registrar los ingresos y gastos sólo de los flujos reales de entrada y salida de efectivo, sin importar sus utilidades o pérdidas.</w:t>
      </w:r>
    </w:p>
    <w:p>
      <w:pPr>
        <w:spacing w:after="0" w:line="357"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En lo que respecta a la toma de decisiones, los contadores dedican la mayor parte de su atención a la recolección y presentación de datos financieros; los administradores financieros evalúan los estados contables, generan datos adicionales y toman decisiones según su evaluación de los rendimientos y riesgos relacionados.</w:t>
      </w:r>
    </w:p>
    <w:p>
      <w:pPr>
        <w:pStyle w:val="BodyText"/>
      </w:pPr>
    </w:p>
    <w:p>
      <w:pPr>
        <w:pStyle w:val="BodyText"/>
      </w:pPr>
    </w:p>
    <w:p>
      <w:pPr>
        <w:pStyle w:val="BodyText"/>
        <w:spacing w:before="7"/>
        <w:rPr>
          <w:sz w:val="23"/>
        </w:rPr>
      </w:pPr>
    </w:p>
    <w:p>
      <w:pPr>
        <w:pStyle w:val="Heading2"/>
        <w:numPr>
          <w:ilvl w:val="1"/>
          <w:numId w:val="7"/>
        </w:numPr>
        <w:tabs>
          <w:tab w:pos="687" w:val="left" w:leader="none"/>
        </w:tabs>
        <w:spacing w:line="240" w:lineRule="auto" w:before="0" w:after="0"/>
        <w:ind w:left="686" w:right="0" w:hanging="576"/>
        <w:jc w:val="both"/>
      </w:pPr>
      <w:r>
        <w:rPr/>
        <w:t>Definición y métodos de Análisis financiero.</w:t>
      </w:r>
    </w:p>
    <w:p>
      <w:pPr>
        <w:pStyle w:val="BodyText"/>
        <w:spacing w:line="360" w:lineRule="auto" w:before="137"/>
        <w:ind w:left="110" w:right="108"/>
        <w:jc w:val="both"/>
      </w:pPr>
      <w:r>
        <w:rPr/>
        <w:t>Con base en Adrián Perdomo, el análisis financiero es una "herramienta o técnica que aplica el administrador financiero, para la evaluación histórica de  un organismo social, público o privado". (Perdomo,</w:t>
      </w:r>
      <w:r>
        <w:rPr>
          <w:spacing w:val="-1"/>
        </w:rPr>
        <w:t> </w:t>
      </w:r>
      <w:r>
        <w:rPr/>
        <w:t>2002)</w:t>
      </w:r>
    </w:p>
    <w:p>
      <w:pPr>
        <w:pStyle w:val="BodyText"/>
        <w:spacing w:line="355" w:lineRule="auto" w:before="209"/>
        <w:ind w:left="110" w:right="108"/>
        <w:jc w:val="both"/>
      </w:pPr>
      <w:r>
        <w:rPr/>
        <w:t>La define también como una técnica financiera, necesaria para la evaluación real, es decir, histórica de una empresa pública o privada.</w:t>
      </w:r>
    </w:p>
    <w:p>
      <w:pPr>
        <w:pStyle w:val="BodyText"/>
        <w:spacing w:before="209"/>
        <w:ind w:left="110"/>
        <w:jc w:val="both"/>
      </w:pPr>
      <w:r>
        <w:rPr/>
        <w:t>El análisis financiero posee las siguientes características:</w:t>
      </w:r>
    </w:p>
    <w:p>
      <w:pPr>
        <w:pStyle w:val="BodyText"/>
        <w:spacing w:before="9"/>
        <w:rPr>
          <w:sz w:val="29"/>
        </w:rPr>
      </w:pPr>
    </w:p>
    <w:p>
      <w:pPr>
        <w:pStyle w:val="ListParagraph"/>
        <w:numPr>
          <w:ilvl w:val="2"/>
          <w:numId w:val="7"/>
        </w:numPr>
        <w:tabs>
          <w:tab w:pos="830" w:val="left" w:leader="none"/>
          <w:tab w:pos="831" w:val="left" w:leader="none"/>
        </w:tabs>
        <w:spacing w:line="240" w:lineRule="auto" w:before="0" w:after="0"/>
        <w:ind w:left="830" w:right="0" w:hanging="360"/>
        <w:jc w:val="left"/>
        <w:rPr>
          <w:sz w:val="24"/>
        </w:rPr>
      </w:pPr>
      <w:r>
        <w:rPr>
          <w:sz w:val="24"/>
        </w:rPr>
        <w:t>Es una herramienta o técnica financiera.</w:t>
      </w:r>
    </w:p>
    <w:p>
      <w:pPr>
        <w:pStyle w:val="ListParagraph"/>
        <w:numPr>
          <w:ilvl w:val="2"/>
          <w:numId w:val="7"/>
        </w:numPr>
        <w:tabs>
          <w:tab w:pos="830" w:val="left" w:leader="none"/>
          <w:tab w:pos="831" w:val="left" w:leader="none"/>
        </w:tabs>
        <w:spacing w:line="360" w:lineRule="auto" w:before="137" w:after="0"/>
        <w:ind w:left="830" w:right="108" w:hanging="360"/>
        <w:jc w:val="left"/>
        <w:rPr>
          <w:sz w:val="24"/>
        </w:rPr>
      </w:pPr>
      <w:r>
        <w:rPr>
          <w:sz w:val="24"/>
        </w:rPr>
        <w:t>Es aplicada por el administrador financiero, el gerente de finanzas, el tesorero, el contralor, etc.</w:t>
      </w:r>
    </w:p>
    <w:p>
      <w:pPr>
        <w:pStyle w:val="ListParagraph"/>
        <w:numPr>
          <w:ilvl w:val="2"/>
          <w:numId w:val="7"/>
        </w:numPr>
        <w:tabs>
          <w:tab w:pos="830" w:val="left" w:leader="none"/>
          <w:tab w:pos="831" w:val="left" w:leader="none"/>
        </w:tabs>
        <w:spacing w:line="362" w:lineRule="auto" w:before="2" w:after="0"/>
        <w:ind w:left="830" w:right="108" w:hanging="360"/>
        <w:jc w:val="left"/>
        <w:rPr>
          <w:sz w:val="24"/>
        </w:rPr>
      </w:pPr>
      <w:r>
        <w:rPr>
          <w:sz w:val="24"/>
        </w:rPr>
        <w:t>El objetivo principal del análisis financiero: es la evaluación histórica, es la evaluación del pasado.</w:t>
      </w:r>
    </w:p>
    <w:p>
      <w:pPr>
        <w:pStyle w:val="ListParagraph"/>
        <w:numPr>
          <w:ilvl w:val="2"/>
          <w:numId w:val="7"/>
        </w:numPr>
        <w:tabs>
          <w:tab w:pos="830" w:val="left" w:leader="none"/>
          <w:tab w:pos="831" w:val="left" w:leader="none"/>
        </w:tabs>
        <w:spacing w:line="355" w:lineRule="auto" w:before="0" w:after="0"/>
        <w:ind w:left="830" w:right="108" w:hanging="360"/>
        <w:jc w:val="left"/>
        <w:rPr>
          <w:sz w:val="24"/>
        </w:rPr>
      </w:pPr>
      <w:r>
        <w:rPr>
          <w:sz w:val="24"/>
        </w:rPr>
        <w:t>Empleado en una empresa pública o privada, desde el punto de vista financiero.</w:t>
      </w:r>
    </w:p>
    <w:p>
      <w:pPr>
        <w:pStyle w:val="BodyText"/>
      </w:pPr>
    </w:p>
    <w:p>
      <w:pPr>
        <w:pStyle w:val="BodyText"/>
      </w:pPr>
    </w:p>
    <w:p>
      <w:pPr>
        <w:pStyle w:val="BodyText"/>
        <w:spacing w:before="1"/>
      </w:pPr>
    </w:p>
    <w:p>
      <w:pPr>
        <w:pStyle w:val="Heading2"/>
        <w:numPr>
          <w:ilvl w:val="2"/>
          <w:numId w:val="8"/>
        </w:numPr>
        <w:tabs>
          <w:tab w:pos="831" w:val="left" w:leader="none"/>
        </w:tabs>
        <w:spacing w:line="240" w:lineRule="auto" w:before="0" w:after="0"/>
        <w:ind w:left="830" w:right="0" w:hanging="720"/>
        <w:jc w:val="both"/>
      </w:pPr>
      <w:r>
        <w:rPr/>
        <w:t>Representaciones esquemáticas</w:t>
      </w:r>
    </w:p>
    <w:p>
      <w:pPr>
        <w:pStyle w:val="BodyText"/>
        <w:spacing w:line="360" w:lineRule="auto" w:before="137"/>
        <w:ind w:left="110" w:right="108"/>
        <w:jc w:val="both"/>
      </w:pPr>
      <w:r>
        <w:rPr/>
        <w:t>Radica en incorporar con una gráfica los estados financieros con objeto de explicar de manera sencilla la composición del balance general y estado de resultados.</w:t>
      </w:r>
    </w:p>
    <w:p>
      <w:pPr>
        <w:pStyle w:val="BodyText"/>
      </w:pPr>
    </w:p>
    <w:p>
      <w:pPr>
        <w:pStyle w:val="BodyText"/>
      </w:pPr>
    </w:p>
    <w:p>
      <w:pPr>
        <w:pStyle w:val="BodyText"/>
        <w:spacing w:before="7"/>
        <w:rPr>
          <w:sz w:val="23"/>
        </w:rPr>
      </w:pPr>
    </w:p>
    <w:p>
      <w:pPr>
        <w:pStyle w:val="Heading2"/>
        <w:numPr>
          <w:ilvl w:val="2"/>
          <w:numId w:val="8"/>
        </w:numPr>
        <w:tabs>
          <w:tab w:pos="831" w:val="left" w:leader="none"/>
        </w:tabs>
        <w:spacing w:line="240" w:lineRule="auto" w:before="0" w:after="0"/>
        <w:ind w:left="830" w:right="0" w:hanging="720"/>
        <w:jc w:val="both"/>
      </w:pPr>
      <w:r>
        <w:rPr/>
        <w:t>Método de Análisis Vertical</w:t>
      </w:r>
    </w:p>
    <w:p>
      <w:pPr>
        <w:pStyle w:val="BodyText"/>
        <w:spacing w:line="355" w:lineRule="auto" w:before="137"/>
        <w:ind w:left="110" w:right="108"/>
        <w:jc w:val="both"/>
      </w:pPr>
      <w:r>
        <w:rPr/>
        <w:t>El método vertical, es estático, pues se utiliza para analizar un estado  financiero a una fecha concreta o para estudiar un periodo</w:t>
      </w:r>
      <w:r>
        <w:rPr>
          <w:spacing w:val="-2"/>
        </w:rPr>
        <w:t> </w:t>
      </w:r>
      <w:r>
        <w:rPr/>
        <w:t>determinado.</w:t>
      </w:r>
    </w:p>
    <w:p>
      <w:pPr>
        <w:spacing w:after="0" w:line="355" w:lineRule="auto"/>
        <w:jc w:val="both"/>
        <w:sectPr>
          <w:pgSz w:w="11910" w:h="16840"/>
          <w:pgMar w:header="0" w:footer="724" w:top="960" w:bottom="920" w:left="1600" w:right="1580"/>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numPr>
          <w:ilvl w:val="2"/>
          <w:numId w:val="8"/>
        </w:numPr>
        <w:tabs>
          <w:tab w:pos="831" w:val="left" w:leader="none"/>
        </w:tabs>
        <w:spacing w:line="240" w:lineRule="auto" w:before="69" w:after="0"/>
        <w:ind w:left="830" w:right="0" w:hanging="720"/>
        <w:jc w:val="both"/>
      </w:pPr>
      <w:r>
        <w:rPr/>
        <w:t>Procedimiento de porcentajes integrales.</w:t>
      </w:r>
    </w:p>
    <w:p>
      <w:pPr>
        <w:pStyle w:val="BodyText"/>
        <w:spacing w:line="360" w:lineRule="auto" w:before="137"/>
        <w:ind w:left="110" w:right="108"/>
        <w:jc w:val="both"/>
      </w:pPr>
      <w:r>
        <w:rPr/>
        <w:t>Radica en expresar en porcentajes las cifras de un estado financiero; es utilizado para analizar el balance general y el estado de  resultados, comparando las cifras en forma vertical. Permite identificar la proporción en que se encuentran invertidos los recursos de la empresa.</w:t>
      </w:r>
    </w:p>
    <w:p>
      <w:pPr>
        <w:pStyle w:val="BodyText"/>
      </w:pPr>
    </w:p>
    <w:p>
      <w:pPr>
        <w:pStyle w:val="BodyText"/>
      </w:pPr>
    </w:p>
    <w:p>
      <w:pPr>
        <w:pStyle w:val="BodyText"/>
        <w:spacing w:before="7"/>
        <w:rPr>
          <w:sz w:val="23"/>
        </w:rPr>
      </w:pPr>
    </w:p>
    <w:p>
      <w:pPr>
        <w:pStyle w:val="Heading2"/>
        <w:numPr>
          <w:ilvl w:val="2"/>
          <w:numId w:val="8"/>
        </w:numPr>
        <w:tabs>
          <w:tab w:pos="831" w:val="left" w:leader="none"/>
        </w:tabs>
        <w:spacing w:line="240" w:lineRule="auto" w:before="0" w:after="0"/>
        <w:ind w:left="830" w:right="0" w:hanging="720"/>
        <w:jc w:val="both"/>
      </w:pPr>
      <w:r>
        <w:rPr/>
        <w:t>Método de análisis horizontal.</w:t>
      </w:r>
    </w:p>
    <w:p>
      <w:pPr>
        <w:pStyle w:val="BodyText"/>
        <w:spacing w:line="360" w:lineRule="auto" w:before="137"/>
        <w:ind w:left="110" w:right="108"/>
        <w:jc w:val="both"/>
      </w:pPr>
      <w:r>
        <w:rPr/>
        <w:t>Este método es dinámico, pues se utiliza para analizar dos estados financieros de la misma empresa a fechas distintas, correspondientes a dos periodos o ejercicios.</w:t>
      </w:r>
    </w:p>
    <w:p>
      <w:pPr>
        <w:pStyle w:val="BodyText"/>
        <w:spacing w:line="357" w:lineRule="auto" w:before="209"/>
        <w:ind w:left="110" w:right="108"/>
        <w:jc w:val="both"/>
      </w:pPr>
      <w:r>
        <w:rPr/>
        <w:t>Consiste en comparar estados financieros homogéneos en dos o más periodos consecutivos, para de esta manera identificar las variaciones de las cuentas de un periodo a otro.</w:t>
      </w:r>
    </w:p>
    <w:p>
      <w:pPr>
        <w:pStyle w:val="BodyText"/>
      </w:pPr>
    </w:p>
    <w:p>
      <w:pPr>
        <w:pStyle w:val="BodyText"/>
      </w:pPr>
    </w:p>
    <w:p>
      <w:pPr>
        <w:pStyle w:val="BodyText"/>
        <w:spacing w:before="9"/>
        <w:rPr>
          <w:sz w:val="23"/>
        </w:rPr>
      </w:pPr>
    </w:p>
    <w:p>
      <w:pPr>
        <w:pStyle w:val="Heading2"/>
        <w:numPr>
          <w:ilvl w:val="2"/>
          <w:numId w:val="8"/>
        </w:numPr>
        <w:tabs>
          <w:tab w:pos="831" w:val="left" w:leader="none"/>
        </w:tabs>
        <w:spacing w:line="240" w:lineRule="auto" w:before="1" w:after="0"/>
        <w:ind w:left="830" w:right="0" w:hanging="720"/>
        <w:jc w:val="both"/>
      </w:pPr>
      <w:r>
        <w:rPr/>
        <w:t>Estado de origen y aplicación de los recursos.</w:t>
      </w:r>
    </w:p>
    <w:p>
      <w:pPr>
        <w:pStyle w:val="BodyText"/>
        <w:spacing w:line="360" w:lineRule="auto" w:before="137"/>
        <w:ind w:left="110" w:right="108"/>
        <w:jc w:val="both"/>
      </w:pPr>
      <w:r>
        <w:rPr/>
        <w:t>También se conoce como estado de cambios en la situación financiera; se construye para informar sobre los cambios ocurridos en la empresa entre dos fechas determinadas.</w:t>
      </w:r>
    </w:p>
    <w:p>
      <w:pPr>
        <w:pStyle w:val="BodyText"/>
      </w:pPr>
    </w:p>
    <w:p>
      <w:pPr>
        <w:pStyle w:val="BodyText"/>
      </w:pPr>
    </w:p>
    <w:p>
      <w:pPr>
        <w:pStyle w:val="BodyText"/>
        <w:spacing w:before="2"/>
        <w:rPr>
          <w:sz w:val="23"/>
        </w:rPr>
      </w:pPr>
    </w:p>
    <w:p>
      <w:pPr>
        <w:pStyle w:val="Heading2"/>
        <w:numPr>
          <w:ilvl w:val="2"/>
          <w:numId w:val="8"/>
        </w:numPr>
        <w:tabs>
          <w:tab w:pos="831" w:val="left" w:leader="none"/>
        </w:tabs>
        <w:spacing w:line="240" w:lineRule="auto" w:before="0" w:after="0"/>
        <w:ind w:left="830" w:right="0" w:hanging="720"/>
        <w:jc w:val="both"/>
      </w:pPr>
      <w:r>
        <w:rPr/>
        <w:t>Método de análisis histórico.</w:t>
      </w:r>
    </w:p>
    <w:p>
      <w:pPr>
        <w:pStyle w:val="BodyText"/>
        <w:spacing w:line="355" w:lineRule="auto" w:before="141"/>
        <w:ind w:left="110" w:right="108"/>
        <w:jc w:val="both"/>
      </w:pPr>
      <w:r>
        <w:rPr/>
        <w:t>Se aplica para analizar una serie de estados financieros de la misma empresa, a fechas o periodos distintos.</w:t>
      </w:r>
    </w:p>
    <w:p>
      <w:pPr>
        <w:pStyle w:val="BodyText"/>
      </w:pPr>
    </w:p>
    <w:p>
      <w:pPr>
        <w:pStyle w:val="BodyText"/>
      </w:pPr>
    </w:p>
    <w:p>
      <w:pPr>
        <w:pStyle w:val="BodyText"/>
        <w:spacing w:before="1"/>
      </w:pPr>
    </w:p>
    <w:p>
      <w:pPr>
        <w:pStyle w:val="Heading2"/>
        <w:numPr>
          <w:ilvl w:val="2"/>
          <w:numId w:val="8"/>
        </w:numPr>
        <w:tabs>
          <w:tab w:pos="831" w:val="left" w:leader="none"/>
        </w:tabs>
        <w:spacing w:line="240" w:lineRule="auto" w:before="0" w:after="0"/>
        <w:ind w:left="830" w:right="0" w:hanging="720"/>
        <w:jc w:val="both"/>
      </w:pPr>
      <w:r>
        <w:rPr/>
        <w:t>Método de tendencias.</w:t>
      </w:r>
    </w:p>
    <w:p>
      <w:pPr>
        <w:pStyle w:val="BodyText"/>
        <w:spacing w:line="357" w:lineRule="auto" w:before="137"/>
        <w:ind w:left="110" w:right="108"/>
        <w:jc w:val="both"/>
      </w:pPr>
      <w:r>
        <w:rPr/>
        <w:t>El procedimiento de tendencias, que para efectos de comparación de estados financieros, puede ser presentado con base en serie de cifras o valores, serie de variaciones, serie de índices.</w:t>
      </w:r>
    </w:p>
    <w:p>
      <w:pPr>
        <w:spacing w:after="0" w:line="357" w:lineRule="auto"/>
        <w:jc w:val="both"/>
        <w:sectPr>
          <w:pgSz w:w="11910" w:h="16840"/>
          <w:pgMar w:header="0" w:footer="724" w:top="960" w:bottom="920" w:left="1600" w:right="1580"/>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numPr>
          <w:ilvl w:val="1"/>
          <w:numId w:val="8"/>
        </w:numPr>
        <w:tabs>
          <w:tab w:pos="687" w:val="left" w:leader="none"/>
        </w:tabs>
        <w:spacing w:line="240" w:lineRule="auto" w:before="69" w:after="0"/>
        <w:ind w:left="686" w:right="0" w:hanging="576"/>
        <w:jc w:val="both"/>
      </w:pPr>
      <w:r>
        <w:rPr/>
        <w:t>Estados financieros.</w:t>
      </w:r>
    </w:p>
    <w:p>
      <w:pPr>
        <w:pStyle w:val="BodyText"/>
        <w:spacing w:line="360" w:lineRule="auto" w:before="137"/>
        <w:ind w:left="110" w:right="108"/>
        <w:jc w:val="both"/>
      </w:pPr>
      <w:r>
        <w:rPr/>
        <w:t>En el complejo mundo de los negocios, hoy en día caracterizado por el proceso de globalización en las empresas, la información financiera cumple un rol muy importante al producir datos indispensables para la administración y el desarrollo del sistema económico.</w:t>
      </w:r>
    </w:p>
    <w:p>
      <w:pPr>
        <w:pStyle w:val="BodyText"/>
        <w:spacing w:line="360" w:lineRule="auto" w:before="209"/>
        <w:ind w:left="110" w:right="108"/>
        <w:jc w:val="both"/>
      </w:pPr>
      <w:r>
        <w:rPr/>
        <w:t>Ésta información interesa a la administración para la toma de decisiones, después de conocer el rendimiento, crecimiento y desarrollo de la empresa durante un periodo determinado, a los propietarios para conocer el progreso financiero del negocio y la rentabilidad de sus aportaciones, a los acreedores, para conocer la liquidez de la empresa y la garantía de cumplimiento de sus obligaciones. Y al estado, para determinar si el pago de los impuestos y contribuciones está correctamente liquidado.</w:t>
      </w:r>
    </w:p>
    <w:p>
      <w:pPr>
        <w:pStyle w:val="BodyText"/>
        <w:spacing w:line="360" w:lineRule="auto" w:before="209"/>
        <w:ind w:left="110" w:right="108"/>
        <w:jc w:val="both"/>
      </w:pPr>
      <w:r>
        <w:rPr/>
        <w:t>La contabilidad es una disciplina del conocimiento humano que permite preparar información de carácter general sobre la entidad económica. Ésta información es mostrada por los estados financieros. La expresión "estados financieros" comprende: “Balance general, estado de pérdidas y ganancias, estado de cambios en el patrimonio neto, estado de flujos de efectivo (EFE), notas, otros estados y material explicativo, que se identifica como parte de los estados financieros” (Gitman, 2007).</w:t>
      </w:r>
    </w:p>
    <w:p>
      <w:pPr>
        <w:pStyle w:val="BodyText"/>
        <w:spacing w:line="360" w:lineRule="auto" w:before="209"/>
        <w:ind w:left="110" w:right="108"/>
        <w:jc w:val="both"/>
      </w:pPr>
      <w:r>
        <w:rPr/>
        <w:t>Los estados financieros son los informes sobre la situación financiera y económica de una empresa en un periodo determinado, éstos deben ser preparados por la empresa al terminar el ejercicio contable, con el fin de conocer la situación financiera y los resultados económicos obtenidos en las actividades a lo largo de un periodo.</w:t>
      </w:r>
    </w:p>
    <w:p>
      <w:pPr>
        <w:pStyle w:val="BodyText"/>
        <w:spacing w:line="357" w:lineRule="auto" w:before="209"/>
        <w:ind w:left="110" w:right="108"/>
        <w:jc w:val="both"/>
      </w:pPr>
      <w:r>
        <w:rPr/>
        <w:t>Con base en Gitman (Gitman, 2007), los cuatro estados financieros clave que generalmente son reportados a los accionistas son: el estado de pérdidas y ganancias o estado de resultados, balance general, estado de patrimonio de  los accionistas, estado de flujo de</w:t>
      </w:r>
      <w:r>
        <w:rPr>
          <w:spacing w:val="-2"/>
        </w:rPr>
        <w:t> </w:t>
      </w:r>
      <w:r>
        <w:rPr/>
        <w:t>efectivo.</w:t>
      </w:r>
    </w:p>
    <w:p>
      <w:pPr>
        <w:pStyle w:val="BodyText"/>
        <w:spacing w:line="360" w:lineRule="auto" w:before="212"/>
        <w:ind w:left="110" w:right="108"/>
        <w:jc w:val="both"/>
      </w:pPr>
      <w:r>
        <w:rPr/>
        <w:t>Las características fundamentales que debe tener la información financiera son utilidad  y  confiabilidad.    La  utilidad,  como  característica  de  la   información</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financiera, es la cualidad de adecuar ésta al propósito de los usuarios, entre los que se encuentran los accionistas, los inversionistas, los trabajadores, los proveedores, los acreedores, el gobierno y, en general, la sociedad. La confiabilidad de los estados financieros refleja la veracidad de lo que sucede en la empresa.</w:t>
      </w:r>
    </w:p>
    <w:p>
      <w:pPr>
        <w:pStyle w:val="BodyText"/>
      </w:pPr>
    </w:p>
    <w:p>
      <w:pPr>
        <w:pStyle w:val="BodyText"/>
      </w:pPr>
    </w:p>
    <w:p>
      <w:pPr>
        <w:pStyle w:val="BodyText"/>
        <w:spacing w:before="7"/>
        <w:rPr>
          <w:sz w:val="23"/>
        </w:rPr>
      </w:pPr>
    </w:p>
    <w:p>
      <w:pPr>
        <w:pStyle w:val="Heading2"/>
        <w:numPr>
          <w:ilvl w:val="2"/>
          <w:numId w:val="8"/>
        </w:numPr>
        <w:tabs>
          <w:tab w:pos="831" w:val="left" w:leader="none"/>
        </w:tabs>
        <w:spacing w:line="240" w:lineRule="auto" w:before="0" w:after="0"/>
        <w:ind w:left="830" w:right="0" w:hanging="720"/>
        <w:jc w:val="both"/>
      </w:pPr>
      <w:r>
        <w:rPr/>
        <w:t>Estado de resultados.</w:t>
      </w:r>
    </w:p>
    <w:p>
      <w:pPr>
        <w:pStyle w:val="BodyText"/>
        <w:spacing w:line="360" w:lineRule="auto" w:before="137"/>
        <w:ind w:left="110" w:right="108"/>
        <w:jc w:val="both"/>
      </w:pPr>
      <w:r>
        <w:rPr/>
        <w:t>El estado de resultados o estado de pérdidas y ganancias es un documento complementario donde se informa detallada y ordenadamente cómo se obtuvo la utilidad del ejercicio contable. El estado de resultados está compuesto por  las cuentas nominales, transitorias o de resultados, o sea las cuentas de ingresos, gastos y costos. Los valores deben corresponder exactamente a los valores que aparecen en el libro mayor y sus auxiliares o a los valores que aparecen en la sección de ganancias y pérdidas de la hoja de</w:t>
      </w:r>
      <w:r>
        <w:rPr>
          <w:spacing w:val="-3"/>
        </w:rPr>
        <w:t> </w:t>
      </w:r>
      <w:r>
        <w:rPr/>
        <w:t>trabajo.</w:t>
      </w:r>
    </w:p>
    <w:p>
      <w:pPr>
        <w:pStyle w:val="BodyText"/>
        <w:spacing w:line="360" w:lineRule="auto" w:before="209"/>
        <w:ind w:left="110" w:right="108"/>
        <w:jc w:val="both"/>
      </w:pPr>
      <w:r>
        <w:rPr/>
        <w:t>Este estado proporciona un resumen financiero de los resultados operativos de la empresa durante un periodo específico. Los más comunes son los estados de pérdidas y ganancias que cubren un periodo de un año que termina en una fecha específica, generalmente el 31 de diciembre del año civil, sin embargo muchas empresas operan con el año fiscal, probablemente por la conveniencia de la presentación de sus declaraciones de impuestos.</w:t>
      </w:r>
    </w:p>
    <w:p>
      <w:pPr>
        <w:pStyle w:val="BodyText"/>
        <w:spacing w:line="357" w:lineRule="auto" w:before="209"/>
        <w:ind w:left="110" w:right="108"/>
        <w:jc w:val="both"/>
      </w:pPr>
      <w:r>
        <w:rPr/>
        <w:t>Los estados mensuales de pérdidas y ganancias se elaboran por lo regular  para un uso interno o administrativo, y los estados trimestrales se remiten a los accionistas de corporaciones de participación pública.</w:t>
      </w:r>
    </w:p>
    <w:p>
      <w:pPr>
        <w:pStyle w:val="BodyText"/>
      </w:pPr>
    </w:p>
    <w:p>
      <w:pPr>
        <w:pStyle w:val="BodyText"/>
      </w:pPr>
    </w:p>
    <w:p>
      <w:pPr>
        <w:pStyle w:val="BodyText"/>
        <w:spacing w:before="9"/>
        <w:rPr>
          <w:sz w:val="23"/>
        </w:rPr>
      </w:pPr>
    </w:p>
    <w:p>
      <w:pPr>
        <w:pStyle w:val="Heading2"/>
        <w:numPr>
          <w:ilvl w:val="2"/>
          <w:numId w:val="8"/>
        </w:numPr>
        <w:tabs>
          <w:tab w:pos="831" w:val="left" w:leader="none"/>
        </w:tabs>
        <w:spacing w:line="240" w:lineRule="auto" w:before="1" w:after="0"/>
        <w:ind w:left="830" w:right="0" w:hanging="720"/>
        <w:jc w:val="both"/>
      </w:pPr>
      <w:r>
        <w:rPr/>
        <w:t>Balance</w:t>
      </w:r>
      <w:r>
        <w:rPr>
          <w:spacing w:val="-6"/>
        </w:rPr>
        <w:t> </w:t>
      </w:r>
      <w:r>
        <w:rPr/>
        <w:t>general.</w:t>
      </w:r>
    </w:p>
    <w:p>
      <w:pPr>
        <w:pStyle w:val="BodyText"/>
        <w:spacing w:line="360" w:lineRule="auto" w:before="137"/>
        <w:ind w:left="110" w:right="108"/>
        <w:jc w:val="both"/>
      </w:pPr>
      <w:r>
        <w:rPr/>
        <w:t>El balance general o estado de situación financiera es un documento contable que refleja la situación patrimonial de una empresa en un momento del tiempo. Consta de dos partes, activo y pasivo. El activo muestra los elementos patrimoniales de la empresa, mientras que el pasivo detalla su origen financiero. La legislación exige que este documento sea imagen fiel del estado patrimonial de la empresa.</w:t>
      </w:r>
    </w:p>
    <w:p>
      <w:pPr>
        <w:spacing w:after="0" w:line="360" w:lineRule="auto"/>
        <w:jc w:val="both"/>
        <w:sectPr>
          <w:footerReference w:type="default" r:id="rId13"/>
          <w:pgSz w:w="11910" w:h="16840"/>
          <w:pgMar w:footer="724" w:header="0"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El balance general es un estado resumido de la situación financiera de la empresa en un momento específico, a diferencia del estado anterior que se rige por el año civil o fiscal.</w:t>
      </w:r>
    </w:p>
    <w:p>
      <w:pPr>
        <w:pStyle w:val="BodyText"/>
        <w:spacing w:line="355" w:lineRule="auto" w:before="209"/>
        <w:ind w:left="110" w:right="108"/>
        <w:jc w:val="both"/>
      </w:pPr>
      <w:r>
        <w:rPr/>
        <w:t>Este estado financiero equilibra los activos de la empresa frente a su financiamiento, que puede ser la deuda o patrimonio.</w:t>
      </w:r>
    </w:p>
    <w:p>
      <w:pPr>
        <w:pStyle w:val="Heading3"/>
        <w:numPr>
          <w:ilvl w:val="3"/>
          <w:numId w:val="8"/>
        </w:numPr>
        <w:tabs>
          <w:tab w:pos="975" w:val="left" w:leader="none"/>
        </w:tabs>
        <w:spacing w:line="240" w:lineRule="auto" w:before="214" w:after="0"/>
        <w:ind w:left="974" w:right="0" w:hanging="864"/>
        <w:jc w:val="both"/>
        <w:rPr>
          <w:i/>
        </w:rPr>
      </w:pPr>
      <w:r>
        <w:rPr>
          <w:i/>
        </w:rPr>
        <w:t>Activos corrientes</w:t>
      </w:r>
    </w:p>
    <w:p>
      <w:pPr>
        <w:pStyle w:val="BodyText"/>
        <w:spacing w:line="360" w:lineRule="auto" w:before="137"/>
        <w:ind w:left="110" w:right="108"/>
        <w:jc w:val="both"/>
      </w:pPr>
      <w:r>
        <w:rPr/>
        <w:t>Por definición, son considerados activos corrientes el efectivo y todas aquellas otras cuentas que se espera se conviertan, a su vez, en efectivo o que se  hayan de consumir durante el ciclo normal de operaciones. Son activos a corto plazo aquellos activos de los cuales se espera se conviertan en efectivo en un periodo de un año o menos.</w:t>
      </w:r>
    </w:p>
    <w:p>
      <w:pPr>
        <w:pStyle w:val="Heading3"/>
        <w:numPr>
          <w:ilvl w:val="3"/>
          <w:numId w:val="8"/>
        </w:numPr>
        <w:tabs>
          <w:tab w:pos="975" w:val="left" w:leader="none"/>
        </w:tabs>
        <w:spacing w:line="240" w:lineRule="auto" w:before="209" w:after="0"/>
        <w:ind w:left="974" w:right="0" w:hanging="864"/>
        <w:jc w:val="both"/>
        <w:rPr>
          <w:i/>
        </w:rPr>
      </w:pPr>
      <w:r>
        <w:rPr>
          <w:i/>
        </w:rPr>
        <w:t>Pasivos corrientes.</w:t>
      </w:r>
    </w:p>
    <w:p>
      <w:pPr>
        <w:pStyle w:val="BodyText"/>
        <w:spacing w:line="360" w:lineRule="auto" w:before="137"/>
        <w:ind w:left="110" w:right="108"/>
        <w:jc w:val="both"/>
      </w:pPr>
      <w:r>
        <w:rPr/>
        <w:t>También denominados pasivos a corto plazo, pues se espera sean pagados en un periodo de un año o menos. “Los pasivos corrientes son por lo general una fuente de financiación de bajo costo financiero” (Gerencie.com, 2010)</w:t>
      </w:r>
    </w:p>
    <w:p>
      <w:pPr>
        <w:pStyle w:val="BodyText"/>
        <w:spacing w:line="360" w:lineRule="auto" w:before="209"/>
        <w:ind w:left="110" w:right="108"/>
        <w:jc w:val="both"/>
      </w:pPr>
      <w:r>
        <w:rPr/>
        <w:t>Cuando la empresa requiere financiación de un banco o de un tercero, estos estarán interesados en conocer los pasivos corrientes de la empresa para tener una idea clara de las obligaciones a corto plazo de la compañía. Si la firma cuenta con elevadas obligaciones a corto plazo y no cuenta con el suficiente flujo de efectivo o los suficientes activos corrientes para cubrir esos pasivos, con seguridad que ningún acreedor o proveedor querrá financiarla, puesto que el riesgo que presenta la empresa de incumplir con nuevas obligaciones es  alto. (Gitman,</w:t>
      </w:r>
      <w:r>
        <w:rPr>
          <w:spacing w:val="-1"/>
        </w:rPr>
        <w:t> </w:t>
      </w:r>
      <w:r>
        <w:rPr/>
        <w:t>2007)</w:t>
      </w:r>
    </w:p>
    <w:p>
      <w:pPr>
        <w:pStyle w:val="BodyText"/>
        <w:spacing w:line="360" w:lineRule="auto" w:before="209"/>
        <w:ind w:left="110" w:right="108"/>
        <w:jc w:val="both"/>
      </w:pPr>
      <w:r>
        <w:rPr/>
        <w:t>Así que el pasivo corriente es un dato de importancia tanto para las directivas de la empresa como para los terceros que estén interesados en financiarla o invertir en ella.</w:t>
      </w:r>
    </w:p>
    <w:p>
      <w:pPr>
        <w:pStyle w:val="BodyText"/>
      </w:pPr>
    </w:p>
    <w:p>
      <w:pPr>
        <w:pStyle w:val="BodyText"/>
      </w:pPr>
    </w:p>
    <w:p>
      <w:pPr>
        <w:pStyle w:val="BodyText"/>
        <w:spacing w:before="2"/>
        <w:rPr>
          <w:sz w:val="23"/>
        </w:rPr>
      </w:pPr>
    </w:p>
    <w:p>
      <w:pPr>
        <w:pStyle w:val="Heading3"/>
        <w:numPr>
          <w:ilvl w:val="3"/>
          <w:numId w:val="8"/>
        </w:numPr>
        <w:tabs>
          <w:tab w:pos="975" w:val="left" w:leader="none"/>
        </w:tabs>
        <w:spacing w:line="240" w:lineRule="auto" w:before="0" w:after="0"/>
        <w:ind w:left="974" w:right="0" w:hanging="864"/>
        <w:jc w:val="both"/>
        <w:rPr>
          <w:i/>
        </w:rPr>
      </w:pPr>
      <w:r>
        <w:rPr>
          <w:i/>
        </w:rPr>
        <w:t>Los valores</w:t>
      </w:r>
      <w:r>
        <w:rPr>
          <w:i/>
          <w:spacing w:val="-6"/>
        </w:rPr>
        <w:t> </w:t>
      </w:r>
      <w:r>
        <w:rPr>
          <w:i/>
        </w:rPr>
        <w:t>negociables.</w:t>
      </w:r>
    </w:p>
    <w:p>
      <w:pPr>
        <w:pStyle w:val="BodyText"/>
        <w:spacing w:line="355" w:lineRule="auto" w:before="141"/>
        <w:ind w:left="110" w:right="108"/>
        <w:jc w:val="both"/>
      </w:pPr>
      <w:r>
        <w:rPr/>
        <w:t>Son inversiones a corto plazo muy líquidas casi como el efectivo. (Proyectos para invertir, 2012).</w:t>
      </w:r>
    </w:p>
    <w:p>
      <w:pPr>
        <w:spacing w:after="0" w:line="355" w:lineRule="auto"/>
        <w:jc w:val="both"/>
        <w:sectPr>
          <w:footerReference w:type="default" r:id="rId14"/>
          <w:pgSz w:w="11910" w:h="16840"/>
          <w:pgMar w:footer="724" w:header="0" w:top="960" w:bottom="920" w:left="1600" w:right="1580"/>
          <w:pgNumType w:start="21"/>
        </w:sectPr>
      </w:pPr>
    </w:p>
    <w:p>
      <w:pPr>
        <w:pStyle w:val="BodyText"/>
        <w:rPr>
          <w:sz w:val="20"/>
        </w:rPr>
      </w:pPr>
    </w:p>
    <w:p>
      <w:pPr>
        <w:pStyle w:val="BodyText"/>
        <w:spacing w:before="3"/>
        <w:rPr>
          <w:sz w:val="19"/>
        </w:rPr>
      </w:pPr>
    </w:p>
    <w:p>
      <w:pPr>
        <w:pStyle w:val="BodyText"/>
        <w:spacing w:line="360" w:lineRule="auto"/>
        <w:ind w:left="110" w:right="108"/>
        <w:jc w:val="both"/>
      </w:pPr>
      <w:r>
        <w:rPr/>
        <w:t>Los certificados de empresas como IBM o bonos de gobierno son excelentes ejemplos de valores negociables. Los valores negociables proporcionan a los inversionistas la liquidez de efectivo y la posibilidad de obtener grandes beneficios.</w:t>
      </w:r>
    </w:p>
    <w:p>
      <w:pPr>
        <w:pStyle w:val="BodyText"/>
      </w:pPr>
    </w:p>
    <w:p>
      <w:pPr>
        <w:pStyle w:val="BodyText"/>
      </w:pPr>
    </w:p>
    <w:p>
      <w:pPr>
        <w:pStyle w:val="BodyText"/>
        <w:spacing w:before="7"/>
        <w:rPr>
          <w:sz w:val="23"/>
        </w:rPr>
      </w:pPr>
    </w:p>
    <w:p>
      <w:pPr>
        <w:pStyle w:val="Heading3"/>
        <w:numPr>
          <w:ilvl w:val="3"/>
          <w:numId w:val="8"/>
        </w:numPr>
        <w:tabs>
          <w:tab w:pos="975" w:val="left" w:leader="none"/>
        </w:tabs>
        <w:spacing w:line="240" w:lineRule="auto" w:before="0" w:after="0"/>
        <w:ind w:left="974" w:right="0" w:hanging="864"/>
        <w:jc w:val="both"/>
        <w:rPr>
          <w:i/>
        </w:rPr>
      </w:pPr>
      <w:r>
        <w:rPr>
          <w:i/>
        </w:rPr>
        <w:t>Cuentas por</w:t>
      </w:r>
      <w:r>
        <w:rPr>
          <w:i/>
          <w:spacing w:val="-6"/>
        </w:rPr>
        <w:t> </w:t>
      </w:r>
      <w:r>
        <w:rPr>
          <w:i/>
        </w:rPr>
        <w:t>cobrar.</w:t>
      </w:r>
    </w:p>
    <w:p>
      <w:pPr>
        <w:pStyle w:val="BodyText"/>
        <w:spacing w:line="355" w:lineRule="auto" w:before="137"/>
        <w:ind w:left="110" w:right="341"/>
      </w:pPr>
      <w:r>
        <w:rPr/>
        <w:t>Representan el dinero total que los clientes deben pagar a la empresa por las ventas a crédito que la empresa les hizo.</w:t>
      </w:r>
    </w:p>
    <w:p>
      <w:pPr>
        <w:pStyle w:val="BodyText"/>
      </w:pPr>
    </w:p>
    <w:p>
      <w:pPr>
        <w:pStyle w:val="BodyText"/>
      </w:pPr>
    </w:p>
    <w:p>
      <w:pPr>
        <w:pStyle w:val="BodyText"/>
        <w:spacing w:before="1"/>
      </w:pPr>
    </w:p>
    <w:p>
      <w:pPr>
        <w:pStyle w:val="Heading3"/>
        <w:numPr>
          <w:ilvl w:val="4"/>
          <w:numId w:val="8"/>
        </w:numPr>
        <w:tabs>
          <w:tab w:pos="1119" w:val="left" w:leader="none"/>
        </w:tabs>
        <w:spacing w:line="240" w:lineRule="auto" w:before="0" w:after="0"/>
        <w:ind w:left="1118" w:right="0" w:hanging="1008"/>
        <w:jc w:val="both"/>
        <w:rPr>
          <w:i/>
        </w:rPr>
      </w:pPr>
      <w:r>
        <w:rPr>
          <w:i/>
        </w:rPr>
        <w:t>Inventarios.</w:t>
      </w:r>
    </w:p>
    <w:p>
      <w:pPr>
        <w:pStyle w:val="BodyText"/>
        <w:spacing w:line="360" w:lineRule="auto" w:before="137"/>
        <w:ind w:left="110" w:right="140"/>
        <w:jc w:val="both"/>
      </w:pPr>
      <w:r>
        <w:rPr/>
        <w:t>Incluyen las materias primas, el trabajo en proceso y los bienes terminados que mantiene la empresa.</w:t>
      </w:r>
    </w:p>
    <w:p>
      <w:pPr>
        <w:pStyle w:val="BodyText"/>
      </w:pPr>
    </w:p>
    <w:p>
      <w:pPr>
        <w:pStyle w:val="BodyText"/>
      </w:pPr>
    </w:p>
    <w:p>
      <w:pPr>
        <w:pStyle w:val="BodyText"/>
        <w:spacing w:before="2"/>
        <w:rPr>
          <w:sz w:val="23"/>
        </w:rPr>
      </w:pPr>
    </w:p>
    <w:p>
      <w:pPr>
        <w:pStyle w:val="Heading3"/>
        <w:numPr>
          <w:ilvl w:val="4"/>
          <w:numId w:val="8"/>
        </w:numPr>
        <w:tabs>
          <w:tab w:pos="1119" w:val="left" w:leader="none"/>
        </w:tabs>
        <w:spacing w:line="240" w:lineRule="auto" w:before="0" w:after="0"/>
        <w:ind w:left="1118" w:right="0" w:hanging="1008"/>
        <w:jc w:val="both"/>
        <w:rPr>
          <w:i/>
        </w:rPr>
      </w:pPr>
      <w:r>
        <w:rPr>
          <w:i/>
        </w:rPr>
        <w:t>Activos fijos brutos.</w:t>
      </w:r>
    </w:p>
    <w:p>
      <w:pPr>
        <w:pStyle w:val="BodyText"/>
        <w:spacing w:line="357" w:lineRule="auto" w:before="141"/>
        <w:ind w:left="110" w:right="108"/>
        <w:jc w:val="both"/>
      </w:pPr>
      <w:r>
        <w:rPr/>
        <w:t>Es el costo original de todos los activos fijos que posee la empresa, como propiedad, planta y equipo; es la suma de los valores históricos que presentan las cuentas de activo, sin reflejar la deducción de sus depreciaciones, amortizaciones, estimaciones, etcétera.</w:t>
      </w:r>
    </w:p>
    <w:p>
      <w:pPr>
        <w:pStyle w:val="BodyText"/>
        <w:spacing w:line="360" w:lineRule="auto" w:before="212"/>
        <w:ind w:left="110" w:right="108"/>
        <w:jc w:val="both"/>
      </w:pPr>
      <w:r>
        <w:rPr/>
        <w:t>Los activos fijos netos son la diferencia entre los activos fijos brutos y la depreciación acumulada, o sea el gasto total registrado para la depreciación de activos fijos.</w:t>
      </w:r>
    </w:p>
    <w:p>
      <w:pPr>
        <w:pStyle w:val="Heading3"/>
        <w:numPr>
          <w:ilvl w:val="4"/>
          <w:numId w:val="8"/>
        </w:numPr>
        <w:tabs>
          <w:tab w:pos="1119" w:val="left" w:leader="none"/>
        </w:tabs>
        <w:spacing w:line="240" w:lineRule="auto" w:before="209" w:after="0"/>
        <w:ind w:left="1118" w:right="0" w:hanging="1008"/>
        <w:jc w:val="both"/>
        <w:rPr>
          <w:i/>
        </w:rPr>
      </w:pPr>
      <w:r>
        <w:rPr>
          <w:i/>
        </w:rPr>
        <w:t>Cuentas por pagar.</w:t>
      </w:r>
    </w:p>
    <w:p>
      <w:pPr>
        <w:pStyle w:val="BodyText"/>
        <w:spacing w:line="355" w:lineRule="auto" w:before="137"/>
        <w:ind w:left="110" w:right="108"/>
        <w:jc w:val="both"/>
      </w:pPr>
      <w:r>
        <w:rPr/>
        <w:t>Con base en Lawrence Gitman (Gitman, 2007), son los montos que debe la empresa por realizar compras a crédito.</w:t>
      </w:r>
    </w:p>
    <w:p>
      <w:pPr>
        <w:pStyle w:val="ListParagraph"/>
        <w:numPr>
          <w:ilvl w:val="5"/>
          <w:numId w:val="8"/>
        </w:numPr>
        <w:tabs>
          <w:tab w:pos="831" w:val="left" w:leader="none"/>
        </w:tabs>
        <w:spacing w:line="360" w:lineRule="auto" w:before="214" w:after="0"/>
        <w:ind w:left="830" w:right="108" w:hanging="360"/>
        <w:jc w:val="both"/>
        <w:rPr>
          <w:sz w:val="24"/>
        </w:rPr>
      </w:pPr>
      <w:r>
        <w:rPr>
          <w:b/>
          <w:sz w:val="24"/>
        </w:rPr>
        <w:t>Documentos por pagar</w:t>
      </w:r>
      <w:r>
        <w:rPr>
          <w:sz w:val="24"/>
        </w:rPr>
        <w:t>. Son préstamos pendientes a corto plazo, generalmente de bancos comerciales.</w:t>
      </w:r>
    </w:p>
    <w:p>
      <w:pPr>
        <w:pStyle w:val="ListParagraph"/>
        <w:numPr>
          <w:ilvl w:val="5"/>
          <w:numId w:val="8"/>
        </w:numPr>
        <w:tabs>
          <w:tab w:pos="831" w:val="left" w:leader="none"/>
        </w:tabs>
        <w:spacing w:line="357" w:lineRule="auto" w:before="7" w:after="0"/>
        <w:ind w:left="830" w:right="108" w:hanging="360"/>
        <w:jc w:val="both"/>
        <w:rPr>
          <w:sz w:val="24"/>
        </w:rPr>
      </w:pPr>
      <w:r>
        <w:rPr>
          <w:b/>
          <w:sz w:val="24"/>
        </w:rPr>
        <w:t>Deudas acumuladas. </w:t>
      </w:r>
      <w:r>
        <w:rPr>
          <w:sz w:val="24"/>
        </w:rPr>
        <w:t>Son los montos que se deben por servicios por los que no se recibirá una factura, por ejemplo los impuestos que se deben al gobierno y los salarios que se pagarán a los</w:t>
      </w:r>
      <w:r>
        <w:rPr>
          <w:spacing w:val="-2"/>
          <w:sz w:val="24"/>
        </w:rPr>
        <w:t> </w:t>
      </w:r>
      <w:r>
        <w:rPr>
          <w:sz w:val="24"/>
        </w:rPr>
        <w:t>trabajadores.</w:t>
      </w:r>
    </w:p>
    <w:p>
      <w:pPr>
        <w:spacing w:after="0" w:line="357" w:lineRule="auto"/>
        <w:jc w:val="both"/>
        <w:rPr>
          <w:sz w:val="24"/>
        </w:rPr>
        <w:sectPr>
          <w:pgSz w:w="11910" w:h="16840"/>
          <w:pgMar w:header="0" w:footer="724" w:top="960" w:bottom="920" w:left="1600" w:right="1580"/>
        </w:sectPr>
      </w:pPr>
    </w:p>
    <w:p>
      <w:pPr>
        <w:pStyle w:val="BodyText"/>
        <w:rPr>
          <w:sz w:val="20"/>
        </w:rPr>
      </w:pPr>
    </w:p>
    <w:p>
      <w:pPr>
        <w:pStyle w:val="BodyText"/>
        <w:spacing w:before="10"/>
        <w:rPr>
          <w:sz w:val="18"/>
        </w:rPr>
      </w:pPr>
    </w:p>
    <w:p>
      <w:pPr>
        <w:pStyle w:val="BodyText"/>
        <w:ind w:left="110"/>
        <w:jc w:val="both"/>
      </w:pPr>
      <w:r>
        <w:rPr/>
        <w:t>La deuda a largo plazo es la deuda cuyo pago no se vence en el año en curso.</w:t>
      </w:r>
    </w:p>
    <w:p>
      <w:pPr>
        <w:pStyle w:val="BodyText"/>
      </w:pPr>
    </w:p>
    <w:p>
      <w:pPr>
        <w:pStyle w:val="BodyText"/>
      </w:pPr>
    </w:p>
    <w:p>
      <w:pPr>
        <w:pStyle w:val="BodyText"/>
        <w:spacing w:before="3"/>
        <w:rPr>
          <w:sz w:val="35"/>
        </w:rPr>
      </w:pPr>
    </w:p>
    <w:p>
      <w:pPr>
        <w:pStyle w:val="Heading2"/>
        <w:numPr>
          <w:ilvl w:val="2"/>
          <w:numId w:val="9"/>
        </w:numPr>
        <w:tabs>
          <w:tab w:pos="831" w:val="left" w:leader="none"/>
        </w:tabs>
        <w:spacing w:line="240" w:lineRule="auto" w:before="0" w:after="0"/>
        <w:ind w:left="830" w:right="0" w:hanging="720"/>
        <w:jc w:val="both"/>
      </w:pPr>
      <w:r>
        <w:rPr/>
        <w:t>Estado de ganancias</w:t>
      </w:r>
      <w:r>
        <w:rPr>
          <w:spacing w:val="-1"/>
        </w:rPr>
        <w:t> </w:t>
      </w:r>
      <w:r>
        <w:rPr/>
        <w:t>retenidas.</w:t>
      </w:r>
    </w:p>
    <w:p>
      <w:pPr>
        <w:pStyle w:val="BodyText"/>
        <w:spacing w:line="360" w:lineRule="auto" w:before="137"/>
        <w:ind w:left="110" w:right="108"/>
        <w:jc w:val="both"/>
      </w:pPr>
      <w:r>
        <w:rPr/>
        <w:t>Muestra todas las transacciones de las cuentas patrimoniales que ocurren durante un año específico; reconcilia el ingreso neto ganado durante un año específico y cualquier dividendo en efectivo pagado, con el cambio en las ganancias retenidas entre el inicio y el fin de ese año.</w:t>
      </w:r>
    </w:p>
    <w:p>
      <w:pPr>
        <w:pStyle w:val="BodyText"/>
      </w:pPr>
    </w:p>
    <w:p>
      <w:pPr>
        <w:pStyle w:val="BodyText"/>
      </w:pPr>
    </w:p>
    <w:p>
      <w:pPr>
        <w:pStyle w:val="BodyText"/>
        <w:spacing w:before="7"/>
        <w:rPr>
          <w:sz w:val="23"/>
        </w:rPr>
      </w:pPr>
    </w:p>
    <w:p>
      <w:pPr>
        <w:pStyle w:val="Heading2"/>
        <w:numPr>
          <w:ilvl w:val="2"/>
          <w:numId w:val="9"/>
        </w:numPr>
        <w:tabs>
          <w:tab w:pos="831" w:val="left" w:leader="none"/>
        </w:tabs>
        <w:spacing w:line="240" w:lineRule="auto" w:before="0" w:after="0"/>
        <w:ind w:left="830" w:right="0" w:hanging="720"/>
        <w:jc w:val="both"/>
      </w:pPr>
      <w:r>
        <w:rPr/>
        <w:t>Estado de flujos de efectivo.</w:t>
      </w:r>
    </w:p>
    <w:p>
      <w:pPr>
        <w:pStyle w:val="BodyText"/>
        <w:spacing w:line="360" w:lineRule="auto" w:before="137"/>
        <w:ind w:left="110" w:right="108"/>
        <w:jc w:val="both"/>
      </w:pPr>
      <w:r>
        <w:rPr/>
        <w:t>Es un resumen de los flujos de efectivo de un periodo específico que permite comprender mejor los flujos operativos, de inversión y de financiamiento de la empresa, y los reconcilia con los cambios en su efectivo y sus valores negociables durante el periodo.</w:t>
      </w:r>
    </w:p>
    <w:p>
      <w:pPr>
        <w:pStyle w:val="BodyText"/>
        <w:spacing w:line="357" w:lineRule="auto" w:before="209"/>
        <w:ind w:left="110" w:right="108"/>
        <w:jc w:val="both"/>
      </w:pPr>
      <w:r>
        <w:rPr/>
        <w:t>Para que la información sobre flujos de efectivo sea realmente eficaz, es precisa una presentación adecuada de este estado, informando acerca de los flujos de efectivo habidos durante el ejercicio, clasificándolos en actividades de explotación, de inversión y de financiación.</w:t>
      </w:r>
    </w:p>
    <w:p>
      <w:pPr>
        <w:pStyle w:val="BodyText"/>
        <w:spacing w:line="360" w:lineRule="auto" w:before="212"/>
        <w:ind w:left="110" w:right="108"/>
        <w:jc w:val="both"/>
      </w:pPr>
      <w:r>
        <w:rPr/>
        <w:t>El Estado de Flujo de Efectivo se puede elaborar por dos métodos, a saber: Indirecto y Directo. La diferencia básica entre los métodos es la forma de presentación de la información con respecto a las actividades de operación y la realización de una conciliación de ingresos netos de operación al final del Estado de Flujo de Efectivo. El flujo de actividades de operación en ambos métodos debe ser igual.</w:t>
      </w:r>
    </w:p>
    <w:p>
      <w:pPr>
        <w:pStyle w:val="BodyText"/>
      </w:pPr>
    </w:p>
    <w:p>
      <w:pPr>
        <w:pStyle w:val="BodyText"/>
      </w:pPr>
    </w:p>
    <w:p>
      <w:pPr>
        <w:pStyle w:val="BodyText"/>
        <w:spacing w:before="2"/>
        <w:rPr>
          <w:sz w:val="23"/>
        </w:rPr>
      </w:pPr>
    </w:p>
    <w:p>
      <w:pPr>
        <w:pStyle w:val="Heading2"/>
        <w:numPr>
          <w:ilvl w:val="2"/>
          <w:numId w:val="9"/>
        </w:numPr>
        <w:tabs>
          <w:tab w:pos="831" w:val="left" w:leader="none"/>
        </w:tabs>
        <w:spacing w:line="240" w:lineRule="auto" w:before="0" w:after="0"/>
        <w:ind w:left="830" w:right="0" w:hanging="720"/>
        <w:jc w:val="both"/>
      </w:pPr>
      <w:r>
        <w:rPr/>
        <w:t>Notas de los estados financieros.</w:t>
      </w:r>
    </w:p>
    <w:p>
      <w:pPr>
        <w:pStyle w:val="BodyText"/>
        <w:spacing w:line="357" w:lineRule="auto" w:before="141"/>
        <w:ind w:left="110" w:right="108"/>
        <w:jc w:val="both"/>
      </w:pPr>
      <w:r>
        <w:rPr/>
        <w:t>Son notas a pie que detallan la información sobre políticas contables, procedimientos, cálculos y transacciones, que subrayan los rubros de los estados financieros.</w:t>
      </w:r>
    </w:p>
    <w:p>
      <w:pPr>
        <w:spacing w:after="0" w:line="357"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Dentro de los estados financieros existen notas explicativas relacionadas con las cuentas relevantes de los estados, estas notas proporcionan información detallada sobre políticas contables, procedimientos, cálculos y transacciones que subraya los rubros de los estados financieros.</w:t>
      </w:r>
    </w:p>
    <w:p>
      <w:pPr>
        <w:pStyle w:val="BodyText"/>
        <w:spacing w:line="357" w:lineRule="auto" w:before="209"/>
        <w:ind w:left="110" w:right="108"/>
        <w:jc w:val="both"/>
      </w:pPr>
      <w:r>
        <w:rPr/>
        <w:t>Algunas notas que pueden detallarse son el reconocimiento de ingresos, impuestos sobre la renta, los desgloses de las cuentas de activos fijos, las condiciones de la deuda y arrendamiento y las eventualidades.</w:t>
      </w:r>
    </w:p>
    <w:p>
      <w:pPr>
        <w:pStyle w:val="BodyText"/>
        <w:spacing w:line="355" w:lineRule="auto" w:before="212"/>
        <w:ind w:left="110" w:right="108"/>
        <w:jc w:val="both"/>
      </w:pPr>
      <w:r>
        <w:rPr/>
        <w:t>Los analistas profesionales de valores utilizan estas notas de estados para desarrollar los cálculos de valor de los títulos que la empresa emite.</w:t>
      </w:r>
    </w:p>
    <w:p>
      <w:pPr>
        <w:pStyle w:val="BodyText"/>
      </w:pPr>
    </w:p>
    <w:p>
      <w:pPr>
        <w:pStyle w:val="BodyText"/>
      </w:pPr>
    </w:p>
    <w:p>
      <w:pPr>
        <w:pStyle w:val="BodyText"/>
        <w:spacing w:before="1"/>
      </w:pPr>
    </w:p>
    <w:p>
      <w:pPr>
        <w:pStyle w:val="Heading2"/>
        <w:numPr>
          <w:ilvl w:val="2"/>
          <w:numId w:val="9"/>
        </w:numPr>
        <w:tabs>
          <w:tab w:pos="831" w:val="left" w:leader="none"/>
        </w:tabs>
        <w:spacing w:line="240" w:lineRule="auto" w:before="0" w:after="0"/>
        <w:ind w:left="830" w:right="0" w:hanging="720"/>
        <w:jc w:val="both"/>
      </w:pPr>
      <w:r>
        <w:rPr/>
        <w:t>Consolidación de estados financieros</w:t>
      </w:r>
      <w:r>
        <w:rPr>
          <w:spacing w:val="-12"/>
        </w:rPr>
        <w:t> </w:t>
      </w:r>
      <w:r>
        <w:rPr/>
        <w:t>internacionales.</w:t>
      </w:r>
    </w:p>
    <w:p>
      <w:pPr>
        <w:pStyle w:val="BodyText"/>
        <w:spacing w:line="360" w:lineRule="auto" w:before="141"/>
        <w:ind w:left="110" w:right="108"/>
        <w:jc w:val="both"/>
      </w:pPr>
      <w:r>
        <w:rPr/>
        <w:t>Las empresas subsidiarias, asociadas o inversiones conjuntas de una entidad de los Estados Unidos, constituidas bajo las leyes de México, deben preparar estados financieros de acuerdo a Normas de Información Financiera, emitidas por el CINIF. (Consejo Mexicano para la Investigación y Desarrollo de Normas de Información Financiera)</w:t>
      </w:r>
    </w:p>
    <w:p>
      <w:pPr>
        <w:pStyle w:val="BodyText"/>
        <w:spacing w:line="360" w:lineRule="auto" w:before="204"/>
        <w:ind w:left="110" w:right="108"/>
        <w:jc w:val="both"/>
      </w:pPr>
      <w:r>
        <w:rPr/>
        <w:t>No obstante, de conformidad con la Declaración 52, emitida por el Consejo de Normas de información financiera de los Estados Unidos (FASB) y por necesidades propias de las tenedoras de acciones, esa información financiera debe ser convertida a PCGA (Principios de Contabilidad Generalmente Aceptados) en los Estados Unidos y convertirlos de moneda nacional a dólares.</w:t>
      </w:r>
    </w:p>
    <w:p>
      <w:pPr>
        <w:pStyle w:val="BodyText"/>
        <w:spacing w:line="360" w:lineRule="auto" w:before="209"/>
        <w:ind w:left="110" w:right="108"/>
        <w:jc w:val="both"/>
      </w:pPr>
      <w:r>
        <w:rPr/>
        <w:t>La contabilidad financiera es una clase especial de contabilidad, cuyo objetivo es producir información dirigida a un grupo específico de interesados, aquellos que no se encuentran involucrados con la administración de las entidades y  que debe ser útil para la toma de sus decisiones en relación a las entidades (préstamos, inversiones y rendición de</w:t>
      </w:r>
      <w:r>
        <w:rPr>
          <w:spacing w:val="-2"/>
        </w:rPr>
        <w:t> </w:t>
      </w:r>
      <w:r>
        <w:rPr/>
        <w:t>cuentas).</w:t>
      </w:r>
    </w:p>
    <w:p>
      <w:pPr>
        <w:pStyle w:val="BodyText"/>
        <w:spacing w:line="360" w:lineRule="auto" w:before="209"/>
        <w:ind w:left="110" w:right="108"/>
        <w:jc w:val="both"/>
      </w:pPr>
      <w:r>
        <w:rPr/>
        <w:t>El proceso contable en general requiere precisar qué operaciones de las entidades serán su objeto, cómo deben clasificarse, en qué momento se deben incorporar formalmente en los registros contables, cómo se deben    cuantificar,</w:t>
      </w:r>
    </w:p>
    <w:p>
      <w:pPr>
        <w:spacing w:after="0" w:line="360"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55" w:lineRule="auto"/>
        <w:ind w:left="110" w:right="108"/>
        <w:jc w:val="both"/>
      </w:pPr>
      <w:r>
        <w:rPr/>
        <w:t>cómo se deben presentar en los estados financieros y, por último, qué revelaciones deben hacerse sobre las operaciones informadas.</w:t>
      </w:r>
    </w:p>
    <w:p>
      <w:pPr>
        <w:pStyle w:val="BodyText"/>
        <w:spacing w:line="360" w:lineRule="auto" w:before="214"/>
        <w:ind w:left="110" w:right="108"/>
        <w:jc w:val="both"/>
      </w:pPr>
      <w:r>
        <w:rPr/>
        <w:t>Por lo que se refiere a las operaciones que son objeto de la contabilidad financiera, ésta toma el concepto de transacciones y ciertos eventos identificables y cuantificables que la afectan (restricción de operaciones). De esta manera, la contabilidad financiera define, con toda claridad, que de todas las operaciones que realiza una entidad son objeto de la contabilidad financiera únicamente sus transacciones y ciertos eventos económicos identificables y cuantificables que la afectan. El principio de realización define puntualmente a las transacciones.</w:t>
      </w:r>
    </w:p>
    <w:p>
      <w:pPr>
        <w:pStyle w:val="BodyText"/>
        <w:spacing w:line="360" w:lineRule="auto" w:before="209"/>
        <w:ind w:left="110" w:right="108"/>
        <w:jc w:val="both"/>
      </w:pPr>
      <w:r>
        <w:rPr/>
        <w:t>La contabilidad financiera proporciona la definición de los conceptos básicos integrantes de los estados financieros, que constituyen la base para la clasificación de las transacciones y provee los supuestos básicos (los nueve principios básicos y el criterio prudencial) como condiciones que deben  observar las reglas particulares, para que los procedimientos contables arriben a la información financiera conforme a sus propios objetivos, bajo las condiciones de calidad establecidas.</w:t>
      </w:r>
    </w:p>
    <w:p>
      <w:pPr>
        <w:pStyle w:val="BodyText"/>
        <w:spacing w:line="360" w:lineRule="auto" w:before="209"/>
        <w:ind w:left="110" w:right="108"/>
        <w:jc w:val="both"/>
      </w:pPr>
      <w:r>
        <w:rPr/>
        <w:t>Los Principios de Contabilidad Generalmente Aceptados (PCGA) son el conjunto de criterios que se utilizan en un lugar y en un momento dado, para elaborar y presentar información financiera relevante y confiable de las entidades.</w:t>
      </w:r>
    </w:p>
    <w:p>
      <w:pPr>
        <w:pStyle w:val="BodyText"/>
        <w:spacing w:line="360" w:lineRule="auto" w:before="209"/>
        <w:ind w:left="110" w:right="108"/>
        <w:jc w:val="both"/>
      </w:pPr>
      <w:r>
        <w:rPr/>
        <w:t>Ese conjunto de criterios abarca todo el conocimiento contable teórico, normativo y práctico que resulta necesario aplicar para afirmar que la información financiera presenta de manera razonable la situación financiera de la entidad y los cambios sufridos en la misma.</w:t>
      </w:r>
    </w:p>
    <w:p>
      <w:pPr>
        <w:pStyle w:val="BodyText"/>
      </w:pPr>
    </w:p>
    <w:p>
      <w:pPr>
        <w:pStyle w:val="BodyText"/>
      </w:pPr>
    </w:p>
    <w:p>
      <w:pPr>
        <w:pStyle w:val="BodyText"/>
        <w:spacing w:before="7"/>
        <w:rPr>
          <w:sz w:val="23"/>
        </w:rPr>
      </w:pPr>
    </w:p>
    <w:p>
      <w:pPr>
        <w:pStyle w:val="Heading2"/>
        <w:numPr>
          <w:ilvl w:val="1"/>
          <w:numId w:val="10"/>
        </w:numPr>
        <w:tabs>
          <w:tab w:pos="687" w:val="left" w:leader="none"/>
        </w:tabs>
        <w:spacing w:line="240" w:lineRule="auto" w:before="0" w:after="0"/>
        <w:ind w:left="686" w:right="0" w:hanging="576"/>
        <w:jc w:val="both"/>
      </w:pPr>
      <w:r>
        <w:rPr/>
        <w:t>Razones financieras.</w:t>
      </w:r>
    </w:p>
    <w:p>
      <w:pPr>
        <w:pStyle w:val="BodyText"/>
        <w:spacing w:line="357" w:lineRule="auto" w:before="137"/>
        <w:ind w:left="110" w:right="108"/>
        <w:jc w:val="both"/>
      </w:pPr>
      <w:r>
        <w:rPr/>
        <w:t>La información obtenida en los cuatro estados financieros básicos es muy importante para las diversas partes interesadas que necesitan tener con regularidad medidas relativas de la eficiencia operativa de la empresa, este análisis se basa en el uso de las razones o valores relativos.</w:t>
      </w:r>
    </w:p>
    <w:p>
      <w:pPr>
        <w:spacing w:after="0" w:line="357" w:lineRule="auto"/>
        <w:jc w:val="both"/>
        <w:sectPr>
          <w:pgSz w:w="11910" w:h="16840"/>
          <w:pgMar w:header="0"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Las razones financieras es una de las formas más utilizadas para el análisis de los estados financieros; ya que permiten evaluar el desempeño de una  empresa y anticipar las condiciones futuras, siendo un punto de partida para planear aquellas operaciones que han de influir sobre el curso futuro de la entidad.</w:t>
      </w:r>
    </w:p>
    <w:p>
      <w:pPr>
        <w:pStyle w:val="BodyText"/>
        <w:spacing w:line="360" w:lineRule="auto" w:before="209"/>
        <w:ind w:left="110" w:right="108"/>
        <w:jc w:val="both"/>
      </w:pPr>
      <w:r>
        <w:rPr/>
        <w:t>El objetivo de utilizar razones en los análisis de los estados financieros es reducir la cantidad de datos a una forma práctica y darle un mayor significado a la información.</w:t>
      </w:r>
    </w:p>
    <w:p>
      <w:pPr>
        <w:pStyle w:val="BodyText"/>
        <w:spacing w:line="360" w:lineRule="auto" w:before="204"/>
        <w:ind w:left="110" w:right="108"/>
        <w:jc w:val="both"/>
      </w:pPr>
      <w:r>
        <w:rPr/>
        <w:t>El análisis de razones incluye métodos de cálculo e interpretación de las razones financieras para analizar y supervisar el rendimiento, liquidez, solvencia, apalancamiento y uso de activos de la empresa.</w:t>
      </w:r>
    </w:p>
    <w:p>
      <w:pPr>
        <w:pStyle w:val="BodyText"/>
        <w:spacing w:line="357" w:lineRule="auto" w:before="209"/>
        <w:ind w:left="110" w:right="108"/>
        <w:jc w:val="both"/>
      </w:pPr>
      <w:r>
        <w:rPr/>
        <w:t>Las razones financieras se dividen en: razones de liquidez, índices de  actividad, razones de endeudamiento, índices de rentabilidad y razones de mercado.</w:t>
      </w:r>
    </w:p>
    <w:p>
      <w:pPr>
        <w:pStyle w:val="BodyText"/>
      </w:pPr>
    </w:p>
    <w:p>
      <w:pPr>
        <w:pStyle w:val="BodyText"/>
      </w:pPr>
    </w:p>
    <w:p>
      <w:pPr>
        <w:pStyle w:val="BodyText"/>
        <w:spacing w:before="9"/>
        <w:rPr>
          <w:sz w:val="23"/>
        </w:rPr>
      </w:pPr>
    </w:p>
    <w:p>
      <w:pPr>
        <w:pStyle w:val="Heading2"/>
        <w:numPr>
          <w:ilvl w:val="2"/>
          <w:numId w:val="10"/>
        </w:numPr>
        <w:tabs>
          <w:tab w:pos="831" w:val="left" w:leader="none"/>
        </w:tabs>
        <w:spacing w:line="240" w:lineRule="auto" w:before="1" w:after="0"/>
        <w:ind w:left="830" w:right="0" w:hanging="720"/>
        <w:jc w:val="both"/>
      </w:pPr>
      <w:r>
        <w:rPr/>
        <w:t>Razones de liquidez.</w:t>
      </w:r>
    </w:p>
    <w:p>
      <w:pPr>
        <w:pStyle w:val="BodyText"/>
        <w:spacing w:line="360" w:lineRule="auto" w:before="137"/>
        <w:ind w:left="110" w:right="108"/>
        <w:jc w:val="both"/>
      </w:pPr>
      <w:r>
        <w:rPr/>
        <w:t>Estas razones miden la habilidad de la empresa para satisfacer sus obligaciones a corto plazo y existen dos medidas clave de la liquidez: liquidez corriente y razón rápida o prueba ácida.</w:t>
      </w:r>
    </w:p>
    <w:p>
      <w:pPr>
        <w:pStyle w:val="BodyText"/>
      </w:pPr>
    </w:p>
    <w:p>
      <w:pPr>
        <w:pStyle w:val="BodyText"/>
      </w:pPr>
    </w:p>
    <w:p>
      <w:pPr>
        <w:pStyle w:val="BodyText"/>
        <w:spacing w:before="7"/>
        <w:rPr>
          <w:sz w:val="23"/>
        </w:rPr>
      </w:pPr>
    </w:p>
    <w:p>
      <w:pPr>
        <w:pStyle w:val="Heading3"/>
        <w:numPr>
          <w:ilvl w:val="3"/>
          <w:numId w:val="10"/>
        </w:numPr>
        <w:tabs>
          <w:tab w:pos="975" w:val="left" w:leader="none"/>
        </w:tabs>
        <w:spacing w:line="240" w:lineRule="auto" w:before="0" w:after="0"/>
        <w:ind w:left="974" w:right="0" w:hanging="864"/>
        <w:jc w:val="both"/>
        <w:rPr>
          <w:i/>
        </w:rPr>
      </w:pPr>
      <w:bookmarkStart w:name="_TOC_250063" w:id="4"/>
      <w:bookmarkEnd w:id="4"/>
      <w:r>
        <w:rPr>
          <w:i/>
        </w:rPr>
        <w:t>Liquidez corriente (Current ratio).</w:t>
      </w:r>
    </w:p>
    <w:p>
      <w:pPr>
        <w:pStyle w:val="BodyText"/>
        <w:spacing w:line="355" w:lineRule="auto" w:before="137"/>
        <w:ind w:left="110" w:right="108"/>
        <w:jc w:val="both"/>
      </w:pPr>
      <w:r>
        <w:rPr/>
        <w:t>Mide la capacidad de la empresa para cumplir con sus obligaciones de corto plazo.</w:t>
      </w:r>
    </w:p>
    <w:p>
      <w:pPr>
        <w:pStyle w:val="BodyText"/>
        <w:spacing w:before="1"/>
        <w:rPr>
          <w:sz w:val="10"/>
        </w:rPr>
      </w:pPr>
    </w:p>
    <w:p>
      <w:pPr>
        <w:pStyle w:val="BodyText"/>
        <w:spacing w:line="232" w:lineRule="exact" w:before="67"/>
        <w:ind w:left="4522"/>
        <w:rPr>
          <w:rFonts w:ascii="Cambria Math" w:eastAsia="Cambria Math"/>
        </w:rPr>
      </w:pPr>
      <w:r>
        <w:rPr>
          <w:rFonts w:ascii="Cambria Math" w:eastAsia="Cambria Math"/>
          <w:spacing w:val="-112"/>
        </w:rPr>
        <w:t>𝐴𝑐𝑡𝑖𝑣𝑜𝑠</w:t>
      </w:r>
      <w:r>
        <w:rPr>
          <w:rFonts w:ascii="Cambria Math" w:eastAsia="Cambria Math"/>
          <w:spacing w:val="-31"/>
        </w:rPr>
        <w:t> </w:t>
      </w:r>
      <w:r>
        <w:rPr>
          <w:rFonts w:ascii="Cambria Math" w:eastAsia="Cambria Math"/>
          <w:spacing w:val="-111"/>
        </w:rPr>
        <w:t>𝑐𝑜𝑟𝑟𝑖𝑒𝑛𝑡𝑒𝑠</w:t>
      </w:r>
    </w:p>
    <w:p>
      <w:pPr>
        <w:pStyle w:val="BodyText"/>
        <w:spacing w:line="392" w:lineRule="exact"/>
        <w:ind w:left="2195"/>
        <w:rPr>
          <w:rFonts w:ascii="Cambria Math" w:eastAsia="Cambria Math"/>
        </w:rPr>
      </w:pPr>
      <w:r>
        <w:rPr/>
        <w:pict>
          <v:line style="position:absolute;mso-position-horizontal-relative:page;mso-position-vertical-relative:paragraph;z-index:-243904" from="305.14389pt,5.448167pt" to="406.42389pt,5.448167pt" stroked="true" strokeweight=".72pt" strokecolor="#000000">
            <w10:wrap type="none"/>
          </v:line>
        </w:pict>
      </w:r>
      <w:r>
        <w:rPr>
          <w:rFonts w:ascii="Cambria Math" w:eastAsia="Cambria Math"/>
          <w:spacing w:val="-101"/>
        </w:rPr>
        <w:t>𝐿𝑖𝑞𝑢𝑖𝑑𝑒𝑧</w:t>
      </w:r>
      <w:r>
        <w:rPr>
          <w:rFonts w:ascii="Cambria Math" w:eastAsia="Cambria Math"/>
          <w:spacing w:val="-34"/>
        </w:rPr>
        <w:t> </w:t>
      </w:r>
      <w:r>
        <w:rPr>
          <w:rFonts w:ascii="Cambria Math" w:eastAsia="Cambria Math"/>
          <w:spacing w:val="-101"/>
        </w:rPr>
        <w:t>𝑐𝑜𝑟𝑟𝑖𝑒𝑛𝑡𝑒</w:t>
      </w:r>
      <w:r>
        <w:rPr>
          <w:rFonts w:ascii="Cambria Math" w:eastAsia="Cambria Math"/>
          <w:spacing w:val="-29"/>
        </w:rPr>
        <w:t> </w:t>
      </w:r>
      <w:r>
        <w:rPr>
          <w:rFonts w:ascii="Cambria Math" w:eastAsia="Cambria Math"/>
          <w:spacing w:val="-101"/>
        </w:rPr>
        <w:t>=</w:t>
      </w:r>
      <w:r>
        <w:rPr>
          <w:rFonts w:ascii="Cambria Math" w:eastAsia="Cambria Math"/>
          <w:spacing w:val="-31"/>
        </w:rPr>
        <w:t> </w:t>
      </w:r>
      <w:r>
        <w:rPr>
          <w:rFonts w:ascii="Cambria Math" w:eastAsia="Cambria Math"/>
          <w:spacing w:val="-101"/>
          <w:position w:val="-15"/>
        </w:rPr>
        <w:t>𝑃𝑎𝑠𝑖𝑣𝑜𝑠</w:t>
      </w:r>
      <w:r>
        <w:rPr>
          <w:rFonts w:ascii="Cambria Math" w:eastAsia="Cambria Math"/>
          <w:spacing w:val="-51"/>
          <w:position w:val="-15"/>
        </w:rPr>
        <w:t> </w:t>
      </w:r>
      <w:r>
        <w:rPr>
          <w:rFonts w:ascii="Cambria Math" w:eastAsia="Cambria Math"/>
          <w:position w:val="-15"/>
        </w:rPr>
        <w:t>𝑐𝑜𝑟𝑟𝑖𝑒𝑛𝑡𝑒𝑠</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0"/>
        </w:numPr>
        <w:tabs>
          <w:tab w:pos="975" w:val="left" w:leader="none"/>
        </w:tabs>
        <w:spacing w:line="240" w:lineRule="auto" w:before="202" w:after="0"/>
        <w:ind w:left="974" w:right="0" w:hanging="864"/>
        <w:jc w:val="left"/>
        <w:rPr>
          <w:i/>
        </w:rPr>
      </w:pPr>
      <w:bookmarkStart w:name="_TOC_250062" w:id="5"/>
      <w:r>
        <w:rPr>
          <w:i/>
        </w:rPr>
        <w:t>Razón rápida o prueba ácida (Quick</w:t>
      </w:r>
      <w:r>
        <w:rPr>
          <w:i/>
          <w:spacing w:val="-5"/>
        </w:rPr>
        <w:t> </w:t>
      </w:r>
      <w:bookmarkEnd w:id="5"/>
      <w:r>
        <w:rPr>
          <w:i/>
        </w:rPr>
        <w:t>test).</w:t>
      </w:r>
    </w:p>
    <w:p>
      <w:pPr>
        <w:pStyle w:val="BodyText"/>
        <w:spacing w:line="355" w:lineRule="auto" w:before="137"/>
        <w:ind w:left="110"/>
      </w:pPr>
      <w:r>
        <w:rPr/>
        <w:t>Medida de liquidez que se calcula al dividir los activos corrientes de la empresa menos el inventario entre sus pasivos corrientes.</w:t>
      </w:r>
    </w:p>
    <w:p>
      <w:pPr>
        <w:spacing w:after="0" w:line="355" w:lineRule="auto"/>
        <w:sectPr>
          <w:pgSz w:w="11910" w:h="16840"/>
          <w:pgMar w:header="0" w:footer="724" w:top="960" w:bottom="920" w:left="1600" w:right="1580"/>
        </w:sectPr>
      </w:pPr>
    </w:p>
    <w:p>
      <w:pPr>
        <w:pStyle w:val="BodyText"/>
        <w:rPr>
          <w:sz w:val="20"/>
        </w:rPr>
      </w:pPr>
    </w:p>
    <w:p>
      <w:pPr>
        <w:spacing w:after="0"/>
        <w:rPr>
          <w:sz w:val="20"/>
        </w:rPr>
        <w:sectPr>
          <w:pgSz w:w="11910" w:h="16840"/>
          <w:pgMar w:header="0" w:footer="724" w:top="960" w:bottom="920" w:left="1600" w:right="1580"/>
        </w:sectPr>
      </w:pPr>
    </w:p>
    <w:p>
      <w:pPr>
        <w:pStyle w:val="BodyText"/>
        <w:spacing w:before="4"/>
        <w:rPr>
          <w:sz w:val="32"/>
        </w:rPr>
      </w:pPr>
    </w:p>
    <w:p>
      <w:pPr>
        <w:pStyle w:val="BodyText"/>
        <w:spacing w:before="1"/>
        <w:ind w:left="1773"/>
        <w:rPr>
          <w:rFonts w:ascii="Cambria Math" w:hAnsi="Cambria Math" w:eastAsia="Cambria Math"/>
        </w:rPr>
      </w:pPr>
      <w:r>
        <w:rPr>
          <w:rFonts w:ascii="Cambria Math" w:hAnsi="Cambria Math" w:eastAsia="Cambria Math"/>
          <w:spacing w:val="-96"/>
        </w:rPr>
        <w:t>𝑃𝑟𝑢𝑒𝑏𝑎 </w:t>
      </w:r>
      <w:r>
        <w:rPr>
          <w:rFonts w:ascii="Cambria Math" w:hAnsi="Cambria Math" w:eastAsia="Cambria Math"/>
          <w:spacing w:val="-75"/>
        </w:rPr>
        <w:t>á𝑐𝑖𝑑𝑎</w:t>
      </w:r>
      <w:r>
        <w:rPr>
          <w:rFonts w:ascii="Cambria Math" w:hAnsi="Cambria Math" w:eastAsia="Cambria Math"/>
          <w:spacing w:val="-27"/>
        </w:rPr>
        <w:t> </w:t>
      </w:r>
      <w:r>
        <w:rPr>
          <w:rFonts w:ascii="Cambria Math" w:hAnsi="Cambria Math" w:eastAsia="Cambria Math"/>
          <w:spacing w:val="-74"/>
        </w:rPr>
        <w:t>=</w:t>
      </w:r>
    </w:p>
    <w:p>
      <w:pPr>
        <w:pStyle w:val="BodyText"/>
        <w:spacing w:before="190"/>
        <w:ind w:left="322" w:right="2071"/>
        <w:jc w:val="center"/>
        <w:rPr>
          <w:rFonts w:ascii="Cambria Math" w:hAnsi="Cambria Math" w:eastAsia="Cambria Math"/>
        </w:rPr>
      </w:pPr>
      <w:r>
        <w:rPr/>
        <w:br w:type="column"/>
      </w:r>
      <w:r>
        <w:rPr>
          <w:rFonts w:ascii="Cambria Math" w:hAnsi="Cambria Math" w:eastAsia="Cambria Math"/>
          <w:spacing w:val="-65"/>
        </w:rPr>
        <w:t>𝐴𝑐𝑡𝑖𝑣𝑜𝑠 </w:t>
      </w:r>
      <w:r>
        <w:rPr>
          <w:rFonts w:ascii="Cambria Math" w:hAnsi="Cambria Math" w:eastAsia="Cambria Math"/>
          <w:spacing w:val="-92"/>
        </w:rPr>
        <w:t>𝑐𝑜𝑟𝑟𝑖𝑒𝑛𝑡𝑒𝑠</w:t>
      </w:r>
      <w:r>
        <w:rPr>
          <w:rFonts w:ascii="Cambria Math" w:hAnsi="Cambria Math" w:eastAsia="Cambria Math"/>
          <w:spacing w:val="-34"/>
        </w:rPr>
        <w:t> </w:t>
      </w:r>
      <w:r>
        <w:rPr>
          <w:rFonts w:ascii="Cambria Math" w:hAnsi="Cambria Math" w:eastAsia="Cambria Math"/>
          <w:spacing w:val="-91"/>
        </w:rPr>
        <w:t>−</w:t>
      </w:r>
      <w:r>
        <w:rPr>
          <w:rFonts w:ascii="Cambria Math" w:hAnsi="Cambria Math" w:eastAsia="Cambria Math"/>
          <w:spacing w:val="-51"/>
        </w:rPr>
        <w:t> </w:t>
      </w:r>
      <w:r>
        <w:rPr>
          <w:rFonts w:ascii="Cambria Math" w:hAnsi="Cambria Math" w:eastAsia="Cambria Math"/>
          <w:spacing w:val="-85"/>
        </w:rPr>
        <w:t>𝐼𝑛𝑣𝑒𝑛𝑡𝑎𝑟𝑖𝑜</w:t>
      </w:r>
    </w:p>
    <w:p>
      <w:pPr>
        <w:pStyle w:val="BodyText"/>
        <w:spacing w:before="5"/>
        <w:rPr>
          <w:rFonts w:ascii="Cambria Math"/>
          <w:sz w:val="4"/>
        </w:rPr>
      </w:pPr>
    </w:p>
    <w:p>
      <w:pPr>
        <w:pStyle w:val="BodyText"/>
        <w:spacing w:line="20" w:lineRule="exact"/>
        <w:ind w:left="18"/>
        <w:rPr>
          <w:rFonts w:ascii="Cambria Math"/>
          <w:sz w:val="2"/>
        </w:rPr>
      </w:pPr>
      <w:r>
        <w:rPr>
          <w:rFonts w:ascii="Cambria Math"/>
          <w:sz w:val="2"/>
        </w:rPr>
        <w:pict>
          <v:group style="width:172.85pt;height:.75pt;mso-position-horizontal-relative:char;mso-position-vertical-relative:line" coordorigin="0,0" coordsize="3457,15">
            <v:line style="position:absolute" from="8,8" to="3449,8" stroked="true" strokeweight=".72pt" strokecolor="#000000"/>
          </v:group>
        </w:pict>
      </w:r>
      <w:r>
        <w:rPr>
          <w:rFonts w:ascii="Cambria Math"/>
          <w:sz w:val="2"/>
        </w:rPr>
      </w:r>
    </w:p>
    <w:p>
      <w:pPr>
        <w:pStyle w:val="BodyText"/>
        <w:ind w:left="322" w:right="2071"/>
        <w:jc w:val="center"/>
        <w:rPr>
          <w:rFonts w:ascii="Cambria Math" w:eastAsia="Cambria Math"/>
        </w:rPr>
      </w:pPr>
      <w:r>
        <w:rPr>
          <w:rFonts w:ascii="Cambria Math" w:eastAsia="Cambria Math"/>
          <w:spacing w:val="-65"/>
        </w:rPr>
        <w:t>𝑃𝑎𝑠𝑖𝑣𝑜𝑠 </w:t>
      </w:r>
      <w:r>
        <w:rPr>
          <w:rFonts w:ascii="Cambria Math" w:eastAsia="Cambria Math"/>
          <w:spacing w:val="-85"/>
        </w:rPr>
        <w:t>𝑐𝑜𝑟𝑟𝑖𝑒𝑛𝑡𝑒𝑠</w:t>
      </w:r>
    </w:p>
    <w:p>
      <w:pPr>
        <w:spacing w:after="0"/>
        <w:jc w:val="center"/>
        <w:rPr>
          <w:rFonts w:ascii="Cambria Math" w:eastAsia="Cambria Math"/>
        </w:rPr>
        <w:sectPr>
          <w:type w:val="continuous"/>
          <w:pgSz w:w="11910" w:h="16840"/>
          <w:pgMar w:top="1380" w:bottom="280" w:left="1600" w:right="1580"/>
          <w:cols w:num="2" w:equalWidth="0">
            <w:col w:w="3444" w:space="40"/>
            <w:col w:w="5246"/>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2"/>
        <w:numPr>
          <w:ilvl w:val="2"/>
          <w:numId w:val="11"/>
        </w:numPr>
        <w:tabs>
          <w:tab w:pos="831" w:val="left" w:leader="none"/>
        </w:tabs>
        <w:spacing w:line="240" w:lineRule="auto" w:before="203" w:after="0"/>
        <w:ind w:left="830" w:right="0" w:hanging="720"/>
        <w:jc w:val="both"/>
      </w:pPr>
      <w:bookmarkStart w:name="_TOC_250061" w:id="6"/>
      <w:bookmarkEnd w:id="6"/>
      <w:r>
        <w:rPr/>
        <w:t>Índices de actividad.</w:t>
      </w:r>
    </w:p>
    <w:p>
      <w:pPr>
        <w:pStyle w:val="BodyText"/>
        <w:spacing w:line="360" w:lineRule="auto" w:before="137"/>
        <w:ind w:left="110" w:right="108"/>
        <w:jc w:val="both"/>
      </w:pPr>
      <w:r>
        <w:rPr/>
        <w:t>Los índices de actividad permiten realizar una medición de la velocidad con la que algunas cuentas se transforman en ventas o efectivo, siendo entradas o salidas.</w:t>
      </w:r>
    </w:p>
    <w:p>
      <w:pPr>
        <w:pStyle w:val="BodyText"/>
      </w:pPr>
    </w:p>
    <w:p>
      <w:pPr>
        <w:pStyle w:val="BodyText"/>
      </w:pPr>
    </w:p>
    <w:p>
      <w:pPr>
        <w:pStyle w:val="BodyText"/>
        <w:spacing w:before="2"/>
        <w:rPr>
          <w:sz w:val="23"/>
        </w:rPr>
      </w:pPr>
    </w:p>
    <w:p>
      <w:pPr>
        <w:pStyle w:val="Heading3"/>
        <w:numPr>
          <w:ilvl w:val="3"/>
          <w:numId w:val="11"/>
        </w:numPr>
        <w:tabs>
          <w:tab w:pos="975" w:val="left" w:leader="none"/>
        </w:tabs>
        <w:spacing w:line="240" w:lineRule="auto" w:before="0" w:after="0"/>
        <w:ind w:left="974" w:right="0" w:hanging="864"/>
        <w:jc w:val="both"/>
        <w:rPr>
          <w:i/>
        </w:rPr>
      </w:pPr>
      <w:bookmarkStart w:name="_TOC_250060" w:id="7"/>
      <w:bookmarkEnd w:id="7"/>
      <w:r>
        <w:rPr>
          <w:i/>
        </w:rPr>
        <w:t>Rotación de inventarios.</w:t>
      </w:r>
    </w:p>
    <w:p>
      <w:pPr>
        <w:pStyle w:val="BodyText"/>
        <w:spacing w:line="355" w:lineRule="auto" w:before="141"/>
        <w:ind w:left="110" w:right="108"/>
        <w:jc w:val="both"/>
      </w:pPr>
      <w:r>
        <w:rPr/>
        <w:t>La rotación de inventarios mide la actividad o el número de veces que se usan los inventarios de una empresa. Se calcula de la siguiente manera:</w:t>
      </w:r>
    </w:p>
    <w:p>
      <w:pPr>
        <w:pStyle w:val="BodyText"/>
        <w:spacing w:before="6"/>
        <w:rPr>
          <w:sz w:val="10"/>
        </w:rPr>
      </w:pPr>
    </w:p>
    <w:p>
      <w:pPr>
        <w:spacing w:after="0"/>
        <w:rPr>
          <w:sz w:val="10"/>
        </w:rPr>
        <w:sectPr>
          <w:type w:val="continuous"/>
          <w:pgSz w:w="11910" w:h="16840"/>
          <w:pgMar w:top="1380" w:bottom="280" w:left="1600" w:right="1580"/>
        </w:sectPr>
      </w:pPr>
    </w:p>
    <w:p>
      <w:pPr>
        <w:pStyle w:val="BodyText"/>
        <w:spacing w:before="7"/>
        <w:rPr>
          <w:sz w:val="21"/>
        </w:rPr>
      </w:pPr>
    </w:p>
    <w:p>
      <w:pPr>
        <w:pStyle w:val="BodyText"/>
        <w:ind w:left="1357"/>
        <w:rPr>
          <w:rFonts w:ascii="Cambria Math" w:hAnsi="Cambria Math" w:eastAsia="Cambria Math"/>
        </w:rPr>
      </w:pPr>
      <w:r>
        <w:rPr>
          <w:rFonts w:ascii="Cambria Math" w:hAnsi="Cambria Math" w:eastAsia="Cambria Math"/>
          <w:spacing w:val="-77"/>
        </w:rPr>
        <w:t>𝑅𝑜𝑡𝑎𝑐𝑖ó𝑛 </w:t>
      </w:r>
      <w:r>
        <w:rPr>
          <w:rFonts w:ascii="Cambria Math" w:hAnsi="Cambria Math" w:eastAsia="Cambria Math"/>
          <w:spacing w:val="-76"/>
        </w:rPr>
        <w:t>𝑑𝑒</w:t>
      </w:r>
      <w:r>
        <w:rPr>
          <w:rFonts w:ascii="Cambria Math" w:hAnsi="Cambria Math" w:eastAsia="Cambria Math"/>
          <w:spacing w:val="-51"/>
        </w:rPr>
        <w:t> </w:t>
      </w:r>
      <w:r>
        <w:rPr>
          <w:rFonts w:ascii="Cambria Math" w:hAnsi="Cambria Math" w:eastAsia="Cambria Math"/>
          <w:spacing w:val="-108"/>
        </w:rPr>
        <w:t>𝐼𝑛𝑣𝑒𝑛𝑡𝑎𝑟𝑖𝑜𝑠</w:t>
      </w:r>
      <w:r>
        <w:rPr>
          <w:rFonts w:ascii="Cambria Math" w:hAnsi="Cambria Math" w:eastAsia="Cambria Math"/>
          <w:spacing w:val="-51"/>
        </w:rPr>
        <w:t> </w:t>
      </w:r>
      <w:r>
        <w:rPr>
          <w:rFonts w:ascii="Cambria Math" w:hAnsi="Cambria Math" w:eastAsia="Cambria Math"/>
        </w:rPr>
        <w:t>=</w:t>
      </w:r>
    </w:p>
    <w:p>
      <w:pPr>
        <w:pStyle w:val="BodyText"/>
        <w:spacing w:before="66"/>
        <w:ind w:left="207" w:right="1540"/>
        <w:jc w:val="center"/>
        <w:rPr>
          <w:rFonts w:ascii="Cambria Math" w:eastAsia="Cambria Math"/>
        </w:rPr>
      </w:pPr>
      <w:r>
        <w:rPr/>
        <w:br w:type="column"/>
      </w:r>
      <w:r>
        <w:rPr>
          <w:rFonts w:ascii="Cambria Math" w:eastAsia="Cambria Math"/>
          <w:spacing w:val="-83"/>
        </w:rPr>
        <w:t>𝐶𝑜𝑠𝑡𝑜</w:t>
      </w:r>
      <w:r>
        <w:rPr>
          <w:rFonts w:ascii="Cambria Math" w:eastAsia="Cambria Math"/>
          <w:spacing w:val="-33"/>
        </w:rPr>
        <w:t> </w:t>
      </w:r>
      <w:r>
        <w:rPr>
          <w:rFonts w:ascii="Cambria Math" w:eastAsia="Cambria Math"/>
          <w:spacing w:val="-82"/>
        </w:rPr>
        <w:t>𝑑𝑒 𝑙𝑜𝑠 </w:t>
      </w:r>
      <w:r>
        <w:rPr>
          <w:rFonts w:ascii="Cambria Math" w:eastAsia="Cambria Math"/>
          <w:spacing w:val="-58"/>
        </w:rPr>
        <w:t>𝑏𝑖𝑒𝑛𝑒𝑠</w:t>
      </w:r>
      <w:r>
        <w:rPr>
          <w:rFonts w:ascii="Cambria Math" w:eastAsia="Cambria Math"/>
          <w:spacing w:val="-51"/>
        </w:rPr>
        <w:t> </w:t>
      </w:r>
      <w:r>
        <w:rPr>
          <w:rFonts w:ascii="Cambria Math" w:eastAsia="Cambria Math"/>
          <w:spacing w:val="-72"/>
        </w:rPr>
        <w:t>𝑣𝑒𝑛𝑑𝑖𝑑𝑜𝑠</w:t>
      </w:r>
    </w:p>
    <w:p>
      <w:pPr>
        <w:pStyle w:val="BodyText"/>
        <w:spacing w:before="5"/>
        <w:rPr>
          <w:rFonts w:ascii="Cambria Math"/>
          <w:sz w:val="4"/>
        </w:rPr>
      </w:pPr>
    </w:p>
    <w:p>
      <w:pPr>
        <w:pStyle w:val="BodyText"/>
        <w:spacing w:line="20" w:lineRule="exact"/>
        <w:ind w:left="19"/>
        <w:rPr>
          <w:rFonts w:ascii="Cambria Math"/>
          <w:sz w:val="2"/>
        </w:rPr>
      </w:pPr>
      <w:r>
        <w:rPr>
          <w:rFonts w:ascii="Cambria Math"/>
          <w:sz w:val="2"/>
        </w:rPr>
        <w:pict>
          <v:group style="width:155.1pt;height:.75pt;mso-position-horizontal-relative:char;mso-position-vertical-relative:line" coordorigin="0,0" coordsize="3102,15">
            <v:line style="position:absolute" from="8,8" to="3094,8" stroked="true" strokeweight=".72pt" strokecolor="#000000"/>
          </v:group>
        </w:pict>
      </w:r>
      <w:r>
        <w:rPr>
          <w:rFonts w:ascii="Cambria Math"/>
          <w:sz w:val="2"/>
        </w:rPr>
      </w:r>
    </w:p>
    <w:p>
      <w:pPr>
        <w:pStyle w:val="BodyText"/>
        <w:ind w:left="207" w:right="1540"/>
        <w:jc w:val="center"/>
        <w:rPr>
          <w:rFonts w:ascii="Cambria Math" w:eastAsia="Cambria Math"/>
        </w:rPr>
      </w:pPr>
      <w:r>
        <w:rPr>
          <w:rFonts w:ascii="Cambria Math" w:eastAsia="Cambria Math"/>
          <w:spacing w:val="-95"/>
        </w:rPr>
        <w:t>𝐼𝑛𝑣𝑒𝑛𝑡𝑎𝑟𝑖𝑜</w:t>
      </w:r>
    </w:p>
    <w:p>
      <w:pPr>
        <w:spacing w:after="0"/>
        <w:jc w:val="center"/>
        <w:rPr>
          <w:rFonts w:ascii="Cambria Math" w:eastAsia="Cambria Math"/>
        </w:rPr>
        <w:sectPr>
          <w:type w:val="continuous"/>
          <w:pgSz w:w="11910" w:h="16840"/>
          <w:pgMar w:top="1380" w:bottom="280" w:left="1600" w:right="1580"/>
          <w:cols w:num="2" w:equalWidth="0">
            <w:col w:w="4216" w:space="40"/>
            <w:col w:w="4474"/>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1"/>
        </w:numPr>
        <w:tabs>
          <w:tab w:pos="975" w:val="left" w:leader="none"/>
        </w:tabs>
        <w:spacing w:line="240" w:lineRule="auto" w:before="203" w:after="0"/>
        <w:ind w:left="974" w:right="0" w:hanging="864"/>
        <w:jc w:val="both"/>
        <w:rPr>
          <w:i/>
        </w:rPr>
      </w:pPr>
      <w:bookmarkStart w:name="_TOC_250059" w:id="8"/>
      <w:bookmarkEnd w:id="8"/>
      <w:r>
        <w:rPr>
          <w:i/>
        </w:rPr>
        <w:t>Periodo promedio de cobro.</w:t>
      </w:r>
    </w:p>
    <w:p>
      <w:pPr>
        <w:pStyle w:val="BodyText"/>
        <w:spacing w:line="357" w:lineRule="auto" w:before="137"/>
        <w:ind w:left="110" w:right="108"/>
        <w:jc w:val="both"/>
      </w:pPr>
      <w:r>
        <w:rPr/>
        <w:t>El periodo promedio de cobro permite evaluar las políticas de crédito y cobro de la compañía; se calcula al dividir el saldo de las cuentas por cobrar entre las ventas diarias promedio.</w:t>
      </w:r>
    </w:p>
    <w:p>
      <w:pPr>
        <w:pStyle w:val="BodyText"/>
        <w:spacing w:before="8"/>
        <w:rPr>
          <w:sz w:val="10"/>
        </w:rPr>
      </w:pPr>
    </w:p>
    <w:p>
      <w:pPr>
        <w:spacing w:after="0"/>
        <w:rPr>
          <w:sz w:val="10"/>
        </w:rPr>
        <w:sectPr>
          <w:type w:val="continuous"/>
          <w:pgSz w:w="11910" w:h="16840"/>
          <w:pgMar w:top="1380" w:bottom="280" w:left="1600" w:right="1580"/>
        </w:sectPr>
      </w:pPr>
    </w:p>
    <w:p>
      <w:pPr>
        <w:pStyle w:val="BodyText"/>
        <w:spacing w:before="7"/>
        <w:rPr>
          <w:sz w:val="21"/>
        </w:rPr>
      </w:pPr>
    </w:p>
    <w:p>
      <w:pPr>
        <w:pStyle w:val="BodyText"/>
        <w:ind w:left="1375"/>
        <w:rPr>
          <w:rFonts w:ascii="Cambria Math" w:eastAsia="Cambria Math"/>
        </w:rPr>
      </w:pPr>
      <w:r>
        <w:rPr>
          <w:rFonts w:ascii="Cambria Math" w:eastAsia="Cambria Math"/>
          <w:spacing w:val="-34"/>
        </w:rPr>
        <w:t>𝑃𝑒𝑟𝑖𝑜𝑑𝑜 </w:t>
      </w:r>
      <w:r>
        <w:rPr>
          <w:rFonts w:ascii="Cambria Math" w:eastAsia="Cambria Math"/>
          <w:spacing w:val="-78"/>
        </w:rPr>
        <w:t>𝑝𝑟𝑜𝑚𝑒𝑑𝑖𝑜 </w:t>
      </w:r>
      <w:r>
        <w:rPr>
          <w:rFonts w:ascii="Cambria Math" w:eastAsia="Cambria Math"/>
          <w:spacing w:val="-77"/>
        </w:rPr>
        <w:t>𝑑𝑒</w:t>
      </w:r>
      <w:r>
        <w:rPr>
          <w:rFonts w:ascii="Cambria Math" w:eastAsia="Cambria Math"/>
          <w:spacing w:val="-51"/>
        </w:rPr>
        <w:t> </w:t>
      </w:r>
      <w:r>
        <w:rPr>
          <w:rFonts w:ascii="Cambria Math" w:eastAsia="Cambria Math"/>
          <w:spacing w:val="-92"/>
        </w:rPr>
        <w:t>𝑐𝑜𝑏𝑟𝑜</w:t>
      </w:r>
      <w:r>
        <w:rPr>
          <w:rFonts w:ascii="Cambria Math" w:eastAsia="Cambria Math"/>
          <w:spacing w:val="-22"/>
        </w:rPr>
        <w:t> </w:t>
      </w:r>
      <w:r>
        <w:rPr>
          <w:rFonts w:ascii="Cambria Math" w:eastAsia="Cambria Math"/>
          <w:spacing w:val="-91"/>
        </w:rPr>
        <w:t>=</w:t>
      </w:r>
    </w:p>
    <w:p>
      <w:pPr>
        <w:pStyle w:val="BodyText"/>
        <w:spacing w:before="66"/>
        <w:ind w:left="92" w:right="1390"/>
        <w:jc w:val="center"/>
        <w:rPr>
          <w:rFonts w:ascii="Cambria Math" w:eastAsia="Cambria Math"/>
        </w:rPr>
      </w:pPr>
      <w:r>
        <w:rPr/>
        <w:br w:type="column"/>
      </w:r>
      <w:r>
        <w:rPr>
          <w:rFonts w:ascii="Cambria Math" w:eastAsia="Cambria Math"/>
          <w:spacing w:val="-98"/>
        </w:rPr>
        <w:t>𝑐𝑢𝑒𝑛𝑡𝑎𝑠</w:t>
      </w:r>
      <w:r>
        <w:rPr>
          <w:rFonts w:ascii="Cambria Math" w:eastAsia="Cambria Math"/>
          <w:spacing w:val="-34"/>
        </w:rPr>
        <w:t> </w:t>
      </w:r>
      <w:r>
        <w:rPr>
          <w:rFonts w:ascii="Cambria Math" w:eastAsia="Cambria Math"/>
          <w:spacing w:val="-97"/>
        </w:rPr>
        <w:t>𝑝𝑜𝑟 </w:t>
      </w:r>
      <w:r>
        <w:rPr>
          <w:rFonts w:ascii="Cambria Math" w:eastAsia="Cambria Math"/>
          <w:spacing w:val="-46"/>
        </w:rPr>
        <w:t>𝑐𝑜𝑏𝑟𝑎𝑟</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34.2pt;height:.75pt;mso-position-horizontal-relative:char;mso-position-vertical-relative:line" coordorigin="0,0" coordsize="2684,15">
            <v:line style="position:absolute" from="8,8" to="2676,8" stroked="true" strokeweight=".72pt" strokecolor="#000000"/>
          </v:group>
        </w:pict>
      </w:r>
      <w:r>
        <w:rPr>
          <w:rFonts w:ascii="Cambria Math"/>
          <w:sz w:val="2"/>
        </w:rPr>
      </w:r>
    </w:p>
    <w:p>
      <w:pPr>
        <w:pStyle w:val="BodyText"/>
        <w:ind w:left="92" w:right="1390"/>
        <w:jc w:val="center"/>
        <w:rPr>
          <w:rFonts w:ascii="Cambria Math" w:eastAsia="Cambria Math"/>
        </w:rPr>
      </w:pPr>
      <w:r>
        <w:rPr>
          <w:rFonts w:ascii="Cambria Math" w:eastAsia="Cambria Math"/>
          <w:spacing w:val="-67"/>
        </w:rPr>
        <w:t>𝑣𝑒𝑛𝑡𝑎𝑠 </w:t>
      </w:r>
      <w:r>
        <w:rPr>
          <w:rFonts w:ascii="Cambria Math" w:eastAsia="Cambria Math"/>
          <w:spacing w:val="-82"/>
        </w:rPr>
        <w:t>𝑑𝑖𝑎𝑟𝑖𝑎𝑠</w:t>
      </w:r>
      <w:r>
        <w:rPr>
          <w:rFonts w:ascii="Cambria Math" w:eastAsia="Cambria Math"/>
          <w:spacing w:val="-51"/>
        </w:rPr>
        <w:t> </w:t>
      </w:r>
      <w:r>
        <w:rPr>
          <w:rFonts w:ascii="Cambria Math" w:eastAsia="Cambria Math"/>
          <w:spacing w:val="-82"/>
        </w:rPr>
        <w:t>𝑝𝑟𝑜𝑚𝑒𝑑𝑖𝑜</w:t>
      </w:r>
    </w:p>
    <w:p>
      <w:pPr>
        <w:spacing w:after="0"/>
        <w:jc w:val="center"/>
        <w:rPr>
          <w:rFonts w:ascii="Cambria Math" w:eastAsia="Cambria Math"/>
        </w:rPr>
        <w:sectPr>
          <w:type w:val="continuous"/>
          <w:pgSz w:w="11910" w:h="16840"/>
          <w:pgMar w:top="1380" w:bottom="280" w:left="1600" w:right="1580"/>
          <w:cols w:num="2" w:equalWidth="0">
            <w:col w:w="4561" w:space="40"/>
            <w:col w:w="4129"/>
          </w:cols>
        </w:sectPr>
      </w:pPr>
    </w:p>
    <w:p>
      <w:pPr>
        <w:pStyle w:val="BodyText"/>
        <w:spacing w:before="8"/>
        <w:rPr>
          <w:rFonts w:ascii="Cambria Math"/>
          <w:sz w:val="20"/>
        </w:rPr>
      </w:pPr>
    </w:p>
    <w:p>
      <w:pPr>
        <w:pStyle w:val="BodyText"/>
        <w:spacing w:line="231" w:lineRule="exact" w:before="66"/>
        <w:ind w:left="536" w:right="243"/>
        <w:jc w:val="center"/>
        <w:rPr>
          <w:rFonts w:ascii="Cambria Math" w:eastAsia="Cambria Math"/>
        </w:rPr>
      </w:pPr>
      <w:r>
        <w:rPr>
          <w:rFonts w:ascii="Cambria Math" w:eastAsia="Cambria Math"/>
          <w:spacing w:val="-105"/>
        </w:rPr>
        <w:t>𝑐𝑢𝑒𝑛𝑡𝑎𝑠</w:t>
      </w:r>
      <w:r>
        <w:rPr>
          <w:rFonts w:ascii="Cambria Math" w:eastAsia="Cambria Math"/>
          <w:spacing w:val="-34"/>
        </w:rPr>
        <w:t> </w:t>
      </w:r>
      <w:r>
        <w:rPr>
          <w:rFonts w:ascii="Cambria Math" w:eastAsia="Cambria Math"/>
          <w:spacing w:val="-105"/>
        </w:rPr>
        <w:t>𝑝𝑜𝑟</w:t>
      </w:r>
      <w:r>
        <w:rPr>
          <w:rFonts w:ascii="Cambria Math" w:eastAsia="Cambria Math"/>
          <w:spacing w:val="-33"/>
        </w:rPr>
        <w:t> </w:t>
      </w:r>
      <w:r>
        <w:rPr>
          <w:rFonts w:ascii="Cambria Math" w:eastAsia="Cambria Math"/>
          <w:spacing w:val="-105"/>
        </w:rPr>
        <w:t>𝑐𝑜𝑏𝑟𝑎𝑟</w:t>
      </w:r>
    </w:p>
    <w:p>
      <w:pPr>
        <w:pStyle w:val="BodyText"/>
        <w:tabs>
          <w:tab w:pos="539" w:val="left" w:leader="none"/>
        </w:tabs>
        <w:spacing w:line="360" w:lineRule="exact"/>
        <w:ind w:right="243"/>
        <w:jc w:val="center"/>
        <w:rPr>
          <w:rFonts w:ascii="Cambria Math" w:eastAsia="Cambria Math"/>
        </w:rPr>
      </w:pPr>
      <w:r>
        <w:rPr/>
        <w:pict>
          <v:line style="position:absolute;mso-position-horizontal-relative:page;mso-position-vertical-relative:paragraph;z-index:-243784" from="252.583893pt,5.468159pt" to="358.423893pt,5.468159pt" stroked="true" strokeweight=".72pt" strokecolor="#000000">
            <w10:wrap type="none"/>
          </v:line>
        </w:pict>
      </w:r>
      <w:r>
        <w:rPr>
          <w:rFonts w:ascii="Cambria Math" w:eastAsia="Cambria Math"/>
          <w:position w:val="14"/>
        </w:rPr>
        <w:t>=</w:t>
        <w:tab/>
      </w:r>
      <w:r>
        <w:rPr>
          <w:rFonts w:ascii="Cambria Math" w:eastAsia="Cambria Math"/>
          <w:spacing w:val="-109"/>
          <w:u w:val="single"/>
        </w:rPr>
        <w:t>𝑣𝑒𝑛𝑡𝑎𝑠</w:t>
      </w:r>
      <w:r>
        <w:rPr>
          <w:rFonts w:ascii="Cambria Math" w:eastAsia="Cambria Math"/>
          <w:spacing w:val="-33"/>
          <w:u w:val="single"/>
        </w:rPr>
        <w:t> </w:t>
      </w:r>
      <w:r>
        <w:rPr>
          <w:rFonts w:ascii="Cambria Math" w:eastAsia="Cambria Math"/>
          <w:spacing w:val="-108"/>
          <w:u w:val="single"/>
        </w:rPr>
        <w:t>𝑎𝑛𝑢𝑎𝑙𝑒𝑠</w:t>
      </w:r>
    </w:p>
    <w:p>
      <w:pPr>
        <w:pStyle w:val="BodyText"/>
        <w:spacing w:line="270" w:lineRule="exact"/>
        <w:ind w:left="542" w:right="243"/>
        <w:jc w:val="center"/>
        <w:rPr>
          <w:rFonts w:ascii="Cambria Math"/>
        </w:rPr>
      </w:pPr>
      <w:r>
        <w:rPr>
          <w:rFonts w:ascii="Cambria Math"/>
        </w:rPr>
        <w:t>365</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spacing w:before="203"/>
        <w:ind w:left="110" w:firstLine="0"/>
        <w:jc w:val="left"/>
        <w:rPr>
          <w:i/>
        </w:rPr>
      </w:pPr>
      <w:bookmarkStart w:name="_TOC_250058" w:id="9"/>
      <w:bookmarkEnd w:id="9"/>
      <w:r>
        <w:rPr>
          <w:i/>
        </w:rPr>
        <w:t>1.9.2.3  Periodo promedio de pago.</w:t>
      </w:r>
    </w:p>
    <w:p>
      <w:pPr>
        <w:pStyle w:val="BodyText"/>
        <w:spacing w:line="360" w:lineRule="auto" w:before="137"/>
        <w:ind w:left="110"/>
      </w:pPr>
      <w:r>
        <w:rPr/>
        <w:t>Esta razón indica el tiempo promedio en el que las cuentas son pagadas; se calcula de la misma manera que el periodo promedio de cobro:</w:t>
      </w:r>
    </w:p>
    <w:p>
      <w:pPr>
        <w:spacing w:after="0" w:line="360" w:lineRule="auto"/>
        <w:sectPr>
          <w:type w:val="continuous"/>
          <w:pgSz w:w="11910" w:h="16840"/>
          <w:pgMar w:top="1380" w:bottom="280" w:left="1600" w:right="1580"/>
        </w:sectPr>
      </w:pPr>
    </w:p>
    <w:p>
      <w:pPr>
        <w:pStyle w:val="BodyText"/>
        <w:spacing w:before="7"/>
        <w:rPr>
          <w:sz w:val="29"/>
        </w:rPr>
      </w:pPr>
    </w:p>
    <w:p>
      <w:pPr>
        <w:pStyle w:val="BodyText"/>
        <w:ind w:left="1279"/>
        <w:rPr>
          <w:rFonts w:ascii="Cambria Math" w:eastAsia="Cambria Math"/>
        </w:rPr>
      </w:pPr>
      <w:r>
        <w:rPr>
          <w:rFonts w:ascii="Cambria Math" w:eastAsia="Cambria Math"/>
          <w:spacing w:val="-38"/>
        </w:rPr>
        <w:t>𝑃𝑒𝑟𝑖𝑜𝑑𝑜 </w:t>
      </w:r>
      <w:r>
        <w:rPr>
          <w:rFonts w:ascii="Cambria Math" w:eastAsia="Cambria Math"/>
          <w:spacing w:val="-81"/>
        </w:rPr>
        <w:t>𝑝𝑟𝑜𝑚𝑒𝑑𝑖𝑜 </w:t>
      </w:r>
      <w:r>
        <w:rPr>
          <w:rFonts w:ascii="Cambria Math" w:eastAsia="Cambria Math"/>
          <w:spacing w:val="-80"/>
        </w:rPr>
        <w:t>𝑑𝑒</w:t>
      </w:r>
      <w:r>
        <w:rPr>
          <w:rFonts w:ascii="Cambria Math" w:eastAsia="Cambria Math"/>
          <w:spacing w:val="-51"/>
        </w:rPr>
        <w:t> </w:t>
      </w:r>
      <w:r>
        <w:rPr>
          <w:rFonts w:ascii="Cambria Math" w:eastAsia="Cambria Math"/>
          <w:spacing w:val="-85"/>
        </w:rPr>
        <w:t>𝑝𝑎𝑔𝑜</w:t>
      </w:r>
      <w:r>
        <w:rPr>
          <w:rFonts w:ascii="Cambria Math" w:eastAsia="Cambria Math"/>
          <w:spacing w:val="-23"/>
        </w:rPr>
        <w:t> </w:t>
      </w:r>
      <w:r>
        <w:rPr>
          <w:rFonts w:ascii="Cambria Math" w:eastAsia="Cambria Math"/>
          <w:spacing w:val="-84"/>
        </w:rPr>
        <w:t>=</w:t>
      </w:r>
    </w:p>
    <w:p>
      <w:pPr>
        <w:pStyle w:val="BodyText"/>
        <w:spacing w:before="158"/>
        <w:ind w:left="185" w:right="1388"/>
        <w:jc w:val="center"/>
        <w:rPr>
          <w:rFonts w:ascii="Cambria Math" w:eastAsia="Cambria Math"/>
        </w:rPr>
      </w:pPr>
      <w:r>
        <w:rPr/>
        <w:br w:type="column"/>
      </w:r>
      <w:r>
        <w:rPr>
          <w:rFonts w:ascii="Cambria Math" w:eastAsia="Cambria Math"/>
          <w:spacing w:val="-93"/>
        </w:rPr>
        <w:t>𝑐𝑢𝑒𝑛𝑡𝑎𝑠</w:t>
      </w:r>
      <w:r>
        <w:rPr>
          <w:rFonts w:ascii="Cambria Math" w:eastAsia="Cambria Math"/>
          <w:spacing w:val="-34"/>
        </w:rPr>
        <w:t> </w:t>
      </w:r>
      <w:r>
        <w:rPr>
          <w:rFonts w:ascii="Cambria Math" w:eastAsia="Cambria Math"/>
          <w:spacing w:val="-93"/>
        </w:rPr>
        <w:t>𝑝𝑜𝑟 </w:t>
      </w:r>
      <w:r>
        <w:rPr>
          <w:rFonts w:ascii="Cambria Math" w:eastAsia="Cambria Math"/>
          <w:spacing w:val="-2"/>
        </w:rPr>
        <w:t>𝑝𝑎𝑔𝑎𝑟</w:t>
      </w:r>
    </w:p>
    <w:p>
      <w:pPr>
        <w:pStyle w:val="BodyText"/>
        <w:spacing w:before="5"/>
        <w:rPr>
          <w:rFonts w:ascii="Cambria Math"/>
          <w:sz w:val="4"/>
        </w:rPr>
      </w:pPr>
    </w:p>
    <w:p>
      <w:pPr>
        <w:pStyle w:val="BodyText"/>
        <w:spacing w:line="20" w:lineRule="exact"/>
        <w:ind w:left="71"/>
        <w:rPr>
          <w:rFonts w:ascii="Cambria Math"/>
          <w:sz w:val="2"/>
        </w:rPr>
      </w:pPr>
      <w:r>
        <w:rPr>
          <w:rFonts w:ascii="Cambria Math"/>
          <w:sz w:val="2"/>
        </w:rPr>
        <w:pict>
          <v:group style="width:147.15pt;height:.75pt;mso-position-horizontal-relative:char;mso-position-vertical-relative:line" coordorigin="0,0" coordsize="2943,15">
            <v:line style="position:absolute" from="8,8" to="2935,8" stroked="true" strokeweight=".72pt" strokecolor="#000000"/>
          </v:group>
        </w:pict>
      </w:r>
      <w:r>
        <w:rPr>
          <w:rFonts w:ascii="Cambria Math"/>
          <w:sz w:val="2"/>
        </w:rPr>
      </w:r>
    </w:p>
    <w:p>
      <w:pPr>
        <w:pStyle w:val="BodyText"/>
        <w:ind w:left="185" w:right="1335"/>
        <w:jc w:val="center"/>
        <w:rPr>
          <w:rFonts w:ascii="Cambria Math" w:eastAsia="Cambria Math"/>
        </w:rPr>
      </w:pPr>
      <w:r>
        <w:rPr>
          <w:rFonts w:ascii="Cambria Math" w:eastAsia="Cambria Math"/>
          <w:spacing w:val="-74"/>
        </w:rPr>
        <w:t>𝑐𝑜𝑚𝑝𝑟𝑎𝑠 𝑑𝑖𝑎𝑟𝑖𝑎𝑠</w:t>
      </w:r>
      <w:r>
        <w:rPr>
          <w:rFonts w:ascii="Cambria Math" w:eastAsia="Cambria Math"/>
          <w:spacing w:val="-51"/>
        </w:rPr>
        <w:t> </w:t>
      </w:r>
      <w:r>
        <w:rPr>
          <w:rFonts w:ascii="Cambria Math" w:eastAsia="Cambria Math"/>
          <w:spacing w:val="-72"/>
        </w:rPr>
        <w:t>𝑝𝑟𝑜𝑚𝑒𝑑𝑖𝑜</w:t>
      </w:r>
    </w:p>
    <w:p>
      <w:pPr>
        <w:spacing w:after="0"/>
        <w:jc w:val="center"/>
        <w:rPr>
          <w:rFonts w:ascii="Cambria Math" w:eastAsia="Cambria Math"/>
        </w:rPr>
        <w:sectPr>
          <w:type w:val="continuous"/>
          <w:pgSz w:w="11910" w:h="16840"/>
          <w:pgMar w:top="1380" w:bottom="280" w:left="1600" w:right="1580"/>
          <w:cols w:num="2" w:equalWidth="0">
            <w:col w:w="4398" w:space="40"/>
            <w:col w:w="4292"/>
          </w:cols>
        </w:sectPr>
      </w:pPr>
    </w:p>
    <w:p>
      <w:pPr>
        <w:pStyle w:val="BodyText"/>
        <w:spacing w:before="6"/>
        <w:rPr>
          <w:rFonts w:ascii="Cambria Math"/>
          <w:sz w:val="28"/>
        </w:rPr>
      </w:pPr>
    </w:p>
    <w:p>
      <w:pPr>
        <w:pStyle w:val="BodyText"/>
        <w:spacing w:line="231" w:lineRule="exact" w:before="67"/>
        <w:ind w:left="536" w:right="243"/>
        <w:jc w:val="center"/>
        <w:rPr>
          <w:rFonts w:ascii="Cambria Math" w:eastAsia="Cambria Math"/>
        </w:rPr>
      </w:pPr>
      <w:r>
        <w:rPr>
          <w:rFonts w:ascii="Cambria Math" w:eastAsia="Cambria Math"/>
          <w:spacing w:val="-104"/>
        </w:rPr>
        <w:t>𝑐𝑢𝑒𝑛𝑡𝑎𝑠</w:t>
      </w:r>
      <w:r>
        <w:rPr>
          <w:rFonts w:ascii="Cambria Math" w:eastAsia="Cambria Math"/>
          <w:spacing w:val="-33"/>
        </w:rPr>
        <w:t> </w:t>
      </w:r>
      <w:r>
        <w:rPr>
          <w:rFonts w:ascii="Cambria Math" w:eastAsia="Cambria Math"/>
          <w:spacing w:val="-104"/>
        </w:rPr>
        <w:t>𝑝𝑜𝑟</w:t>
      </w:r>
      <w:r>
        <w:rPr>
          <w:rFonts w:ascii="Cambria Math" w:eastAsia="Cambria Math"/>
          <w:spacing w:val="-32"/>
        </w:rPr>
        <w:t> </w:t>
      </w:r>
      <w:r>
        <w:rPr>
          <w:rFonts w:ascii="Cambria Math" w:eastAsia="Cambria Math"/>
          <w:spacing w:val="-104"/>
        </w:rPr>
        <w:t>𝑝𝑎𝑔𝑎𝑟</w:t>
      </w:r>
    </w:p>
    <w:p>
      <w:pPr>
        <w:pStyle w:val="BodyText"/>
        <w:tabs>
          <w:tab w:pos="402" w:val="left" w:leader="none"/>
        </w:tabs>
        <w:spacing w:line="363" w:lineRule="exact"/>
        <w:ind w:right="106"/>
        <w:jc w:val="center"/>
        <w:rPr>
          <w:rFonts w:ascii="Cambria Math" w:eastAsia="Cambria Math"/>
        </w:rPr>
      </w:pPr>
      <w:r>
        <w:rPr/>
        <w:pict>
          <v:line style="position:absolute;mso-position-horizontal-relative:page;mso-position-vertical-relative:paragraph;z-index:-243736" from="254.263901pt,5.46818pt" to="356.743901pt,5.46818pt" stroked="true" strokeweight=".72pt" strokecolor="#000000">
            <w10:wrap type="none"/>
          </v:line>
        </w:pict>
      </w:r>
      <w:r>
        <w:rPr>
          <w:rFonts w:ascii="Cambria Math" w:eastAsia="Cambria Math"/>
          <w:position w:val="14"/>
        </w:rPr>
        <w:t>=</w:t>
        <w:tab/>
      </w:r>
      <w:r>
        <w:rPr>
          <w:rFonts w:ascii="Cambria Math" w:eastAsia="Cambria Math"/>
          <w:spacing w:val="-110"/>
          <w:u w:val="single"/>
        </w:rPr>
        <w:t>𝑐𝑜𝑚𝑝𝑟𝑎𝑠</w:t>
      </w:r>
      <w:r>
        <w:rPr>
          <w:rFonts w:ascii="Cambria Math" w:eastAsia="Cambria Math"/>
          <w:spacing w:val="-29"/>
          <w:u w:val="single"/>
        </w:rPr>
        <w:t> </w:t>
      </w:r>
      <w:r>
        <w:rPr>
          <w:rFonts w:ascii="Cambria Math" w:eastAsia="Cambria Math"/>
          <w:spacing w:val="-109"/>
          <w:u w:val="single"/>
        </w:rPr>
        <w:t>𝑎𝑛𝑢𝑎𝑙𝑒𝑠</w:t>
      </w:r>
    </w:p>
    <w:p>
      <w:pPr>
        <w:pStyle w:val="BodyText"/>
        <w:spacing w:line="273" w:lineRule="exact"/>
        <w:ind w:left="542" w:right="243"/>
        <w:jc w:val="center"/>
        <w:rPr>
          <w:rFonts w:ascii="Cambria Math"/>
        </w:rPr>
      </w:pPr>
      <w:r>
        <w:rPr>
          <w:rFonts w:ascii="Cambria Math"/>
        </w:rPr>
        <w:t>365</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spacing w:before="199"/>
        <w:ind w:left="110" w:firstLine="0"/>
        <w:jc w:val="left"/>
        <w:rPr>
          <w:i/>
        </w:rPr>
      </w:pPr>
      <w:bookmarkStart w:name="_TOC_250057" w:id="10"/>
      <w:bookmarkEnd w:id="10"/>
      <w:r>
        <w:rPr>
          <w:i/>
        </w:rPr>
        <w:t>1.9.2.4  Rotación de los activos totales.</w:t>
      </w:r>
    </w:p>
    <w:p>
      <w:pPr>
        <w:pStyle w:val="BodyText"/>
        <w:spacing w:line="355" w:lineRule="auto" w:before="137"/>
        <w:ind w:left="110"/>
      </w:pPr>
      <w:r>
        <w:rPr/>
        <w:t>Muestra la eficiencia con la que la empresa utiliza sus activos para generar ventas. La rotación de los activos totales se calcula de la manera siguiente:</w:t>
      </w:r>
    </w:p>
    <w:p>
      <w:pPr>
        <w:spacing w:after="0" w:line="355" w:lineRule="auto"/>
        <w:sectPr>
          <w:pgSz w:w="11910" w:h="16840"/>
          <w:pgMar w:header="0" w:footer="724" w:top="960" w:bottom="920" w:left="1600" w:right="1580"/>
        </w:sectPr>
      </w:pPr>
    </w:p>
    <w:p>
      <w:pPr>
        <w:pStyle w:val="BodyText"/>
        <w:spacing w:before="1"/>
        <w:rPr>
          <w:sz w:val="30"/>
        </w:rPr>
      </w:pPr>
    </w:p>
    <w:p>
      <w:pPr>
        <w:pStyle w:val="BodyText"/>
        <w:ind w:left="1865"/>
        <w:rPr>
          <w:rFonts w:ascii="Cambria Math" w:hAnsi="Cambria Math" w:eastAsia="Cambria Math"/>
        </w:rPr>
      </w:pPr>
      <w:r>
        <w:rPr>
          <w:rFonts w:ascii="Cambria Math" w:hAnsi="Cambria Math" w:eastAsia="Cambria Math"/>
          <w:spacing w:val="-64"/>
        </w:rPr>
        <w:t>𝑅𝑜𝑡𝑎𝑐𝑖ó𝑛 </w:t>
      </w:r>
      <w:r>
        <w:rPr>
          <w:rFonts w:ascii="Cambria Math" w:hAnsi="Cambria Math" w:eastAsia="Cambria Math"/>
          <w:spacing w:val="-63"/>
        </w:rPr>
        <w:t>𝑑𝑒 </w:t>
      </w:r>
      <w:r>
        <w:rPr>
          <w:rFonts w:ascii="Cambria Math" w:hAnsi="Cambria Math" w:eastAsia="Cambria Math"/>
          <w:spacing w:val="-34"/>
        </w:rPr>
        <w:t>𝑎𝑐𝑡𝑖𝑣𝑜𝑠 </w:t>
      </w:r>
      <w:r>
        <w:rPr>
          <w:rFonts w:ascii="Cambria Math" w:hAnsi="Cambria Math" w:eastAsia="Cambria Math"/>
          <w:spacing w:val="-100"/>
        </w:rPr>
        <w:t>𝑡𝑜𝑡𝑎𝑙𝑒𝑠</w:t>
      </w:r>
      <w:r>
        <w:rPr>
          <w:rFonts w:ascii="Cambria Math" w:hAnsi="Cambria Math" w:eastAsia="Cambria Math"/>
          <w:spacing w:val="-24"/>
        </w:rPr>
        <w:t> </w:t>
      </w:r>
      <w:r>
        <w:rPr>
          <w:rFonts w:ascii="Cambria Math" w:hAnsi="Cambria Math" w:eastAsia="Cambria Math"/>
          <w:spacing w:val="-99"/>
        </w:rPr>
        <w:t>=</w:t>
      </w:r>
    </w:p>
    <w:p>
      <w:pPr>
        <w:pStyle w:val="BodyText"/>
        <w:spacing w:before="163"/>
        <w:ind w:left="384" w:right="2172"/>
        <w:jc w:val="center"/>
        <w:rPr>
          <w:rFonts w:ascii="Cambria Math" w:eastAsia="Cambria Math"/>
        </w:rPr>
      </w:pPr>
      <w:r>
        <w:rPr/>
        <w:br w:type="column"/>
      </w:r>
      <w:r>
        <w:rPr>
          <w:rFonts w:ascii="Cambria Math" w:eastAsia="Cambria Math"/>
          <w:spacing w:val="-91"/>
        </w:rPr>
        <w:t>𝑣𝑒𝑛𝑡𝑎𝑠</w:t>
      </w:r>
    </w:p>
    <w:p>
      <w:pPr>
        <w:pStyle w:val="BodyText"/>
        <w:spacing w:before="5"/>
        <w:rPr>
          <w:rFonts w:ascii="Cambria Math"/>
          <w:sz w:val="4"/>
        </w:rPr>
      </w:pPr>
    </w:p>
    <w:p>
      <w:pPr>
        <w:pStyle w:val="BodyText"/>
        <w:spacing w:line="20" w:lineRule="exact"/>
        <w:ind w:left="74"/>
        <w:rPr>
          <w:rFonts w:ascii="Cambria Math"/>
          <w:sz w:val="2"/>
        </w:rPr>
      </w:pPr>
      <w:r>
        <w:rPr>
          <w:rFonts w:ascii="Cambria Math"/>
          <w:sz w:val="2"/>
        </w:rPr>
        <w:pict>
          <v:group style="width:85.5pt;height:.75pt;mso-position-horizontal-relative:char;mso-position-vertical-relative:line" coordorigin="0,0" coordsize="1710,15">
            <v:line style="position:absolute" from="8,8" to="1702,8" stroked="true" strokeweight=".72pt" strokecolor="#000000"/>
          </v:group>
        </w:pict>
      </w:r>
      <w:r>
        <w:rPr>
          <w:rFonts w:ascii="Cambria Math"/>
          <w:sz w:val="2"/>
        </w:rPr>
      </w:r>
    </w:p>
    <w:p>
      <w:pPr>
        <w:pStyle w:val="BodyText"/>
        <w:ind w:left="384" w:right="2172"/>
        <w:jc w:val="center"/>
        <w:rPr>
          <w:rFonts w:ascii="Cambria Math" w:eastAsia="Cambria Math"/>
        </w:rPr>
      </w:pPr>
      <w:r>
        <w:rPr>
          <w:rFonts w:ascii="Cambria Math" w:eastAsia="Cambria Math"/>
          <w:spacing w:val="-94"/>
        </w:rPr>
        <w:t>𝑡𝑜𝑡𝑎𝑙</w:t>
      </w:r>
      <w:r>
        <w:rPr>
          <w:rFonts w:ascii="Cambria Math" w:eastAsia="Cambria Math"/>
          <w:spacing w:val="-32"/>
        </w:rPr>
        <w:t> </w:t>
      </w:r>
      <w:r>
        <w:rPr>
          <w:rFonts w:ascii="Cambria Math" w:eastAsia="Cambria Math"/>
          <w:spacing w:val="-93"/>
        </w:rPr>
        <w:t>𝑑𝑒</w:t>
      </w:r>
      <w:r>
        <w:rPr>
          <w:rFonts w:ascii="Cambria Math" w:eastAsia="Cambria Math"/>
          <w:spacing w:val="-51"/>
        </w:rPr>
        <w:t> </w:t>
      </w:r>
      <w:r>
        <w:rPr>
          <w:rFonts w:ascii="Cambria Math" w:eastAsia="Cambria Math"/>
          <w:spacing w:val="-105"/>
        </w:rPr>
        <w:t>𝑎𝑐𝑡𝑖𝑣𝑜𝑠</w:t>
      </w:r>
    </w:p>
    <w:p>
      <w:pPr>
        <w:spacing w:after="0"/>
        <w:jc w:val="center"/>
        <w:rPr>
          <w:rFonts w:ascii="Cambria Math" w:eastAsia="Cambria Math"/>
        </w:rPr>
        <w:sectPr>
          <w:type w:val="continuous"/>
          <w:pgSz w:w="11910" w:h="16840"/>
          <w:pgMar w:top="1380" w:bottom="280" w:left="1600" w:right="1580"/>
          <w:cols w:num="2" w:equalWidth="0">
            <w:col w:w="5049" w:space="40"/>
            <w:col w:w="3641"/>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2"/>
        <w:numPr>
          <w:ilvl w:val="2"/>
          <w:numId w:val="12"/>
        </w:numPr>
        <w:tabs>
          <w:tab w:pos="831" w:val="left" w:leader="none"/>
        </w:tabs>
        <w:spacing w:line="240" w:lineRule="auto" w:before="203" w:after="0"/>
        <w:ind w:left="830" w:right="0" w:hanging="720"/>
        <w:jc w:val="both"/>
      </w:pPr>
      <w:bookmarkStart w:name="_TOC_250056" w:id="11"/>
      <w:bookmarkEnd w:id="11"/>
      <w:r>
        <w:rPr/>
        <w:t>Razones de endeudamiento.</w:t>
      </w:r>
    </w:p>
    <w:p>
      <w:pPr>
        <w:pStyle w:val="BodyText"/>
        <w:spacing w:line="360" w:lineRule="auto" w:before="137"/>
        <w:ind w:left="110" w:right="108"/>
        <w:jc w:val="both"/>
      </w:pPr>
      <w:r>
        <w:rPr/>
        <w:t>La posición de deuda de una empresa es un indicador clave para los analistas financieros, pues muestra el monto del dinero de otras personas que se usa para generar utilidades. Es importante analizar la posición de la empresa, ya que cuanto mayor es la deuda, mayor es el riesgo de que no cumpla con los pagos contractuales de sus pasivos, y que llegue a la quiebra. Debido a que los compromisos con los acreedores se deben cumplir antes de distribuir las ganancias a los accionistas, los accionistas presentes y futuros deben prestar mucha atención a la capacidad de la empresa de saldar sus deudas.</w:t>
      </w:r>
    </w:p>
    <w:p>
      <w:pPr>
        <w:pStyle w:val="BodyText"/>
        <w:spacing w:line="360" w:lineRule="auto" w:before="209"/>
        <w:ind w:left="110" w:right="108"/>
        <w:jc w:val="both"/>
      </w:pPr>
      <w:r>
        <w:rPr/>
        <w:t>Los prestamistas también se interesan en el endeudamiento de la empresa y la administración debe preocuparse por éste. En general, cuanto más deuda utiliza una empresa con relación a sus activos totales, mayor es su apalancamiento financiero. El apalancamiento financiero es el aumento del riesgo y retorno introducido a través del uso del financiamiento de costo fijo, como la deuda y acciones preferentes. Cuanto mayor es la deuda de costo fijo que utiliza la empresa, mayor será su riesgo y retorno inesperados. (Gitman, 2007)</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Heading3"/>
        <w:numPr>
          <w:ilvl w:val="3"/>
          <w:numId w:val="12"/>
        </w:numPr>
        <w:tabs>
          <w:tab w:pos="975" w:val="left" w:leader="none"/>
        </w:tabs>
        <w:spacing w:line="240" w:lineRule="auto" w:before="0" w:after="0"/>
        <w:ind w:left="974" w:right="0" w:hanging="864"/>
        <w:jc w:val="both"/>
        <w:rPr>
          <w:i/>
        </w:rPr>
      </w:pPr>
      <w:bookmarkStart w:name="_TOC_250055" w:id="12"/>
      <w:bookmarkEnd w:id="12"/>
      <w:r>
        <w:rPr>
          <w:i/>
        </w:rPr>
        <w:t>Índice de endeudamiento.</w:t>
      </w:r>
    </w:p>
    <w:p>
      <w:pPr>
        <w:pStyle w:val="BodyText"/>
        <w:spacing w:line="360" w:lineRule="auto" w:before="137"/>
        <w:ind w:left="110" w:right="108"/>
        <w:jc w:val="both"/>
      </w:pPr>
      <w:r>
        <w:rPr/>
        <w:t>Mide la proporción de los activos totales que financian los acreedores de una empresa. Cuanto mayor es el índice, mayor es el monto de otras personas que se usa para generar utilidades. El índice se calcula de la manera siguiente:</w:t>
      </w:r>
    </w:p>
    <w:p>
      <w:pPr>
        <w:pStyle w:val="BodyText"/>
        <w:rPr>
          <w:sz w:val="10"/>
        </w:rPr>
      </w:pPr>
    </w:p>
    <w:p>
      <w:pPr>
        <w:spacing w:after="0"/>
        <w:rPr>
          <w:sz w:val="10"/>
        </w:rPr>
        <w:sectPr>
          <w:pgSz w:w="11910" w:h="16840"/>
          <w:pgMar w:header="0" w:footer="724" w:top="960" w:bottom="920" w:left="1600" w:right="1580"/>
        </w:sectPr>
      </w:pPr>
    </w:p>
    <w:p>
      <w:pPr>
        <w:pStyle w:val="BodyText"/>
        <w:spacing w:before="8"/>
        <w:rPr>
          <w:sz w:val="21"/>
        </w:rPr>
      </w:pPr>
    </w:p>
    <w:p>
      <w:pPr>
        <w:pStyle w:val="BodyText"/>
        <w:ind w:left="1946" w:right="-156"/>
        <w:rPr>
          <w:rFonts w:ascii="Cambria Math" w:eastAsia="Cambria Math"/>
        </w:rPr>
      </w:pPr>
      <w:r>
        <w:rPr>
          <w:rFonts w:ascii="Cambria Math" w:eastAsia="Cambria Math"/>
        </w:rPr>
        <w:t>𝐼𝑛𝑑𝑖𝑐𝑒</w:t>
      </w:r>
      <w:r>
        <w:rPr>
          <w:rFonts w:ascii="Cambria Math" w:eastAsia="Cambria Math"/>
          <w:spacing w:val="5"/>
        </w:rPr>
        <w:t> </w:t>
      </w:r>
      <w:r>
        <w:rPr>
          <w:rFonts w:ascii="Cambria Math" w:eastAsia="Cambria Math"/>
        </w:rPr>
        <w:t>𝑑𝑒</w:t>
      </w:r>
      <w:r>
        <w:rPr>
          <w:rFonts w:ascii="Cambria Math" w:eastAsia="Cambria Math"/>
          <w:spacing w:val="5"/>
        </w:rPr>
        <w:t> </w:t>
      </w:r>
      <w:r>
        <w:rPr>
          <w:rFonts w:ascii="Cambria Math" w:eastAsia="Cambria Math"/>
        </w:rPr>
        <w:t>𝑒𝑛</w:t>
      </w:r>
      <w:r>
        <w:rPr>
          <w:rFonts w:ascii="Cambria Math" w:eastAsia="Cambria Math"/>
          <w:spacing w:val="-1"/>
        </w:rPr>
        <w:t>𝑑</w:t>
      </w:r>
      <w:r>
        <w:rPr>
          <w:rFonts w:ascii="Cambria Math" w:eastAsia="Cambria Math"/>
        </w:rPr>
        <w:t>𝑒𝑢</w:t>
      </w:r>
      <w:r>
        <w:rPr>
          <w:rFonts w:ascii="Cambria Math" w:eastAsia="Cambria Math"/>
          <w:spacing w:val="-1"/>
        </w:rPr>
        <w:t>𝑑</w:t>
      </w:r>
      <w:r>
        <w:rPr>
          <w:rFonts w:ascii="Cambria Math" w:eastAsia="Cambria Math"/>
        </w:rPr>
        <w:t>𝑎𝑚𝑖𝑒𝑛𝑡𝑜</w:t>
      </w:r>
      <w:r>
        <w:rPr>
          <w:rFonts w:ascii="Cambria Math" w:eastAsia="Cambria Math"/>
          <w:spacing w:val="19"/>
        </w:rPr>
        <w:t> </w:t>
      </w:r>
      <w:r>
        <w:rPr>
          <w:rFonts w:ascii="Cambria Math" w:eastAsia="Cambria Math"/>
        </w:rPr>
        <w:t>=</w:t>
      </w:r>
    </w:p>
    <w:p>
      <w:pPr>
        <w:pStyle w:val="BodyText"/>
        <w:spacing w:before="67"/>
        <w:ind w:left="79"/>
        <w:rPr>
          <w:rFonts w:ascii="Cambria Math" w:eastAsia="Cambria Math"/>
        </w:rPr>
      </w:pPr>
      <w:r>
        <w:rPr/>
        <w:br w:type="column"/>
      </w:r>
      <w:r>
        <w:rPr>
          <w:rFonts w:ascii="Cambria Math" w:eastAsia="Cambria Math"/>
          <w:spacing w:val="-103"/>
        </w:rPr>
        <w:t>𝑡𝑜𝑡𝑎𝑙</w:t>
      </w:r>
      <w:r>
        <w:rPr>
          <w:rFonts w:ascii="Cambria Math" w:eastAsia="Cambria Math"/>
          <w:spacing w:val="-29"/>
        </w:rPr>
        <w:t> </w:t>
      </w:r>
      <w:r>
        <w:rPr>
          <w:rFonts w:ascii="Cambria Math" w:eastAsia="Cambria Math"/>
          <w:spacing w:val="-103"/>
        </w:rPr>
        <w:t>𝑑𝑒</w:t>
      </w:r>
      <w:r>
        <w:rPr>
          <w:rFonts w:ascii="Cambria Math" w:eastAsia="Cambria Math"/>
          <w:spacing w:val="-30"/>
        </w:rPr>
        <w:t> </w:t>
      </w:r>
      <w:r>
        <w:rPr>
          <w:rFonts w:ascii="Cambria Math" w:eastAsia="Cambria Math"/>
          <w:spacing w:val="-103"/>
        </w:rPr>
        <w:t>𝑝𝑎𝑠𝑖𝑣𝑜𝑠</w:t>
      </w:r>
    </w:p>
    <w:p>
      <w:pPr>
        <w:pStyle w:val="BodyText"/>
        <w:spacing w:before="5"/>
        <w:rPr>
          <w:rFonts w:ascii="Cambria Math"/>
          <w:sz w:val="4"/>
        </w:rPr>
      </w:pPr>
    </w:p>
    <w:p>
      <w:pPr>
        <w:pStyle w:val="BodyText"/>
        <w:spacing w:line="20" w:lineRule="exact"/>
        <w:ind w:left="70"/>
        <w:rPr>
          <w:rFonts w:ascii="Cambria Math"/>
          <w:sz w:val="2"/>
        </w:rPr>
      </w:pPr>
      <w:r>
        <w:rPr>
          <w:rFonts w:ascii="Cambria Math"/>
          <w:sz w:val="2"/>
        </w:rPr>
        <w:pict>
          <v:group style="width:87.4pt;height:.75pt;mso-position-horizontal-relative:char;mso-position-vertical-relative:line" coordorigin="0,0" coordsize="1748,15">
            <v:line style="position:absolute" from="8,8" to="1740,8" stroked="true" strokeweight=".72pt" strokecolor="#000000"/>
          </v:group>
        </w:pict>
      </w:r>
      <w:r>
        <w:rPr>
          <w:rFonts w:ascii="Cambria Math"/>
          <w:sz w:val="2"/>
        </w:rPr>
      </w:r>
    </w:p>
    <w:p>
      <w:pPr>
        <w:pStyle w:val="BodyText"/>
        <w:ind w:left="99"/>
        <w:rPr>
          <w:rFonts w:ascii="Cambria Math" w:eastAsia="Cambria Math"/>
        </w:rPr>
      </w:pP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p>
    <w:p>
      <w:pPr>
        <w:spacing w:after="0"/>
        <w:rPr>
          <w:rFonts w:ascii="Cambria Math" w:eastAsia="Cambria Math"/>
        </w:rPr>
        <w:sectPr>
          <w:type w:val="continuous"/>
          <w:pgSz w:w="11910" w:h="16840"/>
          <w:pgMar w:top="1380" w:bottom="280" w:left="1600" w:right="1580"/>
          <w:cols w:num="2" w:equalWidth="0">
            <w:col w:w="4928" w:space="40"/>
            <w:col w:w="3762"/>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2"/>
        </w:numPr>
        <w:tabs>
          <w:tab w:pos="975" w:val="left" w:leader="none"/>
        </w:tabs>
        <w:spacing w:line="240" w:lineRule="auto" w:before="203" w:after="0"/>
        <w:ind w:left="974" w:right="0" w:hanging="864"/>
        <w:jc w:val="both"/>
        <w:rPr>
          <w:i/>
        </w:rPr>
      </w:pPr>
      <w:bookmarkStart w:name="_TOC_250054" w:id="13"/>
      <w:bookmarkEnd w:id="13"/>
      <w:r>
        <w:rPr>
          <w:i/>
        </w:rPr>
        <w:t>Razón de cargos de interés fijo.</w:t>
      </w:r>
    </w:p>
    <w:p>
      <w:pPr>
        <w:pStyle w:val="BodyText"/>
        <w:spacing w:line="360" w:lineRule="auto" w:before="137"/>
        <w:ind w:left="110" w:right="108"/>
        <w:jc w:val="both"/>
      </w:pPr>
      <w:r>
        <w:rPr/>
        <w:t>Evalúa la capacidad de la empresa para realizar pagos de intereses contractuales; cuanto más alto es su valor, mayor es la capacidad de la empresa para cumplir con sus obligaciones de intereses. La razón de cargos  de interés fijo se calcula de la manera</w:t>
      </w:r>
      <w:r>
        <w:rPr>
          <w:spacing w:val="-1"/>
        </w:rPr>
        <w:t> </w:t>
      </w:r>
      <w:r>
        <w:rPr/>
        <w:t>siguiente:</w:t>
      </w:r>
    </w:p>
    <w:p>
      <w:pPr>
        <w:pStyle w:val="BodyText"/>
        <w:rPr>
          <w:sz w:val="10"/>
        </w:rPr>
      </w:pPr>
    </w:p>
    <w:p>
      <w:pPr>
        <w:spacing w:after="0"/>
        <w:rPr>
          <w:sz w:val="10"/>
        </w:rPr>
        <w:sectPr>
          <w:type w:val="continuous"/>
          <w:pgSz w:w="11910" w:h="16840"/>
          <w:pgMar w:top="1380" w:bottom="280" w:left="1600" w:right="1580"/>
        </w:sectPr>
      </w:pPr>
    </w:p>
    <w:p>
      <w:pPr>
        <w:pStyle w:val="BodyText"/>
        <w:spacing w:before="8"/>
        <w:rPr>
          <w:sz w:val="21"/>
        </w:rPr>
      </w:pPr>
    </w:p>
    <w:p>
      <w:pPr>
        <w:pStyle w:val="BodyText"/>
        <w:ind w:left="222"/>
        <w:rPr>
          <w:rFonts w:ascii="Cambria Math" w:hAnsi="Cambria Math" w:eastAsia="Cambria Math"/>
        </w:rPr>
      </w:pPr>
      <w:r>
        <w:rPr>
          <w:rFonts w:ascii="Cambria Math" w:hAnsi="Cambria Math" w:eastAsia="Cambria Math"/>
          <w:spacing w:val="-92"/>
        </w:rPr>
        <w:t>𝑅𝑎𝑧ó𝑛</w:t>
      </w:r>
      <w:r>
        <w:rPr>
          <w:rFonts w:ascii="Cambria Math" w:hAnsi="Cambria Math" w:eastAsia="Cambria Math"/>
          <w:spacing w:val="-34"/>
        </w:rPr>
        <w:t> </w:t>
      </w:r>
      <w:r>
        <w:rPr>
          <w:rFonts w:ascii="Cambria Math" w:hAnsi="Cambria Math" w:eastAsia="Cambria Math"/>
          <w:spacing w:val="-92"/>
        </w:rPr>
        <w:t>𝑑𝑒</w:t>
      </w:r>
      <w:r>
        <w:rPr>
          <w:rFonts w:ascii="Cambria Math" w:hAnsi="Cambria Math" w:eastAsia="Cambria Math"/>
          <w:spacing w:val="-34"/>
        </w:rPr>
        <w:t> </w:t>
      </w:r>
      <w:r>
        <w:rPr>
          <w:rFonts w:ascii="Cambria Math" w:hAnsi="Cambria Math" w:eastAsia="Cambria Math"/>
          <w:spacing w:val="-91"/>
        </w:rPr>
        <w:t>𝑐𝑎𝑟𝑔𝑜𝑠</w:t>
      </w:r>
      <w:r>
        <w:rPr>
          <w:rFonts w:ascii="Cambria Math" w:hAnsi="Cambria Math" w:eastAsia="Cambria Math"/>
          <w:spacing w:val="-34"/>
        </w:rPr>
        <w:t> </w:t>
      </w:r>
      <w:r>
        <w:rPr>
          <w:rFonts w:ascii="Cambria Math" w:hAnsi="Cambria Math" w:eastAsia="Cambria Math"/>
          <w:spacing w:val="-91"/>
        </w:rPr>
        <w:t>𝑑𝑒</w:t>
      </w:r>
      <w:r>
        <w:rPr>
          <w:rFonts w:ascii="Cambria Math" w:hAnsi="Cambria Math" w:eastAsia="Cambria Math"/>
          <w:spacing w:val="5"/>
        </w:rPr>
        <w:t> </w:t>
      </w:r>
      <w:r>
        <w:rPr>
          <w:rFonts w:ascii="Cambria Math" w:hAnsi="Cambria Math" w:eastAsia="Cambria Math"/>
          <w:spacing w:val="-92"/>
        </w:rPr>
        <w:t>𝑖𝑛𝑡𝑒𝑟é𝑠</w:t>
      </w:r>
      <w:r>
        <w:rPr>
          <w:rFonts w:ascii="Cambria Math" w:hAnsi="Cambria Math" w:eastAsia="Cambria Math"/>
          <w:spacing w:val="-32"/>
        </w:rPr>
        <w:t> </w:t>
      </w:r>
      <w:r>
        <w:rPr>
          <w:rFonts w:ascii="Cambria Math" w:hAnsi="Cambria Math" w:eastAsia="Cambria Math"/>
          <w:spacing w:val="-92"/>
        </w:rPr>
        <w:t>𝑓𝑖𝑗𝑜</w:t>
      </w:r>
      <w:r>
        <w:rPr>
          <w:rFonts w:ascii="Cambria Math" w:hAnsi="Cambria Math" w:eastAsia="Cambria Math"/>
          <w:spacing w:val="-27"/>
        </w:rPr>
        <w:t> </w:t>
      </w:r>
      <w:r>
        <w:rPr>
          <w:rFonts w:ascii="Cambria Math" w:hAnsi="Cambria Math" w:eastAsia="Cambria Math"/>
          <w:spacing w:val="-91"/>
        </w:rPr>
        <w:t>=</w:t>
      </w:r>
    </w:p>
    <w:p>
      <w:pPr>
        <w:pStyle w:val="BodyText"/>
        <w:spacing w:before="67"/>
        <w:ind w:left="267" w:right="411"/>
        <w:jc w:val="center"/>
        <w:rPr>
          <w:rFonts w:ascii="Cambria Math" w:eastAsia="Cambria Math"/>
        </w:rPr>
      </w:pPr>
      <w:r>
        <w:rPr/>
        <w:br w:type="column"/>
      </w:r>
      <w:r>
        <w:rPr>
          <w:rFonts w:ascii="Cambria Math" w:eastAsia="Cambria Math"/>
          <w:spacing w:val="-97"/>
        </w:rPr>
        <w:t>𝑔𝑎𝑛𝑎𝑛𝑐𝑖𝑎𝑠</w:t>
      </w:r>
      <w:r>
        <w:rPr>
          <w:rFonts w:ascii="Cambria Math" w:eastAsia="Cambria Math"/>
          <w:spacing w:val="-34"/>
        </w:rPr>
        <w:t> </w:t>
      </w:r>
      <w:r>
        <w:rPr>
          <w:rFonts w:ascii="Cambria Math" w:eastAsia="Cambria Math"/>
          <w:spacing w:val="-97"/>
        </w:rPr>
        <w:t>𝑎𝑛𝑡𝑒𝑠</w:t>
      </w:r>
      <w:r>
        <w:rPr>
          <w:rFonts w:ascii="Cambria Math" w:eastAsia="Cambria Math"/>
          <w:spacing w:val="-34"/>
        </w:rPr>
        <w:t> </w:t>
      </w:r>
      <w:r>
        <w:rPr>
          <w:rFonts w:ascii="Cambria Math" w:eastAsia="Cambria Math"/>
          <w:spacing w:val="-96"/>
        </w:rPr>
        <w:t>𝑑𝑒 </w:t>
      </w:r>
      <w:r>
        <w:rPr>
          <w:rFonts w:ascii="Cambria Math" w:eastAsia="Cambria Math"/>
          <w:spacing w:val="-64"/>
        </w:rPr>
        <w:t>𝑖𝑛𝑡𝑒𝑟𝑒𝑠𝑒𝑠 </w:t>
      </w:r>
      <w:r>
        <w:rPr>
          <w:rFonts w:ascii="Cambria Math" w:eastAsia="Cambria Math"/>
          <w:spacing w:val="-63"/>
        </w:rPr>
        <w:t>𝑒</w:t>
      </w:r>
      <w:r>
        <w:rPr>
          <w:rFonts w:ascii="Cambria Math" w:eastAsia="Cambria Math"/>
          <w:spacing w:val="-51"/>
        </w:rPr>
        <w:t> </w:t>
      </w:r>
      <w:r>
        <w:rPr>
          <w:rFonts w:ascii="Cambria Math" w:eastAsia="Cambria Math"/>
          <w:spacing w:val="-40"/>
        </w:rPr>
        <w:t>𝑖𝑚𝑝𝑢𝑒𝑠𝑡𝑜𝑠</w:t>
      </w:r>
    </w:p>
    <w:p>
      <w:pPr>
        <w:pStyle w:val="BodyText"/>
        <w:spacing w:before="5"/>
        <w:rPr>
          <w:rFonts w:ascii="Cambria Math"/>
          <w:sz w:val="4"/>
        </w:rPr>
      </w:pPr>
    </w:p>
    <w:p>
      <w:pPr>
        <w:pStyle w:val="BodyText"/>
        <w:spacing w:line="20" w:lineRule="exact"/>
        <w:ind w:left="74"/>
        <w:rPr>
          <w:rFonts w:ascii="Cambria Math"/>
          <w:sz w:val="2"/>
        </w:rPr>
      </w:pPr>
      <w:r>
        <w:rPr>
          <w:rFonts w:ascii="Cambria Math"/>
          <w:sz w:val="2"/>
        </w:rPr>
        <w:pict>
          <v:group style="width:225.9pt;height:.75pt;mso-position-horizontal-relative:char;mso-position-vertical-relative:line" coordorigin="0,0" coordsize="4518,15">
            <v:line style="position:absolute" from="8,8" to="4510,8" stroked="true" strokeweight=".72pt" strokecolor="#000000"/>
          </v:group>
        </w:pict>
      </w:r>
      <w:r>
        <w:rPr>
          <w:rFonts w:ascii="Cambria Math"/>
          <w:sz w:val="2"/>
        </w:rPr>
      </w:r>
    </w:p>
    <w:p>
      <w:pPr>
        <w:pStyle w:val="BodyText"/>
        <w:ind w:left="266" w:right="411"/>
        <w:jc w:val="center"/>
        <w:rPr>
          <w:rFonts w:ascii="Cambria Math" w:eastAsia="Cambria Math"/>
        </w:rPr>
      </w:pPr>
      <w:r>
        <w:rPr>
          <w:rFonts w:ascii="Cambria Math" w:eastAsia="Cambria Math"/>
        </w:rPr>
        <w:t>𝑖𝑛𝑡𝑒𝑟𝑒𝑠𝑒𝑠</w:t>
      </w:r>
    </w:p>
    <w:p>
      <w:pPr>
        <w:spacing w:after="0"/>
        <w:jc w:val="center"/>
        <w:rPr>
          <w:rFonts w:ascii="Cambria Math" w:eastAsia="Cambria Math"/>
        </w:rPr>
        <w:sectPr>
          <w:type w:val="continuous"/>
          <w:pgSz w:w="11910" w:h="16840"/>
          <w:pgMar w:top="1380" w:bottom="280" w:left="1600" w:right="1580"/>
          <w:cols w:num="2" w:equalWidth="0">
            <w:col w:w="3882" w:space="40"/>
            <w:col w:w="4808"/>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2"/>
        </w:numPr>
        <w:tabs>
          <w:tab w:pos="975" w:val="left" w:leader="none"/>
        </w:tabs>
        <w:spacing w:line="240" w:lineRule="auto" w:before="199" w:after="0"/>
        <w:ind w:left="974" w:right="0" w:hanging="864"/>
        <w:jc w:val="both"/>
        <w:rPr>
          <w:i/>
        </w:rPr>
      </w:pPr>
      <w:bookmarkStart w:name="_TOC_250053" w:id="14"/>
      <w:bookmarkEnd w:id="14"/>
      <w:r>
        <w:rPr>
          <w:i/>
        </w:rPr>
        <w:t>Índice de cobertura de pagos fijos.</w:t>
      </w:r>
    </w:p>
    <w:p>
      <w:pPr>
        <w:pStyle w:val="BodyText"/>
        <w:spacing w:line="360" w:lineRule="auto" w:before="141"/>
        <w:ind w:left="110" w:right="108"/>
        <w:jc w:val="both"/>
      </w:pPr>
      <w:r>
        <w:rPr/>
        <w:t>Calcula la capacidad de la empresa para cumplir con todas sus obligaciones de pagos fijos, como los intereses y el principal de préstamos, pagos de arrendamiento y dividendos de acciones preferentes. Tal como sucede con la razón de cargos de interés fijo, cuánto más alto es el valor de éste índice, mejor. La fórmula para calcular el índice de cobertura de pagos fijos</w:t>
      </w:r>
      <w:r>
        <w:rPr>
          <w:spacing w:val="-2"/>
        </w:rPr>
        <w:t> </w:t>
      </w:r>
      <w:r>
        <w:rPr/>
        <w:t>es:</w:t>
      </w:r>
    </w:p>
    <w:p>
      <w:pPr>
        <w:pStyle w:val="BodyText"/>
        <w:spacing w:before="211"/>
        <w:ind w:left="112"/>
        <w:jc w:val="both"/>
        <w:rPr>
          <w:rFonts w:ascii="Cambria Math" w:eastAsia="Cambria Math"/>
        </w:rPr>
      </w:pPr>
      <w:r>
        <w:rPr>
          <w:rFonts w:ascii="Cambria Math" w:eastAsia="Cambria Math"/>
          <w:spacing w:val="-103"/>
        </w:rPr>
        <w:t>𝐼𝑛𝑑𝑖𝑐𝑒</w:t>
      </w:r>
      <w:r>
        <w:rPr>
          <w:rFonts w:ascii="Cambria Math" w:eastAsia="Cambria Math"/>
          <w:spacing w:val="-31"/>
        </w:rPr>
        <w:t> </w:t>
      </w:r>
      <w:r>
        <w:rPr>
          <w:rFonts w:ascii="Cambria Math" w:eastAsia="Cambria Math"/>
          <w:spacing w:val="-103"/>
        </w:rPr>
        <w:t>𝑑𝑒</w:t>
      </w:r>
      <w:r>
        <w:rPr>
          <w:rFonts w:ascii="Cambria Math" w:eastAsia="Cambria Math"/>
          <w:spacing w:val="-31"/>
        </w:rPr>
        <w:t> </w:t>
      </w:r>
      <w:r>
        <w:rPr>
          <w:rFonts w:ascii="Cambria Math" w:eastAsia="Cambria Math"/>
          <w:spacing w:val="-103"/>
        </w:rPr>
        <w:t>𝑐𝑜𝑏𝑒𝑟𝑡𝑢𝑟𝑎</w:t>
      </w:r>
      <w:r>
        <w:rPr>
          <w:rFonts w:ascii="Cambria Math" w:eastAsia="Cambria Math"/>
          <w:spacing w:val="-31"/>
        </w:rPr>
        <w:t> </w:t>
      </w:r>
      <w:r>
        <w:rPr>
          <w:rFonts w:ascii="Cambria Math" w:eastAsia="Cambria Math"/>
          <w:spacing w:val="-102"/>
        </w:rPr>
        <w:t>𝑑𝑒</w:t>
      </w:r>
      <w:r>
        <w:rPr>
          <w:rFonts w:ascii="Cambria Math" w:eastAsia="Cambria Math"/>
          <w:spacing w:val="-31"/>
        </w:rPr>
        <w:t> </w:t>
      </w:r>
      <w:r>
        <w:rPr>
          <w:rFonts w:ascii="Cambria Math" w:eastAsia="Cambria Math"/>
          <w:spacing w:val="-102"/>
        </w:rPr>
        <w:t>𝑝𝑎𝑔𝑜𝑠</w:t>
      </w:r>
    </w:p>
    <w:p>
      <w:pPr>
        <w:pStyle w:val="BodyText"/>
        <w:spacing w:line="216" w:lineRule="exact" w:before="112"/>
        <w:ind w:left="669"/>
        <w:rPr>
          <w:rFonts w:ascii="Cambria Math" w:eastAsia="Cambria Math"/>
        </w:rPr>
      </w:pPr>
      <w:r>
        <w:rPr>
          <w:rFonts w:ascii="Cambria Math" w:eastAsia="Cambria Math"/>
          <w:spacing w:val="-82"/>
        </w:rPr>
        <w:t>𝑔𝑎𝑛𝑎𝑛𝑐𝑖𝑎𝑠 𝑎𝑛𝑡𝑒𝑠 </w:t>
      </w:r>
      <w:r>
        <w:rPr>
          <w:rFonts w:ascii="Cambria Math" w:eastAsia="Cambria Math"/>
          <w:spacing w:val="-81"/>
        </w:rPr>
        <w:t>𝑑𝑒 𝑖𝑛𝑡𝑒𝑟𝑒𝑠𝑒𝑠 𝑒 </w:t>
      </w:r>
      <w:r>
        <w:rPr>
          <w:rFonts w:ascii="Cambria Math" w:eastAsia="Cambria Math"/>
          <w:spacing w:val="-106"/>
        </w:rPr>
        <w:t>𝑖𝑚𝑝𝑢𝑒𝑠𝑡𝑜𝑠</w:t>
      </w:r>
      <w:r>
        <w:rPr>
          <w:rFonts w:ascii="Cambria Math" w:eastAsia="Cambria Math"/>
          <w:spacing w:val="-31"/>
        </w:rPr>
        <w:t> </w:t>
      </w:r>
      <w:r>
        <w:rPr>
          <w:rFonts w:ascii="Cambria Math" w:eastAsia="Cambria Math"/>
          <w:spacing w:val="-106"/>
        </w:rPr>
        <w:t>+</w:t>
      </w:r>
      <w:r>
        <w:rPr>
          <w:rFonts w:ascii="Cambria Math" w:eastAsia="Cambria Math"/>
          <w:spacing w:val="8"/>
        </w:rPr>
        <w:t> </w:t>
      </w:r>
      <w:r>
        <w:rPr>
          <w:rFonts w:ascii="Cambria Math" w:eastAsia="Cambria Math"/>
          <w:spacing w:val="-106"/>
        </w:rPr>
        <w:t>𝑝𝑎𝑔𝑜𝑠</w:t>
      </w:r>
      <w:r>
        <w:rPr>
          <w:rFonts w:ascii="Cambria Math" w:eastAsia="Cambria Math"/>
          <w:spacing w:val="-31"/>
        </w:rPr>
        <w:t> </w:t>
      </w:r>
      <w:r>
        <w:rPr>
          <w:rFonts w:ascii="Cambria Math" w:eastAsia="Cambria Math"/>
          <w:spacing w:val="-106"/>
        </w:rPr>
        <w:t>𝑑𝑒</w:t>
      </w:r>
      <w:r>
        <w:rPr>
          <w:rFonts w:ascii="Cambria Math" w:eastAsia="Cambria Math"/>
          <w:spacing w:val="-31"/>
        </w:rPr>
        <w:t> </w:t>
      </w:r>
      <w:r>
        <w:rPr>
          <w:rFonts w:ascii="Cambria Math" w:eastAsia="Cambria Math"/>
          <w:spacing w:val="-106"/>
        </w:rPr>
        <w:t>𝑎𝑟𝑟𝑒𝑛𝑑𝑎𝑚𝑖𝑒𝑛𝑡𝑜𝑠</w:t>
      </w:r>
    </w:p>
    <w:p>
      <w:pPr>
        <w:pStyle w:val="BodyText"/>
        <w:tabs>
          <w:tab w:pos="2525" w:val="left" w:leader="none"/>
        </w:tabs>
        <w:spacing w:line="387" w:lineRule="exact"/>
        <w:ind w:left="112"/>
        <w:rPr>
          <w:rFonts w:ascii="Cambria Math" w:eastAsia="Cambria Math"/>
        </w:rPr>
      </w:pPr>
      <w:r>
        <w:rPr/>
        <w:pict>
          <v:line style="position:absolute;mso-position-horizontal-relative:page;mso-position-vertical-relative:paragraph;z-index:-243616" from="100.663902pt,6.245947pt" to="510.823902pt,6.245947pt" stroked="true" strokeweight=".72pt" strokecolor="#000000">
            <w10:wrap type="none"/>
          </v:line>
        </w:pict>
      </w:r>
      <w:r>
        <w:rPr>
          <w:rFonts w:ascii="Cambria Math" w:eastAsia="Cambria Math"/>
          <w:position w:val="14"/>
        </w:rPr>
        <w:t>=</w:t>
        <w:tab/>
      </w:r>
      <w:r>
        <w:rPr>
          <w:rFonts w:ascii="Cambria Math" w:eastAsia="Cambria Math"/>
          <w:spacing w:val="-101"/>
        </w:rPr>
        <w:t>𝑖𝑛𝑡𝑒𝑟𝑒𝑠𝑒𝑠</w:t>
      </w:r>
      <w:r>
        <w:rPr>
          <w:rFonts w:ascii="Cambria Math" w:eastAsia="Cambria Math"/>
          <w:spacing w:val="-32"/>
        </w:rPr>
        <w:t> </w:t>
      </w:r>
      <w:r>
        <w:rPr>
          <w:rFonts w:ascii="Cambria Math" w:eastAsia="Cambria Math"/>
          <w:spacing w:val="-100"/>
        </w:rPr>
        <w:t>+</w:t>
      </w:r>
      <w:r>
        <w:rPr>
          <w:rFonts w:ascii="Cambria Math" w:eastAsia="Cambria Math"/>
          <w:spacing w:val="-34"/>
        </w:rPr>
        <w:t> </w:t>
      </w:r>
      <w:r>
        <w:rPr>
          <w:rFonts w:ascii="Cambria Math" w:eastAsia="Cambria Math"/>
          <w:spacing w:val="-100"/>
        </w:rPr>
        <w:t>𝑝𝑎𝑔𝑜𝑠</w:t>
      </w:r>
      <w:r>
        <w:rPr>
          <w:rFonts w:ascii="Cambria Math" w:eastAsia="Cambria Math"/>
          <w:spacing w:val="-32"/>
        </w:rPr>
        <w:t> </w:t>
      </w:r>
      <w:r>
        <w:rPr>
          <w:rFonts w:ascii="Cambria Math" w:eastAsia="Cambria Math"/>
          <w:spacing w:val="-100"/>
        </w:rPr>
        <w:t>𝑑𝑒</w:t>
      </w:r>
      <w:r>
        <w:rPr>
          <w:rFonts w:ascii="Cambria Math" w:eastAsia="Cambria Math"/>
          <w:spacing w:val="5"/>
        </w:rPr>
        <w:t> </w:t>
      </w:r>
      <w:r>
        <w:rPr>
          <w:rFonts w:ascii="Cambria Math" w:eastAsia="Cambria Math"/>
        </w:rPr>
        <w:t>𝑎𝑟𝑟𝑒𝑛𝑑𝑎𝑚𝑖𝑒𝑛𝑡𝑜</w:t>
      </w:r>
    </w:p>
    <w:p>
      <w:pPr>
        <w:pStyle w:val="BodyText"/>
        <w:spacing w:before="26"/>
        <w:ind w:left="411"/>
        <w:rPr>
          <w:rFonts w:ascii="Cambria Math" w:hAnsi="Cambria Math" w:eastAsia="Cambria Math"/>
        </w:rPr>
      </w:pPr>
      <w:r>
        <w:rPr/>
        <w:pict>
          <v:shape style="position:absolute;margin-left:435.210388pt;margin-top:3.72234pt;width:3.7pt;height:11.2pt;mso-position-horizontal-relative:page;mso-position-vertical-relative:paragraph;z-index:-243664" coordorigin="8704,74" coordsize="74,224" path="m8707,74l8704,83,8717,89,8728,97,8757,166,8758,185,8757,205,8737,265,8705,289,8707,298,8760,259,8778,186,8777,166,8750,100,8723,80,8707,74xe" filled="true" fillcolor="#000000" stroked="false">
            <v:path arrowok="t"/>
            <v:fill type="solid"/>
            <w10:wrap type="none"/>
          </v:shape>
        </w:pict>
      </w:r>
      <w:r>
        <w:rPr/>
        <w:pict>
          <v:group style="position:absolute;margin-left:450.517212pt;margin-top:3.37984pt;width:3.1pt;height:11.4pt;mso-position-horizontal-relative:page;mso-position-vertical-relative:paragraph;z-index:-243640" coordorigin="9010,68" coordsize="62,228">
            <v:line style="position:absolute" from="9014,290" to="9068,290" stroked="true" strokeweight=".4pt" strokecolor="#000000"/>
            <v:line style="position:absolute" from="9024,78" to="9024,286" stroked="true" strokeweight="1pt" strokecolor="#000000"/>
            <v:line style="position:absolute" from="9014,74" to="9068,74" stroked="true" strokeweight=".4pt" strokecolor="#000000"/>
            <w10:wrap type="none"/>
          </v:group>
        </w:pict>
      </w:r>
      <w:r>
        <w:rPr>
          <w:rFonts w:ascii="Cambria Math" w:hAnsi="Cambria Math" w:eastAsia="Cambria Math"/>
        </w:rPr>
        <w:t>+ </w:t>
      </w:r>
      <w:r>
        <w:rPr>
          <w:rFonts w:ascii="Cambria Math" w:hAnsi="Cambria Math" w:eastAsia="Cambria Math"/>
          <w:spacing w:val="12"/>
          <w:position w:val="-3"/>
        </w:rPr>
        <w:drawing>
          <wp:inline distT="0" distB="0" distL="0" distR="0">
            <wp:extent cx="111109" cy="14486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5" cstate="print"/>
                    <a:stretch>
                      <a:fillRect/>
                    </a:stretch>
                  </pic:blipFill>
                  <pic:spPr>
                    <a:xfrm>
                      <a:off x="0" y="0"/>
                      <a:ext cx="111109" cy="144865"/>
                    </a:xfrm>
                    <a:prstGeom prst="rect">
                      <a:avLst/>
                    </a:prstGeom>
                  </pic:spPr>
                </pic:pic>
              </a:graphicData>
            </a:graphic>
          </wp:inline>
        </w:drawing>
      </w:r>
      <w:r>
        <w:rPr>
          <w:rFonts w:ascii="Cambria Math" w:hAnsi="Cambria Math" w:eastAsia="Cambria Math"/>
          <w:spacing w:val="12"/>
          <w:position w:val="-3"/>
        </w:rPr>
      </w:r>
      <w:r>
        <w:rPr>
          <w:rFonts w:ascii="Cambria Math" w:hAnsi="Cambria Math" w:eastAsia="Cambria Math"/>
          <w:spacing w:val="-98"/>
        </w:rPr>
        <w:t>𝑝𝑎𝑔𝑜𝑠</w:t>
      </w:r>
      <w:r>
        <w:rPr>
          <w:rFonts w:ascii="Cambria Math" w:hAnsi="Cambria Math" w:eastAsia="Cambria Math"/>
          <w:spacing w:val="-33"/>
        </w:rPr>
        <w:t> </w:t>
      </w:r>
      <w:r>
        <w:rPr>
          <w:rFonts w:ascii="Cambria Math" w:hAnsi="Cambria Math" w:eastAsia="Cambria Math"/>
          <w:spacing w:val="-98"/>
        </w:rPr>
        <w:t>𝑑𝑒𝑙</w:t>
      </w:r>
      <w:r>
        <w:rPr>
          <w:rFonts w:ascii="Cambria Math" w:hAnsi="Cambria Math" w:eastAsia="Cambria Math"/>
          <w:spacing w:val="-32"/>
        </w:rPr>
        <w:t> </w:t>
      </w:r>
      <w:r>
        <w:rPr>
          <w:rFonts w:ascii="Cambria Math" w:hAnsi="Cambria Math" w:eastAsia="Cambria Math"/>
          <w:spacing w:val="-98"/>
        </w:rPr>
        <w:t>𝑝𝑟𝑖𝑛𝑐𝑖𝑝𝑎𝑙</w:t>
      </w:r>
      <w:r>
        <w:rPr>
          <w:rFonts w:ascii="Cambria Math" w:hAnsi="Cambria Math" w:eastAsia="Cambria Math"/>
          <w:spacing w:val="-32"/>
        </w:rPr>
        <w:t> </w:t>
      </w:r>
      <w:r>
        <w:rPr>
          <w:rFonts w:ascii="Cambria Math" w:hAnsi="Cambria Math" w:eastAsia="Cambria Math"/>
          <w:spacing w:val="-97"/>
        </w:rPr>
        <w:t>+</w:t>
      </w:r>
      <w:r>
        <w:rPr>
          <w:rFonts w:ascii="Cambria Math" w:hAnsi="Cambria Math" w:eastAsia="Cambria Math"/>
          <w:spacing w:val="-35"/>
        </w:rPr>
        <w:t> </w:t>
      </w:r>
      <w:r>
        <w:rPr>
          <w:rFonts w:ascii="Cambria Math" w:hAnsi="Cambria Math" w:eastAsia="Cambria Math"/>
          <w:spacing w:val="-97"/>
        </w:rPr>
        <w:t>𝑑𝑖𝑣𝑖𝑑𝑒𝑛𝑑𝑜𝑠</w:t>
      </w:r>
      <w:r>
        <w:rPr>
          <w:rFonts w:ascii="Cambria Math" w:hAnsi="Cambria Math" w:eastAsia="Cambria Math"/>
          <w:spacing w:val="-33"/>
        </w:rPr>
        <w:t> </w:t>
      </w:r>
      <w:r>
        <w:rPr>
          <w:rFonts w:ascii="Cambria Math" w:hAnsi="Cambria Math" w:eastAsia="Cambria Math"/>
          <w:spacing w:val="-97"/>
        </w:rPr>
        <w:t>𝑑𝑒</w:t>
      </w:r>
      <w:r>
        <w:rPr>
          <w:rFonts w:ascii="Cambria Math" w:hAnsi="Cambria Math" w:eastAsia="Cambria Math"/>
          <w:spacing w:val="-39"/>
        </w:rPr>
        <w:t> </w:t>
      </w:r>
      <w:r>
        <w:rPr>
          <w:rFonts w:ascii="Cambria Math" w:hAnsi="Cambria Math" w:eastAsia="Cambria Math"/>
          <w:spacing w:val="-92"/>
        </w:rPr>
        <w:t>𝑎𝑐𝑐𝑖𝑜𝑛𝑒𝑠</w:t>
      </w:r>
      <w:r>
        <w:rPr>
          <w:rFonts w:ascii="Cambria Math" w:hAnsi="Cambria Math" w:eastAsia="Cambria Math"/>
          <w:spacing w:val="-32"/>
        </w:rPr>
        <w:t> </w:t>
      </w:r>
      <w:r>
        <w:rPr>
          <w:rFonts w:ascii="Cambria Math" w:hAnsi="Cambria Math" w:eastAsia="Cambria Math"/>
          <w:spacing w:val="-92"/>
        </w:rPr>
        <w:t>𝑝𝑟𝑒𝑓𝑒𝑟𝑒𝑛𝑡𝑒𝑠</w:t>
      </w:r>
      <w:r>
        <w:rPr>
          <w:rFonts w:ascii="Cambria Math" w:hAnsi="Cambria Math" w:eastAsia="Cambria Math"/>
          <w:spacing w:val="-15"/>
        </w:rPr>
        <w:t> </w:t>
      </w:r>
      <w:r>
        <w:rPr>
          <w:rFonts w:ascii="Cambria Math" w:hAnsi="Cambria Math" w:eastAsia="Cambria Math"/>
          <w:spacing w:val="-91"/>
        </w:rPr>
        <w:t>𝑥</w:t>
      </w:r>
      <w:r>
        <w:rPr>
          <w:rFonts w:ascii="Cambria Math" w:hAnsi="Cambria Math" w:eastAsia="Cambria Math"/>
        </w:rPr>
        <w:t> </w:t>
      </w:r>
      <w:r>
        <w:rPr>
          <w:rFonts w:ascii="Cambria Math" w:hAnsi="Cambria Math" w:eastAsia="Cambria Math"/>
          <w:spacing w:val="-91"/>
        </w:rPr>
        <w:t>1/(1</w:t>
      </w:r>
      <w:r>
        <w:rPr>
          <w:rFonts w:ascii="Cambria Math" w:hAnsi="Cambria Math" w:eastAsia="Cambria Math"/>
          <w:spacing w:val="-34"/>
        </w:rPr>
        <w:t> </w:t>
      </w:r>
      <w:r>
        <w:rPr>
          <w:rFonts w:ascii="Cambria Math" w:hAnsi="Cambria Math" w:eastAsia="Cambria Math"/>
          <w:spacing w:val="-91"/>
        </w:rPr>
        <w:t>−</w:t>
      </w:r>
      <w:r>
        <w:rPr>
          <w:rFonts w:ascii="Cambria Math" w:hAnsi="Cambria Math" w:eastAsia="Cambria Math"/>
        </w:rPr>
        <w:t> </w:t>
      </w:r>
      <w:r>
        <w:rPr>
          <w:rFonts w:ascii="Cambria Math" w:hAnsi="Cambria Math" w:eastAsia="Cambria Math"/>
          <w:spacing w:val="3"/>
          <w:position w:val="-3"/>
        </w:rPr>
        <w:drawing>
          <wp:inline distT="0" distB="0" distL="0" distR="0">
            <wp:extent cx="101981" cy="14478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6" cstate="print"/>
                    <a:stretch>
                      <a:fillRect/>
                    </a:stretch>
                  </pic:blipFill>
                  <pic:spPr>
                    <a:xfrm>
                      <a:off x="0" y="0"/>
                      <a:ext cx="101981" cy="144780"/>
                    </a:xfrm>
                    <a:prstGeom prst="rect">
                      <a:avLst/>
                    </a:prstGeom>
                  </pic:spPr>
                </pic:pic>
              </a:graphicData>
            </a:graphic>
          </wp:inline>
        </w:drawing>
      </w:r>
      <w:r>
        <w:rPr>
          <w:rFonts w:ascii="Cambria Math" w:hAnsi="Cambria Math" w:eastAsia="Cambria Math"/>
          <w:spacing w:val="3"/>
          <w:position w:val="-3"/>
        </w:rPr>
      </w:r>
    </w:p>
    <w:p>
      <w:pPr>
        <w:pStyle w:val="BodyText"/>
        <w:spacing w:before="1"/>
        <w:rPr>
          <w:rFonts w:ascii="Cambria Math"/>
          <w:sz w:val="23"/>
        </w:rPr>
      </w:pPr>
    </w:p>
    <w:p>
      <w:pPr>
        <w:pStyle w:val="BodyText"/>
        <w:spacing w:line="360" w:lineRule="auto" w:before="70"/>
        <w:ind w:left="110" w:right="108"/>
        <w:jc w:val="both"/>
      </w:pPr>
      <w:r>
        <w:rPr/>
        <w:t>Donde I es la tasa fiscal corporativa aplicable al ingreso de la empresa. El término 1/(1-I) se incluye para ajustar el principal después de impuestos y los pagos de dividendos de acciones preferentes con un equivalente antes de impuestos que es congruente con los valores antes de impuestos de todos los demás términos.</w:t>
      </w:r>
    </w:p>
    <w:p>
      <w:pPr>
        <w:spacing w:after="0" w:line="360" w:lineRule="auto"/>
        <w:jc w:val="both"/>
        <w:sectPr>
          <w:type w:val="continuous"/>
          <w:pgSz w:w="11910" w:h="16840"/>
          <w:pgMar w:top="1380" w:bottom="280" w:left="1600" w:right="1580"/>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numPr>
          <w:ilvl w:val="2"/>
          <w:numId w:val="12"/>
        </w:numPr>
        <w:tabs>
          <w:tab w:pos="831" w:val="left" w:leader="none"/>
        </w:tabs>
        <w:spacing w:line="240" w:lineRule="auto" w:before="69" w:after="0"/>
        <w:ind w:left="830" w:right="0" w:hanging="720"/>
        <w:jc w:val="both"/>
      </w:pPr>
      <w:bookmarkStart w:name="_TOC_250052" w:id="15"/>
      <w:bookmarkEnd w:id="15"/>
      <w:r>
        <w:rPr/>
        <w:t>Índices de rentabilidad.</w:t>
      </w:r>
    </w:p>
    <w:p>
      <w:pPr>
        <w:pStyle w:val="BodyText"/>
        <w:spacing w:line="360" w:lineRule="auto" w:before="137"/>
        <w:ind w:left="110" w:right="108"/>
        <w:jc w:val="both"/>
      </w:pPr>
      <w:r>
        <w:rPr/>
        <w:t>Estas medidas permiten a los analistas evaluar las utilidades de la empresa  con respecto a un nivel determinado de ventas, cierto nivel de activos o la inversión de los propietarios.</w:t>
      </w:r>
    </w:p>
    <w:p>
      <w:pPr>
        <w:pStyle w:val="BodyText"/>
      </w:pPr>
    </w:p>
    <w:p>
      <w:pPr>
        <w:pStyle w:val="BodyText"/>
      </w:pPr>
    </w:p>
    <w:p>
      <w:pPr>
        <w:pStyle w:val="BodyText"/>
        <w:spacing w:before="7"/>
        <w:rPr>
          <w:sz w:val="23"/>
        </w:rPr>
      </w:pPr>
    </w:p>
    <w:p>
      <w:pPr>
        <w:pStyle w:val="Heading3"/>
        <w:numPr>
          <w:ilvl w:val="3"/>
          <w:numId w:val="12"/>
        </w:numPr>
        <w:tabs>
          <w:tab w:pos="975" w:val="left" w:leader="none"/>
        </w:tabs>
        <w:spacing w:line="240" w:lineRule="auto" w:before="0" w:after="0"/>
        <w:ind w:left="974" w:right="0" w:hanging="864"/>
        <w:jc w:val="both"/>
        <w:rPr>
          <w:i/>
        </w:rPr>
      </w:pPr>
      <w:bookmarkStart w:name="_TOC_250051" w:id="16"/>
      <w:bookmarkEnd w:id="16"/>
      <w:r>
        <w:rPr>
          <w:i/>
        </w:rPr>
        <w:t>Estados de pérdidas y ganancias de tamaño común.</w:t>
      </w:r>
    </w:p>
    <w:p>
      <w:pPr>
        <w:pStyle w:val="BodyText"/>
        <w:spacing w:line="360" w:lineRule="auto" w:before="137"/>
        <w:ind w:left="110" w:right="108"/>
        <w:jc w:val="both"/>
      </w:pPr>
      <w:r>
        <w:rPr/>
        <w:t>Representa un instrumento útil para valorar la rentabilidad con respecto a las ventas. Cada rubro de este estado se expresa como un porcentaje de las ventas; éste estado es de gran utilidad para comparar el rendimiento a través de los años.</w:t>
      </w:r>
    </w:p>
    <w:p>
      <w:pPr>
        <w:pStyle w:val="BodyText"/>
        <w:spacing w:line="357" w:lineRule="auto" w:before="209"/>
        <w:ind w:left="110" w:right="108"/>
        <w:jc w:val="both"/>
      </w:pPr>
      <w:r>
        <w:rPr/>
        <w:t>Existen tres índices de rentabilidad que son mencionados habitualmente y que se pueden leer directamente en el estado de pérdidas y ganancias de tamaño común: el margen de utilidad bruta, el margen de utilidad operativa y el margen de utilidad neta.</w:t>
      </w:r>
    </w:p>
    <w:p>
      <w:pPr>
        <w:pStyle w:val="BodyText"/>
      </w:pPr>
    </w:p>
    <w:p>
      <w:pPr>
        <w:pStyle w:val="BodyText"/>
      </w:pPr>
    </w:p>
    <w:p>
      <w:pPr>
        <w:pStyle w:val="BodyText"/>
        <w:spacing w:before="9"/>
        <w:rPr>
          <w:sz w:val="23"/>
        </w:rPr>
      </w:pPr>
    </w:p>
    <w:p>
      <w:pPr>
        <w:pStyle w:val="Heading3"/>
        <w:numPr>
          <w:ilvl w:val="4"/>
          <w:numId w:val="12"/>
        </w:numPr>
        <w:tabs>
          <w:tab w:pos="1119" w:val="left" w:leader="none"/>
        </w:tabs>
        <w:spacing w:line="240" w:lineRule="auto" w:before="1" w:after="0"/>
        <w:ind w:left="1118" w:right="0" w:hanging="1008"/>
        <w:jc w:val="both"/>
        <w:rPr>
          <w:i/>
        </w:rPr>
      </w:pPr>
      <w:bookmarkStart w:name="_TOC_250050" w:id="17"/>
      <w:bookmarkEnd w:id="17"/>
      <w:r>
        <w:rPr>
          <w:i/>
        </w:rPr>
        <w:t>Margen de utilidad bruta.</w:t>
      </w:r>
    </w:p>
    <w:p>
      <w:pPr>
        <w:pStyle w:val="BodyText"/>
        <w:spacing w:line="360" w:lineRule="auto" w:before="137"/>
        <w:ind w:left="110" w:right="108"/>
        <w:jc w:val="both"/>
      </w:pPr>
      <w:r>
        <w:rPr/>
        <w:t>Cuantifica el porcentaje de cada dólar de ventas que queda después de que la empresa pagó sus bienes. Cuanto más alto es el margen de utilidad bruta, mejor (es decir, es mejor el costo relativo de la mercancía vendida). El margen de utilidad bruta se calcula de la manera siguiente:</w:t>
      </w:r>
    </w:p>
    <w:p>
      <w:pPr>
        <w:pStyle w:val="BodyText"/>
        <w:spacing w:before="5"/>
        <w:rPr>
          <w:sz w:val="10"/>
        </w:rPr>
      </w:pPr>
    </w:p>
    <w:p>
      <w:pPr>
        <w:spacing w:after="0"/>
        <w:rPr>
          <w:sz w:val="10"/>
        </w:rPr>
        <w:sectPr>
          <w:footerReference w:type="default" r:id="rId17"/>
          <w:pgSz w:w="11910" w:h="16840"/>
          <w:pgMar w:footer="724" w:header="0" w:top="960" w:bottom="920" w:left="1600" w:right="1580"/>
        </w:sectPr>
      </w:pPr>
    </w:p>
    <w:p>
      <w:pPr>
        <w:pStyle w:val="BodyText"/>
        <w:spacing w:before="7"/>
        <w:rPr>
          <w:sz w:val="21"/>
        </w:rPr>
      </w:pPr>
    </w:p>
    <w:p>
      <w:pPr>
        <w:pStyle w:val="BodyText"/>
        <w:spacing w:before="1"/>
        <w:ind w:left="942"/>
        <w:rPr>
          <w:rFonts w:ascii="Cambria Math" w:eastAsia="Cambria Math"/>
        </w:rPr>
      </w:pPr>
      <w:r>
        <w:rPr>
          <w:rFonts w:ascii="Cambria Math" w:eastAsia="Cambria Math"/>
          <w:spacing w:val="-51"/>
        </w:rPr>
        <w:t>𝑀𝑎𝑟𝑔𝑒𝑛 </w:t>
      </w:r>
      <w:r>
        <w:rPr>
          <w:rFonts w:ascii="Cambria Math" w:eastAsia="Cambria Math"/>
          <w:spacing w:val="-50"/>
        </w:rPr>
        <w:t>𝑑𝑒 </w:t>
      </w:r>
      <w:r>
        <w:rPr>
          <w:rFonts w:ascii="Cambria Math" w:eastAsia="Cambria Math"/>
          <w:spacing w:val="-63"/>
        </w:rPr>
        <w:t>𝑢𝑡𝑖𝑙𝑖𝑑𝑎𝑑</w:t>
      </w:r>
      <w:r>
        <w:rPr>
          <w:rFonts w:ascii="Cambria Math" w:eastAsia="Cambria Math"/>
          <w:spacing w:val="-51"/>
        </w:rPr>
        <w:t> </w:t>
      </w:r>
      <w:r>
        <w:rPr>
          <w:rFonts w:ascii="Cambria Math" w:eastAsia="Cambria Math"/>
          <w:spacing w:val="-92"/>
        </w:rPr>
        <w:t>𝑏𝑟𝑢𝑡𝑎</w:t>
      </w:r>
      <w:r>
        <w:rPr>
          <w:rFonts w:ascii="Cambria Math" w:eastAsia="Cambria Math"/>
          <w:spacing w:val="-24"/>
        </w:rPr>
        <w:t> </w:t>
      </w:r>
      <w:r>
        <w:rPr>
          <w:rFonts w:ascii="Cambria Math" w:eastAsia="Cambria Math"/>
          <w:spacing w:val="-91"/>
        </w:rPr>
        <w:t>=</w:t>
      </w:r>
    </w:p>
    <w:p>
      <w:pPr>
        <w:pStyle w:val="BodyText"/>
        <w:spacing w:before="67"/>
        <w:ind w:left="472" w:right="1337"/>
        <w:jc w:val="center"/>
        <w:rPr>
          <w:rFonts w:ascii="Cambria Math" w:hAnsi="Cambria Math" w:eastAsia="Cambria Math"/>
        </w:rPr>
      </w:pPr>
      <w:r>
        <w:rPr/>
        <w:br w:type="column"/>
      </w:r>
      <w:r>
        <w:rPr>
          <w:rFonts w:ascii="Cambria Math" w:hAnsi="Cambria Math" w:eastAsia="Cambria Math"/>
          <w:spacing w:val="-90"/>
        </w:rPr>
        <w:t>𝑣𝑒𝑛𝑡𝑎𝑠</w:t>
      </w:r>
      <w:r>
        <w:rPr>
          <w:rFonts w:ascii="Cambria Math" w:hAnsi="Cambria Math" w:eastAsia="Cambria Math"/>
          <w:spacing w:val="-34"/>
        </w:rPr>
        <w:t> </w:t>
      </w:r>
      <w:r>
        <w:rPr>
          <w:rFonts w:ascii="Cambria Math" w:hAnsi="Cambria Math" w:eastAsia="Cambria Math"/>
          <w:spacing w:val="-90"/>
        </w:rPr>
        <w:t>−</w:t>
      </w:r>
      <w:r>
        <w:rPr>
          <w:rFonts w:ascii="Cambria Math" w:hAnsi="Cambria Math" w:eastAsia="Cambria Math"/>
          <w:spacing w:val="-35"/>
        </w:rPr>
        <w:t> </w:t>
      </w:r>
      <w:r>
        <w:rPr>
          <w:rFonts w:ascii="Cambria Math" w:hAnsi="Cambria Math" w:eastAsia="Cambria Math"/>
          <w:spacing w:val="-90"/>
        </w:rPr>
        <w:t>𝑐𝑜𝑠𝑡𝑜</w:t>
      </w:r>
      <w:r>
        <w:rPr>
          <w:rFonts w:ascii="Cambria Math" w:hAnsi="Cambria Math" w:eastAsia="Cambria Math"/>
          <w:spacing w:val="-34"/>
        </w:rPr>
        <w:t> </w:t>
      </w:r>
      <w:r>
        <w:rPr>
          <w:rFonts w:ascii="Cambria Math" w:hAnsi="Cambria Math" w:eastAsia="Cambria Math"/>
          <w:spacing w:val="-90"/>
        </w:rPr>
        <w:t>𝑑𝑒 </w:t>
      </w:r>
      <w:r>
        <w:rPr>
          <w:rFonts w:ascii="Cambria Math" w:hAnsi="Cambria Math" w:eastAsia="Cambria Math"/>
          <w:spacing w:val="-110"/>
        </w:rPr>
        <w:t>𝑏𝑖𝑒𝑛𝑒𝑠</w:t>
      </w:r>
      <w:r>
        <w:rPr>
          <w:rFonts w:ascii="Cambria Math" w:hAnsi="Cambria Math" w:eastAsia="Cambria Math"/>
          <w:spacing w:val="-31"/>
        </w:rPr>
        <w:t> </w:t>
      </w:r>
      <w:r>
        <w:rPr>
          <w:rFonts w:ascii="Cambria Math" w:hAnsi="Cambria Math" w:eastAsia="Cambria Math"/>
          <w:spacing w:val="-109"/>
        </w:rPr>
        <w:t>𝑣𝑒𝑛𝑑𝑖𝑑𝑜𝑠</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85.8pt;height:.75pt;mso-position-horizontal-relative:char;mso-position-vertical-relative:line" coordorigin="0,0" coordsize="3716,15">
            <v:line style="position:absolute" from="8,8" to="3708,8" stroked="true" strokeweight=".72pt" strokecolor="#000000"/>
          </v:group>
        </w:pict>
      </w:r>
      <w:r>
        <w:rPr>
          <w:rFonts w:ascii="Cambria Math"/>
          <w:sz w:val="2"/>
        </w:rPr>
      </w:r>
    </w:p>
    <w:p>
      <w:pPr>
        <w:pStyle w:val="BodyText"/>
        <w:ind w:left="472" w:right="1337"/>
        <w:jc w:val="center"/>
        <w:rPr>
          <w:rFonts w:ascii="Cambria Math" w:eastAsia="Cambria Math"/>
        </w:rPr>
      </w:pPr>
      <w:r>
        <w:rPr>
          <w:rFonts w:ascii="Cambria Math" w:eastAsia="Cambria Math"/>
        </w:rPr>
        <w:t>𝑣𝑒𝑛𝑡𝑎𝑠</w:t>
      </w:r>
    </w:p>
    <w:p>
      <w:pPr>
        <w:spacing w:after="0"/>
        <w:jc w:val="center"/>
        <w:rPr>
          <w:rFonts w:ascii="Cambria Math" w:eastAsia="Cambria Math"/>
        </w:rPr>
        <w:sectPr>
          <w:type w:val="continuous"/>
          <w:pgSz w:w="11910" w:h="16840"/>
          <w:pgMar w:top="1380" w:bottom="280" w:left="1600" w:right="1580"/>
          <w:cols w:num="2" w:equalWidth="0">
            <w:col w:w="3966" w:space="40"/>
            <w:col w:w="4724"/>
          </w:cols>
        </w:sectPr>
      </w:pPr>
    </w:p>
    <w:p>
      <w:pPr>
        <w:pStyle w:val="BodyText"/>
        <w:spacing w:line="231" w:lineRule="exact" w:before="59"/>
        <w:ind w:left="2681"/>
        <w:rPr>
          <w:rFonts w:ascii="Cambria Math" w:eastAsia="Cambria Math"/>
        </w:rPr>
      </w:pPr>
      <w:r>
        <w:rPr>
          <w:rFonts w:ascii="Cambria Math" w:eastAsia="Cambria Math"/>
          <w:spacing w:val="-109"/>
        </w:rPr>
        <w:t>𝑢𝑡𝑖𝑙𝑖𝑑𝑎𝑑</w:t>
      </w:r>
      <w:r>
        <w:rPr>
          <w:rFonts w:ascii="Cambria Math" w:eastAsia="Cambria Math"/>
          <w:spacing w:val="-28"/>
        </w:rPr>
        <w:t> </w:t>
      </w:r>
      <w:r>
        <w:rPr>
          <w:rFonts w:ascii="Cambria Math" w:eastAsia="Cambria Math"/>
          <w:spacing w:val="-108"/>
        </w:rPr>
        <w:t>𝑏𝑟𝑢𝑡𝑎</w:t>
      </w:r>
    </w:p>
    <w:p>
      <w:pPr>
        <w:pStyle w:val="BodyText"/>
        <w:tabs>
          <w:tab w:pos="3089" w:val="left" w:leader="none"/>
        </w:tabs>
        <w:spacing w:line="391" w:lineRule="exact"/>
        <w:ind w:left="2382"/>
        <w:rPr>
          <w:rFonts w:ascii="Cambria Math" w:eastAsia="Cambria Math"/>
        </w:rPr>
      </w:pPr>
      <w:r>
        <w:rPr/>
        <w:pict>
          <v:line style="position:absolute;mso-position-horizontal-relative:page;mso-position-vertical-relative:paragraph;z-index:-243568" from="213.943893pt,5.488163pt" to="291.463893pt,5.488163pt" stroked="true" strokeweight=".72pt" strokecolor="#000000">
            <w10:wrap type="none"/>
          </v:line>
        </w:pict>
      </w:r>
      <w:r>
        <w:rPr>
          <w:rFonts w:ascii="Cambria Math" w:eastAsia="Cambria Math"/>
          <w:position w:val="16"/>
        </w:rPr>
        <w:t>=</w:t>
        <w:tab/>
      </w:r>
      <w:r>
        <w:rPr>
          <w:rFonts w:ascii="Cambria Math" w:eastAsia="Cambria Math"/>
        </w:rPr>
        <w:t>𝑣𝑒𝑛𝑡𝑎𝑠</w:t>
      </w:r>
    </w:p>
    <w:p>
      <w:pPr>
        <w:pStyle w:val="BodyText"/>
        <w:rPr>
          <w:rFonts w:ascii="Cambria Math"/>
          <w:sz w:val="19"/>
        </w:rPr>
      </w:pPr>
    </w:p>
    <w:p>
      <w:pPr>
        <w:pStyle w:val="Heading2"/>
        <w:numPr>
          <w:ilvl w:val="4"/>
          <w:numId w:val="12"/>
        </w:numPr>
        <w:tabs>
          <w:tab w:pos="1119" w:val="left" w:leader="none"/>
        </w:tabs>
        <w:spacing w:line="240" w:lineRule="auto" w:before="70" w:after="0"/>
        <w:ind w:left="1118" w:right="0" w:hanging="1008"/>
        <w:jc w:val="both"/>
      </w:pPr>
      <w:bookmarkStart w:name="_TOC_250049" w:id="18"/>
      <w:bookmarkEnd w:id="18"/>
      <w:r>
        <w:rPr/>
        <w:t>Margen de utilidad operativa.</w:t>
      </w:r>
    </w:p>
    <w:p>
      <w:pPr>
        <w:pStyle w:val="BodyText"/>
        <w:spacing w:line="360" w:lineRule="auto" w:before="137"/>
        <w:ind w:left="110" w:right="108"/>
        <w:jc w:val="both"/>
      </w:pPr>
      <w:r>
        <w:rPr/>
        <w:t>Evalúa el porcentaje de cada dólar de ventas que queda después de que se dedujeron todos los costos y gastos, excluyendo los intereses, impuestos y dividendos de acciones preferentes. Representa las “utilidades puras” ganadas sobre cada dólar de ventas. La utilidad operativa es “pura” porque mide sólo </w:t>
      </w:r>
      <w:r>
        <w:rPr>
          <w:spacing w:val="63"/>
        </w:rPr>
        <w:t> </w:t>
      </w:r>
      <w:r>
        <w:rPr/>
        <w:t>la</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utilidad ganada en las operaciones e ignora los intereses, los impuestos y los dividendos de acciones preferentes. Es preferible un margen de utilidad operativa alto. El margen de utilidad se calcula de la manera siguiente:</w:t>
      </w:r>
    </w:p>
    <w:p>
      <w:pPr>
        <w:pStyle w:val="BodyText"/>
        <w:rPr>
          <w:sz w:val="10"/>
        </w:rPr>
      </w:pPr>
    </w:p>
    <w:p>
      <w:pPr>
        <w:spacing w:after="0"/>
        <w:rPr>
          <w:sz w:val="10"/>
        </w:rPr>
        <w:sectPr>
          <w:footerReference w:type="default" r:id="rId18"/>
          <w:pgSz w:w="11910" w:h="16840"/>
          <w:pgMar w:footer="724" w:header="0" w:top="960" w:bottom="920" w:left="1600" w:right="1580"/>
          <w:pgNumType w:start="31"/>
        </w:sectPr>
      </w:pPr>
    </w:p>
    <w:p>
      <w:pPr>
        <w:pStyle w:val="BodyText"/>
        <w:spacing w:before="8"/>
        <w:rPr>
          <w:sz w:val="21"/>
        </w:rPr>
      </w:pPr>
    </w:p>
    <w:p>
      <w:pPr>
        <w:pStyle w:val="BodyText"/>
        <w:ind w:left="1563"/>
        <w:rPr>
          <w:rFonts w:ascii="Cambria Math" w:eastAsia="Cambria Math"/>
        </w:rPr>
      </w:pPr>
      <w:r>
        <w:rPr>
          <w:rFonts w:ascii="Cambria Math" w:eastAsia="Cambria Math"/>
          <w:spacing w:val="-29"/>
        </w:rPr>
        <w:t>𝑀𝑎𝑟𝑔𝑒𝑛 </w:t>
      </w:r>
      <w:r>
        <w:rPr>
          <w:rFonts w:ascii="Cambria Math" w:eastAsia="Cambria Math"/>
          <w:spacing w:val="-28"/>
        </w:rPr>
        <w:t>𝑑𝑒 </w:t>
      </w:r>
      <w:r>
        <w:rPr>
          <w:rFonts w:ascii="Cambria Math" w:eastAsia="Cambria Math"/>
          <w:spacing w:val="-43"/>
        </w:rPr>
        <w:t>𝑢𝑡𝑖𝑙𝑖𝑑𝑎𝑑 </w:t>
      </w:r>
      <w:r>
        <w:rPr>
          <w:rFonts w:ascii="Cambria Math" w:eastAsia="Cambria Math"/>
          <w:spacing w:val="-105"/>
        </w:rPr>
        <w:t>𝑜𝑝𝑒𝑟𝑎𝑡𝑖𝑣𝑎</w:t>
      </w:r>
      <w:r>
        <w:rPr>
          <w:rFonts w:ascii="Cambria Math" w:eastAsia="Cambria Math"/>
          <w:spacing w:val="-12"/>
        </w:rPr>
        <w:t> </w:t>
      </w:r>
      <w:r>
        <w:rPr>
          <w:rFonts w:ascii="Cambria Math" w:eastAsia="Cambria Math"/>
          <w:spacing w:val="-104"/>
        </w:rPr>
        <w:t>=</w:t>
      </w:r>
    </w:p>
    <w:p>
      <w:pPr>
        <w:pStyle w:val="BodyText"/>
        <w:spacing w:before="67"/>
        <w:ind w:left="489" w:right="1976"/>
        <w:jc w:val="center"/>
        <w:rPr>
          <w:rFonts w:ascii="Cambria Math" w:eastAsia="Cambria Math"/>
        </w:rPr>
      </w:pPr>
      <w:r>
        <w:rPr/>
        <w:br w:type="column"/>
      </w:r>
      <w:r>
        <w:rPr>
          <w:rFonts w:ascii="Cambria Math" w:eastAsia="Cambria Math"/>
          <w:spacing w:val="-107"/>
        </w:rPr>
        <w:t>𝑢𝑡𝑖𝑙𝑖𝑑𝑎𝑑</w:t>
      </w:r>
      <w:r>
        <w:rPr>
          <w:rFonts w:ascii="Cambria Math" w:eastAsia="Cambria Math"/>
          <w:spacing w:val="-51"/>
        </w:rPr>
        <w:t> </w:t>
      </w:r>
      <w:r>
        <w:rPr>
          <w:rFonts w:ascii="Cambria Math" w:eastAsia="Cambria Math"/>
          <w:spacing w:val="-113"/>
        </w:rPr>
        <w:t>𝑜𝑝𝑒𝑟𝑎𝑡𝑖𝑣𝑎</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00.85pt;height:.75pt;mso-position-horizontal-relative:char;mso-position-vertical-relative:line" coordorigin="0,0" coordsize="2017,15">
            <v:line style="position:absolute" from="8,8" to="2009,8" stroked="true" strokeweight=".72pt" strokecolor="#000000"/>
          </v:group>
        </w:pict>
      </w:r>
      <w:r>
        <w:rPr>
          <w:rFonts w:ascii="Cambria Math"/>
          <w:sz w:val="2"/>
        </w:rPr>
      </w:r>
    </w:p>
    <w:p>
      <w:pPr>
        <w:pStyle w:val="BodyText"/>
        <w:ind w:left="489" w:right="1975"/>
        <w:jc w:val="center"/>
        <w:rPr>
          <w:rFonts w:ascii="Cambria Math" w:eastAsia="Cambria Math"/>
        </w:rPr>
      </w:pPr>
      <w:r>
        <w:rPr>
          <w:rFonts w:ascii="Cambria Math" w:eastAsia="Cambria Math"/>
          <w:spacing w:val="-77"/>
        </w:rPr>
        <w:t>𝑣𝑒𝑛𝑡𝑎𝑠</w:t>
      </w:r>
    </w:p>
    <w:p>
      <w:pPr>
        <w:spacing w:after="0"/>
        <w:jc w:val="center"/>
        <w:rPr>
          <w:rFonts w:ascii="Cambria Math" w:eastAsia="Cambria Math"/>
        </w:rPr>
        <w:sectPr>
          <w:type w:val="continuous"/>
          <w:pgSz w:w="11910" w:h="16840"/>
          <w:pgMar w:top="1380" w:bottom="280" w:left="1600" w:right="1580"/>
          <w:cols w:num="2" w:equalWidth="0">
            <w:col w:w="5041" w:space="40"/>
            <w:col w:w="3649"/>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4"/>
          <w:numId w:val="12"/>
        </w:numPr>
        <w:tabs>
          <w:tab w:pos="1119" w:val="left" w:leader="none"/>
        </w:tabs>
        <w:spacing w:line="240" w:lineRule="auto" w:before="199" w:after="0"/>
        <w:ind w:left="1118" w:right="0" w:hanging="1008"/>
        <w:jc w:val="both"/>
        <w:rPr>
          <w:i/>
        </w:rPr>
      </w:pPr>
      <w:bookmarkStart w:name="_TOC_250048" w:id="19"/>
      <w:bookmarkEnd w:id="19"/>
      <w:r>
        <w:rPr>
          <w:i/>
        </w:rPr>
        <w:t>Margen de utilidad neta.</w:t>
      </w:r>
    </w:p>
    <w:p>
      <w:pPr>
        <w:pStyle w:val="BodyText"/>
        <w:spacing w:line="360" w:lineRule="auto" w:before="141"/>
        <w:ind w:left="110" w:right="108"/>
        <w:jc w:val="both"/>
      </w:pPr>
      <w:r>
        <w:rPr/>
        <w:t>Permite cuantificar el porcentaje de cada dólar de ventas que queda después de que se dedujeron todos los costos y gastos, incluyendo intereses, impuestos y dividendos de acciones preferentes. Cuánto más alto es el margen de utilidad neta de la empresa, mejor. El margen de utilidad neta se calcula de la manera siguiente:</w:t>
      </w:r>
    </w:p>
    <w:p>
      <w:pPr>
        <w:pStyle w:val="BodyText"/>
      </w:pPr>
    </w:p>
    <w:p>
      <w:pPr>
        <w:pStyle w:val="BodyText"/>
      </w:pPr>
    </w:p>
    <w:p>
      <w:pPr>
        <w:pStyle w:val="BodyText"/>
        <w:spacing w:before="4"/>
        <w:rPr>
          <w:sz w:val="23"/>
        </w:rPr>
      </w:pPr>
    </w:p>
    <w:p>
      <w:pPr>
        <w:pStyle w:val="BodyText"/>
        <w:ind w:left="669"/>
        <w:rPr>
          <w:rFonts w:ascii="Cambria Math" w:eastAsia="Cambria Math"/>
        </w:rPr>
      </w:pPr>
      <w:r>
        <w:rPr>
          <w:rFonts w:ascii="Cambria Math" w:eastAsia="Cambria Math"/>
          <w:spacing w:val="-104"/>
        </w:rPr>
        <w:t>𝑀𝑎𝑟𝑔𝑒𝑛</w:t>
      </w:r>
      <w:r>
        <w:rPr>
          <w:rFonts w:ascii="Cambria Math" w:eastAsia="Cambria Math"/>
          <w:spacing w:val="-30"/>
        </w:rPr>
        <w:t> </w:t>
      </w:r>
      <w:r>
        <w:rPr>
          <w:rFonts w:ascii="Cambria Math" w:eastAsia="Cambria Math"/>
          <w:spacing w:val="-104"/>
        </w:rPr>
        <w:t>𝑑𝑒</w:t>
      </w:r>
      <w:r>
        <w:rPr>
          <w:rFonts w:ascii="Cambria Math" w:eastAsia="Cambria Math"/>
          <w:spacing w:val="-30"/>
        </w:rPr>
        <w:t> </w:t>
      </w:r>
      <w:r>
        <w:rPr>
          <w:rFonts w:ascii="Cambria Math" w:eastAsia="Cambria Math"/>
          <w:spacing w:val="-104"/>
        </w:rPr>
        <w:t>𝑢𝑡𝑖𝑙𝑖𝑑𝑎𝑑</w:t>
      </w:r>
      <w:r>
        <w:rPr>
          <w:rFonts w:ascii="Cambria Math" w:eastAsia="Cambria Math"/>
          <w:spacing w:val="-29"/>
        </w:rPr>
        <w:t> </w:t>
      </w:r>
      <w:r>
        <w:rPr>
          <w:rFonts w:ascii="Cambria Math" w:eastAsia="Cambria Math"/>
          <w:spacing w:val="-103"/>
        </w:rPr>
        <w:t>𝑛𝑒𝑡𝑎</w:t>
      </w:r>
    </w:p>
    <w:p>
      <w:pPr>
        <w:pStyle w:val="BodyText"/>
        <w:spacing w:line="216" w:lineRule="exact" w:before="112"/>
        <w:ind w:left="2407"/>
        <w:rPr>
          <w:rFonts w:ascii="Cambria Math" w:eastAsia="Cambria Math"/>
        </w:rPr>
      </w:pPr>
      <w:r>
        <w:rPr>
          <w:rFonts w:ascii="Cambria Math" w:eastAsia="Cambria Math"/>
          <w:spacing w:val="-104"/>
        </w:rPr>
        <w:t>𝑔𝑎𝑛𝑎𝑛𝑐𝑖𝑎𝑠</w:t>
      </w:r>
      <w:r>
        <w:rPr>
          <w:rFonts w:ascii="Cambria Math" w:eastAsia="Cambria Math"/>
          <w:spacing w:val="-34"/>
        </w:rPr>
        <w:t> </w:t>
      </w:r>
      <w:r>
        <w:rPr>
          <w:rFonts w:ascii="Cambria Math" w:eastAsia="Cambria Math"/>
          <w:spacing w:val="-104"/>
        </w:rPr>
        <w:t>𝑑𝑖𝑠𝑝𝑜𝑛𝑖𝑏𝑙𝑒𝑠</w:t>
      </w:r>
      <w:r>
        <w:rPr>
          <w:rFonts w:ascii="Cambria Math" w:eastAsia="Cambria Math"/>
          <w:spacing w:val="-33"/>
        </w:rPr>
        <w:t> </w:t>
      </w:r>
      <w:r>
        <w:rPr>
          <w:rFonts w:ascii="Cambria Math" w:eastAsia="Cambria Math"/>
          <w:spacing w:val="-103"/>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4866" w:val="left" w:leader="none"/>
        </w:tabs>
        <w:spacing w:line="406" w:lineRule="exact"/>
        <w:ind w:left="2109"/>
        <w:rPr>
          <w:rFonts w:ascii="Cambria Math" w:eastAsia="Cambria Math"/>
        </w:rPr>
      </w:pPr>
      <w:r>
        <w:rPr/>
        <w:pict>
          <v:line style="position:absolute;mso-position-horizontal-relative:page;mso-position-vertical-relative:paragraph;z-index:-243496" from="200.503906pt,6.245947pt" to="482.983906pt,6.245947pt" stroked="true" strokeweight=".72pt" strokecolor="#000000">
            <w10:wrap type="none"/>
          </v:line>
        </w:pict>
      </w:r>
      <w:r>
        <w:rPr>
          <w:rFonts w:ascii="Cambria Math" w:eastAsia="Cambria Math"/>
          <w:position w:val="16"/>
        </w:rPr>
        <w:t>=</w:t>
        <w:tab/>
      </w:r>
      <w:r>
        <w:rPr>
          <w:rFonts w:ascii="Cambria Math" w:eastAsia="Cambria Math"/>
        </w:rPr>
        <w:t>𝑣𝑒𝑛𝑡𝑎𝑠</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3"/>
        </w:numPr>
        <w:tabs>
          <w:tab w:pos="975" w:val="left" w:leader="none"/>
        </w:tabs>
        <w:spacing w:line="240" w:lineRule="auto" w:before="203" w:after="0"/>
        <w:ind w:left="974" w:right="0" w:hanging="864"/>
        <w:jc w:val="both"/>
        <w:rPr>
          <w:i/>
        </w:rPr>
      </w:pPr>
      <w:bookmarkStart w:name="_TOC_250047" w:id="20"/>
      <w:bookmarkEnd w:id="20"/>
      <w:r>
        <w:rPr>
          <w:i/>
        </w:rPr>
        <w:t>Ganancias por acciones (EPS).</w:t>
      </w:r>
    </w:p>
    <w:p>
      <w:pPr>
        <w:pStyle w:val="BodyText"/>
        <w:spacing w:line="357" w:lineRule="auto" w:before="141"/>
        <w:ind w:left="110" w:right="108"/>
        <w:jc w:val="both"/>
      </w:pPr>
      <w:r>
        <w:rPr/>
        <w:t>Las ganancias por acción (EPS, por sus siglas en inglés </w:t>
      </w:r>
      <w:r>
        <w:rPr>
          <w:i/>
        </w:rPr>
        <w:t>earnings per share</w:t>
      </w:r>
      <w:r>
        <w:rPr/>
        <w:t>) de la empresa son importantes para los accionistas ya que representan el monto en dólares por acción; se calcula de la manera siguiente:</w:t>
      </w:r>
    </w:p>
    <w:p>
      <w:pPr>
        <w:pStyle w:val="BodyText"/>
        <w:spacing w:before="3"/>
        <w:rPr>
          <w:sz w:val="10"/>
        </w:rPr>
      </w:pPr>
    </w:p>
    <w:p>
      <w:pPr>
        <w:spacing w:after="0"/>
        <w:rPr>
          <w:sz w:val="10"/>
        </w:rPr>
        <w:sectPr>
          <w:type w:val="continuous"/>
          <w:pgSz w:w="11910" w:h="16840"/>
          <w:pgMar w:top="1380" w:bottom="280" w:left="1600" w:right="1580"/>
        </w:sectPr>
      </w:pPr>
    </w:p>
    <w:p>
      <w:pPr>
        <w:pStyle w:val="BodyText"/>
        <w:spacing w:before="7"/>
        <w:rPr>
          <w:sz w:val="21"/>
        </w:rPr>
      </w:pPr>
    </w:p>
    <w:p>
      <w:pPr>
        <w:pStyle w:val="BodyText"/>
        <w:spacing w:before="1"/>
        <w:ind w:left="302"/>
        <w:rPr>
          <w:rFonts w:ascii="Cambria Math" w:hAnsi="Cambria Math" w:eastAsia="Cambria Math"/>
        </w:rPr>
      </w:pPr>
      <w:r>
        <w:rPr>
          <w:rFonts w:ascii="Cambria Math" w:hAnsi="Cambria Math" w:eastAsia="Cambria Math"/>
          <w:spacing w:val="-105"/>
        </w:rPr>
        <w:t>𝐺𝑎𝑛𝑎𝑛𝑐𝑖𝑎𝑠</w:t>
      </w:r>
      <w:r>
        <w:rPr>
          <w:rFonts w:ascii="Cambria Math" w:hAnsi="Cambria Math" w:eastAsia="Cambria Math"/>
          <w:spacing w:val="-51"/>
        </w:rPr>
        <w:t> </w:t>
      </w:r>
      <w:r>
        <w:rPr>
          <w:rFonts w:ascii="Cambria Math" w:hAnsi="Cambria Math" w:eastAsia="Cambria Math"/>
          <w:spacing w:val="-97"/>
        </w:rPr>
        <w:t>𝑝𝑜𝑟</w:t>
      </w:r>
      <w:r>
        <w:rPr>
          <w:rFonts w:ascii="Cambria Math" w:hAnsi="Cambria Math" w:eastAsia="Cambria Math"/>
          <w:spacing w:val="-22"/>
        </w:rPr>
        <w:t> </w:t>
      </w:r>
      <w:r>
        <w:rPr>
          <w:rFonts w:ascii="Cambria Math" w:hAnsi="Cambria Math" w:eastAsia="Cambria Math"/>
          <w:spacing w:val="-97"/>
        </w:rPr>
        <w:t>𝑎𝑐𝑐𝑖ó𝑛:</w:t>
      </w:r>
    </w:p>
    <w:p>
      <w:pPr>
        <w:pStyle w:val="BodyText"/>
        <w:spacing w:before="67"/>
        <w:ind w:left="164" w:right="415"/>
        <w:jc w:val="center"/>
        <w:rPr>
          <w:rFonts w:ascii="Cambria Math" w:eastAsia="Cambria Math"/>
        </w:rPr>
      </w:pPr>
      <w:r>
        <w:rPr/>
        <w:br w:type="column"/>
      </w:r>
      <w:r>
        <w:rPr>
          <w:rFonts w:ascii="Cambria Math" w:eastAsia="Cambria Math"/>
          <w:spacing w:val="-105"/>
        </w:rPr>
        <w:t>𝑔𝑎𝑛𝑎𝑛𝑐𝑖𝑎𝑠</w:t>
      </w:r>
      <w:r>
        <w:rPr>
          <w:rFonts w:ascii="Cambria Math" w:eastAsia="Cambria Math"/>
          <w:spacing w:val="-34"/>
        </w:rPr>
        <w:t> </w:t>
      </w:r>
      <w:r>
        <w:rPr>
          <w:rFonts w:ascii="Cambria Math" w:eastAsia="Cambria Math"/>
          <w:spacing w:val="-105"/>
        </w:rPr>
        <w:t>𝑑𝑖𝑠𝑝𝑜𝑛𝑖𝑏𝑙𝑒𝑠</w:t>
      </w:r>
      <w:r>
        <w:rPr>
          <w:rFonts w:ascii="Cambria Math" w:eastAsia="Cambria Math"/>
          <w:spacing w:val="-51"/>
        </w:rPr>
        <w:t> </w:t>
      </w:r>
      <w:r>
        <w:rPr>
          <w:rFonts w:ascii="Cambria Math" w:eastAsia="Cambria Math"/>
          <w:spacing w:val="-94"/>
        </w:rPr>
        <w:t>𝑝𝑎𝑟𝑎</w:t>
      </w:r>
      <w:r>
        <w:rPr>
          <w:rFonts w:ascii="Cambria Math" w:eastAsia="Cambria Math"/>
          <w:spacing w:val="-33"/>
        </w:rPr>
        <w:t> </w:t>
      </w:r>
      <w:r>
        <w:rPr>
          <w:rFonts w:ascii="Cambria Math" w:eastAsia="Cambria Math"/>
          <w:spacing w:val="-94"/>
        </w:rPr>
        <w:t>𝑙𝑜𝑠</w:t>
      </w:r>
      <w:r>
        <w:rPr>
          <w:rFonts w:ascii="Cambria Math" w:eastAsia="Cambria Math"/>
          <w:spacing w:val="-33"/>
        </w:rPr>
        <w:t> </w:t>
      </w:r>
      <w:r>
        <w:rPr>
          <w:rFonts w:ascii="Cambria Math" w:eastAsia="Cambria Math"/>
          <w:spacing w:val="-94"/>
        </w:rPr>
        <w:t>𝑎𝑐𝑐𝑖𝑜𝑛𝑖𝑠𝑡𝑎𝑠</w:t>
      </w:r>
      <w:r>
        <w:rPr>
          <w:rFonts w:ascii="Cambria Math" w:eastAsia="Cambria Math"/>
          <w:spacing w:val="-51"/>
        </w:rPr>
        <w:t> </w:t>
      </w:r>
      <w:r>
        <w:rPr>
          <w:rFonts w:ascii="Cambria Math" w:eastAsia="Cambria Math"/>
        </w:rPr>
        <w:t>𝑐𝑜𝑚𝑢𝑛𝑒𝑠</w:t>
      </w:r>
    </w:p>
    <w:p>
      <w:pPr>
        <w:pStyle w:val="BodyText"/>
        <w:spacing w:before="5"/>
        <w:rPr>
          <w:rFonts w:ascii="Cambria Math"/>
          <w:sz w:val="4"/>
        </w:rPr>
      </w:pPr>
    </w:p>
    <w:p>
      <w:pPr>
        <w:pStyle w:val="BodyText"/>
        <w:spacing w:line="20" w:lineRule="exact"/>
        <w:ind w:left="45"/>
        <w:rPr>
          <w:rFonts w:ascii="Cambria Math"/>
          <w:sz w:val="2"/>
        </w:rPr>
      </w:pPr>
      <w:r>
        <w:rPr>
          <w:rFonts w:ascii="Cambria Math"/>
          <w:sz w:val="2"/>
        </w:rPr>
        <w:pict>
          <v:group style="width:283.25pt;height:.75pt;mso-position-horizontal-relative:char;mso-position-vertical-relative:line" coordorigin="0,0" coordsize="5665,15">
            <v:line style="position:absolute" from="8,8" to="5657,8" stroked="true" strokeweight=".72pt" strokecolor="#000000"/>
          </v:group>
        </w:pict>
      </w:r>
      <w:r>
        <w:rPr>
          <w:rFonts w:ascii="Cambria Math"/>
          <w:sz w:val="2"/>
        </w:rPr>
      </w:r>
    </w:p>
    <w:p>
      <w:pPr>
        <w:pStyle w:val="BodyText"/>
        <w:ind w:left="164" w:right="415"/>
        <w:jc w:val="center"/>
        <w:rPr>
          <w:rFonts w:ascii="Cambria Math" w:hAnsi="Cambria Math" w:eastAsia="Cambria Math"/>
        </w:rPr>
      </w:pPr>
      <w:r>
        <w:rPr>
          <w:rFonts w:ascii="Cambria Math" w:hAnsi="Cambria Math" w:eastAsia="Cambria Math"/>
          <w:spacing w:val="-102"/>
        </w:rPr>
        <w:t>𝑛ú𝑚𝑒𝑟𝑜</w:t>
      </w:r>
      <w:r>
        <w:rPr>
          <w:rFonts w:ascii="Cambria Math" w:hAnsi="Cambria Math" w:eastAsia="Cambria Math"/>
          <w:spacing w:val="-33"/>
        </w:rPr>
        <w:t> </w:t>
      </w:r>
      <w:r>
        <w:rPr>
          <w:rFonts w:ascii="Cambria Math" w:hAnsi="Cambria Math" w:eastAsia="Cambria Math"/>
          <w:spacing w:val="-101"/>
        </w:rPr>
        <w:t>𝑑𝑒</w:t>
      </w:r>
      <w:r>
        <w:rPr>
          <w:rFonts w:ascii="Cambria Math" w:hAnsi="Cambria Math" w:eastAsia="Cambria Math"/>
          <w:spacing w:val="-33"/>
        </w:rPr>
        <w:t> </w:t>
      </w:r>
      <w:r>
        <w:rPr>
          <w:rFonts w:ascii="Cambria Math" w:hAnsi="Cambria Math" w:eastAsia="Cambria Math"/>
          <w:spacing w:val="-101"/>
        </w:rPr>
        <w:t>𝑎𝑐𝑐𝑖𝑜𝑛𝑒𝑠</w:t>
      </w:r>
      <w:r>
        <w:rPr>
          <w:rFonts w:ascii="Cambria Math" w:hAnsi="Cambria Math" w:eastAsia="Cambria Math"/>
          <w:spacing w:val="-34"/>
        </w:rPr>
        <w:t> </w:t>
      </w:r>
      <w:r>
        <w:rPr>
          <w:rFonts w:ascii="Cambria Math" w:hAnsi="Cambria Math" w:eastAsia="Cambria Math"/>
          <w:spacing w:val="-101"/>
        </w:rPr>
        <w:t>𝑐𝑜𝑚𝑢𝑛𝑒𝑠</w:t>
      </w:r>
      <w:r>
        <w:rPr>
          <w:rFonts w:ascii="Cambria Math" w:hAnsi="Cambria Math" w:eastAsia="Cambria Math"/>
          <w:spacing w:val="-51"/>
        </w:rPr>
        <w:t> </w:t>
      </w:r>
      <w:r>
        <w:rPr>
          <w:rFonts w:ascii="Cambria Math" w:hAnsi="Cambria Math" w:eastAsia="Cambria Math"/>
          <w:spacing w:val="-103"/>
        </w:rPr>
        <w:t>𝑒𝑛</w:t>
      </w:r>
      <w:r>
        <w:rPr>
          <w:rFonts w:ascii="Cambria Math" w:hAnsi="Cambria Math" w:eastAsia="Cambria Math"/>
          <w:spacing w:val="-27"/>
        </w:rPr>
        <w:t> </w:t>
      </w:r>
      <w:r>
        <w:rPr>
          <w:rFonts w:ascii="Cambria Math" w:hAnsi="Cambria Math" w:eastAsia="Cambria Math"/>
          <w:spacing w:val="-103"/>
        </w:rPr>
        <w:t>𝑐𝑖𝑟𝑐𝑢𝑙𝑎𝑐𝑖ó𝑛</w:t>
      </w:r>
    </w:p>
    <w:p>
      <w:pPr>
        <w:spacing w:after="0"/>
        <w:jc w:val="center"/>
        <w:rPr>
          <w:rFonts w:ascii="Cambria Math" w:hAnsi="Cambria Math" w:eastAsia="Cambria Math"/>
        </w:rPr>
        <w:sectPr>
          <w:type w:val="continuous"/>
          <w:pgSz w:w="11910" w:h="16840"/>
          <w:pgMar w:top="1380" w:bottom="280" w:left="1600" w:right="1580"/>
          <w:cols w:num="2" w:equalWidth="0">
            <w:col w:w="2682" w:space="40"/>
            <w:col w:w="6008"/>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3"/>
        </w:numPr>
        <w:tabs>
          <w:tab w:pos="975" w:val="left" w:leader="none"/>
        </w:tabs>
        <w:spacing w:line="240" w:lineRule="auto" w:before="203" w:after="0"/>
        <w:ind w:left="974" w:right="0" w:hanging="864"/>
        <w:jc w:val="both"/>
        <w:rPr>
          <w:i/>
        </w:rPr>
      </w:pPr>
      <w:bookmarkStart w:name="_TOC_250046" w:id="21"/>
      <w:bookmarkEnd w:id="21"/>
      <w:r>
        <w:rPr>
          <w:i/>
        </w:rPr>
        <w:t>Rendimiento sobre los activos totales (ROA)</w:t>
      </w:r>
    </w:p>
    <w:p>
      <w:pPr>
        <w:pStyle w:val="BodyText"/>
        <w:spacing w:line="360" w:lineRule="auto" w:before="137"/>
        <w:ind w:left="110" w:right="108"/>
        <w:jc w:val="both"/>
      </w:pPr>
      <w:r>
        <w:rPr/>
        <w:t>El rendimiento sobre los activos totales (ROA, por sus siglas en inglés</w:t>
      </w:r>
      <w:r>
        <w:rPr>
          <w:i/>
        </w:rPr>
        <w:t>, return  </w:t>
      </w:r>
      <w:r>
        <w:rPr>
          <w:i/>
        </w:rPr>
        <w:t>on total assets), </w:t>
      </w:r>
      <w:r>
        <w:rPr/>
        <w:t>denominado con frecuencia retorno de la inversión (ROI, por sus siglas en inglés, </w:t>
      </w:r>
      <w:r>
        <w:rPr>
          <w:i/>
        </w:rPr>
        <w:t>return on investment), </w:t>
      </w:r>
      <w:r>
        <w:rPr/>
        <w:t>mide la eficacia general de la administración para generar utilidades con sus activos disponibles. Cuanto</w:t>
      </w:r>
      <w:r>
        <w:rPr>
          <w:spacing w:val="26"/>
        </w:rPr>
        <w:t> </w:t>
      </w:r>
      <w:r>
        <w:rPr/>
        <w:t>más</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BodyText"/>
        <w:spacing w:line="355" w:lineRule="auto"/>
        <w:ind w:left="110"/>
      </w:pPr>
      <w:r>
        <w:rPr/>
        <w:t>alto es el rendimiento sobre los activos totales de la empresa, mejor. El rendimiento sobre los activos totales se calcula de la manera siguiente:</w:t>
      </w:r>
    </w:p>
    <w:p>
      <w:pPr>
        <w:pStyle w:val="BodyText"/>
        <w:spacing w:before="9"/>
        <w:rPr>
          <w:sz w:val="18"/>
        </w:rPr>
      </w:pPr>
    </w:p>
    <w:p>
      <w:pPr>
        <w:pStyle w:val="BodyText"/>
        <w:ind w:left="669"/>
        <w:rPr>
          <w:rFonts w:ascii="Cambria Math" w:eastAsia="Cambria Math"/>
        </w:rPr>
      </w:pPr>
      <w:r>
        <w:rPr>
          <w:rFonts w:ascii="Cambria Math" w:eastAsia="Cambria Math"/>
          <w:spacing w:val="-85"/>
        </w:rPr>
        <w:t>𝑟𝑒𝑛𝑑𝑖𝑚𝑖𝑒𝑛𝑡𝑜</w:t>
      </w:r>
      <w:r>
        <w:rPr>
          <w:rFonts w:ascii="Cambria Math" w:eastAsia="Cambria Math"/>
          <w:spacing w:val="-34"/>
        </w:rPr>
        <w:t> </w:t>
      </w:r>
      <w:r>
        <w:rPr>
          <w:rFonts w:ascii="Cambria Math" w:eastAsia="Cambria Math"/>
          <w:spacing w:val="-85"/>
        </w:rPr>
        <w:t>𝑠𝑜𝑏𝑟𝑒</w:t>
      </w:r>
      <w:r>
        <w:rPr>
          <w:rFonts w:ascii="Cambria Math" w:eastAsia="Cambria Math"/>
          <w:spacing w:val="-34"/>
        </w:rPr>
        <w:t> </w:t>
      </w:r>
      <w:r>
        <w:rPr>
          <w:rFonts w:ascii="Cambria Math" w:eastAsia="Cambria Math"/>
          <w:spacing w:val="-85"/>
        </w:rPr>
        <w:t>𝑙𝑜𝑠</w:t>
      </w:r>
      <w:r>
        <w:rPr>
          <w:rFonts w:ascii="Cambria Math" w:eastAsia="Cambria Math"/>
          <w:spacing w:val="-34"/>
        </w:rPr>
        <w:t> </w:t>
      </w:r>
      <w:r>
        <w:rPr>
          <w:rFonts w:ascii="Cambria Math" w:eastAsia="Cambria Math"/>
          <w:spacing w:val="-85"/>
        </w:rPr>
        <w:t>𝑎𝑐𝑡𝑖𝑣𝑜𝑠 </w:t>
      </w:r>
      <w:r>
        <w:rPr>
          <w:rFonts w:ascii="Cambria Math" w:eastAsia="Cambria Math"/>
        </w:rPr>
        <w:t>𝑡𝑜𝑡𝑎𝑙𝑒𝑠</w:t>
      </w:r>
    </w:p>
    <w:p>
      <w:pPr>
        <w:pStyle w:val="BodyText"/>
        <w:spacing w:line="216" w:lineRule="exact" w:before="112"/>
        <w:ind w:left="2407"/>
        <w:rPr>
          <w:rFonts w:ascii="Cambria Math" w:eastAsia="Cambria Math"/>
        </w:rPr>
      </w:pPr>
      <w:r>
        <w:rPr>
          <w:rFonts w:ascii="Cambria Math" w:eastAsia="Cambria Math"/>
          <w:spacing w:val="-104"/>
        </w:rPr>
        <w:t>𝑔𝑎𝑛𝑎𝑛𝑐𝑖𝑎𝑠</w:t>
      </w:r>
      <w:r>
        <w:rPr>
          <w:rFonts w:ascii="Cambria Math" w:eastAsia="Cambria Math"/>
          <w:spacing w:val="-34"/>
        </w:rPr>
        <w:t> </w:t>
      </w:r>
      <w:r>
        <w:rPr>
          <w:rFonts w:ascii="Cambria Math" w:eastAsia="Cambria Math"/>
          <w:spacing w:val="-104"/>
        </w:rPr>
        <w:t>𝑑𝑖𝑠𝑝𝑜𝑛𝑖𝑏𝑙𝑒𝑠</w:t>
      </w:r>
      <w:r>
        <w:rPr>
          <w:rFonts w:ascii="Cambria Math" w:eastAsia="Cambria Math"/>
          <w:spacing w:val="-33"/>
        </w:rPr>
        <w:t> </w:t>
      </w:r>
      <w:r>
        <w:rPr>
          <w:rFonts w:ascii="Cambria Math" w:eastAsia="Cambria Math"/>
          <w:spacing w:val="-103"/>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4385" w:val="left" w:leader="none"/>
        </w:tabs>
        <w:spacing w:line="406" w:lineRule="exact"/>
        <w:ind w:left="2109"/>
        <w:rPr>
          <w:rFonts w:ascii="Cambria Math" w:eastAsia="Cambria Math"/>
        </w:rPr>
      </w:pPr>
      <w:r>
        <w:rPr/>
        <w:pict>
          <v:line style="position:absolute;mso-position-horizontal-relative:page;mso-position-vertical-relative:paragraph;z-index:-243448" from="200.503906pt,6.245947pt" to="482.983906pt,6.245947pt" stroked="true" strokeweight=".72pt" strokecolor="#000000">
            <w10:wrap type="none"/>
          </v:line>
        </w:pict>
      </w:r>
      <w:r>
        <w:rPr>
          <w:rFonts w:ascii="Cambria Math" w:eastAsia="Cambria Math"/>
          <w:position w:val="16"/>
        </w:rPr>
        <w:t>=</w:t>
        <w:tab/>
      </w: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numPr>
          <w:ilvl w:val="3"/>
          <w:numId w:val="13"/>
        </w:numPr>
        <w:tabs>
          <w:tab w:pos="975" w:val="left" w:leader="none"/>
        </w:tabs>
        <w:spacing w:line="240" w:lineRule="auto" w:before="203" w:after="0"/>
        <w:ind w:left="974" w:right="0" w:hanging="864"/>
        <w:jc w:val="both"/>
        <w:rPr>
          <w:i/>
        </w:rPr>
      </w:pPr>
      <w:bookmarkStart w:name="_TOC_250045" w:id="22"/>
      <w:bookmarkEnd w:id="22"/>
      <w:r>
        <w:rPr>
          <w:i/>
        </w:rPr>
        <w:t>Retorno sobre el patrimonio (ROE).</w:t>
      </w:r>
    </w:p>
    <w:p>
      <w:pPr>
        <w:pStyle w:val="BodyText"/>
        <w:spacing w:line="360" w:lineRule="auto" w:before="137"/>
        <w:ind w:left="110" w:right="108"/>
        <w:jc w:val="both"/>
      </w:pPr>
      <w:r>
        <w:rPr/>
        <w:t>El retorno sobre el patrimonio (ROE, por sus siglas en inglés</w:t>
      </w:r>
      <w:r>
        <w:rPr>
          <w:i/>
        </w:rPr>
        <w:t>, return on  </w:t>
      </w:r>
      <w:r>
        <w:rPr>
          <w:i/>
        </w:rPr>
        <w:t>common equity</w:t>
      </w:r>
      <w:r>
        <w:rPr/>
        <w:t>) mide el retorno ganado sobre la inversión de los accionistas comunes en la empresa. Generalmente, cuanto más alto es este rendimiento, más ganan los propietarios. El retorno sobre el patrimonio de calcula de la manera siguiente:</w:t>
      </w:r>
    </w:p>
    <w:p>
      <w:pPr>
        <w:pStyle w:val="BodyText"/>
        <w:spacing w:before="5"/>
        <w:rPr>
          <w:sz w:val="10"/>
        </w:rPr>
      </w:pPr>
    </w:p>
    <w:p>
      <w:pPr>
        <w:spacing w:after="0"/>
        <w:rPr>
          <w:sz w:val="10"/>
        </w:rPr>
        <w:sectPr>
          <w:pgSz w:w="11910" w:h="16840"/>
          <w:pgMar w:header="0" w:footer="724" w:top="960" w:bottom="920" w:left="1600" w:right="1580"/>
        </w:sectPr>
      </w:pPr>
    </w:p>
    <w:p>
      <w:pPr>
        <w:pStyle w:val="BodyText"/>
        <w:spacing w:before="7"/>
        <w:rPr>
          <w:sz w:val="21"/>
        </w:rPr>
      </w:pPr>
    </w:p>
    <w:p>
      <w:pPr>
        <w:pStyle w:val="BodyText"/>
        <w:spacing w:before="1"/>
        <w:ind w:left="122"/>
        <w:rPr>
          <w:rFonts w:ascii="Cambria Math" w:eastAsia="Cambria Math"/>
        </w:rPr>
      </w:pPr>
      <w:r>
        <w:rPr>
          <w:rFonts w:ascii="Cambria Math" w:eastAsia="Cambria Math"/>
          <w:spacing w:val="-104"/>
        </w:rPr>
        <w:t>𝑅𝑒𝑡𝑜𝑟𝑛𝑜</w:t>
      </w:r>
      <w:r>
        <w:rPr>
          <w:rFonts w:ascii="Cambria Math" w:eastAsia="Cambria Math"/>
          <w:spacing w:val="-33"/>
        </w:rPr>
        <w:t> </w:t>
      </w:r>
      <w:r>
        <w:rPr>
          <w:rFonts w:ascii="Cambria Math" w:eastAsia="Cambria Math"/>
          <w:spacing w:val="-103"/>
        </w:rPr>
        <w:t>𝑠𝑜𝑏𝑟𝑒</w:t>
      </w:r>
      <w:r>
        <w:rPr>
          <w:rFonts w:ascii="Cambria Math" w:eastAsia="Cambria Math"/>
          <w:spacing w:val="-51"/>
        </w:rPr>
        <w:t> </w:t>
      </w:r>
      <w:r>
        <w:rPr>
          <w:rFonts w:ascii="Cambria Math" w:eastAsia="Cambria Math"/>
          <w:spacing w:val="-106"/>
        </w:rPr>
        <w:t>𝑝𝑎𝑡𝑟𝑖𝑚𝑜𝑛𝑖𝑜</w:t>
      </w:r>
      <w:r>
        <w:rPr>
          <w:rFonts w:ascii="Cambria Math" w:eastAsia="Cambria Math"/>
          <w:spacing w:val="-26"/>
        </w:rPr>
        <w:t> </w:t>
      </w:r>
      <w:r>
        <w:rPr>
          <w:rFonts w:ascii="Cambria Math" w:eastAsia="Cambria Math"/>
          <w:spacing w:val="-105"/>
        </w:rPr>
        <w:t>=</w:t>
      </w:r>
    </w:p>
    <w:p>
      <w:pPr>
        <w:pStyle w:val="BodyText"/>
        <w:spacing w:before="67"/>
        <w:ind w:left="356" w:right="401"/>
        <w:jc w:val="center"/>
        <w:rPr>
          <w:rFonts w:ascii="Cambria Math" w:eastAsia="Cambria Math"/>
        </w:rPr>
      </w:pPr>
      <w:r>
        <w:rPr/>
        <w:br w:type="column"/>
      </w:r>
      <w:r>
        <w:rPr>
          <w:rFonts w:ascii="Cambria Math" w:eastAsia="Cambria Math"/>
          <w:spacing w:val="-107"/>
        </w:rPr>
        <w:t>𝑔𝑎𝑛𝑎𝑛𝑐𝑖𝑎𝑠</w:t>
      </w:r>
      <w:r>
        <w:rPr>
          <w:rFonts w:ascii="Cambria Math" w:eastAsia="Cambria Math"/>
          <w:spacing w:val="-33"/>
        </w:rPr>
        <w:t> </w:t>
      </w:r>
      <w:r>
        <w:rPr>
          <w:rFonts w:ascii="Cambria Math" w:eastAsia="Cambria Math"/>
          <w:spacing w:val="-106"/>
        </w:rPr>
        <w:t>𝑝𝑜𝑠𝑖𝑏𝑙𝑒𝑠</w:t>
      </w:r>
      <w:r>
        <w:rPr>
          <w:rFonts w:ascii="Cambria Math" w:eastAsia="Cambria Math"/>
          <w:spacing w:val="-33"/>
        </w:rPr>
        <w:t> </w:t>
      </w:r>
      <w:r>
        <w:rPr>
          <w:rFonts w:ascii="Cambria Math" w:eastAsia="Cambria Math"/>
          <w:spacing w:val="-106"/>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265.5pt;height:.75pt;mso-position-horizontal-relative:char;mso-position-vertical-relative:line" coordorigin="0,0" coordsize="5310,15">
            <v:line style="position:absolute" from="8,8" to="5302,8" stroked="true" strokeweight=".72pt" strokecolor="#000000"/>
          </v:group>
        </w:pict>
      </w:r>
      <w:r>
        <w:rPr>
          <w:rFonts w:ascii="Cambria Math"/>
          <w:sz w:val="2"/>
        </w:rPr>
      </w:r>
    </w:p>
    <w:p>
      <w:pPr>
        <w:pStyle w:val="BodyText"/>
        <w:ind w:left="356" w:right="401"/>
        <w:jc w:val="center"/>
        <w:rPr>
          <w:rFonts w:ascii="Cambria Math" w:eastAsia="Cambria Math"/>
        </w:rPr>
      </w:pPr>
      <w:r>
        <w:rPr>
          <w:rFonts w:ascii="Cambria Math" w:eastAsia="Cambria Math"/>
          <w:spacing w:val="-93"/>
        </w:rPr>
        <w:t>𝑐𝑎𝑝𝑖𝑡𝑎𝑙</w:t>
      </w:r>
      <w:r>
        <w:rPr>
          <w:rFonts w:ascii="Cambria Math" w:eastAsia="Cambria Math"/>
          <w:spacing w:val="-33"/>
        </w:rPr>
        <w:t> </w:t>
      </w:r>
      <w:r>
        <w:rPr>
          <w:rFonts w:ascii="Cambria Math" w:eastAsia="Cambria Math"/>
          <w:spacing w:val="-92"/>
        </w:rPr>
        <w:t>𝑒𝑛</w:t>
      </w:r>
      <w:r>
        <w:rPr>
          <w:rFonts w:ascii="Cambria Math" w:eastAsia="Cambria Math"/>
          <w:spacing w:val="-34"/>
        </w:rPr>
        <w:t> </w:t>
      </w:r>
      <w:r>
        <w:rPr>
          <w:rFonts w:ascii="Cambria Math" w:eastAsia="Cambria Math"/>
          <w:spacing w:val="-92"/>
        </w:rPr>
        <w:t>𝑎𝑐𝑐𝑖𝑜𝑛𝑒𝑠 </w:t>
      </w:r>
      <w:r>
        <w:rPr>
          <w:rFonts w:ascii="Cambria Math" w:eastAsia="Cambria Math"/>
        </w:rPr>
        <w:t>𝑐𝑜𝑚𝑢𝑛𝑒𝑠</w:t>
      </w:r>
    </w:p>
    <w:p>
      <w:pPr>
        <w:spacing w:after="0"/>
        <w:jc w:val="center"/>
        <w:rPr>
          <w:rFonts w:ascii="Cambria Math" w:eastAsia="Cambria Math"/>
        </w:rPr>
        <w:sectPr>
          <w:type w:val="continuous"/>
          <w:pgSz w:w="11910" w:h="16840"/>
          <w:pgMar w:top="1380" w:bottom="280" w:left="1600" w:right="1580"/>
          <w:cols w:num="2" w:equalWidth="0">
            <w:col w:w="3189" w:space="40"/>
            <w:col w:w="5501"/>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11"/>
        <w:rPr>
          <w:rFonts w:ascii="Cambria Math"/>
          <w:sz w:val="19"/>
        </w:rPr>
      </w:pPr>
    </w:p>
    <w:p>
      <w:pPr>
        <w:pStyle w:val="Heading2"/>
        <w:numPr>
          <w:ilvl w:val="2"/>
          <w:numId w:val="13"/>
        </w:numPr>
        <w:tabs>
          <w:tab w:pos="831" w:val="left" w:leader="none"/>
        </w:tabs>
        <w:spacing w:line="240" w:lineRule="auto" w:before="69" w:after="0"/>
        <w:ind w:left="830" w:right="0" w:hanging="720"/>
        <w:jc w:val="both"/>
      </w:pPr>
      <w:bookmarkStart w:name="_TOC_250044" w:id="23"/>
      <w:r>
        <w:rPr/>
        <w:t>Razones de</w:t>
      </w:r>
      <w:r>
        <w:rPr>
          <w:spacing w:val="-1"/>
        </w:rPr>
        <w:t> </w:t>
      </w:r>
      <w:bookmarkEnd w:id="23"/>
      <w:r>
        <w:rPr/>
        <w:t>mercado.</w:t>
      </w:r>
    </w:p>
    <w:p>
      <w:pPr>
        <w:pStyle w:val="BodyText"/>
        <w:rPr>
          <w:b/>
        </w:rPr>
      </w:pPr>
    </w:p>
    <w:p>
      <w:pPr>
        <w:pStyle w:val="BodyText"/>
        <w:rPr>
          <w:b/>
        </w:rPr>
      </w:pPr>
    </w:p>
    <w:p>
      <w:pPr>
        <w:pStyle w:val="BodyText"/>
        <w:spacing w:line="360" w:lineRule="auto" w:before="165"/>
        <w:ind w:left="110" w:right="108"/>
        <w:jc w:val="both"/>
      </w:pPr>
      <w:r>
        <w:rPr/>
        <w:t>Las razones de mercado relacionan el valor de mercado de la empresa, medido por el precio de mercado de sus acciones, con ciertos valores contables. Estas razones dan una explicación muy clara sobre qué tan bien se desempeña la empresa en cuanto al riesgo y retorno, según los inversionistas del mercado. Reflejan de manera pertinente, la evaluación que hacen los accionistas comunes de todos los aspectos del rendimiento pasado y futuro de la empresa. Aquí consideramos dos razones públicas de mercado, una que se centra en las ganancias y otra que toma en cuenta el valor en libros.</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Heading3"/>
        <w:numPr>
          <w:ilvl w:val="3"/>
          <w:numId w:val="14"/>
        </w:numPr>
        <w:tabs>
          <w:tab w:pos="975" w:val="left" w:leader="none"/>
        </w:tabs>
        <w:spacing w:line="240" w:lineRule="auto" w:before="0" w:after="0"/>
        <w:ind w:left="974" w:right="0" w:hanging="864"/>
        <w:jc w:val="both"/>
        <w:rPr>
          <w:i/>
        </w:rPr>
      </w:pPr>
      <w:bookmarkStart w:name="_TOC_250043" w:id="24"/>
      <w:bookmarkEnd w:id="24"/>
      <w:r>
        <w:rPr>
          <w:i/>
        </w:rPr>
        <w:t>Relación precio/ganancias (P/E).</w:t>
      </w:r>
    </w:p>
    <w:p>
      <w:pPr>
        <w:pStyle w:val="BodyText"/>
        <w:spacing w:line="360" w:lineRule="auto" w:before="137"/>
        <w:ind w:left="110" w:right="108"/>
        <w:jc w:val="both"/>
      </w:pPr>
      <w:r>
        <w:rPr/>
        <w:t>Esta relación precio / ganancias (por sus siglas en inglés </w:t>
      </w:r>
      <w:r>
        <w:rPr>
          <w:i/>
        </w:rPr>
        <w:t>Price/earnings) </w:t>
      </w:r>
      <w:r>
        <w:rPr/>
        <w:t>es usada para calcular la estimación que hacen los propietarios del valor de las acciones. La relación P/E mide la cantidad que los inversionistas están dispuestos a pagar por cada dólar de las ganancias de una empresa. El nivel  de ésta razón indica el grado de confianza que los inversionistas tienen en el rendimiento futuro de la empresa. La relación P/E se calcula de la manera siguiente:</w:t>
      </w:r>
    </w:p>
    <w:p>
      <w:pPr>
        <w:pStyle w:val="BodyText"/>
        <w:spacing w:before="5"/>
        <w:rPr>
          <w:sz w:val="10"/>
        </w:rPr>
      </w:pPr>
    </w:p>
    <w:p>
      <w:pPr>
        <w:spacing w:after="0"/>
        <w:rPr>
          <w:sz w:val="10"/>
        </w:rPr>
        <w:sectPr>
          <w:pgSz w:w="11910" w:h="16840"/>
          <w:pgMar w:header="0" w:footer="724" w:top="960" w:bottom="920" w:left="1600" w:right="1580"/>
        </w:sectPr>
      </w:pPr>
    </w:p>
    <w:p>
      <w:pPr>
        <w:pStyle w:val="BodyText"/>
        <w:spacing w:before="7"/>
        <w:rPr>
          <w:sz w:val="21"/>
        </w:rPr>
      </w:pPr>
    </w:p>
    <w:p>
      <w:pPr>
        <w:pStyle w:val="BodyText"/>
        <w:spacing w:before="1"/>
        <w:ind w:left="631"/>
        <w:rPr>
          <w:rFonts w:ascii="Cambria Math" w:hAnsi="Cambria Math" w:eastAsia="Cambria Math"/>
        </w:rPr>
      </w:pPr>
      <w:r>
        <w:rPr>
          <w:rFonts w:ascii="Cambria Math" w:hAnsi="Cambria Math" w:eastAsia="Cambria Math"/>
          <w:spacing w:val="-102"/>
        </w:rPr>
        <w:t>𝑅𝑒𝑙𝑎𝑐𝑖ó𝑛</w:t>
      </w:r>
      <w:r>
        <w:rPr>
          <w:rFonts w:ascii="Cambria Math" w:hAnsi="Cambria Math" w:eastAsia="Cambria Math"/>
          <w:spacing w:val="-34"/>
        </w:rPr>
        <w:t> </w:t>
      </w:r>
      <w:r>
        <w:rPr>
          <w:rFonts w:ascii="Cambria Math" w:hAnsi="Cambria Math" w:eastAsia="Cambria Math"/>
          <w:spacing w:val="-102"/>
        </w:rPr>
        <w:t>𝑝𝑟𝑒𝑐𝑖𝑜</w:t>
      </w:r>
      <w:r>
        <w:rPr>
          <w:rFonts w:ascii="Cambria Math" w:hAnsi="Cambria Math" w:eastAsia="Cambria Math"/>
          <w:spacing w:val="-51"/>
        </w:rPr>
        <w:t> </w:t>
      </w:r>
      <w:r>
        <w:rPr>
          <w:rFonts w:ascii="Cambria Math" w:hAnsi="Cambria Math" w:eastAsia="Cambria Math"/>
          <w:spacing w:val="-97"/>
        </w:rPr>
        <w:t>⋰</w:t>
      </w:r>
      <w:r>
        <w:rPr>
          <w:rFonts w:ascii="Cambria Math" w:hAnsi="Cambria Math" w:eastAsia="Cambria Math"/>
          <w:spacing w:val="-25"/>
        </w:rPr>
        <w:t> </w:t>
      </w:r>
      <w:r>
        <w:rPr>
          <w:rFonts w:ascii="Cambria Math" w:hAnsi="Cambria Math" w:eastAsia="Cambria Math"/>
          <w:spacing w:val="-97"/>
        </w:rPr>
        <w:t>𝑔𝑎𝑛𝑎𝑛𝑐𝑖𝑎𝑠</w:t>
      </w:r>
      <w:r>
        <w:rPr>
          <w:rFonts w:ascii="Cambria Math" w:hAnsi="Cambria Math" w:eastAsia="Cambria Math"/>
          <w:spacing w:val="-23"/>
        </w:rPr>
        <w:t> </w:t>
      </w:r>
      <w:r>
        <w:rPr>
          <w:rFonts w:ascii="Cambria Math" w:hAnsi="Cambria Math" w:eastAsia="Cambria Math"/>
          <w:spacing w:val="-96"/>
        </w:rPr>
        <w:t>=</w:t>
      </w:r>
    </w:p>
    <w:p>
      <w:pPr>
        <w:pStyle w:val="BodyText"/>
        <w:spacing w:before="67"/>
        <w:ind w:left="8" w:right="562"/>
        <w:jc w:val="center"/>
        <w:rPr>
          <w:rFonts w:ascii="Cambria Math" w:hAnsi="Cambria Math" w:eastAsia="Cambria Math"/>
        </w:rPr>
      </w:pPr>
      <w:r>
        <w:rPr/>
        <w:br w:type="column"/>
      </w:r>
      <w:r>
        <w:rPr>
          <w:rFonts w:ascii="Cambria Math" w:hAnsi="Cambria Math" w:eastAsia="Cambria Math"/>
          <w:spacing w:val="-99"/>
        </w:rPr>
        <w:t>𝑝𝑟𝑒𝑐𝑖𝑜</w:t>
      </w:r>
      <w:r>
        <w:rPr>
          <w:rFonts w:ascii="Cambria Math" w:hAnsi="Cambria Math" w:eastAsia="Cambria Math"/>
          <w:spacing w:val="-33"/>
        </w:rPr>
        <w:t> </w:t>
      </w:r>
      <w:r>
        <w:rPr>
          <w:rFonts w:ascii="Cambria Math" w:hAnsi="Cambria Math" w:eastAsia="Cambria Math"/>
          <w:spacing w:val="-99"/>
        </w:rPr>
        <w:t>𝑑𝑒</w:t>
      </w:r>
      <w:r>
        <w:rPr>
          <w:rFonts w:ascii="Cambria Math" w:hAnsi="Cambria Math" w:eastAsia="Cambria Math"/>
          <w:spacing w:val="-33"/>
        </w:rPr>
        <w:t> </w:t>
      </w:r>
      <w:r>
        <w:rPr>
          <w:rFonts w:ascii="Cambria Math" w:hAnsi="Cambria Math" w:eastAsia="Cambria Math"/>
          <w:spacing w:val="-99"/>
        </w:rPr>
        <w:t>𝑚𝑒𝑟𝑐𝑎𝑑𝑜 </w:t>
      </w:r>
      <w:r>
        <w:rPr>
          <w:rFonts w:ascii="Cambria Math" w:hAnsi="Cambria Math" w:eastAsia="Cambria Math"/>
          <w:spacing w:val="-91"/>
        </w:rPr>
        <w:t>𝑝𝑜𝑟</w:t>
      </w:r>
      <w:r>
        <w:rPr>
          <w:rFonts w:ascii="Cambria Math" w:hAnsi="Cambria Math" w:eastAsia="Cambria Math"/>
          <w:spacing w:val="-33"/>
        </w:rPr>
        <w:t> </w:t>
      </w:r>
      <w:r>
        <w:rPr>
          <w:rFonts w:ascii="Cambria Math" w:hAnsi="Cambria Math" w:eastAsia="Cambria Math"/>
          <w:spacing w:val="-91"/>
        </w:rPr>
        <w:t>𝑎𝑐𝑐𝑖ó𝑛</w:t>
      </w:r>
      <w:r>
        <w:rPr>
          <w:rFonts w:ascii="Cambria Math" w:hAnsi="Cambria Math" w:eastAsia="Cambria Math"/>
          <w:spacing w:val="-34"/>
        </w:rPr>
        <w:t> </w:t>
      </w:r>
      <w:r>
        <w:rPr>
          <w:rFonts w:ascii="Cambria Math" w:hAnsi="Cambria Math" w:eastAsia="Cambria Math"/>
          <w:spacing w:val="-90"/>
        </w:rPr>
        <w:t>𝑐𝑜𝑚ú𝑛</w:t>
      </w:r>
    </w:p>
    <w:p>
      <w:pPr>
        <w:pStyle w:val="BodyText"/>
        <w:spacing w:before="5"/>
        <w:rPr>
          <w:rFonts w:ascii="Cambria Math"/>
          <w:sz w:val="4"/>
        </w:rPr>
      </w:pPr>
    </w:p>
    <w:p>
      <w:pPr>
        <w:pStyle w:val="BodyText"/>
        <w:spacing w:line="20" w:lineRule="exact"/>
        <w:ind w:left="71"/>
        <w:rPr>
          <w:rFonts w:ascii="Cambria Math"/>
          <w:sz w:val="2"/>
        </w:rPr>
      </w:pPr>
      <w:r>
        <w:rPr>
          <w:rFonts w:ascii="Cambria Math"/>
          <w:sz w:val="2"/>
        </w:rPr>
        <w:pict>
          <v:group style="width:198.75pt;height:.75pt;mso-position-horizontal-relative:char;mso-position-vertical-relative:line" coordorigin="0,0" coordsize="3975,15">
            <v:line style="position:absolute" from="8,8" to="3968,8" stroked="true" strokeweight=".72pt" strokecolor="#000000"/>
          </v:group>
        </w:pict>
      </w:r>
      <w:r>
        <w:rPr>
          <w:rFonts w:ascii="Cambria Math"/>
          <w:sz w:val="2"/>
        </w:rPr>
      </w:r>
    </w:p>
    <w:p>
      <w:pPr>
        <w:pStyle w:val="BodyText"/>
        <w:ind w:left="8" w:right="562"/>
        <w:jc w:val="center"/>
        <w:rPr>
          <w:rFonts w:ascii="Cambria Math" w:hAnsi="Cambria Math" w:eastAsia="Cambria Math"/>
        </w:rPr>
      </w:pPr>
      <w:r>
        <w:rPr>
          <w:rFonts w:ascii="Cambria Math" w:hAnsi="Cambria Math" w:eastAsia="Cambria Math"/>
          <w:spacing w:val="-90"/>
        </w:rPr>
        <w:t>𝑔𝑎𝑛𝑎𝑛𝑐𝑖𝑎𝑠</w:t>
      </w:r>
      <w:r>
        <w:rPr>
          <w:rFonts w:ascii="Cambria Math" w:hAnsi="Cambria Math" w:eastAsia="Cambria Math"/>
          <w:spacing w:val="-34"/>
        </w:rPr>
        <w:t> </w:t>
      </w:r>
      <w:r>
        <w:rPr>
          <w:rFonts w:ascii="Cambria Math" w:hAnsi="Cambria Math" w:eastAsia="Cambria Math"/>
          <w:spacing w:val="-89"/>
        </w:rPr>
        <w:t>𝑝𝑜𝑟 </w:t>
      </w:r>
      <w:r>
        <w:rPr>
          <w:rFonts w:ascii="Cambria Math" w:hAnsi="Cambria Math" w:eastAsia="Cambria Math"/>
        </w:rPr>
        <w:t>𝑎𝑐𝑐𝑖ó𝑛</w:t>
      </w:r>
    </w:p>
    <w:p>
      <w:pPr>
        <w:spacing w:after="0"/>
        <w:jc w:val="center"/>
        <w:rPr>
          <w:rFonts w:ascii="Cambria Math" w:hAnsi="Cambria Math" w:eastAsia="Cambria Math"/>
        </w:rPr>
        <w:sectPr>
          <w:type w:val="continuous"/>
          <w:pgSz w:w="11910" w:h="16840"/>
          <w:pgMar w:top="1380" w:bottom="280" w:left="1600" w:right="1580"/>
          <w:cols w:num="2" w:equalWidth="0">
            <w:col w:w="4015" w:space="40"/>
            <w:col w:w="4675"/>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1"/>
        </w:rPr>
      </w:pPr>
    </w:p>
    <w:p>
      <w:pPr>
        <w:pStyle w:val="Heading3"/>
        <w:numPr>
          <w:ilvl w:val="3"/>
          <w:numId w:val="14"/>
        </w:numPr>
        <w:tabs>
          <w:tab w:pos="975" w:val="left" w:leader="none"/>
        </w:tabs>
        <w:spacing w:line="240" w:lineRule="auto" w:before="0" w:after="0"/>
        <w:ind w:left="974" w:right="0" w:hanging="864"/>
        <w:jc w:val="both"/>
        <w:rPr>
          <w:i/>
        </w:rPr>
      </w:pPr>
      <w:bookmarkStart w:name="_TOC_250042" w:id="25"/>
      <w:bookmarkEnd w:id="25"/>
      <w:r>
        <w:rPr>
          <w:i/>
        </w:rPr>
        <w:t>Razón mercado/libro (M/L).</w:t>
      </w:r>
    </w:p>
    <w:p>
      <w:pPr>
        <w:pStyle w:val="BodyText"/>
        <w:spacing w:line="357" w:lineRule="auto" w:before="141"/>
        <w:ind w:left="110" w:right="108"/>
        <w:jc w:val="both"/>
      </w:pPr>
      <w:r>
        <w:rPr/>
        <w:t>La razón mercado/libro (M/L) proporciona una evaluación de cómo los inversionistas ven el rendimiento de la empresa. Para calcular la razón M/L de la empresa, primero debemos obtener el valor en libros por acción común:</w:t>
      </w:r>
    </w:p>
    <w:p>
      <w:pPr>
        <w:pStyle w:val="BodyText"/>
        <w:spacing w:before="213"/>
        <w:ind w:left="1133"/>
        <w:rPr>
          <w:rFonts w:ascii="Cambria Math" w:hAnsi="Cambria Math" w:eastAsia="Cambria Math"/>
        </w:rPr>
      </w:pPr>
      <w:r>
        <w:rPr>
          <w:rFonts w:ascii="Cambria Math" w:hAnsi="Cambria Math" w:eastAsia="Cambria Math"/>
          <w:spacing w:val="-95"/>
        </w:rPr>
        <w:t>𝑣𝑎𝑙𝑜𝑟</w:t>
      </w:r>
      <w:r>
        <w:rPr>
          <w:rFonts w:ascii="Cambria Math" w:hAnsi="Cambria Math" w:eastAsia="Cambria Math"/>
          <w:spacing w:val="-34"/>
        </w:rPr>
        <w:t> </w:t>
      </w:r>
      <w:r>
        <w:rPr>
          <w:rFonts w:ascii="Cambria Math" w:hAnsi="Cambria Math" w:eastAsia="Cambria Math"/>
          <w:spacing w:val="-95"/>
        </w:rPr>
        <w:t>𝑒𝑛</w:t>
      </w:r>
      <w:r>
        <w:rPr>
          <w:rFonts w:ascii="Cambria Math" w:hAnsi="Cambria Math" w:eastAsia="Cambria Math"/>
          <w:spacing w:val="-34"/>
        </w:rPr>
        <w:t> </w:t>
      </w:r>
      <w:r>
        <w:rPr>
          <w:rFonts w:ascii="Cambria Math" w:hAnsi="Cambria Math" w:eastAsia="Cambria Math"/>
          <w:spacing w:val="-95"/>
        </w:rPr>
        <w:t>𝑙𝑖𝑏𝑟𝑜𝑠</w:t>
      </w:r>
      <w:r>
        <w:rPr>
          <w:rFonts w:ascii="Cambria Math" w:hAnsi="Cambria Math" w:eastAsia="Cambria Math"/>
          <w:spacing w:val="-34"/>
        </w:rPr>
        <w:t> </w:t>
      </w:r>
      <w:r>
        <w:rPr>
          <w:rFonts w:ascii="Cambria Math" w:hAnsi="Cambria Math" w:eastAsia="Cambria Math"/>
          <w:spacing w:val="-95"/>
        </w:rPr>
        <w:t>𝑝𝑜𝑟</w:t>
      </w:r>
      <w:r>
        <w:rPr>
          <w:rFonts w:ascii="Cambria Math" w:hAnsi="Cambria Math" w:eastAsia="Cambria Math"/>
          <w:spacing w:val="-34"/>
        </w:rPr>
        <w:t> </w:t>
      </w:r>
      <w:r>
        <w:rPr>
          <w:rFonts w:ascii="Cambria Math" w:hAnsi="Cambria Math" w:eastAsia="Cambria Math"/>
          <w:spacing w:val="-95"/>
        </w:rPr>
        <w:t>𝑎𝑐𝑐𝑖ó𝑛</w:t>
      </w:r>
      <w:r>
        <w:rPr>
          <w:rFonts w:ascii="Cambria Math" w:hAnsi="Cambria Math" w:eastAsia="Cambria Math"/>
          <w:spacing w:val="-34"/>
        </w:rPr>
        <w:t> </w:t>
      </w:r>
      <w:r>
        <w:rPr>
          <w:rFonts w:ascii="Cambria Math" w:hAnsi="Cambria Math" w:eastAsia="Cambria Math"/>
          <w:spacing w:val="-95"/>
        </w:rPr>
        <w:t>𝑐𝑜𝑚ú𝑛</w:t>
      </w:r>
    </w:p>
    <w:p>
      <w:pPr>
        <w:pStyle w:val="BodyText"/>
        <w:spacing w:line="216" w:lineRule="exact" w:before="112"/>
        <w:ind w:left="3699"/>
        <w:rPr>
          <w:rFonts w:ascii="Cambria Math" w:eastAsia="Cambria Math"/>
        </w:rPr>
      </w:pPr>
      <w:r>
        <w:rPr>
          <w:rFonts w:ascii="Cambria Math" w:eastAsia="Cambria Math"/>
          <w:spacing w:val="-88"/>
        </w:rPr>
        <w:t>𝑐𝑎𝑝𝑖𝑡𝑎𝑙</w:t>
      </w:r>
      <w:r>
        <w:rPr>
          <w:rFonts w:ascii="Cambria Math" w:eastAsia="Cambria Math"/>
          <w:spacing w:val="-33"/>
        </w:rPr>
        <w:t> </w:t>
      </w:r>
      <w:r>
        <w:rPr>
          <w:rFonts w:ascii="Cambria Math" w:eastAsia="Cambria Math"/>
          <w:spacing w:val="-88"/>
        </w:rPr>
        <w:t>𝑒𝑛</w:t>
      </w:r>
      <w:r>
        <w:rPr>
          <w:rFonts w:ascii="Cambria Math" w:eastAsia="Cambria Math"/>
          <w:spacing w:val="-34"/>
        </w:rPr>
        <w:t> </w:t>
      </w:r>
      <w:r>
        <w:rPr>
          <w:rFonts w:ascii="Cambria Math" w:eastAsia="Cambria Math"/>
          <w:spacing w:val="-88"/>
        </w:rPr>
        <w:t>𝑎𝑐𝑐𝑖𝑜𝑛𝑒𝑠 </w:t>
      </w:r>
      <w:r>
        <w:rPr>
          <w:rFonts w:ascii="Cambria Math" w:eastAsia="Cambria Math"/>
        </w:rPr>
        <w:t>𝑐𝑜𝑚𝑢𝑛𝑒𝑠</w:t>
      </w:r>
    </w:p>
    <w:p>
      <w:pPr>
        <w:pStyle w:val="BodyText"/>
        <w:spacing w:line="406" w:lineRule="exact"/>
        <w:ind w:left="2573"/>
        <w:rPr>
          <w:rFonts w:ascii="Cambria Math" w:hAnsi="Cambria Math" w:eastAsia="Cambria Math"/>
        </w:rPr>
      </w:pPr>
      <w:r>
        <w:rPr/>
        <w:pict>
          <v:line style="position:absolute;mso-position-horizontal-relative:page;mso-position-vertical-relative:paragraph;z-index:-243376" from="223.5439pt,6.245947pt" to="459.4639pt,6.245947pt" stroked="true" strokeweight=".72pt" strokecolor="#000000">
            <w10:wrap type="none"/>
          </v:line>
        </w:pict>
      </w:r>
      <w:r>
        <w:rPr>
          <w:rFonts w:ascii="Cambria Math" w:hAnsi="Cambria Math" w:eastAsia="Cambria Math"/>
          <w:spacing w:val="-94"/>
          <w:position w:val="16"/>
        </w:rPr>
        <w:t>=</w:t>
      </w:r>
      <w:r>
        <w:rPr>
          <w:rFonts w:ascii="Cambria Math" w:hAnsi="Cambria Math" w:eastAsia="Cambria Math"/>
          <w:spacing w:val="-13"/>
          <w:position w:val="16"/>
        </w:rPr>
        <w:t> </w:t>
      </w:r>
      <w:r>
        <w:rPr>
          <w:rFonts w:ascii="Cambria Math" w:hAnsi="Cambria Math" w:eastAsia="Cambria Math"/>
          <w:spacing w:val="-94"/>
        </w:rPr>
        <w:t>𝑛ú𝑚𝑒𝑟𝑜</w:t>
      </w:r>
      <w:r>
        <w:rPr>
          <w:rFonts w:ascii="Cambria Math" w:hAnsi="Cambria Math" w:eastAsia="Cambria Math"/>
          <w:spacing w:val="-34"/>
        </w:rPr>
        <w:t> </w:t>
      </w:r>
      <w:r>
        <w:rPr>
          <w:rFonts w:ascii="Cambria Math" w:hAnsi="Cambria Math" w:eastAsia="Cambria Math"/>
          <w:spacing w:val="-94"/>
        </w:rPr>
        <w:t>𝑑𝑒</w:t>
      </w:r>
      <w:r>
        <w:rPr>
          <w:rFonts w:ascii="Cambria Math" w:hAnsi="Cambria Math" w:eastAsia="Cambria Math"/>
          <w:spacing w:val="-34"/>
        </w:rPr>
        <w:t> </w:t>
      </w:r>
      <w:r>
        <w:rPr>
          <w:rFonts w:ascii="Cambria Math" w:hAnsi="Cambria Math" w:eastAsia="Cambria Math"/>
          <w:spacing w:val="-94"/>
        </w:rPr>
        <w:t>𝑎𝑐𝑐𝑖𝑜𝑛𝑒𝑠</w:t>
      </w:r>
      <w:r>
        <w:rPr>
          <w:rFonts w:ascii="Cambria Math" w:hAnsi="Cambria Math" w:eastAsia="Cambria Math"/>
          <w:spacing w:val="-34"/>
        </w:rPr>
        <w:t> </w:t>
      </w:r>
      <w:r>
        <w:rPr>
          <w:rFonts w:ascii="Cambria Math" w:hAnsi="Cambria Math" w:eastAsia="Cambria Math"/>
          <w:spacing w:val="-94"/>
        </w:rPr>
        <w:t>𝑐𝑜𝑚𝑢𝑛𝑒𝑠 </w:t>
      </w:r>
      <w:r>
        <w:rPr>
          <w:rFonts w:ascii="Cambria Math" w:hAnsi="Cambria Math" w:eastAsia="Cambria Math"/>
          <w:spacing w:val="-103"/>
        </w:rPr>
        <w:t>𝑒𝑛</w:t>
      </w:r>
      <w:r>
        <w:rPr>
          <w:rFonts w:ascii="Cambria Math" w:hAnsi="Cambria Math" w:eastAsia="Cambria Math"/>
          <w:spacing w:val="-27"/>
        </w:rPr>
        <w:t> </w:t>
      </w:r>
      <w:r>
        <w:rPr>
          <w:rFonts w:ascii="Cambria Math" w:hAnsi="Cambria Math" w:eastAsia="Cambria Math"/>
          <w:spacing w:val="-103"/>
        </w:rPr>
        <w:t>𝑐𝑖𝑟𝑐𝑢𝑙𝑎𝑐𝑖ó𝑛</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199"/>
        <w:ind w:left="110"/>
      </w:pPr>
      <w:r>
        <w:rPr/>
        <w:t>La fórmula para calcular la razón mercado/libro es:</w:t>
      </w:r>
    </w:p>
    <w:p>
      <w:pPr>
        <w:pStyle w:val="BodyText"/>
        <w:spacing w:before="1"/>
        <w:rPr>
          <w:sz w:val="22"/>
        </w:rPr>
      </w:pPr>
    </w:p>
    <w:p>
      <w:pPr>
        <w:spacing w:after="0"/>
        <w:rPr>
          <w:sz w:val="22"/>
        </w:rPr>
        <w:sectPr>
          <w:type w:val="continuous"/>
          <w:pgSz w:w="11910" w:h="16840"/>
          <w:pgMar w:top="1380" w:bottom="280" w:left="1600" w:right="1580"/>
        </w:sectPr>
      </w:pPr>
    </w:p>
    <w:p>
      <w:pPr>
        <w:pStyle w:val="BodyText"/>
        <w:spacing w:before="8"/>
        <w:rPr>
          <w:sz w:val="21"/>
        </w:rPr>
      </w:pPr>
    </w:p>
    <w:p>
      <w:pPr>
        <w:pStyle w:val="BodyText"/>
        <w:ind w:left="950"/>
        <w:rPr>
          <w:rFonts w:ascii="Cambria Math" w:hAnsi="Cambria Math" w:eastAsia="Cambria Math"/>
        </w:rPr>
      </w:pPr>
      <w:r>
        <w:rPr>
          <w:rFonts w:ascii="Cambria Math" w:hAnsi="Cambria Math" w:eastAsia="Cambria Math"/>
        </w:rPr>
        <w:t>𝑟𝑎𝑧ó𝑛 </w:t>
      </w:r>
      <w:r>
        <w:rPr>
          <w:rFonts w:ascii="Cambria Math" w:hAnsi="Cambria Math" w:eastAsia="Cambria Math"/>
          <w:spacing w:val="-60"/>
        </w:rPr>
        <w:t>𝑚𝑒𝑟𝑐𝑎𝑑𝑜</w:t>
      </w:r>
      <w:r>
        <w:rPr>
          <w:rFonts w:ascii="Cambria Math" w:hAnsi="Cambria Math" w:eastAsia="Cambria Math"/>
          <w:spacing w:val="-10"/>
        </w:rPr>
        <w:t> </w:t>
      </w:r>
      <w:r>
        <w:rPr>
          <w:rFonts w:ascii="Cambria Math" w:hAnsi="Cambria Math" w:eastAsia="Cambria Math"/>
          <w:spacing w:val="-59"/>
        </w:rPr>
        <w:t>⋰</w:t>
      </w:r>
      <w:r>
        <w:rPr>
          <w:rFonts w:ascii="Cambria Math" w:hAnsi="Cambria Math" w:eastAsia="Cambria Math"/>
          <w:spacing w:val="-51"/>
        </w:rPr>
        <w:t> </w:t>
      </w:r>
      <w:r>
        <w:rPr>
          <w:rFonts w:ascii="Cambria Math" w:hAnsi="Cambria Math" w:eastAsia="Cambria Math"/>
          <w:spacing w:val="-92"/>
        </w:rPr>
        <w:t>𝑙𝑖𝑏𝑟𝑜</w:t>
      </w:r>
      <w:r>
        <w:rPr>
          <w:rFonts w:ascii="Cambria Math" w:hAnsi="Cambria Math" w:eastAsia="Cambria Math"/>
          <w:spacing w:val="-22"/>
        </w:rPr>
        <w:t> </w:t>
      </w:r>
      <w:r>
        <w:rPr>
          <w:rFonts w:ascii="Cambria Math" w:hAnsi="Cambria Math" w:eastAsia="Cambria Math"/>
          <w:spacing w:val="-91"/>
        </w:rPr>
        <w:t>=</w:t>
      </w:r>
    </w:p>
    <w:p>
      <w:pPr>
        <w:pStyle w:val="BodyText"/>
        <w:spacing w:before="67"/>
        <w:ind w:left="8" w:right="880"/>
        <w:jc w:val="center"/>
        <w:rPr>
          <w:rFonts w:ascii="Cambria Math" w:hAnsi="Cambria Math" w:eastAsia="Cambria Math"/>
        </w:rPr>
      </w:pPr>
      <w:r>
        <w:rPr/>
        <w:br w:type="column"/>
      </w:r>
      <w:r>
        <w:rPr>
          <w:rFonts w:ascii="Cambria Math" w:hAnsi="Cambria Math" w:eastAsia="Cambria Math"/>
          <w:spacing w:val="-99"/>
        </w:rPr>
        <w:t>𝑝𝑟𝑒𝑐𝑖𝑜</w:t>
      </w:r>
      <w:r>
        <w:rPr>
          <w:rFonts w:ascii="Cambria Math" w:hAnsi="Cambria Math" w:eastAsia="Cambria Math"/>
          <w:spacing w:val="-33"/>
        </w:rPr>
        <w:t> </w:t>
      </w:r>
      <w:r>
        <w:rPr>
          <w:rFonts w:ascii="Cambria Math" w:hAnsi="Cambria Math" w:eastAsia="Cambria Math"/>
          <w:spacing w:val="-99"/>
        </w:rPr>
        <w:t>𝑑𝑒</w:t>
      </w:r>
      <w:r>
        <w:rPr>
          <w:rFonts w:ascii="Cambria Math" w:hAnsi="Cambria Math" w:eastAsia="Cambria Math"/>
          <w:spacing w:val="-33"/>
        </w:rPr>
        <w:t> </w:t>
      </w:r>
      <w:r>
        <w:rPr>
          <w:rFonts w:ascii="Cambria Math" w:hAnsi="Cambria Math" w:eastAsia="Cambria Math"/>
          <w:spacing w:val="-99"/>
        </w:rPr>
        <w:t>𝑚𝑒𝑟𝑐𝑎𝑑𝑜 </w:t>
      </w:r>
      <w:r>
        <w:rPr>
          <w:rFonts w:ascii="Cambria Math" w:hAnsi="Cambria Math" w:eastAsia="Cambria Math"/>
          <w:spacing w:val="-91"/>
        </w:rPr>
        <w:t>𝑝𝑜𝑟</w:t>
      </w:r>
      <w:r>
        <w:rPr>
          <w:rFonts w:ascii="Cambria Math" w:hAnsi="Cambria Math" w:eastAsia="Cambria Math"/>
          <w:spacing w:val="-33"/>
        </w:rPr>
        <w:t> </w:t>
      </w:r>
      <w:r>
        <w:rPr>
          <w:rFonts w:ascii="Cambria Math" w:hAnsi="Cambria Math" w:eastAsia="Cambria Math"/>
          <w:spacing w:val="-91"/>
        </w:rPr>
        <w:t>𝑎𝑐𝑐𝑖ó𝑛</w:t>
      </w:r>
      <w:r>
        <w:rPr>
          <w:rFonts w:ascii="Cambria Math" w:hAnsi="Cambria Math" w:eastAsia="Cambria Math"/>
          <w:spacing w:val="-34"/>
        </w:rPr>
        <w:t> </w:t>
      </w:r>
      <w:r>
        <w:rPr>
          <w:rFonts w:ascii="Cambria Math" w:hAnsi="Cambria Math" w:eastAsia="Cambria Math"/>
          <w:spacing w:val="-90"/>
        </w:rPr>
        <w:t>𝑐𝑜𝑚ú𝑛</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98.75pt;height:.75pt;mso-position-horizontal-relative:char;mso-position-vertical-relative:line" coordorigin="0,0" coordsize="3975,15">
            <v:line style="position:absolute" from="8,8" to="3968,8" stroked="true" strokeweight=".72pt" strokecolor="#000000"/>
          </v:group>
        </w:pict>
      </w:r>
      <w:r>
        <w:rPr>
          <w:rFonts w:ascii="Cambria Math"/>
          <w:sz w:val="2"/>
        </w:rPr>
      </w:r>
    </w:p>
    <w:p>
      <w:pPr>
        <w:pStyle w:val="BodyText"/>
        <w:ind w:left="8" w:right="880"/>
        <w:jc w:val="center"/>
        <w:rPr>
          <w:rFonts w:ascii="Cambria Math" w:hAnsi="Cambria Math" w:eastAsia="Cambria Math"/>
        </w:rPr>
      </w:pPr>
      <w:r>
        <w:rPr>
          <w:rFonts w:ascii="Cambria Math" w:hAnsi="Cambria Math" w:eastAsia="Cambria Math"/>
          <w:spacing w:val="-98"/>
        </w:rPr>
        <w:t>𝑣𝑎𝑙𝑜𝑟</w:t>
      </w:r>
      <w:r>
        <w:rPr>
          <w:rFonts w:ascii="Cambria Math" w:hAnsi="Cambria Math" w:eastAsia="Cambria Math"/>
          <w:spacing w:val="-32"/>
        </w:rPr>
        <w:t> </w:t>
      </w:r>
      <w:r>
        <w:rPr>
          <w:rFonts w:ascii="Cambria Math" w:hAnsi="Cambria Math" w:eastAsia="Cambria Math"/>
          <w:spacing w:val="-98"/>
        </w:rPr>
        <w:t>𝑒𝑛</w:t>
      </w:r>
      <w:r>
        <w:rPr>
          <w:rFonts w:ascii="Cambria Math" w:hAnsi="Cambria Math" w:eastAsia="Cambria Math"/>
          <w:spacing w:val="-32"/>
        </w:rPr>
        <w:t> </w:t>
      </w:r>
      <w:r>
        <w:rPr>
          <w:rFonts w:ascii="Cambria Math" w:hAnsi="Cambria Math" w:eastAsia="Cambria Math"/>
          <w:spacing w:val="-98"/>
        </w:rPr>
        <w:t>𝑙𝑖𝑏𝑟𝑜𝑠</w:t>
      </w:r>
      <w:r>
        <w:rPr>
          <w:rFonts w:ascii="Cambria Math" w:hAnsi="Cambria Math" w:eastAsia="Cambria Math"/>
          <w:spacing w:val="-32"/>
        </w:rPr>
        <w:t> </w:t>
      </w:r>
      <w:r>
        <w:rPr>
          <w:rFonts w:ascii="Cambria Math" w:hAnsi="Cambria Math" w:eastAsia="Cambria Math"/>
          <w:spacing w:val="-97"/>
        </w:rPr>
        <w:t>𝑝𝑜𝑟 </w:t>
      </w:r>
      <w:r>
        <w:rPr>
          <w:rFonts w:ascii="Cambria Math" w:hAnsi="Cambria Math" w:eastAsia="Cambria Math"/>
          <w:spacing w:val="-92"/>
        </w:rPr>
        <w:t>𝑎𝑐𝑐𝑖ó𝑛</w:t>
      </w:r>
      <w:r>
        <w:rPr>
          <w:rFonts w:ascii="Cambria Math" w:hAnsi="Cambria Math" w:eastAsia="Cambria Math"/>
          <w:spacing w:val="-28"/>
        </w:rPr>
        <w:t> </w:t>
      </w:r>
      <w:r>
        <w:rPr>
          <w:rFonts w:ascii="Cambria Math" w:hAnsi="Cambria Math" w:eastAsia="Cambria Math"/>
          <w:spacing w:val="-91"/>
        </w:rPr>
        <w:t>𝑐𝑜𝑚ú𝑛</w:t>
      </w:r>
    </w:p>
    <w:p>
      <w:pPr>
        <w:spacing w:after="0"/>
        <w:jc w:val="center"/>
        <w:rPr>
          <w:rFonts w:ascii="Cambria Math" w:hAnsi="Cambria Math" w:eastAsia="Cambria Math"/>
        </w:rPr>
        <w:sectPr>
          <w:type w:val="continuous"/>
          <w:pgSz w:w="11910" w:h="16840"/>
          <w:pgMar w:top="1380" w:bottom="280" w:left="1600" w:right="1580"/>
          <w:cols w:num="2" w:equalWidth="0">
            <w:col w:w="3697" w:space="40"/>
            <w:col w:w="4993"/>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1"/>
        </w:rPr>
      </w:pPr>
    </w:p>
    <w:p>
      <w:pPr>
        <w:pStyle w:val="Heading2"/>
      </w:pPr>
      <w:bookmarkStart w:name="_TOC_250041" w:id="26"/>
      <w:bookmarkEnd w:id="26"/>
      <w:r>
        <w:rPr/>
        <w:t>1.9.6   Sistema de análisis DuPont.</w:t>
      </w:r>
    </w:p>
    <w:p>
      <w:pPr>
        <w:pStyle w:val="BodyText"/>
        <w:spacing w:line="360" w:lineRule="auto" w:before="137"/>
        <w:ind w:left="110" w:right="108"/>
        <w:jc w:val="both"/>
      </w:pPr>
      <w:r>
        <w:rPr/>
        <w:t>El sistema de análisis DuPont se utiliza para analizar los estados financieros de la empresa y evaluar su condición financiera. Reúne el estado de pérdidas y ganancias y el balance general en dos medidas de rentabilidad: el rendimiento sobre los activos totales (ROA) y el retorno sobre el patrimonio (ROE)</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Heading2"/>
      </w:pPr>
      <w:r>
        <w:rPr/>
        <w:t>Fórmula DuPont</w:t>
      </w:r>
    </w:p>
    <w:p>
      <w:pPr>
        <w:pStyle w:val="BodyText"/>
        <w:spacing w:before="9"/>
        <w:rPr>
          <w:b/>
          <w:sz w:val="29"/>
        </w:rPr>
      </w:pPr>
    </w:p>
    <w:p>
      <w:pPr>
        <w:pStyle w:val="BodyText"/>
        <w:spacing w:line="360" w:lineRule="auto"/>
        <w:ind w:left="110" w:right="948"/>
        <w:jc w:val="both"/>
      </w:pPr>
      <w:r>
        <w:rPr/>
        <w:t>El sistema DuPont relaciona primero el margen de utilidad neta, que mide la rentabilidad de las ventas de la empresa, con su rotación de activos totales,  que indica la eficiencia con la que la empresa ha utilizado sus activos para generar ventas, En la fórmula DuPont, el producto de estas dos razones da como resultado el rendimiento sobre los activos totales</w:t>
      </w:r>
      <w:r>
        <w:rPr>
          <w:spacing w:val="-1"/>
        </w:rPr>
        <w:t> </w:t>
      </w:r>
      <w:r>
        <w:rPr/>
        <w:t>(ROA):</w:t>
      </w:r>
    </w:p>
    <w:p>
      <w:pPr>
        <w:pStyle w:val="BodyText"/>
        <w:spacing w:before="211"/>
        <w:ind w:left="1036"/>
        <w:rPr>
          <w:rFonts w:ascii="Cambria Math" w:hAnsi="Cambria Math" w:eastAsia="Cambria Math"/>
        </w:rPr>
      </w:pPr>
      <w:r>
        <w:rPr>
          <w:rFonts w:ascii="Cambria Math" w:hAnsi="Cambria Math" w:eastAsia="Cambria Math"/>
          <w:spacing w:val="-92"/>
        </w:rPr>
        <w:t>𝑅𝑂𝐴</w:t>
      </w:r>
      <w:r>
        <w:rPr>
          <w:rFonts w:ascii="Cambria Math" w:hAnsi="Cambria Math" w:eastAsia="Cambria Math"/>
          <w:spacing w:val="-30"/>
        </w:rPr>
        <w:t> </w:t>
      </w:r>
      <w:r>
        <w:rPr>
          <w:rFonts w:ascii="Cambria Math" w:hAnsi="Cambria Math" w:eastAsia="Cambria Math"/>
          <w:spacing w:val="-92"/>
        </w:rPr>
        <w:t>=</w:t>
      </w:r>
      <w:r>
        <w:rPr>
          <w:rFonts w:ascii="Cambria Math" w:hAnsi="Cambria Math" w:eastAsia="Cambria Math"/>
          <w:spacing w:val="-31"/>
        </w:rPr>
        <w:t> </w:t>
      </w:r>
      <w:r>
        <w:rPr>
          <w:rFonts w:ascii="Cambria Math" w:hAnsi="Cambria Math" w:eastAsia="Cambria Math"/>
          <w:spacing w:val="-92"/>
        </w:rPr>
        <w:t>𝑀𝑎𝑟𝑔𝑒𝑛</w:t>
      </w:r>
      <w:r>
        <w:rPr>
          <w:rFonts w:ascii="Cambria Math" w:hAnsi="Cambria Math" w:eastAsia="Cambria Math"/>
          <w:spacing w:val="-34"/>
        </w:rPr>
        <w:t> </w:t>
      </w:r>
      <w:r>
        <w:rPr>
          <w:rFonts w:ascii="Cambria Math" w:hAnsi="Cambria Math" w:eastAsia="Cambria Math"/>
          <w:spacing w:val="-92"/>
        </w:rPr>
        <w:t>𝑑𝑒</w:t>
      </w:r>
      <w:r>
        <w:rPr>
          <w:rFonts w:ascii="Cambria Math" w:hAnsi="Cambria Math" w:eastAsia="Cambria Math"/>
          <w:spacing w:val="-33"/>
        </w:rPr>
        <w:t> </w:t>
      </w:r>
      <w:r>
        <w:rPr>
          <w:rFonts w:ascii="Cambria Math" w:hAnsi="Cambria Math" w:eastAsia="Cambria Math"/>
          <w:spacing w:val="-92"/>
        </w:rPr>
        <w:t>𝑢𝑡𝑖𝑙𝑖𝑑𝑎𝑑</w:t>
      </w:r>
      <w:r>
        <w:rPr>
          <w:rFonts w:ascii="Cambria Math" w:hAnsi="Cambria Math" w:eastAsia="Cambria Math"/>
          <w:spacing w:val="-33"/>
        </w:rPr>
        <w:t> </w:t>
      </w:r>
      <w:r>
        <w:rPr>
          <w:rFonts w:ascii="Cambria Math" w:hAnsi="Cambria Math" w:eastAsia="Cambria Math"/>
          <w:spacing w:val="-92"/>
        </w:rPr>
        <w:t>𝑛𝑒𝑡𝑎</w:t>
      </w:r>
      <w:r>
        <w:rPr>
          <w:rFonts w:ascii="Cambria Math" w:hAnsi="Cambria Math" w:eastAsia="Cambria Math"/>
          <w:spacing w:val="-33"/>
        </w:rPr>
        <w:t> </w:t>
      </w:r>
      <w:r>
        <w:rPr>
          <w:rFonts w:ascii="Cambria Math" w:hAnsi="Cambria Math" w:eastAsia="Cambria Math"/>
          <w:spacing w:val="-92"/>
        </w:rPr>
        <w:t>𝑋</w:t>
      </w:r>
      <w:r>
        <w:rPr>
          <w:rFonts w:ascii="Cambria Math" w:hAnsi="Cambria Math" w:eastAsia="Cambria Math"/>
          <w:spacing w:val="-15"/>
        </w:rPr>
        <w:t> </w:t>
      </w:r>
      <w:r>
        <w:rPr>
          <w:rFonts w:ascii="Cambria Math" w:hAnsi="Cambria Math" w:eastAsia="Cambria Math"/>
          <w:spacing w:val="-92"/>
        </w:rPr>
        <w:t>𝑟𝑜𝑡𝑎𝑐𝑖ó𝑛 </w:t>
      </w:r>
      <w:r>
        <w:rPr>
          <w:rFonts w:ascii="Cambria Math" w:hAnsi="Cambria Math" w:eastAsia="Cambria Math"/>
          <w:spacing w:val="-105"/>
        </w:rPr>
        <w:t>𝑑𝑒</w:t>
      </w:r>
      <w:r>
        <w:rPr>
          <w:rFonts w:ascii="Cambria Math" w:hAnsi="Cambria Math" w:eastAsia="Cambria Math"/>
          <w:spacing w:val="-34"/>
        </w:rPr>
        <w:t> </w:t>
      </w:r>
      <w:r>
        <w:rPr>
          <w:rFonts w:ascii="Cambria Math" w:hAnsi="Cambria Math" w:eastAsia="Cambria Math"/>
          <w:spacing w:val="-105"/>
        </w:rPr>
        <w:t>𝑎𝑐𝑡𝑖𝑣𝑜𝑠</w:t>
      </w:r>
      <w:r>
        <w:rPr>
          <w:rFonts w:ascii="Cambria Math" w:hAnsi="Cambria Math" w:eastAsia="Cambria Math"/>
          <w:spacing w:val="-34"/>
        </w:rPr>
        <w:t> </w:t>
      </w:r>
      <w:r>
        <w:rPr>
          <w:rFonts w:ascii="Cambria Math" w:hAnsi="Cambria Math" w:eastAsia="Cambria Math"/>
          <w:spacing w:val="-105"/>
        </w:rPr>
        <w:t>𝑡𝑜𝑡𝑎𝑙𝑒𝑠</w:t>
      </w:r>
    </w:p>
    <w:p>
      <w:pPr>
        <w:pStyle w:val="BodyText"/>
        <w:rPr>
          <w:rFonts w:ascii="Cambria Math"/>
          <w:sz w:val="29"/>
        </w:rPr>
      </w:pPr>
    </w:p>
    <w:p>
      <w:pPr>
        <w:pStyle w:val="BodyText"/>
        <w:spacing w:line="355" w:lineRule="auto"/>
        <w:ind w:left="110" w:right="948"/>
        <w:jc w:val="both"/>
      </w:pPr>
      <w:r>
        <w:rPr/>
        <w:t>Al sustituir las fórmulas adecuadas en la ecuación y simplificar los resultados  en la fórmula proporcionada</w:t>
      </w:r>
      <w:r>
        <w:rPr>
          <w:spacing w:val="-1"/>
        </w:rPr>
        <w:t> </w:t>
      </w:r>
      <w:r>
        <w:rPr/>
        <w:t>anteriormente:</w:t>
      </w:r>
    </w:p>
    <w:p>
      <w:pPr>
        <w:pStyle w:val="BodyText"/>
        <w:rPr>
          <w:sz w:val="13"/>
        </w:rPr>
      </w:pPr>
    </w:p>
    <w:p>
      <w:pPr>
        <w:spacing w:after="0"/>
        <w:rPr>
          <w:sz w:val="13"/>
        </w:rPr>
        <w:sectPr>
          <w:pgSz w:w="11910" w:h="16840"/>
          <w:pgMar w:header="0" w:footer="724" w:top="960" w:bottom="920" w:left="1600" w:right="740"/>
        </w:sectPr>
      </w:pPr>
    </w:p>
    <w:p>
      <w:pPr>
        <w:pStyle w:val="BodyText"/>
        <w:spacing w:before="67"/>
        <w:ind w:left="369"/>
        <w:rPr>
          <w:rFonts w:ascii="Cambria Math" w:eastAsia="Cambria Math"/>
        </w:rPr>
      </w:pPr>
      <w:r>
        <w:rPr>
          <w:rFonts w:ascii="Cambria Math" w:eastAsia="Cambria Math"/>
        </w:rPr>
        <w:t>𝑅𝑂𝐴</w:t>
      </w:r>
    </w:p>
    <w:p>
      <w:pPr>
        <w:pStyle w:val="BodyText"/>
        <w:spacing w:line="216" w:lineRule="exact" w:before="117"/>
        <w:ind w:left="668"/>
        <w:rPr>
          <w:rFonts w:ascii="Cambria Math" w:eastAsia="Cambria Math"/>
        </w:rPr>
      </w:pPr>
      <w:r>
        <w:rPr>
          <w:rFonts w:ascii="Cambria Math" w:eastAsia="Cambria Math"/>
          <w:spacing w:val="-99"/>
        </w:rPr>
        <w:t>𝑔𝑎𝑛𝑎𝑛𝑐𝑖𝑎𝑠</w:t>
      </w:r>
      <w:r>
        <w:rPr>
          <w:rFonts w:ascii="Cambria Math" w:eastAsia="Cambria Math"/>
          <w:spacing w:val="-34"/>
        </w:rPr>
        <w:t> </w:t>
      </w:r>
      <w:r>
        <w:rPr>
          <w:rFonts w:ascii="Cambria Math" w:eastAsia="Cambria Math"/>
          <w:spacing w:val="-99"/>
        </w:rPr>
        <w:t>𝑑𝑖𝑠𝑝𝑜𝑛𝑖𝑏𝑙𝑒𝑠 </w:t>
      </w:r>
      <w:r>
        <w:rPr>
          <w:rFonts w:ascii="Cambria Math" w:eastAsia="Cambria Math"/>
          <w:spacing w:val="-83"/>
        </w:rPr>
        <w:t>𝑝𝑎𝑟𝑎 𝑙𝑜𝑠</w:t>
      </w:r>
      <w:r>
        <w:rPr>
          <w:rFonts w:ascii="Cambria Math" w:eastAsia="Cambria Math"/>
          <w:spacing w:val="-34"/>
        </w:rPr>
        <w:t> </w:t>
      </w:r>
      <w:r>
        <w:rPr>
          <w:rFonts w:ascii="Cambria Math" w:eastAsia="Cambria Math"/>
          <w:spacing w:val="-82"/>
        </w:rPr>
        <w:t>𝑎𝑐𝑐𝑖𝑜𝑛𝑖𝑠𝑡𝑎𝑠 </w:t>
      </w:r>
      <w:r>
        <w:rPr>
          <w:rFonts w:ascii="Cambria Math" w:eastAsia="Cambria Math"/>
        </w:rPr>
        <w:t>𝑐𝑜𝑚𝑢𝑛𝑒𝑠</w:t>
      </w:r>
    </w:p>
    <w:p>
      <w:pPr>
        <w:pStyle w:val="BodyText"/>
        <w:rPr>
          <w:rFonts w:ascii="Cambria Math"/>
        </w:rPr>
      </w:pPr>
      <w:r>
        <w:rPr/>
        <w:br w:type="column"/>
      </w:r>
      <w:r>
        <w:rPr>
          <w:rFonts w:ascii="Cambria Math"/>
        </w:rPr>
      </w:r>
    </w:p>
    <w:p>
      <w:pPr>
        <w:pStyle w:val="BodyText"/>
        <w:spacing w:line="216" w:lineRule="exact" w:before="184"/>
        <w:ind w:left="369"/>
        <w:rPr>
          <w:rFonts w:ascii="Cambria Math" w:eastAsia="Cambria Math"/>
        </w:rPr>
      </w:pPr>
      <w:r>
        <w:rPr>
          <w:rFonts w:ascii="Cambria Math" w:eastAsia="Cambria Math"/>
        </w:rPr>
        <w:t>𝑣𝑒𝑛𝑡𝑎𝑠</w:t>
      </w:r>
    </w:p>
    <w:p>
      <w:pPr>
        <w:spacing w:after="0" w:line="216" w:lineRule="exact"/>
        <w:rPr>
          <w:rFonts w:ascii="Cambria Math" w:eastAsia="Cambria Math"/>
        </w:rPr>
        <w:sectPr>
          <w:type w:val="continuous"/>
          <w:pgSz w:w="11910" w:h="16840"/>
          <w:pgMar w:top="1380" w:bottom="280" w:left="1600" w:right="740"/>
          <w:cols w:num="2" w:equalWidth="0">
            <w:col w:w="6313" w:space="462"/>
            <w:col w:w="2795"/>
          </w:cols>
        </w:sectPr>
      </w:pPr>
    </w:p>
    <w:p>
      <w:pPr>
        <w:pStyle w:val="BodyText"/>
        <w:tabs>
          <w:tab w:pos="3127" w:val="left" w:leader="none"/>
          <w:tab w:pos="6410" w:val="left" w:leader="none"/>
        </w:tabs>
        <w:spacing w:line="406" w:lineRule="exact"/>
        <w:ind w:left="369"/>
        <w:rPr>
          <w:rFonts w:ascii="Cambria Math" w:eastAsia="Cambria Math"/>
        </w:rPr>
      </w:pPr>
      <w:r>
        <w:rPr/>
        <w:pict>
          <v:line style="position:absolute;mso-position-horizontal-relative:page;mso-position-vertical-relative:paragraph;z-index:-243328" from="113.383904pt,6.245947pt" to="395.863904pt,6.245947pt" stroked="true" strokeweight=".72pt" strokecolor="#000000">
            <w10:wrap type="none"/>
          </v:line>
        </w:pict>
      </w:r>
      <w:r>
        <w:rPr/>
        <w:pict>
          <v:line style="position:absolute;mso-position-horizontal-relative:page;mso-position-vertical-relative:paragraph;z-index:-243304" from="413.14389pt,6.245947pt" to="497.86389pt,6.245947pt" stroked="true" strokeweight=".72pt" strokecolor="#000000">
            <w10:wrap type="none"/>
          </v:line>
        </w:pict>
      </w:r>
      <w:r>
        <w:rPr>
          <w:rFonts w:ascii="Cambria Math" w:eastAsia="Cambria Math"/>
          <w:position w:val="16"/>
        </w:rPr>
        <w:t>=</w:t>
        <w:tab/>
      </w:r>
      <w:r>
        <w:rPr>
          <w:rFonts w:ascii="Cambria Math" w:eastAsia="Cambria Math"/>
          <w:spacing w:val="-96"/>
        </w:rPr>
        <w:t>𝑣𝑒𝑛𝑡𝑎𝑠</w:t>
        <w:tab/>
      </w:r>
      <w:r>
        <w:rPr>
          <w:rFonts w:ascii="Cambria Math" w:eastAsia="Cambria Math"/>
          <w:spacing w:val="-85"/>
          <w:position w:val="16"/>
        </w:rPr>
        <w:t>𝑋</w:t>
      </w:r>
      <w:r>
        <w:rPr>
          <w:rFonts w:ascii="Cambria Math" w:eastAsia="Cambria Math"/>
          <w:spacing w:val="-16"/>
          <w:position w:val="16"/>
        </w:rPr>
        <w:t> </w:t>
      </w:r>
      <w:r>
        <w:rPr>
          <w:rFonts w:ascii="Cambria Math" w:eastAsia="Cambria Math"/>
          <w:spacing w:val="-85"/>
        </w:rPr>
        <w:t>𝑡𝑜𝑡𝑎𝑙</w:t>
      </w:r>
      <w:r>
        <w:rPr>
          <w:rFonts w:ascii="Cambria Math" w:eastAsia="Cambria Math"/>
          <w:spacing w:val="-30"/>
        </w:rPr>
        <w:t> </w:t>
      </w:r>
      <w:r>
        <w:rPr>
          <w:rFonts w:ascii="Cambria Math" w:eastAsia="Cambria Math"/>
          <w:spacing w:val="-84"/>
        </w:rPr>
        <w:t>𝑑𝑒</w:t>
      </w:r>
      <w:r>
        <w:rPr>
          <w:rFonts w:ascii="Cambria Math" w:eastAsia="Cambria Math"/>
          <w:spacing w:val="5"/>
        </w:rPr>
        <w:t> </w:t>
      </w:r>
      <w:r>
        <w:rPr>
          <w:rFonts w:ascii="Cambria Math" w:eastAsia="Cambria Math"/>
        </w:rPr>
        <w:t>𝑎𝑐𝑡𝑖𝑣𝑜𝑠</w:t>
      </w:r>
    </w:p>
    <w:p>
      <w:pPr>
        <w:pStyle w:val="BodyText"/>
        <w:spacing w:line="231" w:lineRule="exact" w:before="59"/>
        <w:ind w:left="668"/>
        <w:rPr>
          <w:rFonts w:ascii="Cambria Math" w:eastAsia="Cambria Math"/>
        </w:rPr>
      </w:pPr>
      <w:r>
        <w:rPr>
          <w:rFonts w:ascii="Cambria Math" w:eastAsia="Cambria Math"/>
          <w:spacing w:val="-79"/>
        </w:rPr>
        <w:t>𝑔𝑎𝑛𝑎𝑛𝑐𝑖𝑎𝑠 </w:t>
      </w:r>
      <w:r>
        <w:rPr>
          <w:rFonts w:ascii="Cambria Math" w:eastAsia="Cambria Math"/>
          <w:spacing w:val="-78"/>
        </w:rPr>
        <w:t>𝑑𝑖𝑠𝑝𝑜𝑛𝑖𝑏𝑙𝑒𝑠 𝑝𝑎𝑟𝑎 𝑙𝑜𝑠 </w:t>
      </w:r>
      <w:r>
        <w:rPr>
          <w:rFonts w:ascii="Cambria Math" w:eastAsia="Cambria Math"/>
          <w:spacing w:val="-112"/>
        </w:rPr>
        <w:t>𝑎𝑐𝑐𝑖𝑜𝑛𝑖𝑠𝑡𝑎𝑠</w:t>
      </w:r>
      <w:r>
        <w:rPr>
          <w:rFonts w:ascii="Cambria Math" w:eastAsia="Cambria Math"/>
          <w:spacing w:val="-28"/>
        </w:rPr>
        <w:t> </w:t>
      </w:r>
      <w:r>
        <w:rPr>
          <w:rFonts w:ascii="Cambria Math" w:eastAsia="Cambria Math"/>
          <w:spacing w:val="-112"/>
        </w:rPr>
        <w:t>𝑐𝑜𝑚𝑢𝑛𝑒𝑠</w:t>
      </w:r>
    </w:p>
    <w:p>
      <w:pPr>
        <w:pStyle w:val="BodyText"/>
        <w:tabs>
          <w:tab w:pos="2646" w:val="left" w:leader="none"/>
        </w:tabs>
        <w:spacing w:line="391" w:lineRule="exact"/>
        <w:ind w:left="369"/>
        <w:rPr>
          <w:rFonts w:ascii="Cambria Math" w:eastAsia="Cambria Math"/>
        </w:rPr>
      </w:pPr>
      <w:r>
        <w:rPr/>
        <w:pict>
          <v:line style="position:absolute;mso-position-horizontal-relative:page;mso-position-vertical-relative:paragraph;z-index:-243280" from="113.383904pt,5.488166pt" to="395.863904pt,5.488166pt" stroked="true" strokeweight=".72pt" strokecolor="#000000">
            <w10:wrap type="none"/>
          </v:line>
        </w:pict>
      </w:r>
      <w:r>
        <w:rPr>
          <w:rFonts w:ascii="Cambria Math" w:eastAsia="Cambria Math"/>
          <w:position w:val="16"/>
        </w:rPr>
        <w:t>=</w:t>
        <w:tab/>
      </w: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Heading3"/>
        <w:spacing w:before="203"/>
        <w:ind w:left="110" w:firstLine="0"/>
        <w:rPr>
          <w:i/>
        </w:rPr>
      </w:pPr>
      <w:bookmarkStart w:name="_TOC_250040" w:id="27"/>
      <w:bookmarkEnd w:id="27"/>
      <w:r>
        <w:rPr>
          <w:i/>
        </w:rPr>
        <w:t>1.9.6.1  Fórmula DuPont modificada.</w:t>
      </w:r>
    </w:p>
    <w:p>
      <w:pPr>
        <w:pStyle w:val="BodyText"/>
        <w:spacing w:line="360" w:lineRule="auto" w:before="137"/>
        <w:ind w:left="110" w:right="948"/>
        <w:jc w:val="both"/>
      </w:pPr>
      <w:r>
        <w:rPr/>
        <w:t>Ésta fórmula relaciona el rendimiento sobre los activos totales de la empresa (ROA) con su retorno sobre el patrimonio (ROE). Este último se calcula al multiplicar el rendimiento sobre los activos totales (ROA) por el multiplicador de apalancamiento financiero (MAF), que es la razón entre los activos totales de la empresa y su capital en acciones comunes.</w:t>
      </w:r>
    </w:p>
    <w:p>
      <w:pPr>
        <w:pStyle w:val="BodyText"/>
        <w:spacing w:before="211"/>
        <w:ind w:left="3462" w:right="4309"/>
        <w:jc w:val="center"/>
        <w:rPr>
          <w:rFonts w:ascii="Cambria Math" w:eastAsia="Cambria Math"/>
        </w:rPr>
      </w:pPr>
      <w:r>
        <w:rPr>
          <w:rFonts w:ascii="Cambria Math" w:eastAsia="Cambria Math"/>
          <w:spacing w:val="-75"/>
        </w:rPr>
        <w:t>𝑅𝑂𝐸 = 𝑅𝑂𝐴 𝑥 </w:t>
      </w:r>
      <w:r>
        <w:rPr>
          <w:rFonts w:ascii="Cambria Math" w:eastAsia="Cambria Math"/>
          <w:spacing w:val="-74"/>
        </w:rPr>
        <w:t>𝑀𝐴𝐹</w:t>
      </w:r>
    </w:p>
    <w:p>
      <w:pPr>
        <w:pStyle w:val="BodyText"/>
        <w:rPr>
          <w:rFonts w:ascii="Cambria Math"/>
          <w:sz w:val="29"/>
        </w:rPr>
      </w:pPr>
    </w:p>
    <w:p>
      <w:pPr>
        <w:pStyle w:val="BodyText"/>
        <w:spacing w:line="355" w:lineRule="auto"/>
        <w:ind w:left="110" w:right="948"/>
        <w:jc w:val="both"/>
      </w:pPr>
      <w:r>
        <w:rPr/>
        <w:t>Al sustituir las fórmulas apropiadas para la ecuación y simplificar los resultados en la fórmula proporcionada anteriormente.</w:t>
      </w:r>
    </w:p>
    <w:p>
      <w:pPr>
        <w:pStyle w:val="BodyText"/>
        <w:rPr>
          <w:sz w:val="13"/>
        </w:rPr>
      </w:pPr>
    </w:p>
    <w:p>
      <w:pPr>
        <w:spacing w:after="0"/>
        <w:rPr>
          <w:sz w:val="13"/>
        </w:rPr>
        <w:sectPr>
          <w:type w:val="continuous"/>
          <w:pgSz w:w="11910" w:h="16840"/>
          <w:pgMar w:top="1380" w:bottom="280" w:left="1600" w:right="740"/>
        </w:sectPr>
      </w:pPr>
    </w:p>
    <w:p>
      <w:pPr>
        <w:pStyle w:val="BodyText"/>
        <w:spacing w:before="67"/>
        <w:ind w:left="110"/>
        <w:rPr>
          <w:rFonts w:ascii="Cambria Math" w:eastAsia="Cambria Math"/>
        </w:rPr>
      </w:pPr>
      <w:r>
        <w:rPr>
          <w:rFonts w:ascii="Cambria Math" w:eastAsia="Cambria Math"/>
        </w:rPr>
        <w:t>𝑅𝑂𝐸</w:t>
      </w:r>
    </w:p>
    <w:p>
      <w:pPr>
        <w:pStyle w:val="BodyText"/>
        <w:spacing w:line="231" w:lineRule="exact" w:before="117"/>
        <w:ind w:left="219" w:right="35"/>
        <w:jc w:val="center"/>
        <w:rPr>
          <w:rFonts w:ascii="Cambria Math" w:eastAsia="Cambria Math"/>
        </w:rPr>
      </w:pPr>
      <w:r>
        <w:rPr>
          <w:rFonts w:ascii="Cambria Math" w:eastAsia="Cambria Math"/>
          <w:spacing w:val="-109"/>
        </w:rPr>
        <w:t>𝑔𝑎𝑛𝑎𝑛𝑐𝑖𝑎𝑠</w:t>
      </w:r>
      <w:r>
        <w:rPr>
          <w:rFonts w:ascii="Cambria Math" w:eastAsia="Cambria Math"/>
          <w:spacing w:val="-33"/>
        </w:rPr>
        <w:t> </w:t>
      </w:r>
      <w:r>
        <w:rPr>
          <w:rFonts w:ascii="Cambria Math" w:eastAsia="Cambria Math"/>
          <w:spacing w:val="-109"/>
        </w:rPr>
        <w:t>𝑑𝑖𝑠𝑝𝑜𝑛𝑖𝑏𝑙𝑒𝑠</w:t>
      </w:r>
      <w:r>
        <w:rPr>
          <w:rFonts w:ascii="Cambria Math" w:eastAsia="Cambria Math"/>
          <w:spacing w:val="-32"/>
        </w:rPr>
        <w:t> </w:t>
      </w:r>
      <w:r>
        <w:rPr>
          <w:rFonts w:ascii="Cambria Math" w:eastAsia="Cambria Math"/>
          <w:spacing w:val="-108"/>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2387" w:val="left" w:leader="none"/>
          <w:tab w:pos="6151" w:val="left" w:leader="none"/>
        </w:tabs>
        <w:spacing w:line="391" w:lineRule="exact"/>
        <w:ind w:left="110"/>
        <w:rPr>
          <w:rFonts w:ascii="Cambria Math" w:eastAsia="Cambria Math"/>
        </w:rPr>
      </w:pPr>
      <w:r>
        <w:rPr/>
        <w:pict>
          <v:line style="position:absolute;mso-position-horizontal-relative:page;mso-position-vertical-relative:paragraph;z-index:-243256" from="100.423897pt,5.488162pt" to="382.903897pt,5.488162pt" stroked="true" strokeweight=".72pt" strokecolor="#000000">
            <w10:wrap type="none"/>
          </v:line>
        </w:pict>
      </w:r>
      <w:r>
        <w:rPr>
          <w:rFonts w:ascii="Cambria Math" w:eastAsia="Cambria Math"/>
          <w:position w:val="16"/>
        </w:rPr>
        <w:t>=</w:t>
        <w:tab/>
      </w: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r>
        <w:rPr>
          <w:rFonts w:ascii="Cambria Math" w:eastAsia="Cambria Math"/>
        </w:rPr>
        <w:tab/>
        <w:t> </w:t>
      </w:r>
      <w:r>
        <w:rPr>
          <w:rFonts w:ascii="Cambria Math" w:eastAsia="Cambria Math"/>
          <w:position w:val="16"/>
        </w:rPr>
        <w:t>𝑥</w:t>
      </w:r>
    </w:p>
    <w:p>
      <w:pPr>
        <w:pStyle w:val="BodyText"/>
        <w:spacing w:line="231" w:lineRule="exact" w:before="112"/>
        <w:ind w:left="219" w:right="35"/>
        <w:jc w:val="center"/>
        <w:rPr>
          <w:rFonts w:ascii="Cambria Math" w:eastAsia="Cambria Math"/>
        </w:rPr>
      </w:pPr>
      <w:r>
        <w:rPr>
          <w:rFonts w:ascii="Cambria Math" w:eastAsia="Cambria Math"/>
          <w:spacing w:val="-109"/>
        </w:rPr>
        <w:t>𝑔𝑎𝑛𝑎𝑛𝑐𝑖𝑎𝑠</w:t>
      </w:r>
      <w:r>
        <w:rPr>
          <w:rFonts w:ascii="Cambria Math" w:eastAsia="Cambria Math"/>
          <w:spacing w:val="-33"/>
        </w:rPr>
        <w:t> </w:t>
      </w:r>
      <w:r>
        <w:rPr>
          <w:rFonts w:ascii="Cambria Math" w:eastAsia="Cambria Math"/>
          <w:spacing w:val="-109"/>
        </w:rPr>
        <w:t>𝑑𝑖𝑠𝑝𝑜𝑛𝑖𝑏𝑙𝑒𝑠</w:t>
      </w:r>
      <w:r>
        <w:rPr>
          <w:rFonts w:ascii="Cambria Math" w:eastAsia="Cambria Math"/>
          <w:spacing w:val="-32"/>
        </w:rPr>
        <w:t> </w:t>
      </w:r>
      <w:r>
        <w:rPr>
          <w:rFonts w:ascii="Cambria Math" w:eastAsia="Cambria Math"/>
          <w:spacing w:val="-108"/>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1701" w:val="left" w:leader="none"/>
        </w:tabs>
        <w:spacing w:line="391" w:lineRule="exact"/>
        <w:ind w:left="110"/>
        <w:rPr>
          <w:rFonts w:ascii="Cambria Math" w:eastAsia="Cambria Math"/>
        </w:rPr>
      </w:pPr>
      <w:r>
        <w:rPr/>
        <w:pict>
          <v:line style="position:absolute;mso-position-horizontal-relative:page;mso-position-vertical-relative:paragraph;z-index:-243232" from="100.423897pt,5.488161pt" to="382.903897pt,5.488161pt" stroked="true" strokeweight=".72pt" strokecolor="#000000">
            <w10:wrap type="none"/>
          </v:line>
        </w:pict>
      </w:r>
      <w:r>
        <w:rPr>
          <w:rFonts w:ascii="Cambria Math" w:eastAsia="Cambria Math"/>
          <w:position w:val="16"/>
        </w:rPr>
        <w:t>=</w:t>
        <w:tab/>
      </w:r>
      <w:r>
        <w:rPr>
          <w:rFonts w:ascii="Cambria Math" w:eastAsia="Cambria Math"/>
          <w:spacing w:val="-106"/>
        </w:rPr>
        <w:t>𝑐𝑎𝑝𝑖𝑡𝑎𝑙</w:t>
      </w:r>
      <w:r>
        <w:rPr>
          <w:rFonts w:ascii="Cambria Math" w:eastAsia="Cambria Math"/>
          <w:spacing w:val="-31"/>
        </w:rPr>
        <w:t> </w:t>
      </w:r>
      <w:r>
        <w:rPr>
          <w:rFonts w:ascii="Cambria Math" w:eastAsia="Cambria Math"/>
          <w:spacing w:val="-106"/>
        </w:rPr>
        <w:t>𝑒𝑛</w:t>
      </w:r>
      <w:r>
        <w:rPr>
          <w:rFonts w:ascii="Cambria Math" w:eastAsia="Cambria Math"/>
          <w:spacing w:val="-33"/>
        </w:rPr>
        <w:t> </w:t>
      </w:r>
      <w:r>
        <w:rPr>
          <w:rFonts w:ascii="Cambria Math" w:eastAsia="Cambria Math"/>
          <w:spacing w:val="-106"/>
        </w:rPr>
        <w:t>𝑎𝑐𝑐𝑖𝑜𝑛𝑒𝑠</w:t>
      </w:r>
      <w:r>
        <w:rPr>
          <w:rFonts w:ascii="Cambria Math" w:eastAsia="Cambria Math"/>
          <w:spacing w:val="4"/>
        </w:rPr>
        <w:t> </w:t>
      </w:r>
      <w:r>
        <w:rPr>
          <w:rFonts w:ascii="Cambria Math" w:eastAsia="Cambria Math"/>
        </w:rPr>
        <w:t>𝑐𝑜𝑚𝑢𝑛𝑒𝑠</w:t>
      </w:r>
    </w:p>
    <w:p>
      <w:pPr>
        <w:pStyle w:val="BodyText"/>
        <w:rPr>
          <w:rFonts w:ascii="Cambria Math"/>
        </w:rPr>
      </w:pPr>
      <w:r>
        <w:rPr/>
        <w:br w:type="column"/>
      </w:r>
      <w:r>
        <w:rPr>
          <w:rFonts w:ascii="Cambria Math"/>
        </w:rPr>
      </w:r>
    </w:p>
    <w:p>
      <w:pPr>
        <w:pStyle w:val="BodyText"/>
        <w:spacing w:before="184"/>
        <w:ind w:left="231" w:right="294"/>
        <w:jc w:val="center"/>
        <w:rPr>
          <w:rFonts w:ascii="Cambria Math" w:eastAsia="Cambria Math"/>
        </w:rPr>
      </w:pPr>
      <w:r>
        <w:rPr>
          <w:rFonts w:ascii="Cambria Math" w:eastAsia="Cambria Math"/>
          <w:spacing w:val="-57"/>
        </w:rPr>
        <w:t>𝑡𝑜𝑡𝑎𝑙 </w:t>
      </w:r>
      <w:r>
        <w:rPr>
          <w:rFonts w:ascii="Cambria Math" w:eastAsia="Cambria Math"/>
          <w:spacing w:val="-56"/>
        </w:rPr>
        <w:t>𝑑𝑒 </w:t>
      </w:r>
      <w:r>
        <w:rPr>
          <w:rFonts w:ascii="Cambria Math" w:eastAsia="Cambria Math"/>
          <w:spacing w:val="-53"/>
        </w:rPr>
        <w:t>𝑎𝑐𝑡𝑖𝑣𝑜𝑠</w:t>
      </w:r>
    </w:p>
    <w:p>
      <w:pPr>
        <w:pStyle w:val="BodyText"/>
        <w:spacing w:before="5"/>
        <w:rPr>
          <w:rFonts w:ascii="Cambria Math"/>
          <w:sz w:val="4"/>
        </w:rPr>
      </w:pPr>
    </w:p>
    <w:p>
      <w:pPr>
        <w:pStyle w:val="BodyText"/>
        <w:spacing w:line="20" w:lineRule="exact"/>
        <w:ind w:left="53"/>
        <w:rPr>
          <w:rFonts w:ascii="Cambria Math"/>
          <w:sz w:val="2"/>
        </w:rPr>
      </w:pPr>
      <w:r>
        <w:rPr>
          <w:rFonts w:ascii="Cambria Math"/>
          <w:sz w:val="2"/>
        </w:rPr>
        <w:pict>
          <v:group style="width:154.15pt;height:.75pt;mso-position-horizontal-relative:char;mso-position-vertical-relative:line" coordorigin="0,0" coordsize="3083,15">
            <v:line style="position:absolute" from="8,8" to="3075,8" stroked="true" strokeweight=".72pt" strokecolor="#000000"/>
          </v:group>
        </w:pict>
      </w:r>
      <w:r>
        <w:rPr>
          <w:rFonts w:ascii="Cambria Math"/>
          <w:sz w:val="2"/>
        </w:rPr>
      </w:r>
    </w:p>
    <w:p>
      <w:pPr>
        <w:pStyle w:val="BodyText"/>
        <w:ind w:left="231" w:right="294"/>
        <w:jc w:val="center"/>
        <w:rPr>
          <w:rFonts w:ascii="Cambria Math" w:eastAsia="Cambria Math"/>
        </w:rPr>
      </w:pPr>
      <w:r>
        <w:rPr>
          <w:rFonts w:ascii="Cambria Math" w:eastAsia="Cambria Math"/>
          <w:spacing w:val="-83"/>
        </w:rPr>
        <w:t>𝑐𝑎𝑝𝑖𝑡𝑎𝑙</w:t>
      </w:r>
      <w:r>
        <w:rPr>
          <w:rFonts w:ascii="Cambria Math" w:eastAsia="Cambria Math"/>
          <w:spacing w:val="-33"/>
        </w:rPr>
        <w:t> </w:t>
      </w:r>
      <w:r>
        <w:rPr>
          <w:rFonts w:ascii="Cambria Math" w:eastAsia="Cambria Math"/>
          <w:spacing w:val="-82"/>
        </w:rPr>
        <w:t>𝑒𝑛 </w:t>
      </w:r>
      <w:r>
        <w:rPr>
          <w:rFonts w:ascii="Cambria Math" w:eastAsia="Cambria Math"/>
          <w:spacing w:val="-84"/>
        </w:rPr>
        <w:t>𝑎𝑐𝑐𝑖𝑜𝑛𝑒𝑠</w:t>
      </w:r>
      <w:r>
        <w:rPr>
          <w:rFonts w:ascii="Cambria Math" w:eastAsia="Cambria Math"/>
          <w:spacing w:val="-51"/>
        </w:rPr>
        <w:t> </w:t>
      </w:r>
      <w:r>
        <w:rPr>
          <w:rFonts w:ascii="Cambria Math" w:eastAsia="Cambria Math"/>
          <w:spacing w:val="-53"/>
        </w:rPr>
        <w:t>𝑐𝑜𝑚𝑢𝑛𝑒𝑠</w:t>
      </w:r>
    </w:p>
    <w:p>
      <w:pPr>
        <w:spacing w:after="0"/>
        <w:jc w:val="center"/>
        <w:rPr>
          <w:rFonts w:ascii="Cambria Math" w:eastAsia="Cambria Math"/>
        </w:rPr>
        <w:sectPr>
          <w:type w:val="continuous"/>
          <w:pgSz w:w="11910" w:h="16840"/>
          <w:pgMar w:top="1380" w:bottom="280" w:left="1600" w:right="740"/>
          <w:cols w:num="2" w:equalWidth="0">
            <w:col w:w="6280" w:space="40"/>
            <w:col w:w="3250"/>
          </w:cols>
        </w:sectPr>
      </w:pPr>
    </w:p>
    <w:p>
      <w:pPr>
        <w:pStyle w:val="BodyText"/>
        <w:rPr>
          <w:rFonts w:ascii="Cambria Math"/>
          <w:sz w:val="20"/>
        </w:rPr>
      </w:pPr>
    </w:p>
    <w:p>
      <w:pPr>
        <w:pStyle w:val="BodyText"/>
        <w:spacing w:before="6"/>
        <w:rPr>
          <w:rFonts w:ascii="Cambria Math"/>
          <w:sz w:val="18"/>
        </w:rPr>
      </w:pPr>
    </w:p>
    <w:p>
      <w:pPr>
        <w:pStyle w:val="BodyText"/>
        <w:spacing w:line="360" w:lineRule="auto"/>
        <w:ind w:left="110" w:right="108"/>
        <w:jc w:val="both"/>
      </w:pPr>
      <w:r>
        <w:rPr/>
        <w:t>La ventaja del sistema DuPont es que permite a la empresa dividir su retorno sobre el patrimonio en un componente de utilidad sobre las ventas (margen de utilidad neta), un componente de eficiencia del uso de activos (rotación de activos totales), y un componente de uso de apalancamiento financiero (multiplicador de apalancamiento financiero.) Por lo tanto, es posible analizar el retorno total para los propietarios en estas importantes dimensiones.</w:t>
      </w:r>
    </w:p>
    <w:p>
      <w:pPr>
        <w:spacing w:after="0" w:line="360" w:lineRule="auto"/>
        <w:jc w:val="both"/>
        <w:sectPr>
          <w:pgSz w:w="11910" w:h="16840"/>
          <w:pgMar w:header="0" w:footer="724" w:top="960" w:bottom="9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Heading1"/>
        <w:numPr>
          <w:ilvl w:val="0"/>
          <w:numId w:val="10"/>
        </w:numPr>
        <w:tabs>
          <w:tab w:pos="1916" w:val="left" w:leader="none"/>
          <w:tab w:pos="1917" w:val="left" w:leader="none"/>
        </w:tabs>
        <w:spacing w:line="240" w:lineRule="auto" w:before="63" w:after="0"/>
        <w:ind w:left="1916" w:right="0" w:hanging="432"/>
        <w:jc w:val="left"/>
      </w:pPr>
      <w:bookmarkStart w:name="_TOC_250039" w:id="28"/>
      <w:r>
        <w:rPr/>
        <w:t>CAPÍTULO II MARCO DE</w:t>
      </w:r>
      <w:r>
        <w:rPr>
          <w:spacing w:val="-13"/>
        </w:rPr>
        <w:t> </w:t>
      </w:r>
      <w:bookmarkEnd w:id="28"/>
      <w:r>
        <w:rPr/>
        <w:t>REFERENCIA</w:t>
      </w:r>
    </w:p>
    <w:p>
      <w:pPr>
        <w:spacing w:after="0" w:line="240" w:lineRule="auto"/>
        <w:jc w:val="left"/>
        <w:sectPr>
          <w:headerReference w:type="default" r:id="rId19"/>
          <w:footerReference w:type="default" r:id="rId20"/>
          <w:pgSz w:w="11910" w:h="16840"/>
          <w:pgMar w:header="0" w:footer="0" w:top="1580" w:bottom="280" w:left="1680" w:right="1680"/>
        </w:sectPr>
      </w:pPr>
    </w:p>
    <w:p>
      <w:pPr>
        <w:pStyle w:val="BodyText"/>
        <w:rPr>
          <w:b/>
          <w:sz w:val="20"/>
        </w:rPr>
      </w:pPr>
    </w:p>
    <w:p>
      <w:pPr>
        <w:pStyle w:val="BodyText"/>
        <w:spacing w:before="3"/>
        <w:rPr>
          <w:b/>
          <w:sz w:val="19"/>
        </w:rPr>
      </w:pPr>
    </w:p>
    <w:p>
      <w:pPr>
        <w:pStyle w:val="Heading2"/>
        <w:numPr>
          <w:ilvl w:val="1"/>
          <w:numId w:val="15"/>
        </w:numPr>
        <w:tabs>
          <w:tab w:pos="687" w:val="left" w:leader="none"/>
        </w:tabs>
        <w:spacing w:line="240" w:lineRule="auto" w:before="0" w:after="0"/>
        <w:ind w:left="686" w:right="0" w:hanging="576"/>
        <w:jc w:val="both"/>
      </w:pPr>
      <w:bookmarkStart w:name="_TOC_250038" w:id="29"/>
      <w:bookmarkEnd w:id="29"/>
      <w:r>
        <w:rPr/>
        <w:t>Introducción Marco de referencia</w:t>
      </w:r>
    </w:p>
    <w:p>
      <w:pPr>
        <w:pStyle w:val="BodyText"/>
        <w:spacing w:line="360" w:lineRule="auto" w:before="137"/>
        <w:ind w:left="110" w:right="108"/>
        <w:jc w:val="both"/>
      </w:pPr>
      <w:r>
        <w:rPr/>
        <w:t>El presente capítulo tiene como objetivo describir la empresa objeto de estudio así como la industria automotriz en México.</w:t>
      </w:r>
    </w:p>
    <w:p>
      <w:pPr>
        <w:pStyle w:val="BodyText"/>
      </w:pPr>
    </w:p>
    <w:p>
      <w:pPr>
        <w:pStyle w:val="BodyText"/>
      </w:pPr>
    </w:p>
    <w:p>
      <w:pPr>
        <w:pStyle w:val="BodyText"/>
        <w:spacing w:before="7"/>
        <w:rPr>
          <w:sz w:val="23"/>
        </w:rPr>
      </w:pPr>
    </w:p>
    <w:p>
      <w:pPr>
        <w:pStyle w:val="Heading2"/>
        <w:numPr>
          <w:ilvl w:val="2"/>
          <w:numId w:val="15"/>
        </w:numPr>
        <w:tabs>
          <w:tab w:pos="898" w:val="left" w:leader="none"/>
        </w:tabs>
        <w:spacing w:line="240" w:lineRule="auto" w:before="0" w:after="0"/>
        <w:ind w:left="897" w:right="0" w:hanging="787"/>
        <w:jc w:val="both"/>
      </w:pPr>
      <w:bookmarkStart w:name="_TOC_250037" w:id="30"/>
      <w:bookmarkEnd w:id="30"/>
      <w:r>
        <w:rPr/>
        <w:t>Datos generales de la empresa Valeo.</w:t>
      </w:r>
    </w:p>
    <w:p>
      <w:pPr>
        <w:pStyle w:val="BodyText"/>
        <w:spacing w:line="357" w:lineRule="auto" w:before="137"/>
        <w:ind w:left="110" w:right="108"/>
        <w:jc w:val="both"/>
      </w:pPr>
      <w:r>
        <w:rPr/>
        <w:t>Valeo es un grupo independiente orientado a la concepción, fabricación y la venta de componentes, de sistemas integrados y de módulos para la industria automotriz principalmente basado en la reducción de CO</w:t>
      </w:r>
      <w:r>
        <w:rPr>
          <w:position w:val="-2"/>
          <w:sz w:val="16"/>
        </w:rPr>
        <w:t>2</w:t>
      </w:r>
      <w:r>
        <w:rPr/>
        <w:t>. Valeo forma parte  de las empresas de autopartes más importantes a nivel mundial, el grupo Valeo empleó en 2011 a 68,000 colaboradores en 28 países, en 124 sitios de producción, 21 centros de investigación, 40 centros de desarrollo y 12 plataformas de distribución.</w:t>
      </w:r>
    </w:p>
    <w:p>
      <w:pPr>
        <w:pStyle w:val="BodyText"/>
      </w:pPr>
    </w:p>
    <w:p>
      <w:pPr>
        <w:pStyle w:val="BodyText"/>
        <w:spacing w:before="10"/>
        <w:rPr>
          <w:sz w:val="29"/>
        </w:rPr>
      </w:pPr>
    </w:p>
    <w:p>
      <w:pPr>
        <w:pStyle w:val="Heading2"/>
        <w:numPr>
          <w:ilvl w:val="2"/>
          <w:numId w:val="15"/>
        </w:numPr>
        <w:tabs>
          <w:tab w:pos="831" w:val="left" w:leader="none"/>
        </w:tabs>
        <w:spacing w:line="240" w:lineRule="auto" w:before="0" w:after="0"/>
        <w:ind w:left="830" w:right="0" w:hanging="720"/>
        <w:jc w:val="both"/>
      </w:pPr>
      <w:bookmarkStart w:name="_TOC_250036" w:id="31"/>
      <w:bookmarkEnd w:id="31"/>
      <w:r>
        <w:rPr/>
        <w:t>Historia de la empresa Valeo.</w:t>
      </w:r>
    </w:p>
    <w:p>
      <w:pPr>
        <w:pStyle w:val="BodyText"/>
        <w:spacing w:line="360" w:lineRule="auto" w:before="141"/>
        <w:ind w:left="110" w:right="108"/>
        <w:jc w:val="both"/>
      </w:pPr>
      <w:r>
        <w:rPr/>
        <w:t>Los orígenes del grupo se remontan a la creación en 1923 de la sociedad anónima francesa del Ferodo instalada en los talleres ubicados en Saint –  Ouen cerca de Paris, Francia. La sociedad se dedicaba a producir y distribuir autopartes como frenos y embragues bajo la licencia de la sociedad inglesa Ferodo; en 1932 las acciones de la sociedad comienzan a cotizar en la bolsa  de Paris. En el transcurso de 1960 a 1970 la sociedad atraviesa por una fase  de desarrollo a la vez por diversificación sectorial (implementación de sistemas de frenos, sistemas térmicos e iluminación y sistemas eléctricos) así como por implantación internacional (España, Italia y Brasil). En mayo de 1980 la Asamblea General de accionarios de la sociedad adopta el nombre de Valeo que en latín significa “voy bien”; es a partir de los años ochenta que Valeo se impone como un grupo capaz de desarrollarse a través de las adquisiciones realizadas en escala</w:t>
      </w:r>
      <w:r>
        <w:rPr>
          <w:spacing w:val="-1"/>
        </w:rPr>
        <w:t> </w:t>
      </w:r>
      <w:r>
        <w:rPr/>
        <w:t>internacional.</w:t>
      </w:r>
    </w:p>
    <w:p>
      <w:pPr>
        <w:pStyle w:val="BodyText"/>
      </w:pPr>
    </w:p>
    <w:p>
      <w:pPr>
        <w:pStyle w:val="BodyText"/>
        <w:spacing w:line="360" w:lineRule="auto" w:before="139"/>
        <w:ind w:left="110" w:right="108"/>
        <w:jc w:val="both"/>
      </w:pPr>
      <w:r>
        <w:rPr/>
        <w:t>La década de los 90’s se vio enmarcada por la puesta en práctica de la estrategia del grupo a través de tres puntos clave:</w:t>
      </w:r>
    </w:p>
    <w:p>
      <w:pPr>
        <w:spacing w:after="0" w:line="360" w:lineRule="auto"/>
        <w:jc w:val="both"/>
        <w:sectPr>
          <w:headerReference w:type="default" r:id="rId21"/>
          <w:footerReference w:type="default" r:id="rId22"/>
          <w:pgSz w:w="11910" w:h="16840"/>
          <w:pgMar w:header="755" w:footer="724" w:top="960" w:bottom="920" w:left="1600" w:right="1580"/>
          <w:pgNumType w:start="37"/>
        </w:sectPr>
      </w:pPr>
    </w:p>
    <w:p>
      <w:pPr>
        <w:pStyle w:val="BodyText"/>
        <w:rPr>
          <w:sz w:val="20"/>
        </w:rPr>
      </w:pPr>
    </w:p>
    <w:p>
      <w:pPr>
        <w:pStyle w:val="BodyText"/>
        <w:spacing w:before="1"/>
        <w:rPr>
          <w:sz w:val="19"/>
        </w:rPr>
      </w:pPr>
    </w:p>
    <w:p>
      <w:pPr>
        <w:pStyle w:val="ListParagraph"/>
        <w:numPr>
          <w:ilvl w:val="0"/>
          <w:numId w:val="16"/>
        </w:numPr>
        <w:tabs>
          <w:tab w:pos="830" w:val="left" w:leader="none"/>
          <w:tab w:pos="831" w:val="left" w:leader="none"/>
        </w:tabs>
        <w:spacing w:line="355" w:lineRule="auto" w:before="1" w:after="0"/>
        <w:ind w:left="830" w:right="108" w:hanging="360"/>
        <w:jc w:val="left"/>
        <w:rPr>
          <w:sz w:val="24"/>
        </w:rPr>
      </w:pPr>
      <w:r>
        <w:rPr>
          <w:sz w:val="24"/>
        </w:rPr>
        <w:t>Renovar la cultura industrial en búsqueda de la excelencia operacional a través del método de 5 ejes</w:t>
      </w:r>
      <w:r>
        <w:rPr>
          <w:spacing w:val="-2"/>
          <w:sz w:val="24"/>
        </w:rPr>
        <w:t> </w:t>
      </w:r>
      <w:r>
        <w:rPr>
          <w:sz w:val="24"/>
        </w:rPr>
        <w:t>(1991).</w:t>
      </w:r>
    </w:p>
    <w:p>
      <w:pPr>
        <w:pStyle w:val="ListParagraph"/>
        <w:numPr>
          <w:ilvl w:val="0"/>
          <w:numId w:val="16"/>
        </w:numPr>
        <w:tabs>
          <w:tab w:pos="830" w:val="left" w:leader="none"/>
          <w:tab w:pos="831" w:val="left" w:leader="none"/>
        </w:tabs>
        <w:spacing w:line="355" w:lineRule="auto" w:before="6" w:after="0"/>
        <w:ind w:left="830" w:right="108" w:hanging="360"/>
        <w:jc w:val="left"/>
        <w:rPr>
          <w:sz w:val="24"/>
        </w:rPr>
      </w:pPr>
      <w:r>
        <w:rPr>
          <w:sz w:val="24"/>
        </w:rPr>
        <w:t>Esfuerzo de investigación sostenido a través de la creación de centros  de</w:t>
      </w:r>
      <w:r>
        <w:rPr>
          <w:spacing w:val="-1"/>
          <w:sz w:val="24"/>
        </w:rPr>
        <w:t> </w:t>
      </w:r>
      <w:r>
        <w:rPr>
          <w:sz w:val="24"/>
        </w:rPr>
        <w:t>investigación.</w:t>
      </w:r>
    </w:p>
    <w:p>
      <w:pPr>
        <w:pStyle w:val="ListParagraph"/>
        <w:numPr>
          <w:ilvl w:val="0"/>
          <w:numId w:val="16"/>
        </w:numPr>
        <w:tabs>
          <w:tab w:pos="830" w:val="left" w:leader="none"/>
          <w:tab w:pos="831" w:val="left" w:leader="none"/>
        </w:tabs>
        <w:spacing w:line="355" w:lineRule="auto" w:before="6" w:after="0"/>
        <w:ind w:left="830" w:right="108" w:hanging="360"/>
        <w:jc w:val="left"/>
        <w:rPr>
          <w:sz w:val="24"/>
        </w:rPr>
      </w:pPr>
      <w:r>
        <w:rPr>
          <w:sz w:val="24"/>
        </w:rPr>
        <w:t>Internacionalización creciente, implantación de plantas de producción en México, Gales, Italia, China.</w:t>
      </w:r>
    </w:p>
    <w:p>
      <w:pPr>
        <w:pStyle w:val="BodyText"/>
      </w:pPr>
    </w:p>
    <w:p>
      <w:pPr>
        <w:pStyle w:val="BodyText"/>
        <w:spacing w:line="360" w:lineRule="auto" w:before="145"/>
        <w:ind w:left="110" w:right="108"/>
        <w:jc w:val="both"/>
      </w:pPr>
      <w:r>
        <w:rPr/>
        <w:t>El decenio comprendido a partir del año 2000 estuvo marcado por el compromiso de Valeo para la creación de un programa de racionalización industrial con la reorganización de la producción sobre un número reducido de sitios de producción ubicados en países con costos competitivos. A partir del 2004, Valeo comienza a acentuar su estrategia en la tecnología a través de adquisiciones dirigidas a acelerar la implantación en Asia y particularmente en China.</w:t>
      </w:r>
    </w:p>
    <w:p>
      <w:pPr>
        <w:pStyle w:val="BodyText"/>
      </w:pPr>
    </w:p>
    <w:p>
      <w:pPr>
        <w:pStyle w:val="BodyText"/>
        <w:spacing w:before="7"/>
        <w:rPr>
          <w:sz w:val="29"/>
        </w:rPr>
      </w:pPr>
    </w:p>
    <w:p>
      <w:pPr>
        <w:pStyle w:val="Heading2"/>
        <w:numPr>
          <w:ilvl w:val="2"/>
          <w:numId w:val="15"/>
        </w:numPr>
        <w:tabs>
          <w:tab w:pos="831" w:val="left" w:leader="none"/>
        </w:tabs>
        <w:spacing w:line="240" w:lineRule="auto" w:before="0" w:after="0"/>
        <w:ind w:left="830" w:right="0" w:hanging="720"/>
        <w:jc w:val="both"/>
      </w:pPr>
      <w:bookmarkStart w:name="_TOC_250035" w:id="32"/>
      <w:r>
        <w:rPr/>
        <w:t>Estructura de la empresa</w:t>
      </w:r>
      <w:r>
        <w:rPr>
          <w:spacing w:val="-9"/>
        </w:rPr>
        <w:t> </w:t>
      </w:r>
      <w:bookmarkEnd w:id="32"/>
      <w:r>
        <w:rPr/>
        <w:t>Valeo</w:t>
      </w:r>
    </w:p>
    <w:p>
      <w:pPr>
        <w:pStyle w:val="BodyText"/>
        <w:spacing w:before="4"/>
        <w:rPr>
          <w:b/>
          <w:sz w:val="29"/>
        </w:rPr>
      </w:pPr>
    </w:p>
    <w:p>
      <w:pPr>
        <w:pStyle w:val="Heading3"/>
        <w:numPr>
          <w:ilvl w:val="3"/>
          <w:numId w:val="15"/>
        </w:numPr>
        <w:tabs>
          <w:tab w:pos="975" w:val="left" w:leader="none"/>
        </w:tabs>
        <w:spacing w:line="240" w:lineRule="auto" w:before="1" w:after="0"/>
        <w:ind w:left="974" w:right="0" w:hanging="864"/>
        <w:jc w:val="both"/>
        <w:rPr>
          <w:i/>
        </w:rPr>
      </w:pPr>
      <w:bookmarkStart w:name="_TOC_250034" w:id="33"/>
      <w:r>
        <w:rPr>
          <w:i/>
        </w:rPr>
        <w:t>Estructura legal de la empresa</w:t>
      </w:r>
      <w:r>
        <w:rPr>
          <w:i/>
          <w:spacing w:val="-1"/>
        </w:rPr>
        <w:t> </w:t>
      </w:r>
      <w:bookmarkEnd w:id="33"/>
      <w:r>
        <w:rPr>
          <w:i/>
        </w:rPr>
        <w:t>Valeo</w:t>
      </w:r>
    </w:p>
    <w:p>
      <w:pPr>
        <w:pStyle w:val="BodyText"/>
        <w:spacing w:line="360" w:lineRule="auto" w:before="141"/>
        <w:ind w:left="110" w:right="108"/>
        <w:jc w:val="both"/>
      </w:pPr>
      <w:r>
        <w:rPr/>
        <w:t>La estructura jurídica del Grupo se basa en tres sociedades de cartera, que se interponen entre la empresa matriz, Valeo y sus subsidiarias operativas: Valeo Finanzas, que posee acciones de empresas francesas y gestiona proyectos de investigación, Valeo Bayen, cuyo propósito es llevar a cabo acciones de empresas extranjeras y, al hacerlo, es el sucesor de VIHBV, registrada en los Países Bajos, que anteriormente desempeñó el papel de inversionista en las empresas extranjeras. Existe otra sociedad de cartera por razones históricas: Société de Participacions Valeo . (Valeo, 2013)</w:t>
      </w:r>
    </w:p>
    <w:p>
      <w:pPr>
        <w:pStyle w:val="BodyText"/>
      </w:pPr>
    </w:p>
    <w:p>
      <w:pPr>
        <w:pStyle w:val="BodyText"/>
        <w:spacing w:line="360" w:lineRule="auto" w:before="144"/>
        <w:ind w:left="110" w:right="108"/>
        <w:jc w:val="both"/>
      </w:pPr>
      <w:r>
        <w:rPr/>
        <w:t>En un nivel intermedio, en algunos países (Alemania, España, Estados Unidos, Italia, República Checa, Reino Unido y Japón), las holdings se organizan alrededor de una o varias empresas establecidas en el país en sí, que también juegan el papel de la sociedad de cartera, por lo que posee acciones, directa o indirectamente, en otras empresas operativas, formando un subgrupo local. Esta estructura permite la centralización y optimización de la gestión financiera de los miembros del subgrupo y, si fuera legalmente posible, la creación de   un</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grupo fiscal consolidado. Valeo ha formado empresas de propiedad compartida con socios industriales o tecnológicos en varios países con el fin de entrar en nuevos mercados, consolidar su oferta de sistemas para los clientes y el desarrollo de nuevas ofertas de productos. (Valeo, 2013)</w:t>
      </w:r>
    </w:p>
    <w:p>
      <w:pPr>
        <w:pStyle w:val="BodyText"/>
      </w:pPr>
    </w:p>
    <w:p>
      <w:pPr>
        <w:pStyle w:val="BodyText"/>
        <w:spacing w:before="2"/>
        <w:rPr>
          <w:sz w:val="29"/>
        </w:rPr>
      </w:pPr>
    </w:p>
    <w:p>
      <w:pPr>
        <w:pStyle w:val="Heading3"/>
        <w:numPr>
          <w:ilvl w:val="3"/>
          <w:numId w:val="15"/>
        </w:numPr>
        <w:tabs>
          <w:tab w:pos="975" w:val="left" w:leader="none"/>
        </w:tabs>
        <w:spacing w:line="240" w:lineRule="auto" w:before="1" w:after="0"/>
        <w:ind w:left="974" w:right="0" w:hanging="864"/>
        <w:jc w:val="both"/>
        <w:rPr>
          <w:i/>
        </w:rPr>
      </w:pPr>
      <w:bookmarkStart w:name="_TOC_250033" w:id="34"/>
      <w:bookmarkEnd w:id="34"/>
      <w:r>
        <w:rPr>
          <w:i/>
        </w:rPr>
        <w:t>Estructura operacional de la empresa Valeo.</w:t>
      </w:r>
    </w:p>
    <w:p>
      <w:pPr>
        <w:pStyle w:val="BodyText"/>
        <w:rPr>
          <w:b/>
          <w:i/>
        </w:rPr>
      </w:pPr>
    </w:p>
    <w:p>
      <w:pPr>
        <w:pStyle w:val="BodyText"/>
        <w:rPr>
          <w:b/>
          <w:i/>
        </w:rPr>
      </w:pPr>
    </w:p>
    <w:p>
      <w:pPr>
        <w:pStyle w:val="BodyText"/>
        <w:spacing w:line="360" w:lineRule="auto" w:before="204"/>
        <w:ind w:left="110" w:right="108"/>
        <w:jc w:val="both"/>
      </w:pPr>
      <w:r>
        <w:rPr/>
        <w:t>La estructura operacional del Grupo Valeo consiste en Grupos, Polos, Grupos de Producto, Líneas de Producto y Operaciones Regionales.</w:t>
      </w:r>
    </w:p>
    <w:p>
      <w:pPr>
        <w:pStyle w:val="BodyText"/>
      </w:pPr>
    </w:p>
    <w:p>
      <w:pPr>
        <w:pStyle w:val="BodyText"/>
        <w:spacing w:line="360" w:lineRule="auto" w:before="144"/>
        <w:ind w:left="110" w:right="108"/>
        <w:jc w:val="both"/>
      </w:pPr>
      <w:r>
        <w:rPr/>
        <w:t>El Grupo define la orientación estratégica, analiza y controla las actividades de los polos, define las políticas y estándares del grupo, se asegura de la coherencia de las políticas comercial e industrial y arbitra la asignación de recursos entre los polos.</w:t>
      </w:r>
    </w:p>
    <w:p>
      <w:pPr>
        <w:pStyle w:val="BodyText"/>
      </w:pPr>
    </w:p>
    <w:p>
      <w:pPr>
        <w:pStyle w:val="BodyText"/>
        <w:spacing w:line="360" w:lineRule="auto" w:before="139"/>
        <w:ind w:left="110" w:right="108"/>
        <w:jc w:val="both"/>
      </w:pPr>
      <w:r>
        <w:rPr/>
        <w:t>Los polos son responsables del crecimiento y performance operacional de los grupos de producto y de las líneas de producto de las que son responsables en todo el mundo, dentro de sus funciones, proporcionan al grupo la información que concierne al estado de tecnología del producto, coordinan también la asignación de recursos para la investigación y desarrollo así como la optimización de los medios de producción de plantas industriales; esto con el apoyo de las direcciones nacionales y de las operaciones regionales.</w:t>
      </w:r>
    </w:p>
    <w:p>
      <w:pPr>
        <w:pStyle w:val="BodyText"/>
      </w:pPr>
    </w:p>
    <w:p>
      <w:pPr>
        <w:pStyle w:val="BodyText"/>
        <w:spacing w:before="139"/>
        <w:ind w:left="110"/>
        <w:jc w:val="both"/>
      </w:pPr>
      <w:r>
        <w:rPr/>
        <w:t>Los polos de actividad son:</w:t>
      </w:r>
    </w:p>
    <w:p>
      <w:pPr>
        <w:pStyle w:val="ListParagraph"/>
        <w:numPr>
          <w:ilvl w:val="4"/>
          <w:numId w:val="15"/>
        </w:numPr>
        <w:tabs>
          <w:tab w:pos="830" w:val="left" w:leader="none"/>
          <w:tab w:pos="831" w:val="left" w:leader="none"/>
        </w:tabs>
        <w:spacing w:line="240" w:lineRule="auto" w:before="135" w:after="0"/>
        <w:ind w:left="830" w:right="0" w:hanging="360"/>
        <w:jc w:val="left"/>
        <w:rPr>
          <w:sz w:val="24"/>
        </w:rPr>
      </w:pPr>
      <w:r>
        <w:rPr>
          <w:sz w:val="24"/>
        </w:rPr>
        <w:t>Sistemas de</w:t>
      </w:r>
      <w:r>
        <w:rPr>
          <w:spacing w:val="-1"/>
          <w:sz w:val="24"/>
        </w:rPr>
        <w:t> </w:t>
      </w:r>
      <w:r>
        <w:rPr>
          <w:sz w:val="24"/>
        </w:rPr>
        <w:t>propulsión.</w:t>
      </w:r>
    </w:p>
    <w:p>
      <w:pPr>
        <w:pStyle w:val="ListParagraph"/>
        <w:numPr>
          <w:ilvl w:val="4"/>
          <w:numId w:val="15"/>
        </w:numPr>
        <w:tabs>
          <w:tab w:pos="830" w:val="left" w:leader="none"/>
          <w:tab w:pos="831" w:val="left" w:leader="none"/>
        </w:tabs>
        <w:spacing w:line="240" w:lineRule="auto" w:before="138" w:after="0"/>
        <w:ind w:left="830" w:right="0" w:hanging="360"/>
        <w:jc w:val="left"/>
        <w:rPr>
          <w:sz w:val="24"/>
        </w:rPr>
      </w:pPr>
      <w:r>
        <w:rPr>
          <w:sz w:val="24"/>
        </w:rPr>
        <w:t>Sistemas</w:t>
      </w:r>
      <w:r>
        <w:rPr>
          <w:spacing w:val="-1"/>
          <w:sz w:val="24"/>
        </w:rPr>
        <w:t> </w:t>
      </w:r>
      <w:r>
        <w:rPr>
          <w:sz w:val="24"/>
        </w:rPr>
        <w:t>térmicos.</w:t>
      </w:r>
    </w:p>
    <w:p>
      <w:pPr>
        <w:pStyle w:val="ListParagraph"/>
        <w:numPr>
          <w:ilvl w:val="4"/>
          <w:numId w:val="15"/>
        </w:numPr>
        <w:tabs>
          <w:tab w:pos="830" w:val="left" w:leader="none"/>
          <w:tab w:pos="831" w:val="left" w:leader="none"/>
        </w:tabs>
        <w:spacing w:line="240" w:lineRule="auto" w:before="138" w:after="0"/>
        <w:ind w:left="830" w:right="0" w:hanging="360"/>
        <w:jc w:val="left"/>
        <w:rPr>
          <w:sz w:val="24"/>
        </w:rPr>
      </w:pPr>
      <w:r>
        <w:rPr>
          <w:sz w:val="24"/>
        </w:rPr>
        <w:t>Sistemas de confort y ayuda a la</w:t>
      </w:r>
      <w:r>
        <w:rPr>
          <w:spacing w:val="-1"/>
          <w:sz w:val="24"/>
        </w:rPr>
        <w:t> </w:t>
      </w:r>
      <w:r>
        <w:rPr>
          <w:sz w:val="24"/>
        </w:rPr>
        <w:t>conducción.</w:t>
      </w:r>
    </w:p>
    <w:p>
      <w:pPr>
        <w:pStyle w:val="ListParagraph"/>
        <w:numPr>
          <w:ilvl w:val="4"/>
          <w:numId w:val="15"/>
        </w:numPr>
        <w:tabs>
          <w:tab w:pos="830" w:val="left" w:leader="none"/>
          <w:tab w:pos="831" w:val="left" w:leader="none"/>
        </w:tabs>
        <w:spacing w:line="240" w:lineRule="auto" w:before="133" w:after="0"/>
        <w:ind w:left="830" w:right="0" w:hanging="360"/>
        <w:jc w:val="left"/>
        <w:rPr>
          <w:sz w:val="24"/>
        </w:rPr>
      </w:pPr>
      <w:r>
        <w:rPr>
          <w:sz w:val="24"/>
        </w:rPr>
        <w:t>Sistemas de visibilidad.</w:t>
      </w:r>
    </w:p>
    <w:p>
      <w:pPr>
        <w:pStyle w:val="BodyText"/>
        <w:rPr>
          <w:sz w:val="26"/>
        </w:rPr>
      </w:pPr>
    </w:p>
    <w:p>
      <w:pPr>
        <w:pStyle w:val="BodyText"/>
        <w:rPr>
          <w:sz w:val="22"/>
        </w:rPr>
      </w:pPr>
    </w:p>
    <w:p>
      <w:pPr>
        <w:pStyle w:val="BodyText"/>
        <w:spacing w:line="360" w:lineRule="auto"/>
        <w:ind w:left="110" w:right="108"/>
        <w:jc w:val="both"/>
      </w:pPr>
      <w:r>
        <w:rPr/>
        <w:t>Cada uno de los cuatro polos está estructurado para reforzar la cooperación y estimular el crecimiento del conjunto de grupos de producto en el mundo.</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Los grupos de producto y líneas de producto administran sus actividades y disponen del conjunto de medios de desarrollo, producción y comercialización necesarios para llevar a cabo su misión.</w:t>
      </w:r>
    </w:p>
    <w:p>
      <w:pPr>
        <w:pStyle w:val="BodyText"/>
      </w:pPr>
    </w:p>
    <w:p>
      <w:pPr>
        <w:pStyle w:val="BodyText"/>
        <w:spacing w:line="360" w:lineRule="auto" w:before="139"/>
        <w:ind w:left="110" w:right="108"/>
        <w:jc w:val="both"/>
      </w:pPr>
      <w:r>
        <w:rPr/>
        <w:t>Las operaciones regionales son responsables de la gestión de actividades operacionales de un polo para una región especifica.</w:t>
      </w:r>
    </w:p>
    <w:p>
      <w:pPr>
        <w:pStyle w:val="BodyText"/>
      </w:pPr>
    </w:p>
    <w:p>
      <w:pPr>
        <w:pStyle w:val="BodyText"/>
        <w:spacing w:line="360" w:lineRule="auto" w:before="144"/>
        <w:ind w:left="110" w:right="108"/>
        <w:jc w:val="both"/>
      </w:pPr>
      <w:r>
        <w:rPr/>
        <w:t>Las direcciones nacionales tienen por misión asegurar el crecimiento del grupo en su respectivo país, deben asegurar la interface con los clientes locales, administran también el conjunto de servicios que sirven de soporte para las actividades operacionales en el país.</w:t>
      </w:r>
    </w:p>
    <w:p>
      <w:pPr>
        <w:pStyle w:val="BodyText"/>
      </w:pPr>
    </w:p>
    <w:p>
      <w:pPr>
        <w:pStyle w:val="BodyText"/>
        <w:spacing w:line="360" w:lineRule="auto" w:before="139"/>
        <w:ind w:left="110" w:right="108"/>
        <w:jc w:val="both"/>
      </w:pPr>
      <w:r>
        <w:rPr/>
        <w:t>El servicio postventa de Valeo, mejor conocido como Valeo Service depende  de la dirección de operaciones de distribución de refacciones para las armadoras y por otra parte del mercado independiente o aftermarket a través  de las ventas de polos y grupos de producto. La actividad Valeo Service está dedicada al mercado del Aftermarket y comercializa los productos Valeo a los profesionales (Agencias, Talleres, Mayoristas de autopartes).</w:t>
      </w:r>
    </w:p>
    <w:p>
      <w:pPr>
        <w:pStyle w:val="BodyText"/>
      </w:pPr>
    </w:p>
    <w:p>
      <w:pPr>
        <w:pStyle w:val="BodyText"/>
        <w:spacing w:before="7"/>
        <w:rPr>
          <w:sz w:val="29"/>
        </w:rPr>
      </w:pPr>
    </w:p>
    <w:p>
      <w:pPr>
        <w:pStyle w:val="Heading3"/>
        <w:numPr>
          <w:ilvl w:val="3"/>
          <w:numId w:val="15"/>
        </w:numPr>
        <w:tabs>
          <w:tab w:pos="975" w:val="left" w:leader="none"/>
        </w:tabs>
        <w:spacing w:line="240" w:lineRule="auto" w:before="0" w:after="0"/>
        <w:ind w:left="974" w:right="0" w:hanging="864"/>
        <w:jc w:val="both"/>
        <w:rPr>
          <w:i/>
        </w:rPr>
      </w:pPr>
      <w:bookmarkStart w:name="_TOC_250032" w:id="35"/>
      <w:bookmarkEnd w:id="35"/>
      <w:r>
        <w:rPr>
          <w:i/>
        </w:rPr>
        <w:t>Estructura funcional</w:t>
      </w:r>
    </w:p>
    <w:p>
      <w:pPr>
        <w:pStyle w:val="BodyText"/>
        <w:rPr>
          <w:b/>
          <w:i/>
        </w:rPr>
      </w:pPr>
    </w:p>
    <w:p>
      <w:pPr>
        <w:pStyle w:val="BodyText"/>
        <w:spacing w:before="2"/>
        <w:rPr>
          <w:b/>
          <w:i/>
        </w:rPr>
      </w:pPr>
    </w:p>
    <w:p>
      <w:pPr>
        <w:pStyle w:val="BodyText"/>
        <w:ind w:left="110"/>
        <w:jc w:val="both"/>
      </w:pPr>
      <w:r>
        <w:rPr/>
        <w:t>La estructura funcional del Grupo es el siguiente:</w:t>
      </w:r>
    </w:p>
    <w:p>
      <w:pPr>
        <w:pStyle w:val="ListParagraph"/>
        <w:numPr>
          <w:ilvl w:val="4"/>
          <w:numId w:val="15"/>
        </w:numPr>
        <w:tabs>
          <w:tab w:pos="831" w:val="left" w:leader="none"/>
        </w:tabs>
        <w:spacing w:line="357" w:lineRule="auto" w:before="135" w:after="0"/>
        <w:ind w:left="830" w:right="108" w:hanging="360"/>
        <w:jc w:val="both"/>
        <w:rPr>
          <w:sz w:val="24"/>
        </w:rPr>
      </w:pPr>
      <w:r>
        <w:rPr>
          <w:b/>
          <w:sz w:val="24"/>
        </w:rPr>
        <w:t>Dirección de Auditoría y Control Interno</w:t>
      </w:r>
      <w:r>
        <w:rPr>
          <w:sz w:val="24"/>
        </w:rPr>
        <w:t>: realiza auditorías financieras y operativas en todas las entidades del Grupo con el fin de garantizar  que los procedimientos se lleven a cabo correctamente y establecer prácticas coherentes y consistentes de control interno que se implementan a través de las principales entidades operativas por medio de las redes funcionales.</w:t>
      </w:r>
    </w:p>
    <w:p>
      <w:pPr>
        <w:pStyle w:val="ListParagraph"/>
        <w:numPr>
          <w:ilvl w:val="4"/>
          <w:numId w:val="15"/>
        </w:numPr>
        <w:tabs>
          <w:tab w:pos="831" w:val="left" w:leader="none"/>
        </w:tabs>
        <w:spacing w:line="357" w:lineRule="auto" w:before="3" w:after="0"/>
        <w:ind w:left="830" w:right="108" w:hanging="360"/>
        <w:jc w:val="both"/>
        <w:rPr>
          <w:sz w:val="24"/>
        </w:rPr>
      </w:pPr>
      <w:r>
        <w:rPr>
          <w:b/>
          <w:sz w:val="24"/>
        </w:rPr>
        <w:t>Departamento de Relaciones Exteriores y de Desarrollo Sostenible</w:t>
      </w:r>
      <w:r>
        <w:rPr>
          <w:sz w:val="24"/>
        </w:rPr>
        <w:t>: Se encarga de coordinar las relaciones públicas a través de todos los países en que opera el Grupo, así como las asociaciones público - privadas. También supervisa la implementación y seguimiento de la política    de    desarrollo    sostenible    del    Grupo    dentro    de      </w:t>
      </w:r>
      <w:r>
        <w:rPr>
          <w:spacing w:val="39"/>
          <w:sz w:val="24"/>
        </w:rPr>
        <w:t> </w:t>
      </w:r>
      <w:r>
        <w:rPr>
          <w:sz w:val="24"/>
        </w:rPr>
        <w:t>las</w:t>
      </w:r>
    </w:p>
    <w:p>
      <w:pPr>
        <w:spacing w:after="0" w:line="357" w:lineRule="auto"/>
        <w:jc w:val="both"/>
        <w:rPr>
          <w:sz w:val="24"/>
        </w:rPr>
        <w:sectPr>
          <w:footerReference w:type="default" r:id="rId23"/>
          <w:pgSz w:w="11910" w:h="16840"/>
          <w:pgMar w:footer="724" w:header="755" w:top="960" w:bottom="920" w:left="1600" w:right="1580"/>
        </w:sectPr>
      </w:pPr>
    </w:p>
    <w:p>
      <w:pPr>
        <w:pStyle w:val="BodyText"/>
        <w:rPr>
          <w:sz w:val="20"/>
        </w:rPr>
      </w:pPr>
    </w:p>
    <w:p>
      <w:pPr>
        <w:pStyle w:val="BodyText"/>
        <w:spacing w:before="3"/>
        <w:rPr>
          <w:sz w:val="19"/>
        </w:rPr>
      </w:pPr>
    </w:p>
    <w:p>
      <w:pPr>
        <w:pStyle w:val="BodyText"/>
        <w:spacing w:line="360" w:lineRule="auto"/>
        <w:ind w:left="750" w:right="122"/>
      </w:pPr>
      <w:r>
        <w:rPr/>
        <w:t>comunicaciones, tanto dentro y fuera de la empresa, relacionadas con las acciones llevadas a cabo y sus resultados.</w:t>
      </w:r>
    </w:p>
    <w:p>
      <w:pPr>
        <w:pStyle w:val="ListParagraph"/>
        <w:numPr>
          <w:ilvl w:val="0"/>
          <w:numId w:val="17"/>
        </w:numPr>
        <w:tabs>
          <w:tab w:pos="751" w:val="left" w:leader="none"/>
        </w:tabs>
        <w:spacing w:line="357" w:lineRule="auto" w:before="5" w:after="0"/>
        <w:ind w:left="750" w:right="108" w:hanging="360"/>
        <w:jc w:val="both"/>
        <w:rPr>
          <w:sz w:val="24"/>
        </w:rPr>
      </w:pPr>
      <w:r>
        <w:rPr>
          <w:b/>
          <w:sz w:val="24"/>
        </w:rPr>
        <w:t>Departamento de Comunicaciones: </w:t>
      </w:r>
      <w:r>
        <w:rPr>
          <w:sz w:val="24"/>
        </w:rPr>
        <w:t>es responsable de establecer y compartir la visión y la estrategia del Grupo, de manera externa (con clientes, accionistas, la comunidad y el público en general), e internamente, con el fin de promover la imagen del Grupo, destacar su desempeño y unir a los</w:t>
      </w:r>
      <w:r>
        <w:rPr>
          <w:spacing w:val="-1"/>
          <w:sz w:val="24"/>
        </w:rPr>
        <w:t> </w:t>
      </w:r>
      <w:r>
        <w:rPr>
          <w:sz w:val="24"/>
        </w:rPr>
        <w:t>empleados.</w:t>
      </w:r>
    </w:p>
    <w:p>
      <w:pPr>
        <w:pStyle w:val="ListParagraph"/>
        <w:numPr>
          <w:ilvl w:val="0"/>
          <w:numId w:val="17"/>
        </w:numPr>
        <w:tabs>
          <w:tab w:pos="751" w:val="left" w:leader="none"/>
        </w:tabs>
        <w:spacing w:line="357" w:lineRule="auto" w:before="3" w:after="0"/>
        <w:ind w:left="750" w:right="108" w:hanging="360"/>
        <w:jc w:val="both"/>
        <w:rPr>
          <w:sz w:val="24"/>
        </w:rPr>
      </w:pPr>
      <w:r>
        <w:rPr>
          <w:b/>
          <w:sz w:val="24"/>
        </w:rPr>
        <w:t>Departamento de Ética y Cumplimiento</w:t>
      </w:r>
      <w:r>
        <w:rPr>
          <w:sz w:val="24"/>
        </w:rPr>
        <w:t>: Encargado de la puesta en marcha, gestión y coordinación del programa de cumplimiento, según lo decidido por el Comité de Operaciones, de la que es miembro, a nivel global, nacional, local y de</w:t>
      </w:r>
      <w:r>
        <w:rPr>
          <w:spacing w:val="-1"/>
          <w:sz w:val="24"/>
        </w:rPr>
        <w:t> </w:t>
      </w:r>
      <w:r>
        <w:rPr>
          <w:sz w:val="24"/>
        </w:rPr>
        <w:t>sitio.</w:t>
      </w:r>
    </w:p>
    <w:p>
      <w:pPr>
        <w:pStyle w:val="ListParagraph"/>
        <w:numPr>
          <w:ilvl w:val="0"/>
          <w:numId w:val="17"/>
        </w:numPr>
        <w:tabs>
          <w:tab w:pos="751" w:val="left" w:leader="none"/>
        </w:tabs>
        <w:spacing w:line="357" w:lineRule="auto" w:before="8" w:after="0"/>
        <w:ind w:left="750" w:right="108" w:hanging="360"/>
        <w:jc w:val="both"/>
        <w:rPr>
          <w:sz w:val="24"/>
        </w:rPr>
      </w:pPr>
      <w:r>
        <w:rPr>
          <w:b/>
          <w:sz w:val="24"/>
        </w:rPr>
        <w:t>Departamento de Finanzas </w:t>
      </w:r>
      <w:r>
        <w:rPr>
          <w:sz w:val="24"/>
        </w:rPr>
        <w:t>supervisa el control de gestión, contabilidad, informes financieros, las actividades de financiación y gestión de efectivo, los impuestos, las comunicaciones financieras, operaciones estratégicas, sistemas de información y el riesgo, el seguro y el medio</w:t>
      </w:r>
      <w:r>
        <w:rPr>
          <w:spacing w:val="-2"/>
          <w:sz w:val="24"/>
        </w:rPr>
        <w:t> </w:t>
      </w:r>
      <w:r>
        <w:rPr>
          <w:sz w:val="24"/>
        </w:rPr>
        <w:t>ambiente.</w:t>
      </w:r>
    </w:p>
    <w:p>
      <w:pPr>
        <w:pStyle w:val="ListParagraph"/>
        <w:numPr>
          <w:ilvl w:val="0"/>
          <w:numId w:val="17"/>
        </w:numPr>
        <w:tabs>
          <w:tab w:pos="751" w:val="left" w:leader="none"/>
        </w:tabs>
        <w:spacing w:line="357" w:lineRule="auto" w:before="3" w:after="0"/>
        <w:ind w:left="750" w:right="108" w:hanging="360"/>
        <w:jc w:val="both"/>
        <w:rPr>
          <w:sz w:val="24"/>
        </w:rPr>
      </w:pPr>
      <w:r>
        <w:rPr>
          <w:b/>
          <w:sz w:val="24"/>
        </w:rPr>
        <w:t>Departamento Jurídico</w:t>
      </w:r>
      <w:r>
        <w:rPr>
          <w:sz w:val="24"/>
        </w:rPr>
        <w:t>; garantiza el cumplimiento de los procedimientos del Grupo, así como la normativa legal y en general se esfuerza por defender los intereses del Grupo.</w:t>
      </w:r>
    </w:p>
    <w:p>
      <w:pPr>
        <w:pStyle w:val="ListParagraph"/>
        <w:numPr>
          <w:ilvl w:val="0"/>
          <w:numId w:val="17"/>
        </w:numPr>
        <w:tabs>
          <w:tab w:pos="751" w:val="left" w:leader="none"/>
        </w:tabs>
        <w:spacing w:line="357" w:lineRule="auto" w:before="3" w:after="0"/>
        <w:ind w:left="750" w:right="108" w:hanging="360"/>
        <w:jc w:val="both"/>
        <w:rPr>
          <w:sz w:val="24"/>
        </w:rPr>
      </w:pPr>
      <w:r>
        <w:rPr>
          <w:b/>
          <w:sz w:val="24"/>
        </w:rPr>
        <w:t>Departamento de Operaciones</w:t>
      </w:r>
      <w:r>
        <w:rPr>
          <w:sz w:val="24"/>
        </w:rPr>
        <w:t>: es responsable de los cuatro grupos  de negocio operativos y Valeo Service, supervisa también las áreas Industrial, Logística, Compras y funciones de calidad.</w:t>
      </w:r>
    </w:p>
    <w:p>
      <w:pPr>
        <w:pStyle w:val="ListParagraph"/>
        <w:numPr>
          <w:ilvl w:val="0"/>
          <w:numId w:val="17"/>
        </w:numPr>
        <w:tabs>
          <w:tab w:pos="751" w:val="left" w:leader="none"/>
        </w:tabs>
        <w:spacing w:line="360" w:lineRule="auto" w:before="3" w:after="0"/>
        <w:ind w:left="750" w:right="108" w:hanging="360"/>
        <w:jc w:val="both"/>
        <w:rPr>
          <w:sz w:val="24"/>
        </w:rPr>
      </w:pPr>
      <w:r>
        <w:rPr>
          <w:b/>
          <w:sz w:val="24"/>
        </w:rPr>
        <w:t>Departamento de Estrategia Corporativa y Planificación </w:t>
      </w:r>
      <w:r>
        <w:rPr>
          <w:sz w:val="24"/>
        </w:rPr>
        <w:t>coordina la planificación estratégica del Grupo, en colaboración con todos los departamentos funcionales y grupos empresariales, en particular para la preparación del plan de mediano plazo y la determinación de la rentabilidad del Grupo y las principales áreas de crecimiento orgánico y externo, la Investigación y Desarrollo y el Departamento de Marketing de Producto dirige el programa de innovación del Grupo, así como los métodos y las herramientas de desarrollo de productos.</w:t>
      </w:r>
    </w:p>
    <w:p>
      <w:pPr>
        <w:pStyle w:val="ListParagraph"/>
        <w:numPr>
          <w:ilvl w:val="0"/>
          <w:numId w:val="17"/>
        </w:numPr>
        <w:tabs>
          <w:tab w:pos="751" w:val="left" w:leader="none"/>
        </w:tabs>
        <w:spacing w:line="357" w:lineRule="auto" w:before="5" w:after="0"/>
        <w:ind w:left="750" w:right="108" w:hanging="360"/>
        <w:jc w:val="both"/>
        <w:rPr>
          <w:sz w:val="24"/>
        </w:rPr>
      </w:pPr>
      <w:r>
        <w:rPr>
          <w:b/>
          <w:sz w:val="24"/>
        </w:rPr>
        <w:t>Departamento de Recursos Humanos </w:t>
      </w:r>
      <w:r>
        <w:rPr>
          <w:sz w:val="24"/>
        </w:rPr>
        <w:t>se centra en las relaciones laborales, el desarrollo profesional, la formación y las habilidades de gestión y participación del personal.</w:t>
      </w:r>
    </w:p>
    <w:p>
      <w:pPr>
        <w:spacing w:after="0" w:line="357" w:lineRule="auto"/>
        <w:jc w:val="both"/>
        <w:rPr>
          <w:sz w:val="24"/>
        </w:rPr>
        <w:sectPr>
          <w:footerReference w:type="default" r:id="rId24"/>
          <w:pgSz w:w="11910" w:h="16840"/>
          <w:pgMar w:footer="724" w:header="755" w:top="960" w:bottom="920" w:left="1680" w:right="1580"/>
          <w:pgNumType w:start="41"/>
        </w:sectPr>
      </w:pPr>
    </w:p>
    <w:p>
      <w:pPr>
        <w:pStyle w:val="BodyText"/>
        <w:rPr>
          <w:sz w:val="20"/>
        </w:rPr>
      </w:pPr>
    </w:p>
    <w:p>
      <w:pPr>
        <w:pStyle w:val="BodyText"/>
        <w:spacing w:before="1"/>
        <w:rPr>
          <w:sz w:val="19"/>
        </w:rPr>
      </w:pPr>
    </w:p>
    <w:p>
      <w:pPr>
        <w:pStyle w:val="ListParagraph"/>
        <w:numPr>
          <w:ilvl w:val="1"/>
          <w:numId w:val="17"/>
        </w:numPr>
        <w:tabs>
          <w:tab w:pos="831" w:val="left" w:leader="none"/>
        </w:tabs>
        <w:spacing w:line="357" w:lineRule="auto" w:before="1" w:after="0"/>
        <w:ind w:left="830" w:right="108" w:hanging="360"/>
        <w:jc w:val="both"/>
        <w:rPr>
          <w:sz w:val="24"/>
        </w:rPr>
      </w:pPr>
      <w:r>
        <w:rPr>
          <w:b/>
          <w:sz w:val="24"/>
        </w:rPr>
        <w:t>Departamento de Ventas y Desarrollo de Negocios </w:t>
      </w:r>
      <w:r>
        <w:rPr>
          <w:sz w:val="24"/>
        </w:rPr>
        <w:t>es organizado en torno a cuatro áreas principales: un departamento de ventas para cada Grupo de Empresas, Administración de clientes dedicados a cada gran fabricante de automóviles, las Direcciones Nacionales de cada área geográfica, y un Departamento de Desarrollo Internacional para cada Grupo de</w:t>
      </w:r>
      <w:r>
        <w:rPr>
          <w:spacing w:val="-1"/>
          <w:sz w:val="24"/>
        </w:rPr>
        <w:t> </w:t>
      </w:r>
      <w:r>
        <w:rPr>
          <w:sz w:val="24"/>
        </w:rPr>
        <w:t>Negocio.</w:t>
      </w:r>
    </w:p>
    <w:p>
      <w:pPr>
        <w:pStyle w:val="BodyText"/>
      </w:pPr>
    </w:p>
    <w:p>
      <w:pPr>
        <w:pStyle w:val="BodyText"/>
        <w:spacing w:before="5"/>
        <w:rPr>
          <w:sz w:val="29"/>
        </w:rPr>
      </w:pPr>
    </w:p>
    <w:p>
      <w:pPr>
        <w:pStyle w:val="Heading2"/>
        <w:numPr>
          <w:ilvl w:val="2"/>
          <w:numId w:val="15"/>
        </w:numPr>
        <w:tabs>
          <w:tab w:pos="831" w:val="left" w:leader="none"/>
        </w:tabs>
        <w:spacing w:line="240" w:lineRule="auto" w:before="0" w:after="0"/>
        <w:ind w:left="830" w:right="0" w:hanging="720"/>
        <w:jc w:val="both"/>
      </w:pPr>
      <w:bookmarkStart w:name="_TOC_250031" w:id="36"/>
      <w:bookmarkEnd w:id="36"/>
      <w:r>
        <w:rPr/>
        <w:t>Excelencia operacional</w:t>
      </w:r>
    </w:p>
    <w:p>
      <w:pPr>
        <w:pStyle w:val="BodyText"/>
        <w:rPr>
          <w:b/>
        </w:rPr>
      </w:pPr>
    </w:p>
    <w:p>
      <w:pPr>
        <w:pStyle w:val="BodyText"/>
        <w:spacing w:before="2"/>
        <w:rPr>
          <w:b/>
        </w:rPr>
      </w:pPr>
    </w:p>
    <w:p>
      <w:pPr>
        <w:pStyle w:val="BodyText"/>
        <w:spacing w:line="360" w:lineRule="auto"/>
        <w:ind w:left="110" w:right="108"/>
        <w:jc w:val="both"/>
      </w:pPr>
      <w:r>
        <w:rPr/>
        <w:t>La excelencia operacional es un punto de importancia crítica para Valeo, la expansión controlada de los negocios del grupo tiene lugar a través de la implementación diaria del método de "5 ejes", éste tiene como meta llegar a la satisfacción del cliente por el cero defecto en cualquier tipo de producto.</w:t>
      </w:r>
    </w:p>
    <w:p>
      <w:pPr>
        <w:pStyle w:val="BodyText"/>
      </w:pPr>
    </w:p>
    <w:p>
      <w:pPr>
        <w:pStyle w:val="BodyText"/>
        <w:spacing w:before="144"/>
        <w:ind w:left="110"/>
        <w:jc w:val="both"/>
      </w:pPr>
      <w:r>
        <w:rPr/>
        <w:t>Los "5 ejes" son:</w:t>
      </w:r>
    </w:p>
    <w:p>
      <w:pPr>
        <w:pStyle w:val="ListParagraph"/>
        <w:numPr>
          <w:ilvl w:val="0"/>
          <w:numId w:val="18"/>
        </w:numPr>
        <w:tabs>
          <w:tab w:pos="831" w:val="left" w:leader="none"/>
        </w:tabs>
        <w:spacing w:line="240" w:lineRule="auto" w:before="137" w:after="0"/>
        <w:ind w:left="830" w:right="0" w:hanging="360"/>
        <w:jc w:val="left"/>
        <w:rPr>
          <w:sz w:val="24"/>
        </w:rPr>
      </w:pPr>
      <w:r>
        <w:rPr>
          <w:sz w:val="24"/>
        </w:rPr>
        <w:t>Involucramiento del personal.</w:t>
      </w:r>
    </w:p>
    <w:p>
      <w:pPr>
        <w:pStyle w:val="BodyText"/>
        <w:spacing w:line="360" w:lineRule="auto" w:before="137"/>
        <w:ind w:left="830" w:right="108"/>
        <w:jc w:val="both"/>
      </w:pPr>
      <w:r>
        <w:rPr/>
        <w:t>Consiste en reconocer las competencias y alentar la mejora del personal a través de la capacitación y formación de equipos autónomos.</w:t>
      </w:r>
    </w:p>
    <w:p>
      <w:pPr>
        <w:pStyle w:val="ListParagraph"/>
        <w:numPr>
          <w:ilvl w:val="0"/>
          <w:numId w:val="18"/>
        </w:numPr>
        <w:tabs>
          <w:tab w:pos="831" w:val="left" w:leader="none"/>
        </w:tabs>
        <w:spacing w:line="240" w:lineRule="auto" w:before="7" w:after="0"/>
        <w:ind w:left="830" w:right="0" w:hanging="360"/>
        <w:jc w:val="left"/>
        <w:rPr>
          <w:sz w:val="24"/>
        </w:rPr>
      </w:pPr>
      <w:r>
        <w:rPr>
          <w:sz w:val="24"/>
        </w:rPr>
        <w:t>Sistema de producción Valeo.</w:t>
      </w:r>
    </w:p>
    <w:p>
      <w:pPr>
        <w:pStyle w:val="BodyText"/>
        <w:spacing w:line="360" w:lineRule="auto" w:before="137"/>
        <w:ind w:left="830" w:right="108"/>
        <w:jc w:val="both"/>
      </w:pPr>
      <w:r>
        <w:rPr/>
        <w:t>Está diseñado para mejorar la productividad y calidad de los productos y sistemas a través de enfoques de sistemas y recursos de producción flexibles, eliminación de operaciones no productivas y paro de la producción al primer defecto.</w:t>
      </w:r>
    </w:p>
    <w:p>
      <w:pPr>
        <w:pStyle w:val="ListParagraph"/>
        <w:numPr>
          <w:ilvl w:val="0"/>
          <w:numId w:val="18"/>
        </w:numPr>
        <w:tabs>
          <w:tab w:pos="831" w:val="left" w:leader="none"/>
        </w:tabs>
        <w:spacing w:line="240" w:lineRule="auto" w:before="2" w:after="0"/>
        <w:ind w:left="830" w:right="0" w:hanging="360"/>
        <w:jc w:val="left"/>
        <w:rPr>
          <w:sz w:val="24"/>
        </w:rPr>
      </w:pPr>
      <w:r>
        <w:rPr>
          <w:sz w:val="24"/>
        </w:rPr>
        <w:t>Integración de los proveedores.</w:t>
      </w:r>
    </w:p>
    <w:p>
      <w:pPr>
        <w:pStyle w:val="BodyText"/>
        <w:spacing w:line="360" w:lineRule="auto" w:before="137"/>
        <w:ind w:left="830" w:right="108"/>
        <w:jc w:val="both"/>
      </w:pPr>
      <w:r>
        <w:rPr/>
        <w:t>Permite obtener mayores beneficios de la innovación de los  proveedores, mejorar la calidad y desarrollar planes de productividad  con los proveedores. Valeo crea estrechas relaciones de beneficio  mutuo con un grupo limitado de proveedores de clase mundial.</w:t>
      </w:r>
    </w:p>
    <w:p>
      <w:pPr>
        <w:pStyle w:val="ListParagraph"/>
        <w:numPr>
          <w:ilvl w:val="0"/>
          <w:numId w:val="18"/>
        </w:numPr>
        <w:tabs>
          <w:tab w:pos="831" w:val="left" w:leader="none"/>
        </w:tabs>
        <w:spacing w:line="240" w:lineRule="auto" w:before="2" w:after="0"/>
        <w:ind w:left="830" w:right="0" w:hanging="360"/>
        <w:jc w:val="left"/>
        <w:rPr>
          <w:sz w:val="24"/>
        </w:rPr>
      </w:pPr>
      <w:r>
        <w:rPr>
          <w:sz w:val="24"/>
        </w:rPr>
        <w:t>Innovación constante</w:t>
      </w:r>
    </w:p>
    <w:p>
      <w:pPr>
        <w:pStyle w:val="BodyText"/>
        <w:spacing w:line="360" w:lineRule="auto" w:before="137"/>
        <w:ind w:left="830" w:right="108"/>
        <w:jc w:val="both"/>
      </w:pPr>
      <w:r>
        <w:rPr/>
        <w:t>Valeo ofrece productos de alta calidad, con diseño innovador y de fácil fabricación y rentables. Valeo ha establecido una organización basada  en equipos de proyecto e ingeniería simultánea de productos y  procesos.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ListParagraph"/>
        <w:numPr>
          <w:ilvl w:val="0"/>
          <w:numId w:val="18"/>
        </w:numPr>
        <w:tabs>
          <w:tab w:pos="831" w:val="left" w:leader="none"/>
        </w:tabs>
        <w:spacing w:line="240" w:lineRule="auto" w:before="0" w:after="0"/>
        <w:ind w:left="830" w:right="0" w:hanging="360"/>
        <w:jc w:val="left"/>
        <w:rPr>
          <w:sz w:val="24"/>
        </w:rPr>
      </w:pPr>
      <w:r>
        <w:rPr>
          <w:sz w:val="24"/>
        </w:rPr>
        <w:t>Calidad</w:t>
      </w:r>
      <w:r>
        <w:rPr>
          <w:spacing w:val="-6"/>
          <w:sz w:val="24"/>
        </w:rPr>
        <w:t> </w:t>
      </w:r>
      <w:r>
        <w:rPr>
          <w:sz w:val="24"/>
        </w:rPr>
        <w:t>Total</w:t>
      </w:r>
    </w:p>
    <w:p>
      <w:pPr>
        <w:pStyle w:val="BodyText"/>
        <w:spacing w:line="362" w:lineRule="auto" w:before="137"/>
        <w:ind w:left="830"/>
      </w:pPr>
      <w:r>
        <w:rPr/>
        <w:t>Con el fin de satisfacer las expectativas de los clientes en términos de calidad de productos y servicios.</w:t>
      </w:r>
    </w:p>
    <w:p>
      <w:pPr>
        <w:spacing w:before="176"/>
        <w:ind w:left="710" w:right="243" w:firstLine="0"/>
        <w:jc w:val="center"/>
        <w:rPr>
          <w:rFonts w:ascii="Calibri"/>
          <w:b/>
          <w:sz w:val="40"/>
        </w:rPr>
      </w:pPr>
      <w:r>
        <w:rPr/>
        <w:pict>
          <v:group style="position:absolute;margin-left:238.356003pt;margin-top:96.649803pt;width:37.8pt;height:37.8pt;mso-position-horizontal-relative:page;mso-position-vertical-relative:paragraph;z-index:1888" coordorigin="4767,1933" coordsize="756,756">
            <v:shape style="position:absolute;left:4767;top:1933;width:756;height:756" coordorigin="4767,1933" coordsize="756,756" path="m5291,1933l4999,1933,4925,1945,4862,1978,4812,2028,4779,2091,4767,2164,4767,2457,4779,2530,4812,2593,4862,2644,4925,2676,4999,2688,5291,2688,5364,2676,5428,2644,5455,2616,4999,2616,4937,2604,4886,2569,4852,2519,4839,2457,4839,2164,4852,2102,4886,2052,4937,2018,4999,2005,5455,2005,5428,1978,5364,1945,5291,1933xm5455,2005l5291,2005,5353,2018,5404,2052,5438,2102,5450,2164,5450,2457,5438,2519,5404,2569,5353,2604,5291,2616,5455,2616,5478,2593,5511,2530,5522,2457,5522,2164,5511,2091,5478,2028,5455,2005xe" filled="true" fillcolor="#a0ce67" stroked="false">
              <v:path arrowok="t"/>
              <v:fill type="solid"/>
            </v:shape>
            <v:shape style="position:absolute;left:4856;top:2136;width:578;height:351" coordorigin="4856,2136" coordsize="578,351" path="m5081,2486l5071,2486,5080,2486,5081,2486xm5223,2136l5174,2137,5158,2140,5140,2143,5120,2148,5099,2155,5077,2164,5054,2174,5030,2186,5007,2198,5007,2198,5004,2199,4985,2210,4969,2219,4948,2230,4926,2233,4905,2243,4886,2257,4871,2274,4861,2292,4856,2310,4856,2327,4861,2343,4884,2387,4896,2407,4907,2422,4919,2431,4975,2457,5018,2475,5050,2484,5071,2486,5071,2486,5081,2486,5090,2484,5099,2480,5118,2468,5122,2464,5067,2464,5051,2455,5050,2453,5026,2453,5006,2445,4984,2436,4958,2424,4923,2408,4916,2396,4908,2383,5024,2383,5031,2376,4958,2376,4928,2367,4908,2355,4896,2344,4904,2323,4879,2323,4877,2313,4881,2300,4881,2300,4890,2288,4898,2277,4907,2269,4917,2262,4928,2257,4963,2257,4969,2252,5007,2252,5003,2250,4987,2238,4996,2232,5005,2226,5015,2220,5038,2208,5058,2198,5007,2198,5007,2198,5059,2198,5062,2196,5085,2185,5107,2177,5126,2170,5145,2166,5162,2162,5177,2160,5196,2158,5330,2158,5311,2152,5270,2142,5223,2136xm5147,2356l5112,2356,5128,2365,5133,2374,5134,2383,5134,2387,5132,2407,5123,2428,5108,2446,5090,2459,5078,2464,5067,2464,5122,2464,5135,2452,5147,2432,5155,2411,5201,2383,5157,2383,5154,2370,5149,2358,5147,2356xm5107,2334l5094,2336,5080,2340,5055,2357,5036,2380,5025,2407,5025,2408,5022,2436,5023,2442,5024,2448,5026,2453,5050,2453,5046,2446,5045,2436,5045,2431,5047,2413,5056,2392,5071,2374,5089,2361,5101,2356,5112,2356,5147,2356,5142,2348,5132,2341,5120,2336,5107,2334xm5024,2383l4908,2383,4926,2391,4947,2397,4971,2400,5000,2397,5021,2385,5024,2383xm5427,2228l5347,2228,5335,2242,5327,2258,5322,2276,5322,2277,5322,2286,5322,2296,5322,2298,5322,2300,5310,2300,5296,2303,5283,2308,5269,2315,5157,2383,5201,2383,5281,2335,5297,2327,5312,2323,5399,2323,5405,2319,5408,2315,5360,2315,5349,2308,5345,2301,5344,2294,5344,2290,5346,2276,5346,2274,5353,2257,5364,2243,5378,2233,5386,2229,5394,2229,5427,2229,5427,2228xm5007,2252l4969,2252,4988,2268,5014,2281,5043,2292,5073,2300,5049,2326,5026,2350,5007,2367,4996,2375,4958,2376,5031,2376,5047,2362,5074,2333,5097,2307,5158,2307,5172,2304,5202,2294,5218,2287,5132,2287,5123,2286,5115,2286,5120,2280,5090,2280,5057,2272,5027,2262,5007,2252xm5392,2327l5337,2327,5339,2329,5341,2330,5343,2332,5353,2336,5364,2337,5375,2336,5386,2332,5392,2327xm5399,2323l5312,2323,5326,2323,5337,2328,5337,2327,5392,2327,5399,2323xm4963,2257l4928,2257,4911,2273,4898,2290,4887,2306,4879,2323,4904,2323,4905,2321,4920,2298,4941,2275,4963,2257xm5427,2229l5394,2229,5406,2235,5410,2242,5410,2252,5409,2269,5402,2286,5391,2301,5377,2311,5368,2315,5360,2315,5408,2315,5420,2300,5430,2279,5433,2257,5433,2250,5431,2238,5427,2229xm5158,2307l5097,2307,5107,2308,5128,2310,5137,2310,5151,2309,5158,2307xm5390,2180l5286,2180,5326,2185,5355,2198,5339,2206,5320,2215,5259,2243,5233,2255,5192,2273,5164,2283,5146,2286,5137,2287,5218,2287,5243,2276,5282,2257,5294,2252,5314,2243,5333,2234,5347,2228,5427,2228,5427,2227,5420,2219,5412,2212,5406,2209,5400,2207,5394,2207,5392,2205,5390,2203,5388,2201,5391,2197,5392,2192,5390,2180xm5330,2158l5214,2158,5233,2159,5251,2162,5231,2168,5210,2177,5189,2189,5168,2204,5139,2229,5117,2251,5100,2268,5090,2280,5120,2280,5127,2273,5141,2259,5160,2242,5183,2222,5238,2189,5286,2180,5390,2180,5390,2179,5384,2173,5369,2171,5346,2163,5330,2158xe" filled="true" fillcolor="#231f20" stroked="false">
              <v:path arrowok="t"/>
              <v:fill type="solid"/>
            </v:shape>
            <w10:wrap type="none"/>
          </v:group>
        </w:pict>
      </w:r>
      <w:r>
        <w:rPr/>
        <w:pict>
          <v:group style="position:absolute;margin-left:344.942688pt;margin-top:96.649803pt;width:37.8pt;height:37.8pt;mso-position-horizontal-relative:page;mso-position-vertical-relative:paragraph;z-index:1912" coordorigin="6899,1933" coordsize="756,756">
            <v:shape style="position:absolute;left:6899;top:1933;width:756;height:756" coordorigin="6899,1933" coordsize="756,756" path="m7423,1933l7130,1933,7057,1945,6994,1978,6944,2028,6911,2091,6899,2164,6899,2457,6911,2530,6944,2593,6994,2644,7057,2676,7130,2688,7423,2688,7496,2676,7559,2644,7587,2616,7130,2616,7068,2604,7018,2569,6983,2519,6971,2457,6971,2164,6983,2102,7018,2052,7068,2018,7130,2005,7587,2005,7559,1978,7496,1945,7423,1933xm7587,2005l7423,2005,7485,2018,7535,2052,7570,2102,7582,2164,7582,2457,7570,2519,7535,2569,7485,2604,7423,2616,7587,2616,7609,2593,7642,2530,7654,2457,7654,2164,7642,2091,7609,2028,7587,2005xe" filled="true" fillcolor="#a0ce67" stroked="false">
              <v:path arrowok="t"/>
              <v:fill type="solid"/>
            </v:shape>
            <v:shape style="position:absolute;left:7011;top:2174;width:532;height:273" coordorigin="7011,2174" coordsize="532,273" path="m7320,2443l7269,2443,7279,2447,7320,2443xm7181,2386l7136,2386,7269,2443,7269,2443,7320,2443,7342,2428,7296,2428,7287,2428,7287,2422,7287,2422,7267,2422,7181,2386xm7328,2268l7302,2268,7381,2376,7314,2422,7303,2427,7296,2428,7342,2428,7400,2389,7417,2387,7438,2387,7438,2367,7401,2367,7328,2268xm7233,2361l7180,2361,7270,2397,7267,2422,7287,2422,7288,2410,7287,2396,7282,2385,7263,2373,7233,2361xm7136,2192l7011,2192,7011,2213,7115,2213,7115,2393,7011,2393,7011,2414,7136,2414,7136,2386,7181,2386,7147,2371,7180,2361,7233,2361,7228,2359,7218,2354,7136,2354,7136,2254,7178,2254,7202,2245,7228,2245,7237,2236,7242,2233,7136,2233,7136,2192xm7438,2387l7417,2387,7417,2414,7542,2414,7542,2393,7438,2393,7438,2387xm7344,2198l7298,2198,7372,2239,7417,2239,7417,2366,7401,2367,7438,2367,7438,2218,7377,2218,7344,2198xm7181,2340l7167,2343,7154,2347,7143,2351,7136,2354,7218,2354,7195,2346,7181,2340xm7228,2245l7202,2245,7198,2251,7196,2256,7196,2264,7197,2266,7198,2269,7208,2277,7224,2279,7245,2277,7293,2269,7302,2268,7328,2268,7321,2258,7228,2258,7218,2258,7220,2255,7225,2248,7228,2245xm7312,2247l7307,2247,7299,2247,7289,2249,7278,2250,7254,2255,7240,2257,7228,2258,7321,2258,7312,2247xm7298,2174l7285,2180,7264,2192,7245,2204,7236,2210,7175,2233,7242,2233,7252,2225,7269,2213,7285,2204,7298,2198,7344,2198,7339,2195,7314,2181,7298,2174xm7542,2192l7417,2192,7417,2218,7438,2218,7438,2213,7542,2213,7542,2192xe" filled="true" fillcolor="#231f20" stroked="false">
              <v:path arrowok="t"/>
              <v:fill type="solid"/>
            </v:shape>
            <w10:wrap type="none"/>
          </v:group>
        </w:pict>
      </w:r>
      <w:r>
        <w:rPr>
          <w:rFonts w:ascii="Calibri"/>
          <w:b/>
          <w:color w:val="231F20"/>
          <w:w w:val="105"/>
          <w:sz w:val="40"/>
        </w:rPr>
        <w:t>5 PRIORITIES</w:t>
      </w:r>
    </w:p>
    <w:p>
      <w:pPr>
        <w:pStyle w:val="BodyText"/>
        <w:rPr>
          <w:rFonts w:ascii="Calibri"/>
          <w:b/>
          <w:sz w:val="20"/>
        </w:rPr>
      </w:pPr>
    </w:p>
    <w:p>
      <w:pPr>
        <w:pStyle w:val="BodyText"/>
        <w:spacing w:before="4"/>
        <w:rPr>
          <w:rFonts w:ascii="Calibri"/>
          <w:b/>
          <w:sz w:val="10"/>
        </w:rPr>
      </w:pPr>
      <w:r>
        <w:rPr/>
        <w:drawing>
          <wp:anchor distT="0" distB="0" distL="0" distR="0" allowOverlap="1" layoutInCell="1" locked="0" behindDoc="0" simplePos="0" relativeHeight="1744">
            <wp:simplePos x="0" y="0"/>
            <wp:positionH relativeFrom="page">
              <wp:posOffset>3336492</wp:posOffset>
            </wp:positionH>
            <wp:positionV relativeFrom="paragraph">
              <wp:posOffset>325888</wp:posOffset>
            </wp:positionV>
            <wp:extent cx="289419" cy="256698"/>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25" cstate="print"/>
                    <a:stretch>
                      <a:fillRect/>
                    </a:stretch>
                  </pic:blipFill>
                  <pic:spPr>
                    <a:xfrm>
                      <a:off x="0" y="0"/>
                      <a:ext cx="289419" cy="256698"/>
                    </a:xfrm>
                    <a:prstGeom prst="rect">
                      <a:avLst/>
                    </a:prstGeom>
                  </pic:spPr>
                </pic:pic>
              </a:graphicData>
            </a:graphic>
          </wp:anchor>
        </w:drawing>
      </w:r>
      <w:r>
        <w:rPr/>
        <w:pict>
          <v:group style="position:absolute;margin-left:292.279694pt;margin-top:8.279906pt;width:37.8pt;height:37.8pt;mso-position-horizontal-relative:page;mso-position-vertical-relative:paragraph;z-index:1768;mso-wrap-distance-left:0;mso-wrap-distance-right:0" coordorigin="5846,166" coordsize="756,756">
            <v:shape style="position:absolute;left:5846;top:166;width:756;height:756" coordorigin="5846,166" coordsize="756,756" path="m6369,166l6077,166,6004,177,5940,210,5890,260,5857,324,5846,397,5846,689,5857,763,5890,826,5940,876,6004,909,6077,921,6369,921,6443,909,6506,876,6533,849,6077,849,6015,836,5964,802,5930,751,5918,689,5918,397,5930,335,5964,284,6015,250,6077,238,6533,238,6506,210,6443,177,6369,166xm6533,238l6369,238,6431,250,6482,284,6516,335,6529,397,6529,689,6516,751,6482,802,6431,836,6369,849,6533,849,6556,826,6589,763,6601,689,6601,397,6589,324,6556,260,6533,238xe" filled="true" fillcolor="#a0ce67" stroked="false">
              <v:path arrowok="t"/>
              <v:fill type="solid"/>
            </v:shape>
            <v:shape style="position:absolute;left:5998;top:308;width:450;height:466" type="#_x0000_t75" stroked="false">
              <v:imagedata r:id="rId26" o:title=""/>
            </v:shape>
            <w10:wrap type="topAndBottom"/>
          </v:group>
        </w:pict>
      </w:r>
      <w:r>
        <w:rPr/>
        <w:drawing>
          <wp:anchor distT="0" distB="0" distL="0" distR="0" allowOverlap="1" layoutInCell="1" locked="0" behindDoc="0" simplePos="0" relativeHeight="1792">
            <wp:simplePos x="0" y="0"/>
            <wp:positionH relativeFrom="page">
              <wp:posOffset>4267398</wp:posOffset>
            </wp:positionH>
            <wp:positionV relativeFrom="paragraph">
              <wp:posOffset>325888</wp:posOffset>
            </wp:positionV>
            <wp:extent cx="289404" cy="256698"/>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27" cstate="print"/>
                    <a:stretch>
                      <a:fillRect/>
                    </a:stretch>
                  </pic:blipFill>
                  <pic:spPr>
                    <a:xfrm>
                      <a:off x="0" y="0"/>
                      <a:ext cx="289404" cy="256698"/>
                    </a:xfrm>
                    <a:prstGeom prst="rect">
                      <a:avLst/>
                    </a:prstGeom>
                  </pic:spPr>
                </pic:pic>
              </a:graphicData>
            </a:graphic>
          </wp:anchor>
        </w:drawing>
      </w:r>
    </w:p>
    <w:p>
      <w:pPr>
        <w:spacing w:before="0" w:after="85"/>
        <w:ind w:left="765" w:right="243" w:firstLine="0"/>
        <w:jc w:val="center"/>
        <w:rPr>
          <w:rFonts w:ascii="Calibri"/>
          <w:sz w:val="12"/>
        </w:rPr>
      </w:pPr>
      <w:r>
        <w:rPr>
          <w:rFonts w:ascii="Calibri"/>
          <w:color w:val="231F20"/>
          <w:w w:val="105"/>
          <w:sz w:val="12"/>
        </w:rPr>
        <w:t>Total Quality</w:t>
      </w:r>
    </w:p>
    <w:p>
      <w:pPr>
        <w:spacing w:line="240" w:lineRule="auto"/>
        <w:ind w:left="4069" w:right="0" w:firstLine="0"/>
        <w:rPr>
          <w:rFonts w:ascii="Calibri"/>
          <w:sz w:val="20"/>
        </w:rPr>
      </w:pPr>
      <w:r>
        <w:rPr>
          <w:rFonts w:ascii="Calibri"/>
          <w:sz w:val="20"/>
        </w:rPr>
        <w:drawing>
          <wp:inline distT="0" distB="0" distL="0" distR="0">
            <wp:extent cx="201467" cy="171450"/>
            <wp:effectExtent l="0" t="0" r="0" b="0"/>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8" cstate="print"/>
                    <a:stretch>
                      <a:fillRect/>
                    </a:stretch>
                  </pic:blipFill>
                  <pic:spPr>
                    <a:xfrm>
                      <a:off x="0" y="0"/>
                      <a:ext cx="201467" cy="171450"/>
                    </a:xfrm>
                    <a:prstGeom prst="rect">
                      <a:avLst/>
                    </a:prstGeom>
                  </pic:spPr>
                </pic:pic>
              </a:graphicData>
            </a:graphic>
          </wp:inline>
        </w:drawing>
      </w:r>
      <w:r>
        <w:rPr>
          <w:rFonts w:ascii="Calibri"/>
          <w:sz w:val="20"/>
        </w:rPr>
      </w:r>
      <w:r>
        <w:rPr>
          <w:rFonts w:ascii="Times New Roman"/>
          <w:spacing w:val="80"/>
          <w:sz w:val="20"/>
        </w:rPr>
        <w:t> </w:t>
      </w:r>
      <w:r>
        <w:rPr>
          <w:rFonts w:ascii="Calibri"/>
          <w:spacing w:val="80"/>
          <w:sz w:val="20"/>
        </w:rPr>
        <w:drawing>
          <wp:inline distT="0" distB="0" distL="0" distR="0">
            <wp:extent cx="134125" cy="233362"/>
            <wp:effectExtent l="0" t="0" r="0" b="0"/>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9" cstate="print"/>
                    <a:stretch>
                      <a:fillRect/>
                    </a:stretch>
                  </pic:blipFill>
                  <pic:spPr>
                    <a:xfrm>
                      <a:off x="0" y="0"/>
                      <a:ext cx="134125" cy="233362"/>
                    </a:xfrm>
                    <a:prstGeom prst="rect">
                      <a:avLst/>
                    </a:prstGeom>
                  </pic:spPr>
                </pic:pic>
              </a:graphicData>
            </a:graphic>
          </wp:inline>
        </w:drawing>
      </w:r>
      <w:r>
        <w:rPr>
          <w:rFonts w:ascii="Calibri"/>
          <w:spacing w:val="80"/>
          <w:sz w:val="20"/>
        </w:rPr>
      </w:r>
      <w:r>
        <w:rPr>
          <w:rFonts w:ascii="Times New Roman"/>
          <w:spacing w:val="81"/>
          <w:sz w:val="20"/>
        </w:rPr>
        <w:t> </w:t>
      </w:r>
      <w:r>
        <w:rPr>
          <w:rFonts w:ascii="Calibri"/>
          <w:spacing w:val="81"/>
          <w:sz w:val="20"/>
        </w:rPr>
        <w:drawing>
          <wp:inline distT="0" distB="0" distL="0" distR="0">
            <wp:extent cx="201467" cy="171450"/>
            <wp:effectExtent l="0" t="0" r="0" b="0"/>
            <wp:docPr id="15" name="image9.png" descr=""/>
            <wp:cNvGraphicFramePr>
              <a:graphicFrameLocks noChangeAspect="1"/>
            </wp:cNvGraphicFramePr>
            <a:graphic>
              <a:graphicData uri="http://schemas.openxmlformats.org/drawingml/2006/picture">
                <pic:pic>
                  <pic:nvPicPr>
                    <pic:cNvPr id="16" name="image9.png"/>
                    <pic:cNvPicPr/>
                  </pic:nvPicPr>
                  <pic:blipFill>
                    <a:blip r:embed="rId30" cstate="print"/>
                    <a:stretch>
                      <a:fillRect/>
                    </a:stretch>
                  </pic:blipFill>
                  <pic:spPr>
                    <a:xfrm>
                      <a:off x="0" y="0"/>
                      <a:ext cx="201467" cy="171450"/>
                    </a:xfrm>
                    <a:prstGeom prst="rect">
                      <a:avLst/>
                    </a:prstGeom>
                  </pic:spPr>
                </pic:pic>
              </a:graphicData>
            </a:graphic>
          </wp:inline>
        </w:drawing>
      </w:r>
      <w:r>
        <w:rPr>
          <w:rFonts w:ascii="Calibri"/>
          <w:spacing w:val="81"/>
          <w:sz w:val="20"/>
        </w:rPr>
      </w:r>
    </w:p>
    <w:p>
      <w:pPr>
        <w:pStyle w:val="BodyText"/>
        <w:spacing w:before="3"/>
        <w:rPr>
          <w:rFonts w:ascii="Calibri"/>
          <w:sz w:val="14"/>
        </w:rPr>
      </w:pPr>
    </w:p>
    <w:p>
      <w:pPr>
        <w:spacing w:after="0"/>
        <w:rPr>
          <w:rFonts w:ascii="Calibri"/>
          <w:sz w:val="14"/>
        </w:rPr>
        <w:sectPr>
          <w:pgSz w:w="11910" w:h="16840"/>
          <w:pgMar w:header="755" w:footer="724" w:top="960" w:bottom="920" w:left="1600" w:right="1580"/>
        </w:sectPr>
      </w:pPr>
    </w:p>
    <w:p>
      <w:pPr>
        <w:spacing w:line="136" w:lineRule="exact" w:before="91"/>
        <w:ind w:left="3267" w:right="-6" w:firstLine="37"/>
        <w:jc w:val="left"/>
        <w:rPr>
          <w:rFonts w:ascii="Calibri"/>
          <w:sz w:val="12"/>
        </w:rPr>
      </w:pPr>
      <w:r>
        <w:rPr>
          <w:rFonts w:ascii="Calibri"/>
          <w:color w:val="231F20"/>
          <w:w w:val="110"/>
          <w:sz w:val="12"/>
        </w:rPr>
        <w:t>Constant </w:t>
      </w:r>
      <w:r>
        <w:rPr>
          <w:rFonts w:ascii="Calibri"/>
          <w:color w:val="231F20"/>
          <w:spacing w:val="-3"/>
          <w:w w:val="110"/>
          <w:sz w:val="12"/>
        </w:rPr>
        <w:t>Innovation</w:t>
      </w:r>
    </w:p>
    <w:p>
      <w:pPr>
        <w:spacing w:line="136" w:lineRule="exact" w:before="91"/>
        <w:ind w:left="1518" w:right="2248" w:firstLine="76"/>
        <w:jc w:val="left"/>
        <w:rPr>
          <w:rFonts w:ascii="Calibri"/>
          <w:sz w:val="12"/>
        </w:rPr>
      </w:pPr>
      <w:r>
        <w:rPr/>
        <w:br w:type="column"/>
      </w:r>
      <w:r>
        <w:rPr>
          <w:rFonts w:ascii="Calibri"/>
          <w:color w:val="231F20"/>
          <w:w w:val="110"/>
          <w:sz w:val="12"/>
        </w:rPr>
        <w:t>Supplier Integration</w:t>
      </w:r>
    </w:p>
    <w:p>
      <w:pPr>
        <w:spacing w:after="0" w:line="136" w:lineRule="exact"/>
        <w:jc w:val="left"/>
        <w:rPr>
          <w:rFonts w:ascii="Calibri"/>
          <w:sz w:val="12"/>
        </w:rPr>
        <w:sectPr>
          <w:type w:val="continuous"/>
          <w:pgSz w:w="11910" w:h="16840"/>
          <w:pgMar w:top="1380" w:bottom="280" w:left="1600" w:right="1580"/>
          <w:cols w:num="2" w:equalWidth="0">
            <w:col w:w="3829" w:space="40"/>
            <w:col w:w="4861"/>
          </w:cols>
        </w:sectPr>
      </w:pPr>
    </w:p>
    <w:p>
      <w:pPr>
        <w:pStyle w:val="BodyText"/>
        <w:spacing w:before="7"/>
        <w:rPr>
          <w:rFonts w:ascii="Calibri"/>
          <w:sz w:val="20"/>
        </w:rPr>
      </w:pPr>
    </w:p>
    <w:p>
      <w:pPr>
        <w:spacing w:before="85"/>
        <w:ind w:left="760" w:right="243" w:firstLine="0"/>
        <w:jc w:val="center"/>
        <w:rPr>
          <w:rFonts w:ascii="Calibri"/>
          <w:sz w:val="12"/>
        </w:rPr>
      </w:pPr>
      <w:r>
        <w:rPr/>
        <w:drawing>
          <wp:anchor distT="0" distB="0" distL="0" distR="0" allowOverlap="1" layoutInCell="1" locked="0" behindDoc="0" simplePos="0" relativeHeight="1816">
            <wp:simplePos x="0" y="0"/>
            <wp:positionH relativeFrom="page">
              <wp:posOffset>3884352</wp:posOffset>
            </wp:positionH>
            <wp:positionV relativeFrom="paragraph">
              <wp:posOffset>169284</wp:posOffset>
            </wp:positionV>
            <wp:extent cx="134098" cy="233362"/>
            <wp:effectExtent l="0" t="0" r="0" b="0"/>
            <wp:wrapTopAndBottom/>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31" cstate="print"/>
                    <a:stretch>
                      <a:fillRect/>
                    </a:stretch>
                  </pic:blipFill>
                  <pic:spPr>
                    <a:xfrm>
                      <a:off x="0" y="0"/>
                      <a:ext cx="134098" cy="233362"/>
                    </a:xfrm>
                    <a:prstGeom prst="rect">
                      <a:avLst/>
                    </a:prstGeom>
                  </pic:spPr>
                </pic:pic>
              </a:graphicData>
            </a:graphic>
          </wp:anchor>
        </w:drawing>
      </w:r>
      <w:r>
        <w:rPr/>
        <w:pict>
          <v:group style="position:absolute;margin-left:291.602692pt;margin-top:-35.180225pt;width:37.8pt;height:37.8pt;mso-position-horizontal-relative:page;mso-position-vertical-relative:paragraph;z-index:1864" coordorigin="5832,-704" coordsize="756,756">
            <v:shape style="position:absolute;left:5832;top:-704;width:756;height:756" coordorigin="5832,-704" coordsize="756,756" path="m6356,-704l6063,-704,5990,-692,5927,-659,5877,-609,5844,-545,5832,-472,5832,-180,5844,-107,5877,-43,5927,7,5990,40,6063,52,6356,52,6429,40,6493,7,6520,-20,6063,-20,6001,-33,5951,-67,5917,-118,5904,-180,5904,-472,5917,-534,5951,-585,6001,-619,6063,-632,6520,-632,6493,-659,6429,-692,6356,-704xm6520,-632l6356,-632,6418,-619,6469,-585,6503,-534,6515,-472,6515,-180,6503,-118,6469,-67,6418,-33,6356,-20,6520,-20,6543,-43,6576,-107,6587,-180,6587,-472,6576,-545,6543,-609,6520,-632xe" filled="true" fillcolor="#a0ce67" stroked="false">
              <v:path arrowok="t"/>
              <v:fill type="solid"/>
            </v:shape>
            <v:line style="position:absolute" from="6266,-487" to="6266,-194" stroked="true" strokeweight="1.002964pt" strokecolor="#231f20"/>
            <v:shape style="position:absolute;left:6485;top:-408;width:15;height:198" coordorigin="6485,-408" coordsize="15,198" path="m6499,-233l6485,-231,6485,-211,6499,-213,6499,-233m6500,-401l6485,-408,6485,-387,6500,-380,6500,-401e" filled="true" fillcolor="#ffffff" stroked="false">
              <v:path arrowok="t"/>
              <v:fill type="solid"/>
            </v:shape>
            <v:shape style="position:absolute;left:5943;top:-504;width:543;height:330" coordorigin="5943,-504" coordsize="543,330" path="m6302,-182l6148,-182,6180,-179,6188,-179,6210,-176,6228,-175,6251,-176,6279,-179,6302,-182xm5943,-220l5943,-204,6019,-196,6019,-192,6106,-179,6116,-177,6127,-177,6138,-179,6148,-182,6302,-182,6384,-195,6229,-195,6212,-196,6189,-199,6156,-202,6156,-203,6136,-203,6118,-205,6118,-207,6097,-207,6039,-212,6039,-214,6019,-214,5943,-220xm6485,-231l6275,-199,6249,-196,6229,-195,6384,-195,6485,-211,6485,-231xm6156,-372l6136,-372,6136,-203,6156,-203,6156,-372xm6118,-355l6097,-355,6097,-207,6118,-207,6118,-355xm6039,-381l6019,-381,6019,-214,6039,-214,6039,-328,6088,-350,6039,-350,6039,-381xm6333,-423l6259,-423,6277,-423,6297,-417,6485,-333,6485,-354,6333,-423xm6124,-496l6101,-493,6099,-493,6056,-469,6050,-465,6033,-456,6020,-448,6019,-436,6019,-403,5943,-370,5943,-348,6019,-381,6039,-381,6039,-390,6089,-412,6039,-412,6039,-430,6039,-436,6044,-439,6055,-445,6080,-460,6097,-469,6118,-469,6118,-476,6131,-477,6154,-477,6150,-484,6140,-492,6124,-496xm6118,-416l6097,-416,6097,-377,6039,-350,6088,-350,6097,-355,6118,-355,6118,-364,6136,-372,6156,-372,6156,-381,6166,-386,6118,-386,6118,-416xm6156,-433l6136,-433,6136,-394,6118,-386,6166,-386,6205,-403,6156,-403,6156,-433xm6332,-484l6280,-484,6302,-477,6485,-387,6485,-408,6332,-484xm6258,-443l6234,-437,6205,-426,6156,-403,6205,-403,6213,-407,6239,-417,6259,-423,6333,-423,6305,-435,6305,-435,6280,-442,6258,-443xm6118,-469l6097,-469,6097,-438,6039,-412,6089,-412,6097,-416,6118,-416,6118,-425,6136,-433,6156,-433,6156,-442,6168,-447,6118,-447,6118,-469xm6154,-477l6131,-477,6135,-472,6136,-469,6136,-455,6118,-447,6168,-447,6196,-459,6196,-459,6206,-464,6156,-464,6156,-473,6156,-474,6154,-477xm6283,-504l6256,-504,6231,-497,6207,-486,6168,-469,6156,-464,6206,-464,6218,-469,6238,-478,6259,-484,6280,-484,6332,-484,6311,-495,6283,-504xe" filled="true" fillcolor="#231f20" stroked="false">
              <v:path arrowok="t"/>
              <v:fill type="solid"/>
            </v:shape>
            <v:shape style="position:absolute;left:6019;top:-496;width:137;height:319" type="#_x0000_t75" stroked="false">
              <v:imagedata r:id="rId32" o:title=""/>
            </v:shape>
            <w10:wrap type="none"/>
          </v:group>
        </w:pict>
      </w:r>
      <w:r>
        <w:rPr>
          <w:rFonts w:ascii="Calibri"/>
          <w:color w:val="231F20"/>
          <w:w w:val="105"/>
          <w:sz w:val="12"/>
        </w:rPr>
        <w:t>Production System</w:t>
      </w:r>
    </w:p>
    <w:p>
      <w:pPr>
        <w:pStyle w:val="BodyText"/>
        <w:spacing w:before="11"/>
        <w:rPr>
          <w:rFonts w:ascii="Calibri"/>
          <w:sz w:val="4"/>
        </w:rPr>
      </w:pPr>
    </w:p>
    <w:p>
      <w:pPr>
        <w:pStyle w:val="BodyText"/>
        <w:ind w:left="4245"/>
        <w:rPr>
          <w:rFonts w:ascii="Calibri"/>
          <w:sz w:val="20"/>
        </w:rPr>
      </w:pPr>
      <w:r>
        <w:rPr>
          <w:rFonts w:ascii="Calibri"/>
          <w:sz w:val="20"/>
        </w:rPr>
        <w:pict>
          <v:group style="width:37.8pt;height:37.8pt;mso-position-horizontal-relative:char;mso-position-vertical-relative:line" coordorigin="0,0" coordsize="756,756">
            <v:shape style="position:absolute;left:183;top:207;width:87;height:87" coordorigin="183,207" coordsize="87,87" path="m227,207l210,211,196,220,187,234,183,250,187,267,196,281,210,290,227,294,244,290,257,281,262,274,214,274,203,264,203,237,214,227,262,227,257,220,244,211,227,207xm262,227l240,227,250,237,250,264,240,274,262,274,267,267,270,250,267,234,262,227xe" filled="true" fillcolor="#231f20" stroked="false">
              <v:path arrowok="t"/>
              <v:fill type="solid"/>
            </v:shape>
            <v:shape style="position:absolute;left:334;top:207;width:87;height:87" coordorigin="334,207" coordsize="87,87" path="m378,207l361,211,347,220,338,234,334,250,338,267,347,281,361,290,378,294,395,290,408,281,413,274,365,274,354,264,354,237,365,227,413,227,408,220,395,211,378,207xm413,227l391,227,401,237,401,264,391,274,413,274,418,267,421,250,418,234,413,227xe" filled="true" fillcolor="#231f20" stroked="false">
              <v:path arrowok="t"/>
              <v:fill type="solid"/>
            </v:shape>
            <v:shape style="position:absolute;left:259;top:134;width:87;height:87" coordorigin="259,134" coordsize="87,87" path="m302,134l285,137,272,146,262,160,259,177,262,194,272,208,285,217,302,220,319,217,333,208,338,201,289,201,278,190,278,164,289,153,338,153,333,146,319,137,302,134xm338,153l315,153,326,164,326,190,315,201,338,201,342,194,346,177,342,160,338,153xe" filled="true" fillcolor="#231f20" stroked="false">
              <v:path arrowok="t"/>
              <v:fill type="solid"/>
            </v:shape>
            <v:shape style="position:absolute;left:410;top:134;width:87;height:87" coordorigin="410,134" coordsize="87,87" path="m453,134l436,137,422,146,413,160,410,177,413,194,422,208,436,217,453,220,470,217,484,208,488,201,440,201,429,190,429,164,440,153,488,153,484,146,470,137,453,134xm488,153l466,153,477,164,477,190,466,201,488,201,493,194,496,177,493,160,488,153xe" filled="true" fillcolor="#231f20" stroked="false">
              <v:path arrowok="t"/>
              <v:fill type="solid"/>
            </v:shape>
            <v:shape style="position:absolute;left:217;top:349;width:171;height:273" type="#_x0000_t75" stroked="false">
              <v:imagedata r:id="rId33" o:title=""/>
            </v:shape>
            <v:shape style="position:absolute;left:485;top:207;width:87;height:87" coordorigin="485,207" coordsize="87,87" path="m529,207l512,211,498,220,489,234,485,250,489,267,498,281,512,290,529,294,545,290,559,281,564,274,516,274,505,264,505,237,516,227,564,227,559,220,545,211,529,207xm564,227l542,227,552,237,552,264,542,274,564,274,569,267,572,250,569,234,564,227xe" filled="true" fillcolor="#231f20" stroked="false">
              <v:path arrowok="t"/>
              <v:fill type="solid"/>
            </v:shape>
            <v:shape style="position:absolute;left:116;top:310;width:525;height:312" coordorigin="116,310" coordsize="525,312" path="m197,399l178,399,178,592,180,604,186,613,196,619,207,622,219,619,228,613,234,604,235,602,202,602,197,598,197,399xm538,592l519,592,521,604,527,613,537,619,548,622,560,619,569,613,575,604,575,602,543,602,538,598,538,592xm237,592l217,592,217,598,213,602,235,602,237,592xm558,352l558,598,553,602,575,602,577,592,577,399,605,399,558,352xm571,310l184,310,119,375,116,382,116,398,119,406,130,417,137,420,153,420,160,417,177,400,142,400,140,399,136,395,135,393,135,388,136,385,192,329,591,329,571,310xm605,399l577,399,595,417,603,420,618,420,626,417,631,411,638,401,638,400,608,400,605,399,605,399xm197,351l150,399,148,400,177,400,178,399,197,399,197,351xm591,329l563,329,617,383,619,385,620,388,620,393,619,395,615,399,613,400,638,400,640,390,638,379,631,370,591,329xe" filled="true" fillcolor="#231f20" stroked="false">
              <v:path arrowok="t"/>
              <v:fill type="solid"/>
            </v:shape>
            <v:shape style="position:absolute;left:368;top:349;width:171;height:273" type="#_x0000_t75" stroked="false">
              <v:imagedata r:id="rId34" o:title=""/>
            </v:shape>
            <v:shape style="position:absolute;left:0;top:0;width:756;height:756" coordorigin="0,0" coordsize="756,756" path="m524,0l231,0,158,12,95,45,45,95,12,158,0,231,0,524,12,597,45,660,95,711,158,743,231,755,524,755,597,743,660,711,688,683,231,683,169,671,119,636,85,586,72,524,72,231,85,169,119,119,169,85,231,72,688,72,660,45,597,12,524,0xm688,72l524,72,586,85,637,119,671,169,683,231,683,524,671,586,637,636,586,671,524,683,688,683,711,660,744,597,755,524,755,231,744,158,711,95,688,72xe" filled="true" fillcolor="#a0ce67" stroked="false">
              <v:path arrowok="t"/>
              <v:fill type="solid"/>
            </v:shape>
          </v:group>
        </w:pict>
      </w:r>
      <w:r>
        <w:rPr>
          <w:rFonts w:ascii="Calibri"/>
          <w:sz w:val="20"/>
        </w:rPr>
      </w:r>
    </w:p>
    <w:p>
      <w:pPr>
        <w:spacing w:before="13"/>
        <w:ind w:left="794" w:right="243" w:firstLine="0"/>
        <w:jc w:val="center"/>
        <w:rPr>
          <w:rFonts w:ascii="Calibri"/>
          <w:sz w:val="12"/>
        </w:rPr>
      </w:pPr>
      <w:r>
        <w:rPr>
          <w:rFonts w:ascii="Calibri"/>
          <w:color w:val="231F20"/>
          <w:w w:val="110"/>
          <w:sz w:val="12"/>
        </w:rPr>
        <w:t>Involvement  of Personnel</w:t>
      </w:r>
    </w:p>
    <w:p>
      <w:pPr>
        <w:pStyle w:val="BodyText"/>
        <w:spacing w:before="3"/>
        <w:rPr>
          <w:rFonts w:ascii="Calibri"/>
          <w:sz w:val="29"/>
        </w:rPr>
      </w:pPr>
    </w:p>
    <w:p>
      <w:pPr>
        <w:spacing w:before="61"/>
        <w:ind w:left="3076" w:right="0" w:firstLine="0"/>
        <w:jc w:val="left"/>
        <w:rPr>
          <w:rFonts w:ascii="Calibri"/>
          <w:b/>
          <w:sz w:val="25"/>
        </w:rPr>
      </w:pPr>
      <w:r>
        <w:rPr>
          <w:rFonts w:ascii="Calibri"/>
          <w:b/>
          <w:color w:val="231F20"/>
          <w:w w:val="95"/>
          <w:sz w:val="25"/>
        </w:rPr>
        <w:t>FOR  CUSTOMER SATISFACTION</w:t>
      </w:r>
    </w:p>
    <w:p>
      <w:pPr>
        <w:pStyle w:val="BodyText"/>
        <w:rPr>
          <w:rFonts w:ascii="Calibri"/>
          <w:b/>
          <w:sz w:val="20"/>
        </w:rPr>
      </w:pPr>
    </w:p>
    <w:p>
      <w:pPr>
        <w:pStyle w:val="BodyText"/>
        <w:rPr>
          <w:rFonts w:ascii="Calibri"/>
          <w:b/>
          <w:sz w:val="20"/>
        </w:rPr>
      </w:pPr>
    </w:p>
    <w:p>
      <w:pPr>
        <w:pStyle w:val="BodyText"/>
        <w:rPr>
          <w:rFonts w:ascii="Calibri"/>
          <w:b/>
          <w:sz w:val="17"/>
        </w:rPr>
      </w:pPr>
    </w:p>
    <w:p>
      <w:pPr>
        <w:pStyle w:val="Heading2"/>
        <w:numPr>
          <w:ilvl w:val="2"/>
          <w:numId w:val="15"/>
        </w:numPr>
        <w:tabs>
          <w:tab w:pos="831" w:val="left" w:leader="none"/>
        </w:tabs>
        <w:spacing w:line="240" w:lineRule="auto" w:before="70" w:after="0"/>
        <w:ind w:left="830" w:right="0" w:hanging="720"/>
        <w:jc w:val="both"/>
      </w:pPr>
      <w:bookmarkStart w:name="_TOC_250030" w:id="37"/>
      <w:bookmarkEnd w:id="37"/>
      <w:r>
        <w:rPr/>
        <w:t>Ética y cumplimiento</w:t>
      </w:r>
    </w:p>
    <w:p>
      <w:pPr>
        <w:pStyle w:val="BodyText"/>
        <w:rPr>
          <w:b/>
        </w:rPr>
      </w:pPr>
    </w:p>
    <w:p>
      <w:pPr>
        <w:pStyle w:val="BodyText"/>
        <w:spacing w:before="2"/>
        <w:rPr>
          <w:b/>
        </w:rPr>
      </w:pPr>
    </w:p>
    <w:p>
      <w:pPr>
        <w:pStyle w:val="BodyText"/>
        <w:spacing w:line="360" w:lineRule="auto"/>
        <w:ind w:left="110" w:right="108"/>
        <w:jc w:val="both"/>
      </w:pPr>
      <w:r>
        <w:rPr/>
        <w:t>La ética y la integridad son valores esenciales para Valeo. En 2012, el Grupo Valeo, que emplea a 72,600 personas en cerca de 30 países, presentó una iniciativa de cumplimiento, a partir de su código de ética y la cultura de integridad que la caracteriza. El Código de Ética, que ha estado en vigor desde 1997 y fue renovado en 2005, está firmado por todos los empleados de Valeo y es una de las piedras angulares sobre las que el Grupo se ha construido en todo el mundo.</w:t>
      </w:r>
    </w:p>
    <w:p>
      <w:pPr>
        <w:pStyle w:val="BodyText"/>
      </w:pPr>
    </w:p>
    <w:p>
      <w:pPr>
        <w:pStyle w:val="BodyText"/>
        <w:spacing w:line="360" w:lineRule="auto" w:before="144"/>
        <w:ind w:left="110" w:right="108"/>
        <w:jc w:val="both"/>
      </w:pPr>
      <w:r>
        <w:rPr/>
        <w:t>Un Departamento de Ética y Cumplimiento se creó en 2012 por iniciativa del Presidente del Consejo de Administración y el Director General, que estableció una iniciativa detallada, precisa y completa que tuvo como objetivo capacitar y sensibilizar a sus directivos y empleados de los riesgos relacionados con la corrupción y las prácticas contrarias a la competencia, así como para darles</w:t>
      </w:r>
    </w:p>
    <w:p>
      <w:pPr>
        <w:spacing w:after="0" w:line="360"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instrucciones sobre la manera de reducir estos riesgos. Todas las entidades del Grupo, todos sus negocios, todos sus empleados, y todos sus grupos  de interés de todo el mundo participan en el programa de cumplimiento. Valeo y el equipo de gestión, en particular, se centran en el cumplimiento y en la fabricación de estos nuevos programas y prácticas como una prioridad. Ética y cumplimiento también está bajo el mandato de la Comisión de Auditoría y Comité de Riesgos.</w:t>
      </w:r>
    </w:p>
    <w:p>
      <w:pPr>
        <w:pStyle w:val="BodyText"/>
      </w:pPr>
    </w:p>
    <w:p>
      <w:pPr>
        <w:pStyle w:val="BodyText"/>
        <w:spacing w:line="360" w:lineRule="auto" w:before="139"/>
        <w:ind w:left="110" w:right="108"/>
        <w:jc w:val="both"/>
      </w:pPr>
      <w:r>
        <w:rPr/>
        <w:t>Ésta iniciativa es liderada por el Departamento de Ética y Cumplimiento y se basa en claras normas internas del Grupo que prohíbe las prácticas ilegales, define el marco para la conducta aceptable en cuanto a las relaciones comerciales y alianzas; establece las condiciones de autorización de determinadas prácticas. Siempre que sea posible se adaptarán para tener en cuenta las restricciones legales locales y la cultura específica de cada país. Este enfoque localizado fué tomado con el fin de aumentar la adopción de las normas por parte de los empleados. Estas normas van acompañadas de recursos para mejorar la comprensión de su uso y aplicación. Empleados de Valeo tienen acceso a manuales, definiciones, ejemplos y directrices a través del portal de Intranet de Ética y Cumplimiento, que se puede consultar en cualquier momento. Ésta información se actualiza regularmente con  información nueva basada en los verdaderos casos que han tenido lugar en Valeo.</w:t>
      </w:r>
    </w:p>
    <w:p>
      <w:pPr>
        <w:pStyle w:val="BodyText"/>
      </w:pPr>
    </w:p>
    <w:p>
      <w:pPr>
        <w:pStyle w:val="BodyText"/>
        <w:spacing w:line="360" w:lineRule="auto" w:before="144"/>
        <w:ind w:left="110" w:right="108"/>
        <w:jc w:val="both"/>
      </w:pPr>
      <w:r>
        <w:rPr/>
        <w:t>El objetivo es proporcionar a los empleados con las directrices que les permitan saber cómo reconocer un riesgo de incumplimiento y a quién contactar en caso de duda o dificultad, con el fin de tomar la decisión correcta en los intereses del Grupo.</w:t>
      </w:r>
    </w:p>
    <w:p>
      <w:pPr>
        <w:pStyle w:val="BodyText"/>
      </w:pPr>
    </w:p>
    <w:p>
      <w:pPr>
        <w:pStyle w:val="BodyText"/>
        <w:spacing w:line="360" w:lineRule="auto" w:before="139"/>
        <w:ind w:left="110" w:right="108"/>
        <w:jc w:val="both"/>
      </w:pPr>
      <w:r>
        <w:rPr/>
        <w:t>Para garantizar la aplicación y el uso eficaz y continuo de estas reglas y recursos, se proporciona una formación completa sobre las cuestiones clave, los riesgos legales, y las soluciones propuestas por Valeo a los problemas, ya sea en el aula o mediante la tecnología e-learning. En vista de la diversidad de los empleados de Valeo, estas sesiones de entrenamiento pueden ser entregados localmente en 15 idiomas diferentes, mientras que las clases de </w:t>
      </w:r>
      <w:r>
        <w:rPr>
          <w:spacing w:val="63"/>
        </w:rPr>
        <w:t> </w:t>
      </w:r>
      <w:r>
        <w:rPr/>
        <w:t>e-</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learning están disponibles en 13 idiomas diferentes. Estas sesiones están diseñadas específicamente para la industria del automóvil y cuentan con una gran variedad de ejemplos y casos de estudio para proporcionar a la mayor cantidad de empleados posible una formación eficaz tanto en la teoría y la práctica.</w:t>
      </w:r>
    </w:p>
    <w:p>
      <w:pPr>
        <w:pStyle w:val="BodyText"/>
      </w:pPr>
    </w:p>
    <w:p>
      <w:pPr>
        <w:pStyle w:val="BodyText"/>
        <w:spacing w:line="360" w:lineRule="auto" w:before="144"/>
        <w:ind w:left="110" w:right="108"/>
        <w:jc w:val="both"/>
      </w:pPr>
      <w:r>
        <w:rPr/>
        <w:t>En conjunto, todos estos componentes forman la base del programa de cumplimiento de Valeo. Se está llevando a cabo bajo la dirección del Director Ejecutivo, el Comité de Ética y Cumplimiento y de todo el equipo directivo. El programa es supervisado específicamente por el Comité de Operaciones, que comprende los gerentes operativos y funcionales clave, así como por el comité de enlace, que está directamente implicado en la implantación del programa de cumplimiento. Las diferentes redes funcionales desempeñan un rol clave en la definición, implementación y expansión del programa.</w:t>
      </w:r>
    </w:p>
    <w:p>
      <w:pPr>
        <w:pStyle w:val="BodyText"/>
      </w:pPr>
    </w:p>
    <w:p>
      <w:pPr>
        <w:pStyle w:val="BodyText"/>
        <w:spacing w:line="360" w:lineRule="auto" w:before="144"/>
        <w:ind w:left="110" w:right="108"/>
        <w:jc w:val="both"/>
      </w:pPr>
      <w:r>
        <w:rPr/>
        <w:t>Valeo considera que es responsabilidad de todos poner en práctica,  desprender y respetar las medidas establecidas en el programa de cumplimiento. Si bien es responsabilidad de la gestión predicar con el ejemplo, es el deber de todos cumplir con estas normas. Todos los empleados en cada grupo de negocio en todos los países deben cumplir con estas normas, que se basan en principios éticos estrictos Naturalmente, también se extienden a las distintas partes interesadas, proveedores y prestadores de servicios de Valeo. El plan de acción para 2013 incluye la creación e implementación de un programa de sensibilización sistemática, que describe las expectativas de Valeo de sus proveedores y socios de</w:t>
      </w:r>
      <w:r>
        <w:rPr>
          <w:spacing w:val="-2"/>
        </w:rPr>
        <w:t> </w:t>
      </w:r>
      <w:r>
        <w:rPr/>
        <w:t>negocios.</w:t>
      </w:r>
    </w:p>
    <w:p>
      <w:pPr>
        <w:pStyle w:val="BodyText"/>
      </w:pPr>
    </w:p>
    <w:p>
      <w:pPr>
        <w:pStyle w:val="BodyText"/>
        <w:spacing w:line="360" w:lineRule="auto" w:before="144"/>
        <w:ind w:left="110" w:right="108"/>
        <w:jc w:val="both"/>
      </w:pPr>
      <w:r>
        <w:rPr/>
        <w:t>Valeo considera el cumplimiento una prioridad, y espera el compromiso inquebrantable de todos con el fin de permitir el crecimiento y la rentabilidad.</w:t>
      </w:r>
    </w:p>
    <w:p>
      <w:pPr>
        <w:pStyle w:val="BodyText"/>
      </w:pPr>
    </w:p>
    <w:p>
      <w:pPr>
        <w:pStyle w:val="BodyText"/>
        <w:spacing w:before="2"/>
        <w:rPr>
          <w:sz w:val="29"/>
        </w:rPr>
      </w:pPr>
    </w:p>
    <w:p>
      <w:pPr>
        <w:pStyle w:val="Heading2"/>
        <w:numPr>
          <w:ilvl w:val="1"/>
          <w:numId w:val="19"/>
        </w:numPr>
        <w:tabs>
          <w:tab w:pos="687" w:val="left" w:leader="none"/>
        </w:tabs>
        <w:spacing w:line="240" w:lineRule="auto" w:before="1" w:after="0"/>
        <w:ind w:left="686" w:right="0" w:hanging="576"/>
        <w:jc w:val="both"/>
      </w:pPr>
      <w:bookmarkStart w:name="_TOC_250029" w:id="38"/>
      <w:bookmarkEnd w:id="38"/>
      <w:r>
        <w:rPr/>
        <w:t>Visión.</w:t>
      </w:r>
    </w:p>
    <w:p>
      <w:pPr>
        <w:pStyle w:val="BodyText"/>
        <w:spacing w:line="355" w:lineRule="auto" w:before="141"/>
        <w:ind w:left="110" w:right="108"/>
        <w:jc w:val="both"/>
      </w:pPr>
      <w:r>
        <w:rPr/>
        <w:t>Valeo tiene por estrategia convertirse en el socio de elección de los fabricantes de automóviles, para así reducir las emisiones de CO</w:t>
      </w:r>
      <w:r>
        <w:rPr>
          <w:position w:val="-2"/>
          <w:sz w:val="16"/>
        </w:rPr>
        <w:t>2 </w:t>
      </w:r>
      <w:r>
        <w:rPr/>
        <w:t>y acelerar su desarrollo en los países emergentes y Asia.</w:t>
      </w:r>
    </w:p>
    <w:p>
      <w:pPr>
        <w:spacing w:after="0" w:line="355" w:lineRule="auto"/>
        <w:jc w:val="both"/>
        <w:sectPr>
          <w:pgSz w:w="11910" w:h="16840"/>
          <w:pgMar w:header="755" w:footer="724" w:top="960" w:bottom="920" w:left="1600" w:right="1580"/>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2"/>
        <w:numPr>
          <w:ilvl w:val="1"/>
          <w:numId w:val="19"/>
        </w:numPr>
        <w:tabs>
          <w:tab w:pos="687" w:val="left" w:leader="none"/>
        </w:tabs>
        <w:spacing w:line="240" w:lineRule="auto" w:before="70" w:after="0"/>
        <w:ind w:left="686" w:right="0" w:hanging="576"/>
        <w:jc w:val="both"/>
      </w:pPr>
      <w:bookmarkStart w:name="_TOC_250028" w:id="39"/>
      <w:bookmarkEnd w:id="39"/>
      <w:r>
        <w:rPr/>
        <w:t>Estrategia.</w:t>
      </w:r>
    </w:p>
    <w:p>
      <w:pPr>
        <w:pStyle w:val="BodyText"/>
        <w:spacing w:line="360" w:lineRule="auto" w:before="141"/>
        <w:ind w:left="110" w:right="108"/>
        <w:jc w:val="both"/>
      </w:pPr>
      <w:r>
        <w:rPr/>
        <w:t>Con el fin de anticiparse a las tendencias de la industria, Valeo está utilizando un sistema de inteligencia de marketing para monitorear los cambios en el mercado, tanto en términos de tecnología como en el comportamiento del consumidor, a través de todas las regiones del mundo.</w:t>
      </w:r>
    </w:p>
    <w:p>
      <w:pPr>
        <w:pStyle w:val="BodyText"/>
        <w:spacing w:line="362" w:lineRule="auto" w:before="2"/>
        <w:ind w:left="110" w:right="108"/>
        <w:jc w:val="both"/>
      </w:pPr>
      <w:r>
        <w:rPr/>
        <w:t>En respuesta a estos cambios dentro de la industria del automóvil, Valeo ha construido su estrategia de crecimiento en:</w:t>
      </w:r>
    </w:p>
    <w:p>
      <w:pPr>
        <w:pStyle w:val="ListParagraph"/>
        <w:numPr>
          <w:ilvl w:val="2"/>
          <w:numId w:val="19"/>
        </w:numPr>
        <w:tabs>
          <w:tab w:pos="830" w:val="left" w:leader="none"/>
          <w:tab w:pos="831" w:val="left" w:leader="none"/>
        </w:tabs>
        <w:spacing w:line="340" w:lineRule="auto" w:before="0" w:after="0"/>
        <w:ind w:left="830" w:right="108" w:hanging="360"/>
        <w:jc w:val="left"/>
        <w:rPr>
          <w:sz w:val="24"/>
        </w:rPr>
      </w:pPr>
      <w:r>
        <w:rPr>
          <w:sz w:val="24"/>
        </w:rPr>
        <w:t>Tecnologías relacionadas con la reducción de las emisiones de CO</w:t>
      </w:r>
      <w:r>
        <w:rPr>
          <w:position w:val="-2"/>
          <w:sz w:val="16"/>
        </w:rPr>
        <w:t>2 </w:t>
      </w:r>
      <w:r>
        <w:rPr>
          <w:sz w:val="24"/>
        </w:rPr>
        <w:t>y la innovación.</w:t>
      </w:r>
    </w:p>
    <w:p>
      <w:pPr>
        <w:pStyle w:val="ListParagraph"/>
        <w:numPr>
          <w:ilvl w:val="2"/>
          <w:numId w:val="19"/>
        </w:numPr>
        <w:tabs>
          <w:tab w:pos="830" w:val="left" w:leader="none"/>
          <w:tab w:pos="831" w:val="left" w:leader="none"/>
        </w:tabs>
        <w:spacing w:line="350" w:lineRule="auto" w:before="27" w:after="0"/>
        <w:ind w:left="830" w:right="108" w:hanging="360"/>
        <w:jc w:val="left"/>
        <w:rPr>
          <w:sz w:val="24"/>
        </w:rPr>
      </w:pPr>
      <w:r>
        <w:rPr>
          <w:sz w:val="24"/>
        </w:rPr>
        <w:t>La expansión dentro de las regiones de alto crecimiento, sobre todo en Asia y los países emergentes.</w:t>
      </w:r>
    </w:p>
    <w:p>
      <w:pPr>
        <w:pStyle w:val="BodyText"/>
      </w:pPr>
    </w:p>
    <w:p>
      <w:pPr>
        <w:pStyle w:val="Heading2"/>
        <w:spacing w:before="155"/>
      </w:pPr>
      <w:r>
        <w:rPr/>
        <w:t>La reducción de las emisiones de CO</w:t>
      </w:r>
      <w:r>
        <w:rPr>
          <w:position w:val="-2"/>
          <w:sz w:val="16"/>
        </w:rPr>
        <w:t>2 </w:t>
      </w:r>
      <w:r>
        <w:rPr/>
        <w:t>y la innovación.</w:t>
      </w:r>
    </w:p>
    <w:p>
      <w:pPr>
        <w:pStyle w:val="BodyText"/>
        <w:rPr>
          <w:b/>
        </w:rPr>
      </w:pPr>
    </w:p>
    <w:p>
      <w:pPr>
        <w:pStyle w:val="BodyText"/>
        <w:spacing w:before="7"/>
        <w:rPr>
          <w:b/>
          <w:sz w:val="22"/>
        </w:rPr>
      </w:pPr>
    </w:p>
    <w:p>
      <w:pPr>
        <w:pStyle w:val="BodyText"/>
        <w:spacing w:line="360" w:lineRule="auto"/>
        <w:ind w:left="110" w:right="108"/>
        <w:jc w:val="both"/>
      </w:pPr>
      <w:r>
        <w:rPr/>
        <w:t>El propósito de la mayoría de los avances tecnológicos es reducir el consumo de combustible mediante el aumento de la eficiencia de los motores de combustión interna, lo que reduce la cantidad de energía utilizada por las diversas funciones del vehículo. Por ejemplo, varias tecnologías desarrolladas por Valeo han sido elección tanto de los fabricantes de automóviles así como  de los consumidores.</w:t>
      </w:r>
    </w:p>
    <w:p>
      <w:pPr>
        <w:pStyle w:val="BodyText"/>
      </w:pPr>
    </w:p>
    <w:p>
      <w:pPr>
        <w:pStyle w:val="BodyText"/>
        <w:spacing w:line="360" w:lineRule="auto" w:before="144"/>
        <w:ind w:left="110" w:right="108"/>
        <w:jc w:val="both"/>
      </w:pPr>
      <w:r>
        <w:rPr/>
        <w:t>Valeo fue el primer proveedor en ofrecer a sus clientes el sistema de alto y arranque automático, que apaga automáticamente el motor cuando el vehículo está parado (por ejemplo, en un semáforo en rojo) el ahorro de hasta un 15% en el consumo de combustible en el denso tráfico urbano. En 2012, Valeo dió a conocer su más reciente innovación: el sistema "híbrido asequible " (</w:t>
      </w:r>
      <w:r>
        <w:rPr>
          <w:spacing w:val="19"/>
        </w:rPr>
        <w:t> </w:t>
      </w:r>
      <w:r>
        <w:rPr/>
        <w:t>Hybrid4All</w:t>
      </w:r>
    </w:p>
    <w:p>
      <w:pPr>
        <w:pStyle w:val="BodyText"/>
        <w:spacing w:line="360" w:lineRule="auto" w:before="2"/>
        <w:ind w:left="110" w:right="108"/>
        <w:jc w:val="both"/>
      </w:pPr>
      <w:r>
        <w:rPr/>
        <w:t>®), que genera la mitad de los ahorros de energía de un sistema híbrido convencional por sólo una cuarta parte del precio.</w:t>
      </w:r>
    </w:p>
    <w:p>
      <w:pPr>
        <w:pStyle w:val="BodyText"/>
      </w:pPr>
    </w:p>
    <w:p>
      <w:pPr>
        <w:pStyle w:val="BodyText"/>
        <w:spacing w:line="360" w:lineRule="auto" w:before="144"/>
        <w:ind w:left="110" w:right="108"/>
        <w:jc w:val="both"/>
      </w:pPr>
      <w:r>
        <w:rPr/>
        <w:t>Valeo ofrece un sistema de gestión térmica mejorado, que aumenta la  eficiencia  en  motores  de  combustión  interna,  mientras  reduce  la    </w:t>
      </w:r>
      <w:r>
        <w:rPr>
          <w:spacing w:val="13"/>
        </w:rPr>
        <w:t> </w:t>
      </w:r>
      <w:r>
        <w:rPr/>
        <w:t>energía</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necesaria para garantizar la comodidad de los pasajeros, así como la reducción de la emisión de gases.</w:t>
      </w:r>
    </w:p>
    <w:p>
      <w:pPr>
        <w:pStyle w:val="BodyText"/>
      </w:pPr>
    </w:p>
    <w:p>
      <w:pPr>
        <w:pStyle w:val="BodyText"/>
        <w:spacing w:line="352" w:lineRule="auto" w:before="144"/>
        <w:ind w:left="110" w:right="108"/>
        <w:jc w:val="both"/>
      </w:pPr>
      <w:r>
        <w:rPr/>
        <w:t>La legislación de CO</w:t>
      </w:r>
      <w:r>
        <w:rPr>
          <w:position w:val="-2"/>
          <w:sz w:val="16"/>
        </w:rPr>
        <w:t>2 </w:t>
      </w:r>
      <w:r>
        <w:rPr/>
        <w:t>puesta en marcha en todos los países del mundo, cuenta con objetivos ambiciosos para el 2020, influyendo fuertemente en las  armadoras de autos con respecto a la elección de las tecnologías a desarrollar.</w:t>
      </w:r>
    </w:p>
    <w:p>
      <w:pPr>
        <w:pStyle w:val="BodyText"/>
      </w:pPr>
    </w:p>
    <w:p>
      <w:pPr>
        <w:pStyle w:val="BodyText"/>
        <w:spacing w:line="360" w:lineRule="auto" w:before="152"/>
        <w:ind w:left="110" w:right="108"/>
        <w:jc w:val="both"/>
      </w:pPr>
      <w:r>
        <w:rPr/>
        <w:t>Los principales desarrollos tecnológicos de los equipos de investigación y desarrollo, tienen por objetivo reducir el consumo de combustible del vehículo; esto se logra mediante el aumento de rendimiento del motor de combustión interno y el uso de sistemas de propulsión eléctrica, reduciendo el consumo de energía de los diversos sistemas, así como el peso de las piezas. Todas estas soluciones funcionan con eficacia en numerosos vehículos equipados con tecnologías Valeo, incluyendo los siguientes sistemas:</w:t>
      </w:r>
    </w:p>
    <w:p>
      <w:pPr>
        <w:pStyle w:val="ListParagraph"/>
        <w:numPr>
          <w:ilvl w:val="2"/>
          <w:numId w:val="19"/>
        </w:numPr>
        <w:tabs>
          <w:tab w:pos="831" w:val="left" w:leader="none"/>
        </w:tabs>
        <w:spacing w:line="355" w:lineRule="auto" w:before="5" w:after="0"/>
        <w:ind w:left="830" w:right="108" w:hanging="360"/>
        <w:jc w:val="both"/>
        <w:rPr>
          <w:sz w:val="24"/>
        </w:rPr>
      </w:pPr>
      <w:r>
        <w:rPr>
          <w:sz w:val="24"/>
        </w:rPr>
        <w:t>Stop start; detiene el motor cuando el vehículo está parado, lo que aumenta la eficiencia del combustible hasta en un 15% en condiciones urbanas congestionadas con una carga completa.</w:t>
      </w:r>
    </w:p>
    <w:p>
      <w:pPr>
        <w:pStyle w:val="ListParagraph"/>
        <w:numPr>
          <w:ilvl w:val="2"/>
          <w:numId w:val="19"/>
        </w:numPr>
        <w:tabs>
          <w:tab w:pos="831" w:val="left" w:leader="none"/>
        </w:tabs>
        <w:spacing w:line="357" w:lineRule="auto" w:before="11" w:after="0"/>
        <w:ind w:left="830" w:right="108" w:hanging="360"/>
        <w:jc w:val="both"/>
        <w:rPr>
          <w:sz w:val="24"/>
        </w:rPr>
      </w:pPr>
      <w:r>
        <w:rPr>
          <w:sz w:val="24"/>
        </w:rPr>
        <w:t>Soluciones híbridas avanzadas en cuanto a la recuperación de energía de frenado, así como la capacidad de conducir el vehículo completo sin necesidad de recarga eléctrica durante varios</w:t>
      </w:r>
      <w:r>
        <w:rPr>
          <w:spacing w:val="-1"/>
          <w:sz w:val="24"/>
        </w:rPr>
        <w:t> </w:t>
      </w:r>
      <w:r>
        <w:rPr>
          <w:sz w:val="24"/>
        </w:rPr>
        <w:t>kilómetros.</w:t>
      </w:r>
    </w:p>
    <w:p>
      <w:pPr>
        <w:pStyle w:val="ListParagraph"/>
        <w:numPr>
          <w:ilvl w:val="2"/>
          <w:numId w:val="19"/>
        </w:numPr>
        <w:tabs>
          <w:tab w:pos="831" w:val="left" w:leader="none"/>
        </w:tabs>
        <w:spacing w:line="357" w:lineRule="auto" w:before="3" w:after="0"/>
        <w:ind w:left="830" w:right="108" w:hanging="360"/>
        <w:jc w:val="both"/>
        <w:rPr>
          <w:sz w:val="24"/>
        </w:rPr>
      </w:pPr>
      <w:r>
        <w:rPr>
          <w:sz w:val="24"/>
        </w:rPr>
        <w:t>Optimización de la gestión térmica de los vehículos eléctricos, gracias a la iluminación LED que consume menos energía, sobre todo para las luces de circulación diurna, ofreciendo nuevas posibilidades de</w:t>
      </w:r>
      <w:r>
        <w:rPr>
          <w:spacing w:val="-1"/>
          <w:sz w:val="24"/>
        </w:rPr>
        <w:t> </w:t>
      </w:r>
      <w:r>
        <w:rPr>
          <w:sz w:val="24"/>
        </w:rPr>
        <w:t>diseño.</w:t>
      </w:r>
    </w:p>
    <w:p>
      <w:pPr>
        <w:pStyle w:val="ListParagraph"/>
        <w:numPr>
          <w:ilvl w:val="2"/>
          <w:numId w:val="19"/>
        </w:numPr>
        <w:tabs>
          <w:tab w:pos="831" w:val="left" w:leader="none"/>
        </w:tabs>
        <w:spacing w:line="357" w:lineRule="auto" w:before="3" w:after="0"/>
        <w:ind w:left="830" w:right="108" w:hanging="360"/>
        <w:jc w:val="both"/>
        <w:rPr>
          <w:sz w:val="24"/>
        </w:rPr>
      </w:pPr>
      <w:r>
        <w:rPr>
          <w:sz w:val="24"/>
        </w:rPr>
        <w:t>Sistemas de asistencia al manejo del vehículo, que van desde la detección de obstáculos para el estacionamiento totalmente automatizado, así como los sistemas que ofrecen una vista aérea alrededor del vehículo, utilizado durante las maniobras a baja</w:t>
      </w:r>
      <w:r>
        <w:rPr>
          <w:spacing w:val="-2"/>
          <w:sz w:val="24"/>
        </w:rPr>
        <w:t> </w:t>
      </w:r>
      <w:r>
        <w:rPr>
          <w:sz w:val="24"/>
        </w:rPr>
        <w:t>velocidad.</w:t>
      </w:r>
    </w:p>
    <w:p>
      <w:pPr>
        <w:pStyle w:val="BodyText"/>
      </w:pPr>
    </w:p>
    <w:p>
      <w:pPr>
        <w:pStyle w:val="BodyText"/>
        <w:spacing w:line="360" w:lineRule="auto" w:before="142"/>
        <w:ind w:left="110" w:right="108"/>
        <w:jc w:val="both"/>
      </w:pPr>
      <w:r>
        <w:rPr/>
        <w:t>Así como el desarrollo de tecnologías innovadoras, Valeo se centra ahora en sus esfuerzos comerciales e industriales para captar nuevos clientes y ganar cuota de mercado en las regiones de alto crecimiento; este es el caso de Asia, que en 2012 representó mas del 50% de la producción mundial de automóviles. El crecimiento del continente es liderado por China ahora el mayor mercado  de</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automóviles del mundo; por la India, en espera para ver la expansión similar en los próximos años, y también por el sudeste de Asia.</w:t>
      </w:r>
    </w:p>
    <w:p>
      <w:pPr>
        <w:pStyle w:val="BodyText"/>
        <w:rPr>
          <w:sz w:val="20"/>
        </w:rPr>
      </w:pPr>
    </w:p>
    <w:p>
      <w:pPr>
        <w:pStyle w:val="BodyText"/>
        <w:spacing w:before="6"/>
        <w:rPr>
          <w:sz w:val="13"/>
        </w:rPr>
      </w:pPr>
      <w:r>
        <w:rPr/>
        <w:drawing>
          <wp:anchor distT="0" distB="0" distL="0" distR="0" allowOverlap="1" layoutInCell="1" locked="0" behindDoc="0" simplePos="0" relativeHeight="1936">
            <wp:simplePos x="0" y="0"/>
            <wp:positionH relativeFrom="page">
              <wp:posOffset>1087551</wp:posOffset>
            </wp:positionH>
            <wp:positionV relativeFrom="paragraph">
              <wp:posOffset>123632</wp:posOffset>
            </wp:positionV>
            <wp:extent cx="5421370" cy="3147822"/>
            <wp:effectExtent l="0" t="0" r="0" b="0"/>
            <wp:wrapTopAndBottom/>
            <wp:docPr id="19" name="image14.jpeg" descr=""/>
            <wp:cNvGraphicFramePr>
              <a:graphicFrameLocks noChangeAspect="1"/>
            </wp:cNvGraphicFramePr>
            <a:graphic>
              <a:graphicData uri="http://schemas.openxmlformats.org/drawingml/2006/picture">
                <pic:pic>
                  <pic:nvPicPr>
                    <pic:cNvPr id="20" name="image14.jpeg"/>
                    <pic:cNvPicPr/>
                  </pic:nvPicPr>
                  <pic:blipFill>
                    <a:blip r:embed="rId35" cstate="print"/>
                    <a:stretch>
                      <a:fillRect/>
                    </a:stretch>
                  </pic:blipFill>
                  <pic:spPr>
                    <a:xfrm>
                      <a:off x="0" y="0"/>
                      <a:ext cx="5421370" cy="3147822"/>
                    </a:xfrm>
                    <a:prstGeom prst="rect">
                      <a:avLst/>
                    </a:prstGeom>
                  </pic:spPr>
                </pic:pic>
              </a:graphicData>
            </a:graphic>
          </wp:anchor>
        </w:drawing>
      </w:r>
    </w:p>
    <w:p>
      <w:pPr>
        <w:pStyle w:val="BodyText"/>
        <w:spacing w:before="83"/>
        <w:ind w:left="110"/>
        <w:jc w:val="both"/>
      </w:pPr>
      <w:r>
        <w:rPr/>
        <w:t>Fuente: Valeo</w:t>
      </w:r>
    </w:p>
    <w:p>
      <w:pPr>
        <w:pStyle w:val="BodyText"/>
        <w:spacing w:before="141"/>
        <w:ind w:left="110"/>
        <w:jc w:val="both"/>
      </w:pPr>
      <w:r>
        <w:rPr/>
        <w:t>Producción de vehículos en millones de unidades.</w:t>
      </w:r>
    </w:p>
    <w:p>
      <w:pPr>
        <w:pStyle w:val="BodyText"/>
        <w:rPr>
          <w:sz w:val="29"/>
        </w:rPr>
      </w:pPr>
    </w:p>
    <w:p>
      <w:pPr>
        <w:pStyle w:val="Heading2"/>
        <w:numPr>
          <w:ilvl w:val="1"/>
          <w:numId w:val="19"/>
        </w:numPr>
        <w:tabs>
          <w:tab w:pos="687" w:val="left" w:leader="none"/>
        </w:tabs>
        <w:spacing w:line="240" w:lineRule="auto" w:before="0" w:after="0"/>
        <w:ind w:left="686" w:right="0" w:hanging="576"/>
        <w:jc w:val="both"/>
      </w:pPr>
      <w:bookmarkStart w:name="_TOC_250027" w:id="40"/>
      <w:bookmarkEnd w:id="40"/>
      <w:r>
        <w:rPr/>
        <w:t>Productos.</w:t>
      </w:r>
    </w:p>
    <w:p>
      <w:pPr>
        <w:pStyle w:val="BodyText"/>
        <w:spacing w:line="360" w:lineRule="auto" w:before="45"/>
        <w:ind w:left="110" w:right="108"/>
        <w:jc w:val="both"/>
      </w:pPr>
      <w:r>
        <w:rPr/>
        <w:t>La estructura operacional de Valeo está organizada alrededor de cuatro grupos de negocio, a continuación se describe a detalle cada grupo de negocio.  (Valeo, 2013)</w:t>
      </w:r>
    </w:p>
    <w:p>
      <w:pPr>
        <w:pStyle w:val="BodyText"/>
      </w:pPr>
    </w:p>
    <w:p>
      <w:pPr>
        <w:pStyle w:val="ListParagraph"/>
        <w:numPr>
          <w:ilvl w:val="0"/>
          <w:numId w:val="20"/>
        </w:numPr>
        <w:tabs>
          <w:tab w:pos="831" w:val="left" w:leader="none"/>
        </w:tabs>
        <w:spacing w:line="240" w:lineRule="auto" w:before="144" w:after="0"/>
        <w:ind w:left="830" w:right="0" w:hanging="360"/>
        <w:jc w:val="left"/>
        <w:rPr>
          <w:sz w:val="24"/>
        </w:rPr>
      </w:pPr>
      <w:r>
        <w:rPr>
          <w:sz w:val="24"/>
        </w:rPr>
        <w:t>Powertrain Systems</w:t>
      </w:r>
    </w:p>
    <w:p>
      <w:pPr>
        <w:pStyle w:val="BodyText"/>
        <w:spacing w:line="357" w:lineRule="auto" w:before="137"/>
        <w:ind w:left="110" w:right="108"/>
        <w:jc w:val="both"/>
      </w:pPr>
      <w:r>
        <w:rPr/>
        <w:t>Combina todas las actividades relacionadas con los sistemas de propulsión, su misión es desarrollar soluciones innovadoras destinadas a reducir el consumo de combustibles, así como de emisiones de CO</w:t>
      </w:r>
      <w:r>
        <w:rPr>
          <w:position w:val="-2"/>
          <w:sz w:val="16"/>
        </w:rPr>
        <w:t>2 </w:t>
      </w:r>
      <w:r>
        <w:rPr/>
        <w:t>sin comprometer el placer y el dinamismo de la conducción. Estas innovaciones cubren una gama completa  de productos, desde la optimización de motores de combustión interna, hasta el sistema de arranque eléctrico de los automóviles como el sistema</w:t>
      </w:r>
      <w:r>
        <w:rPr>
          <w:spacing w:val="-2"/>
        </w:rPr>
        <w:t> </w:t>
      </w:r>
      <w:r>
        <w:rPr/>
        <w:t>Stop-Start.</w:t>
      </w:r>
    </w:p>
    <w:p>
      <w:pPr>
        <w:pStyle w:val="BodyText"/>
        <w:spacing w:line="360" w:lineRule="auto" w:before="5"/>
        <w:ind w:left="110" w:right="108"/>
        <w:jc w:val="both"/>
      </w:pPr>
      <w:r>
        <w:rPr/>
        <w:t>Al fin del año 2012, este grupo de negocio aportó 3.2 billones de euros de ventas (28% de las ventas del grupo), cuenta con 31 sitios de producción, 13 centros de desarrollo, 11 centros de investigación y 17,618 empleados.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ind w:left="110"/>
      </w:pPr>
      <w:r>
        <w:rPr/>
        <w:t>Hay cinco grupos de producto identificados:</w:t>
      </w:r>
    </w:p>
    <w:p>
      <w:pPr>
        <w:pStyle w:val="ListParagraph"/>
        <w:numPr>
          <w:ilvl w:val="1"/>
          <w:numId w:val="20"/>
        </w:numPr>
        <w:tabs>
          <w:tab w:pos="1191" w:val="left" w:leader="none"/>
        </w:tabs>
        <w:spacing w:line="357" w:lineRule="auto" w:before="135" w:after="0"/>
        <w:ind w:left="1190" w:right="108" w:hanging="360"/>
        <w:jc w:val="both"/>
        <w:rPr>
          <w:sz w:val="24"/>
        </w:rPr>
      </w:pPr>
      <w:r>
        <w:rPr>
          <w:sz w:val="24"/>
        </w:rPr>
        <w:t>Electrycal Systems. Este grupo de producto ofrece sistemas eléctricos que controlan las funciones principales del auto, tales  como la generación y administración de energía eléctrica. Los productos principales son los motores de arranque y los</w:t>
      </w:r>
      <w:r>
        <w:rPr>
          <w:spacing w:val="-1"/>
          <w:sz w:val="24"/>
        </w:rPr>
        <w:t> </w:t>
      </w:r>
      <w:r>
        <w:rPr>
          <w:sz w:val="24"/>
        </w:rPr>
        <w:t>alternadores.</w:t>
      </w:r>
    </w:p>
    <w:p>
      <w:pPr>
        <w:pStyle w:val="ListParagraph"/>
        <w:numPr>
          <w:ilvl w:val="1"/>
          <w:numId w:val="20"/>
        </w:numPr>
        <w:tabs>
          <w:tab w:pos="1191" w:val="left" w:leader="none"/>
        </w:tabs>
        <w:spacing w:line="357" w:lineRule="auto" w:before="3" w:after="0"/>
        <w:ind w:left="1190" w:right="108" w:hanging="360"/>
        <w:jc w:val="both"/>
        <w:rPr>
          <w:sz w:val="24"/>
        </w:rPr>
      </w:pPr>
      <w:r>
        <w:rPr>
          <w:sz w:val="24"/>
        </w:rPr>
        <w:t>Transmission systems. Desarrolla y produce sistemas que transfieren la energía desde el motor a la transmisión; las soluciones que ofrece incorporan sistemas innovadores que amortiguan el ruido, vibraciones y asperezas. Este grupo de producto, cubre todos los tipos de transmisión: manual, automático, doble clutch e</w:t>
      </w:r>
      <w:r>
        <w:rPr>
          <w:spacing w:val="-2"/>
          <w:sz w:val="24"/>
        </w:rPr>
        <w:t> </w:t>
      </w:r>
      <w:r>
        <w:rPr>
          <w:sz w:val="24"/>
        </w:rPr>
        <w:t>híbrido.</w:t>
      </w:r>
    </w:p>
    <w:p>
      <w:pPr>
        <w:pStyle w:val="ListParagraph"/>
        <w:numPr>
          <w:ilvl w:val="1"/>
          <w:numId w:val="20"/>
        </w:numPr>
        <w:tabs>
          <w:tab w:pos="1191" w:val="left" w:leader="none"/>
        </w:tabs>
        <w:spacing w:line="360" w:lineRule="auto" w:before="3" w:after="0"/>
        <w:ind w:left="1190" w:right="108" w:hanging="360"/>
        <w:jc w:val="both"/>
        <w:rPr>
          <w:sz w:val="24"/>
        </w:rPr>
      </w:pPr>
      <w:r>
        <w:rPr>
          <w:sz w:val="24"/>
        </w:rPr>
        <w:t>Engine management systems. Este grupo de productos ofrece sistemas electrónicos de gestión del sistema de propulsión, mejorar continuamente el rendimiento del motor, ayudar a reducir el impacto medioambiental de los vehículos al mismo tiempo que aumenta el placer de conducir. Valeo diseña sistemas de arquitecturas optimizados que representan los nuevos desarrollos del motor y ofrece a sus clientes una gama completa de sus componentes tales como: sistemas de gestión del motor (gasolina y gas natural), unidades de control del motor (para motores de gasolina de inyección directa o indirecta, así como las adaptadas a energía alternativa), componentes de ignición (bobinas), sensores de temperatura, presión, etc.</w:t>
      </w:r>
    </w:p>
    <w:p>
      <w:pPr>
        <w:pStyle w:val="ListParagraph"/>
        <w:numPr>
          <w:ilvl w:val="1"/>
          <w:numId w:val="20"/>
        </w:numPr>
        <w:tabs>
          <w:tab w:pos="1191" w:val="left" w:leader="none"/>
        </w:tabs>
        <w:spacing w:line="357" w:lineRule="auto" w:before="5" w:after="0"/>
        <w:ind w:left="1190" w:right="108" w:hanging="360"/>
        <w:jc w:val="both"/>
        <w:rPr>
          <w:sz w:val="24"/>
        </w:rPr>
      </w:pPr>
      <w:r>
        <w:rPr>
          <w:sz w:val="24"/>
        </w:rPr>
        <w:t>Air circuit systems. Este grupo de productos ofrece sistemas de gestión del circuito de aire a fin de cumplir los requerimientos para la reducción de las emisiones de CO</w:t>
      </w:r>
      <w:r>
        <w:rPr>
          <w:position w:val="-2"/>
          <w:sz w:val="16"/>
        </w:rPr>
        <w:t>2 </w:t>
      </w:r>
      <w:r>
        <w:rPr>
          <w:sz w:val="24"/>
        </w:rPr>
        <w:t>y gases contaminantes. Valeo diseña componentes y sistemas para controlar el flujo y la temperatura del circuito de aire y gases de escape, esto mejora el rendimiento de los motores de gasolina y diesel y permite el cumplimiento de las normas que regulan las emisiones de gases contaminantes o de efecto invernadero a nivel</w:t>
      </w:r>
      <w:r>
        <w:rPr>
          <w:spacing w:val="-6"/>
          <w:sz w:val="24"/>
        </w:rPr>
        <w:t> </w:t>
      </w:r>
      <w:r>
        <w:rPr>
          <w:sz w:val="24"/>
        </w:rPr>
        <w:t>internacional.</w:t>
      </w:r>
    </w:p>
    <w:p>
      <w:pPr>
        <w:pStyle w:val="ListParagraph"/>
        <w:numPr>
          <w:ilvl w:val="1"/>
          <w:numId w:val="20"/>
        </w:numPr>
        <w:tabs>
          <w:tab w:pos="1191" w:val="left" w:leader="none"/>
        </w:tabs>
        <w:spacing w:line="357" w:lineRule="auto" w:before="3" w:after="0"/>
        <w:ind w:left="1190" w:right="108" w:hanging="360"/>
        <w:jc w:val="both"/>
        <w:rPr>
          <w:sz w:val="24"/>
        </w:rPr>
      </w:pPr>
      <w:r>
        <w:rPr>
          <w:sz w:val="24"/>
        </w:rPr>
        <w:t>Systems for hybrid and electric vehicles. El grupo Valeo está comprometido a apoyar el desarrollo de nuevos vehículos eléctricos con</w:t>
      </w:r>
      <w:r>
        <w:rPr>
          <w:spacing w:val="41"/>
          <w:sz w:val="24"/>
        </w:rPr>
        <w:t> </w:t>
      </w:r>
      <w:r>
        <w:rPr>
          <w:sz w:val="24"/>
        </w:rPr>
        <w:t>el</w:t>
      </w:r>
      <w:r>
        <w:rPr>
          <w:spacing w:val="41"/>
          <w:sz w:val="24"/>
        </w:rPr>
        <w:t> </w:t>
      </w:r>
      <w:r>
        <w:rPr>
          <w:sz w:val="24"/>
        </w:rPr>
        <w:t>objetivo</w:t>
      </w:r>
      <w:r>
        <w:rPr>
          <w:spacing w:val="41"/>
          <w:sz w:val="24"/>
        </w:rPr>
        <w:t> </w:t>
      </w:r>
      <w:r>
        <w:rPr>
          <w:sz w:val="24"/>
        </w:rPr>
        <w:t>de</w:t>
      </w:r>
      <w:r>
        <w:rPr>
          <w:spacing w:val="41"/>
          <w:sz w:val="24"/>
        </w:rPr>
        <w:t> </w:t>
      </w:r>
      <w:r>
        <w:rPr>
          <w:sz w:val="24"/>
        </w:rPr>
        <w:t>presentar</w:t>
      </w:r>
      <w:r>
        <w:rPr>
          <w:spacing w:val="41"/>
          <w:sz w:val="24"/>
        </w:rPr>
        <w:t> </w:t>
      </w:r>
      <w:r>
        <w:rPr>
          <w:sz w:val="24"/>
        </w:rPr>
        <w:t>soluciones</w:t>
      </w:r>
      <w:r>
        <w:rPr>
          <w:spacing w:val="41"/>
          <w:sz w:val="24"/>
        </w:rPr>
        <w:t> </w:t>
      </w:r>
      <w:r>
        <w:rPr>
          <w:sz w:val="24"/>
        </w:rPr>
        <w:t>innovadoras.</w:t>
      </w:r>
      <w:r>
        <w:rPr>
          <w:spacing w:val="41"/>
          <w:sz w:val="24"/>
        </w:rPr>
        <w:t> </w:t>
      </w:r>
      <w:r>
        <w:rPr>
          <w:sz w:val="24"/>
        </w:rPr>
        <w:t>Con</w:t>
      </w:r>
      <w:r>
        <w:rPr>
          <w:spacing w:val="41"/>
          <w:sz w:val="24"/>
        </w:rPr>
        <w:t> </w:t>
      </w:r>
      <w:r>
        <w:rPr>
          <w:sz w:val="24"/>
        </w:rPr>
        <w:t>el</w:t>
      </w:r>
      <w:r>
        <w:rPr>
          <w:spacing w:val="41"/>
          <w:sz w:val="24"/>
        </w:rPr>
        <w:t> </w:t>
      </w:r>
      <w:r>
        <w:rPr>
          <w:sz w:val="24"/>
        </w:rPr>
        <w:t>fin</w:t>
      </w:r>
      <w:r>
        <w:rPr>
          <w:spacing w:val="41"/>
          <w:sz w:val="24"/>
        </w:rPr>
        <w:t> </w:t>
      </w:r>
      <w:r>
        <w:rPr>
          <w:sz w:val="24"/>
        </w:rPr>
        <w:t>de</w:t>
      </w:r>
    </w:p>
    <w:p>
      <w:pPr>
        <w:spacing w:after="0" w:line="357" w:lineRule="auto"/>
        <w:jc w:val="both"/>
        <w:rPr>
          <w:sz w:val="24"/>
        </w:rPr>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90" w:right="108"/>
        <w:jc w:val="both"/>
      </w:pPr>
      <w:r>
        <w:rPr/>
        <w:t>ofrecer a las armadoras un sistema de propulsión eléctrico completo se ha creado un consorcio francés, que reúne a todos los líderes tecnológicos en este campo, con el objetivo de optimizar todos los componentes y obtener una relación coste - servicio similar al de un motor de combustión interna tradicional. Valeo cuenta con un diseño innovador para el módulo electrónico de potencia donde se combinan tres componentes principales: el convertidor, el cargador y el voltaje. Esta arquitectura reducirá considerablemente el costo de un motor eléctrico, ya que el cargador estará completamente integrado en el inversor.</w:t>
      </w:r>
    </w:p>
    <w:p>
      <w:pPr>
        <w:pStyle w:val="BodyText"/>
      </w:pPr>
    </w:p>
    <w:p>
      <w:pPr>
        <w:pStyle w:val="BodyText"/>
        <w:spacing w:before="1"/>
        <w:rPr>
          <w:sz w:val="30"/>
        </w:rPr>
      </w:pPr>
    </w:p>
    <w:p>
      <w:pPr>
        <w:pStyle w:val="ListParagraph"/>
        <w:numPr>
          <w:ilvl w:val="0"/>
          <w:numId w:val="20"/>
        </w:numPr>
        <w:tabs>
          <w:tab w:pos="831" w:val="left" w:leader="none"/>
        </w:tabs>
        <w:spacing w:line="240" w:lineRule="auto" w:before="0" w:after="0"/>
        <w:ind w:left="830" w:right="0" w:hanging="360"/>
        <w:jc w:val="left"/>
        <w:rPr>
          <w:sz w:val="24"/>
        </w:rPr>
      </w:pPr>
      <w:r>
        <w:rPr>
          <w:sz w:val="24"/>
        </w:rPr>
        <w:t>Thermal Systems</w:t>
      </w:r>
    </w:p>
    <w:p>
      <w:pPr>
        <w:pStyle w:val="BodyText"/>
        <w:spacing w:line="360" w:lineRule="auto" w:before="137"/>
        <w:ind w:left="110" w:right="108"/>
        <w:jc w:val="both"/>
      </w:pPr>
      <w:r>
        <w:rPr/>
        <w:t>Este grupo de negocio desarrolla sistemas diseñados para proveer en primer lugar, la energía térmica del sistema de propulsión y en segundo plano, el confort de cada pasajero para todas las fases de uso del vehículo.</w:t>
      </w:r>
    </w:p>
    <w:p>
      <w:pPr>
        <w:pStyle w:val="BodyText"/>
        <w:spacing w:line="355" w:lineRule="auto" w:before="7"/>
        <w:ind w:left="110" w:right="108"/>
        <w:jc w:val="both"/>
      </w:pPr>
      <w:r>
        <w:rPr/>
        <w:t>Con estas optimizaciones, estos sistemas contribuyen de manera significativa a reducir el consumo de combustible y las emisiones de CO</w:t>
      </w:r>
      <w:r>
        <w:rPr>
          <w:position w:val="-2"/>
          <w:sz w:val="16"/>
        </w:rPr>
        <w:t>2</w:t>
      </w:r>
      <w:r>
        <w:rPr/>
        <w:t>, así como gases contaminantes y partículas nocivas en los vehículos equipados con motores de combustión interna; mayor alcance y duración de la batería en los vehículos híbridos y eléctricos.</w:t>
      </w:r>
    </w:p>
    <w:p>
      <w:pPr>
        <w:pStyle w:val="BodyText"/>
        <w:spacing w:line="360" w:lineRule="auto" w:before="13"/>
        <w:ind w:left="110" w:right="108"/>
        <w:jc w:val="both"/>
      </w:pPr>
      <w:r>
        <w:rPr/>
        <w:t>Al final del año 2012 este grupo de negocio genero 3.3 billones de euros de ventas; el equivalente a 28% de las ventas del grupo; cuenta con 43 sitios de producción,10 centros de desarrollo y 5 centros de investigación con un total de 16,693 empleados.</w:t>
      </w:r>
    </w:p>
    <w:p>
      <w:pPr>
        <w:pStyle w:val="BodyText"/>
        <w:spacing w:before="7"/>
        <w:ind w:left="110"/>
        <w:jc w:val="both"/>
      </w:pPr>
      <w:r>
        <w:rPr/>
        <w:t>Este grupo de negocio cuenta con cuatro grupos de productos:</w:t>
      </w:r>
    </w:p>
    <w:p>
      <w:pPr>
        <w:pStyle w:val="BodyText"/>
      </w:pPr>
    </w:p>
    <w:p>
      <w:pPr>
        <w:pStyle w:val="BodyText"/>
        <w:spacing w:before="7"/>
        <w:rPr>
          <w:sz w:val="23"/>
        </w:rPr>
      </w:pPr>
    </w:p>
    <w:p>
      <w:pPr>
        <w:pStyle w:val="ListParagraph"/>
        <w:numPr>
          <w:ilvl w:val="2"/>
          <w:numId w:val="19"/>
        </w:numPr>
        <w:tabs>
          <w:tab w:pos="831" w:val="left" w:leader="none"/>
        </w:tabs>
        <w:spacing w:line="360" w:lineRule="auto" w:before="0" w:after="0"/>
        <w:ind w:left="830" w:right="108" w:hanging="360"/>
        <w:jc w:val="both"/>
        <w:rPr>
          <w:sz w:val="24"/>
        </w:rPr>
      </w:pPr>
      <w:r>
        <w:rPr>
          <w:sz w:val="24"/>
        </w:rPr>
        <w:t>Climate Control Systems. Estos sistemas aseguran la comodidad de los pasajeros; el componente clave de estos sistemas es el HVAC (Calefacción, Ventilación y Aire Acondicionado). En este módulo se distribuye y purifica el aire caliente o frío, la climatización se adapta a cada tipo de vehículo, a partir de calentadores simples con controles manuales mecánicos, a través de dispositivos automáticos de control electrónicos  que  regulan  el  flujo  de  aire,  su  humedad  y</w:t>
      </w:r>
      <w:r>
        <w:rPr>
          <w:spacing w:val="-4"/>
          <w:sz w:val="24"/>
        </w:rPr>
        <w:t> </w:t>
      </w:r>
      <w:r>
        <w:rPr>
          <w:sz w:val="24"/>
        </w:rPr>
        <w:t>temperatura</w:t>
      </w:r>
    </w:p>
    <w:p>
      <w:pPr>
        <w:spacing w:after="0" w:line="360" w:lineRule="auto"/>
        <w:jc w:val="both"/>
        <w:rPr>
          <w:sz w:val="24"/>
        </w:rPr>
        <w:sectPr>
          <w:footerReference w:type="default" r:id="rId36"/>
          <w:pgSz w:w="11910" w:h="16840"/>
          <w:pgMar w:footer="724" w:header="755" w:top="960" w:bottom="920" w:left="1600" w:right="1580"/>
        </w:sectPr>
      </w:pPr>
    </w:p>
    <w:p>
      <w:pPr>
        <w:pStyle w:val="BodyText"/>
        <w:rPr>
          <w:sz w:val="20"/>
        </w:rPr>
      </w:pPr>
    </w:p>
    <w:p>
      <w:pPr>
        <w:pStyle w:val="BodyText"/>
        <w:spacing w:before="3"/>
        <w:rPr>
          <w:sz w:val="19"/>
        </w:rPr>
      </w:pPr>
    </w:p>
    <w:p>
      <w:pPr>
        <w:pStyle w:val="BodyText"/>
        <w:spacing w:line="360" w:lineRule="auto"/>
        <w:ind w:left="830" w:right="108"/>
        <w:jc w:val="both"/>
      </w:pPr>
      <w:r>
        <w:rPr/>
        <w:t>constante, basado en las necesidades comunicadas por el conductor y las condiciones climáticas exteriores. Estos sistemas de aire acondicionado pueden ajustarse a las necesidades de cada pasajero.</w:t>
      </w:r>
    </w:p>
    <w:p>
      <w:pPr>
        <w:pStyle w:val="ListParagraph"/>
        <w:numPr>
          <w:ilvl w:val="2"/>
          <w:numId w:val="19"/>
        </w:numPr>
        <w:tabs>
          <w:tab w:pos="831" w:val="left" w:leader="none"/>
        </w:tabs>
        <w:spacing w:line="360" w:lineRule="auto" w:before="1" w:after="0"/>
        <w:ind w:left="830" w:right="108" w:hanging="360"/>
        <w:jc w:val="both"/>
        <w:rPr>
          <w:sz w:val="24"/>
        </w:rPr>
      </w:pPr>
      <w:r>
        <w:rPr>
          <w:sz w:val="24"/>
        </w:rPr>
        <w:t>Powertrain Thermal Control Systems. Este grupo de productos se compone de los módulos y sistemas relacionados con el tren de  potencia del motor de combustión interna y sistemas de gestión de la temperatura del motor. Los componentes principales de estos productos son las unidades de ventilación, radiadores de alta temperatura y baja  de enfriamiento y las válvulas de regulación lo que contribuye a la optimización del rendimiento del motor.</w:t>
      </w:r>
    </w:p>
    <w:p>
      <w:pPr>
        <w:pStyle w:val="ListParagraph"/>
        <w:numPr>
          <w:ilvl w:val="2"/>
          <w:numId w:val="19"/>
        </w:numPr>
        <w:tabs>
          <w:tab w:pos="831" w:val="left" w:leader="none"/>
        </w:tabs>
        <w:spacing w:line="360" w:lineRule="auto" w:before="1" w:after="0"/>
        <w:ind w:left="830" w:right="108" w:hanging="360"/>
        <w:jc w:val="both"/>
        <w:rPr>
          <w:sz w:val="24"/>
        </w:rPr>
      </w:pPr>
      <w:r>
        <w:rPr>
          <w:sz w:val="24"/>
        </w:rPr>
        <w:t>Compressors. Este grupo de productos tiene una gama completa de compresores adaptados a cada tipo de motorización y todas las categorías de vehículos; desplazamiento económico, compresores accionados mecánicamente: con pistones, paletas, cilindros fijos o variables; compresores de control externo que reducen considerablemente el consumo de combustible, compresores eléctricos basados en la tecnología de espiral para motores híbridos y</w:t>
      </w:r>
      <w:r>
        <w:rPr>
          <w:spacing w:val="-3"/>
          <w:sz w:val="24"/>
        </w:rPr>
        <w:t> </w:t>
      </w:r>
      <w:r>
        <w:rPr>
          <w:sz w:val="24"/>
        </w:rPr>
        <w:t>eléctricos.</w:t>
      </w:r>
    </w:p>
    <w:p>
      <w:pPr>
        <w:pStyle w:val="ListParagraph"/>
        <w:numPr>
          <w:ilvl w:val="2"/>
          <w:numId w:val="19"/>
        </w:numPr>
        <w:tabs>
          <w:tab w:pos="831" w:val="left" w:leader="none"/>
        </w:tabs>
        <w:spacing w:line="360" w:lineRule="auto" w:before="1" w:after="0"/>
        <w:ind w:left="830" w:right="108" w:hanging="360"/>
        <w:jc w:val="both"/>
        <w:rPr>
          <w:sz w:val="24"/>
        </w:rPr>
      </w:pPr>
      <w:r>
        <w:rPr>
          <w:sz w:val="24"/>
        </w:rPr>
        <w:t>Front end Modules. Estos módulos son una parte integral de la  estructura del vehículo, por lo general alojan la unidad de ventilación y algunos de los intercambiadores de calor. La incorporación de válvulas controladas que ajustan el flujo de aire que entra en el vehículo ayuda a reducir el consumo de combustible mediante el aumento de la eficiencia de los intercambiadores de calor y la mejora de la aerodinámica del vehículo. El sistema Safe4U® también ofrece una estructura que proporciona una mayor protección para los peatones en caso de un accidente.</w:t>
      </w:r>
    </w:p>
    <w:p>
      <w:pPr>
        <w:pStyle w:val="BodyText"/>
      </w:pPr>
    </w:p>
    <w:p>
      <w:pPr>
        <w:pStyle w:val="ListParagraph"/>
        <w:numPr>
          <w:ilvl w:val="0"/>
          <w:numId w:val="20"/>
        </w:numPr>
        <w:tabs>
          <w:tab w:pos="831" w:val="left" w:leader="none"/>
        </w:tabs>
        <w:spacing w:line="240" w:lineRule="auto" w:before="144" w:after="0"/>
        <w:ind w:left="830" w:right="0" w:hanging="360"/>
        <w:jc w:val="left"/>
        <w:rPr>
          <w:sz w:val="24"/>
        </w:rPr>
      </w:pPr>
      <w:r>
        <w:rPr>
          <w:sz w:val="24"/>
        </w:rPr>
        <w:t>Comfort and Driving Assistance Systems.</w:t>
      </w:r>
    </w:p>
    <w:p>
      <w:pPr>
        <w:pStyle w:val="BodyText"/>
        <w:spacing w:line="360" w:lineRule="auto" w:before="137"/>
        <w:ind w:left="110" w:right="108"/>
        <w:jc w:val="both"/>
      </w:pPr>
      <w:r>
        <w:rPr/>
        <w:t>Este grupo de producto tiene como misión desarrollar sistemas de interface entre el conductor, el vehículo y su entorno, ayudando a mejorar la comodidad  y la seguridad. Estos sistemas fueron desarrollados para optimizar la interacción del conductor con el vehículo, proporcionando indicaciones útiles en tiempo real mediante la simplificación o la automatización de ciertas maniobras (estacionamiento,  controles  en  el  volante),  alerta  o  incluso  actúa  sobre  </w:t>
      </w:r>
      <w:r>
        <w:rPr>
          <w:spacing w:val="2"/>
        </w:rPr>
        <w:t> </w:t>
      </w:r>
      <w:r>
        <w:rPr/>
        <w:t>el</w:t>
      </w:r>
    </w:p>
    <w:p>
      <w:pPr>
        <w:spacing w:after="0" w:line="360" w:lineRule="auto"/>
        <w:jc w:val="both"/>
        <w:sectPr>
          <w:footerReference w:type="default" r:id="rId37"/>
          <w:pgSz w:w="11910" w:h="16840"/>
          <w:pgMar w:footer="724" w:header="755" w:top="960" w:bottom="920" w:left="1600" w:right="1580"/>
          <w:pgNumType w:start="51"/>
        </w:sectPr>
      </w:pPr>
    </w:p>
    <w:p>
      <w:pPr>
        <w:pStyle w:val="BodyText"/>
        <w:rPr>
          <w:sz w:val="20"/>
        </w:rPr>
      </w:pPr>
    </w:p>
    <w:p>
      <w:pPr>
        <w:pStyle w:val="BodyText"/>
        <w:spacing w:before="3"/>
        <w:rPr>
          <w:sz w:val="19"/>
        </w:rPr>
      </w:pPr>
    </w:p>
    <w:p>
      <w:pPr>
        <w:pStyle w:val="BodyText"/>
        <w:spacing w:line="360" w:lineRule="auto"/>
        <w:ind w:left="110" w:right="108"/>
        <w:jc w:val="both"/>
      </w:pPr>
      <w:r>
        <w:rPr/>
        <w:t>vehículo controlándolo en caso de peligro o maniobras incorrectas. Los sensores (radares, cámaras, ultrasonido) también permiten la vigilancia del modo de conducción. A fines del año 2012, este grupo de negocio genero 2.5 billones de euros de ventas, es decir 21% del total de las ventas del grupo, posee 31 sitios de producción, 13 centros de desarrollo y 10 centros de investigación con un total de 16, 270 empleados.</w:t>
      </w:r>
    </w:p>
    <w:p>
      <w:pPr>
        <w:pStyle w:val="BodyText"/>
      </w:pPr>
    </w:p>
    <w:p>
      <w:pPr>
        <w:pStyle w:val="BodyText"/>
        <w:spacing w:before="144"/>
        <w:ind w:left="110"/>
        <w:jc w:val="both"/>
      </w:pPr>
      <w:r>
        <w:rPr/>
        <w:t>Este grupo cuenta con cuatro grupos de productos:</w:t>
      </w:r>
    </w:p>
    <w:p>
      <w:pPr>
        <w:pStyle w:val="BodyText"/>
      </w:pPr>
    </w:p>
    <w:p>
      <w:pPr>
        <w:pStyle w:val="BodyText"/>
        <w:spacing w:before="7"/>
        <w:rPr>
          <w:sz w:val="23"/>
        </w:rPr>
      </w:pPr>
    </w:p>
    <w:p>
      <w:pPr>
        <w:pStyle w:val="ListParagraph"/>
        <w:numPr>
          <w:ilvl w:val="2"/>
          <w:numId w:val="19"/>
        </w:numPr>
        <w:tabs>
          <w:tab w:pos="831" w:val="left" w:leader="none"/>
        </w:tabs>
        <w:spacing w:line="360" w:lineRule="auto" w:before="0" w:after="0"/>
        <w:ind w:left="830" w:right="108" w:hanging="360"/>
        <w:jc w:val="both"/>
        <w:rPr>
          <w:sz w:val="24"/>
        </w:rPr>
      </w:pPr>
      <w:r>
        <w:rPr>
          <w:sz w:val="24"/>
        </w:rPr>
        <w:t>Driving assistance. Valeo es el único proveedor de autopartes en el mundo que ofrece la producción en masa de las tres tecnologías para la detección alrededor del vehículo que puede ser usado en aplicaciones para ayudar en las maniobras de estacionamiento:  ultrasonidos, cámaras y radares. Estos productos ayudan a conducir de manera segura, mejorando el flujo del motor y reduciendo así las emisiones de CO</w:t>
      </w:r>
      <w:r>
        <w:rPr>
          <w:position w:val="-2"/>
          <w:sz w:val="16"/>
        </w:rPr>
        <w:t>2</w:t>
      </w:r>
      <w:r>
        <w:rPr>
          <w:sz w:val="24"/>
        </w:rPr>
        <w:t>. Los radares ultrasónicos y sensores infrarrojos se utilizan en el sistema Park4UTM para la ayuda de estacionamiento semiautomático y también para activar el sistema de detección de lluvia, luz, humedad con sus sensores multifuncionales. Combinado con una cámara, el sistema ParkVueTM proporciona al conductor una perfecta visibilidad detrás del vehículo y una indicación precisa de las distancias; los radares forman parte de los sistemas de detección de ángulo muerto y los sistemas que detectan los vehículos al circular marcha atrás en un lugar de estacionamiento con una visibilidad limitada. Estos sistemas advierten al conductor cuando un vehículo está presente en uno de los puntos ciegos a cada lado del vehículo; el 360 VueTM sistema de cámaras múltiples ofrece una visión integral de todo el vehículo, por ejemplo las cámaras frontales permiten tener visibilidad en la parte delantera del vehículo en un cruce ciego o al salir de un estacionamiento.</w:t>
      </w:r>
    </w:p>
    <w:p>
      <w:pPr>
        <w:pStyle w:val="ListParagraph"/>
        <w:numPr>
          <w:ilvl w:val="2"/>
          <w:numId w:val="19"/>
        </w:numPr>
        <w:tabs>
          <w:tab w:pos="831" w:val="left" w:leader="none"/>
        </w:tabs>
        <w:spacing w:line="357" w:lineRule="auto" w:before="5" w:after="0"/>
        <w:ind w:left="830" w:right="108" w:hanging="360"/>
        <w:jc w:val="both"/>
        <w:rPr>
          <w:sz w:val="24"/>
        </w:rPr>
      </w:pPr>
      <w:r>
        <w:rPr>
          <w:sz w:val="24"/>
        </w:rPr>
        <w:t>Interior Controls: Este grupo de producto juega un papel importante en las interfaces hombre-máquina y ofrece soluciones innovadoras y de alta calidad, así como un diseño robusto para los mercados de la más alta gama, así como para los mercados emergentes y de masas. Se compone  de:  top  column  modules,  que  representan  el  centro  de </w:t>
      </w:r>
      <w:r>
        <w:rPr>
          <w:spacing w:val="50"/>
          <w:sz w:val="24"/>
        </w:rPr>
        <w:t> </w:t>
      </w:r>
      <w:r>
        <w:rPr>
          <w:sz w:val="24"/>
        </w:rPr>
        <w:t>la</w:t>
      </w:r>
    </w:p>
    <w:p>
      <w:pPr>
        <w:spacing w:after="0" w:line="357" w:lineRule="auto"/>
        <w:jc w:val="both"/>
        <w:rPr>
          <w:sz w:val="24"/>
        </w:rPr>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830" w:right="108"/>
        <w:jc w:val="both"/>
      </w:pPr>
      <w:r>
        <w:rPr/>
        <w:t>comunicación electrónica que contiene el sistema seguridad central de la cabina electrónica; switching and driver interface modules (HMI o  interfaz hombre - máquina) son las nuevas interfaces de gestión de sistemas de aire acondicionado y las aplicaciones multimedia y de diseño ergonómico que facilitan su uso al tiempo que garantizan la máxima</w:t>
      </w:r>
      <w:r>
        <w:rPr>
          <w:spacing w:val="-1"/>
        </w:rPr>
        <w:t> </w:t>
      </w:r>
      <w:r>
        <w:rPr/>
        <w:t>seguridad.</w:t>
      </w:r>
    </w:p>
    <w:p>
      <w:pPr>
        <w:pStyle w:val="ListParagraph"/>
        <w:numPr>
          <w:ilvl w:val="2"/>
          <w:numId w:val="19"/>
        </w:numPr>
        <w:tabs>
          <w:tab w:pos="831" w:val="left" w:leader="none"/>
        </w:tabs>
        <w:spacing w:line="360" w:lineRule="auto" w:before="5" w:after="0"/>
        <w:ind w:left="830" w:right="108" w:hanging="360"/>
        <w:jc w:val="both"/>
        <w:rPr>
          <w:sz w:val="24"/>
        </w:rPr>
      </w:pPr>
      <w:r>
        <w:rPr>
          <w:sz w:val="24"/>
        </w:rPr>
        <w:t>Cabin Electronics. Cubre la gama completa de sistemas de acceso y arranque del motor: controles remotos, receptores e inmovilizadores, acceso al vehículo manos libres y los sistemas de arranque que están experimentando un fuerte crecimiento en todos los mercados. Este  grupo de productos también ofrece sistemas muy innovadores, capaces de comunicarse con el coche por la radio dentro de un rango que puede ser de varios cientos de metros. Por consiguiente, es posible comprobar a través de una llave inteligente un cierto número de parámetros (bloqueo de la puerta, la temperatura interior, etc.) y para activar ciertas características de confort de forma remota, tal como pre-calentamiento o pre-ventilación.</w:t>
      </w:r>
    </w:p>
    <w:p>
      <w:pPr>
        <w:pStyle w:val="ListParagraph"/>
        <w:numPr>
          <w:ilvl w:val="2"/>
          <w:numId w:val="19"/>
        </w:numPr>
        <w:tabs>
          <w:tab w:pos="831" w:val="left" w:leader="none"/>
        </w:tabs>
        <w:spacing w:line="360" w:lineRule="auto" w:before="5" w:after="0"/>
        <w:ind w:left="830" w:right="108" w:hanging="360"/>
        <w:jc w:val="both"/>
        <w:rPr>
          <w:sz w:val="24"/>
        </w:rPr>
      </w:pPr>
      <w:r>
        <w:rPr>
          <w:sz w:val="24"/>
        </w:rPr>
        <w:t>Access Mechanisms. Este grupo de productos produce sistemas mecánicos de acceso que tienen muy altos niveles de anti robo (manijas, cerraduras, cerrojos y cerraduras de dirección). También produce sistemas que ayudan a mejorar el confort a bordo para accesar al vehículo (motor de apertura y cierre del maletero, la asistencia al cierre de las puertas, cerraduras eléctricas de dirección de sistemas de  entrada de manos libres, etc.).</w:t>
      </w:r>
    </w:p>
    <w:p>
      <w:pPr>
        <w:pStyle w:val="BodyText"/>
      </w:pPr>
    </w:p>
    <w:p>
      <w:pPr>
        <w:pStyle w:val="ListParagraph"/>
        <w:numPr>
          <w:ilvl w:val="0"/>
          <w:numId w:val="20"/>
        </w:numPr>
        <w:tabs>
          <w:tab w:pos="831" w:val="left" w:leader="none"/>
        </w:tabs>
        <w:spacing w:line="240" w:lineRule="auto" w:before="139" w:after="0"/>
        <w:ind w:left="830" w:right="0" w:hanging="360"/>
        <w:jc w:val="left"/>
        <w:rPr>
          <w:sz w:val="24"/>
        </w:rPr>
      </w:pPr>
      <w:r>
        <w:rPr>
          <w:sz w:val="24"/>
        </w:rPr>
        <w:t>Visibility Systems</w:t>
      </w:r>
    </w:p>
    <w:p>
      <w:pPr>
        <w:pStyle w:val="BodyText"/>
        <w:spacing w:line="360" w:lineRule="auto" w:before="137"/>
        <w:ind w:left="110" w:right="108"/>
        <w:jc w:val="both"/>
      </w:pPr>
      <w:r>
        <w:rPr/>
        <w:t>Este grupo de negocios tiene por objetivo proporcionar una perfecta visibilidad en la carretera, contribuyendo a la seguridad del conductor y los pasajeros; el objetivo de este grupo es diseñar y producir sistemas eficientes e innovadores que ayudan al conductor en todo momento, de día y de noche. Al cierre del año 2012, este grupo reporto 2.7 billones de euros de ventas o 23% de las ventas del grupo, posee 32 sitios de producción, 15 centros de desarrollo, 5 centros de investigación y 20,687 empleados.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ind w:left="110"/>
      </w:pPr>
      <w:r>
        <w:rPr/>
        <w:t>Este grupo cuenta con tres grupos de productos:</w:t>
      </w:r>
    </w:p>
    <w:p>
      <w:pPr>
        <w:pStyle w:val="BodyText"/>
      </w:pPr>
    </w:p>
    <w:p>
      <w:pPr>
        <w:pStyle w:val="BodyText"/>
      </w:pPr>
    </w:p>
    <w:p>
      <w:pPr>
        <w:pStyle w:val="ListParagraph"/>
        <w:numPr>
          <w:ilvl w:val="2"/>
          <w:numId w:val="19"/>
        </w:numPr>
        <w:tabs>
          <w:tab w:pos="831" w:val="left" w:leader="none"/>
        </w:tabs>
        <w:spacing w:line="360" w:lineRule="auto" w:before="0" w:after="0"/>
        <w:ind w:left="830" w:right="108" w:hanging="360"/>
        <w:jc w:val="both"/>
        <w:rPr>
          <w:sz w:val="24"/>
        </w:rPr>
      </w:pPr>
      <w:r>
        <w:rPr>
          <w:sz w:val="24"/>
        </w:rPr>
        <w:t>Lighting systems: La calidad de la iluminación tiene un impacto directo sobre la seguridad vial, este grupo de producto desarrolla una amplia gama de productos que responden a las exigencias de seguridad vial: tener una visión perfecta y ser perfectamente visibles. Las diferentes soluciones que propone este grupo de productos son las siguientes: los faros con LED, los faros de xenón, faros de halógeno, faros adaptativos con asistencia de cámaras, luces de circulación diurna, luces traseras, faros antiniebla y luces auxiliares, iluminación y controladores de señalización, encendedores de cigarrillos y puertos USB.</w:t>
      </w:r>
    </w:p>
    <w:p>
      <w:pPr>
        <w:pStyle w:val="BodyText"/>
        <w:spacing w:before="11"/>
        <w:rPr>
          <w:sz w:val="35"/>
        </w:rPr>
      </w:pPr>
    </w:p>
    <w:p>
      <w:pPr>
        <w:pStyle w:val="ListParagraph"/>
        <w:numPr>
          <w:ilvl w:val="2"/>
          <w:numId w:val="19"/>
        </w:numPr>
        <w:tabs>
          <w:tab w:pos="831" w:val="left" w:leader="none"/>
        </w:tabs>
        <w:spacing w:line="360" w:lineRule="auto" w:before="0" w:after="0"/>
        <w:ind w:left="830" w:right="108" w:hanging="360"/>
        <w:jc w:val="both"/>
        <w:rPr>
          <w:sz w:val="24"/>
        </w:rPr>
      </w:pPr>
      <w:r>
        <w:rPr>
          <w:sz w:val="24"/>
        </w:rPr>
        <w:t>Wiper systems. Mantener el contacto visual con la carretera en todas las circunstancias es esencial si el conductor puede anticiparse a los peligros de la carretera, este grupo de producto desarrolla las tecnologías que, mediante la combinación de la eficiencia y la reducción de peso, limpian el parabrisas y la luneta trasera y reducen al mínimo o incluso eliminan cualquier obstrucción visual. Entre los productos se encuentran los limpiaparabrisas de última generación (planos), tradicionales, sistemas electrónicos de limpiaparabrisas, lavado del parabrisas y de los sistemas de deshielo, módulos traseros del limpiaparabrisas con función de lavado.</w:t>
      </w:r>
    </w:p>
    <w:p>
      <w:pPr>
        <w:pStyle w:val="BodyText"/>
      </w:pPr>
    </w:p>
    <w:p>
      <w:pPr>
        <w:pStyle w:val="BodyText"/>
        <w:spacing w:before="1"/>
        <w:rPr>
          <w:sz w:val="21"/>
        </w:rPr>
      </w:pPr>
    </w:p>
    <w:p>
      <w:pPr>
        <w:pStyle w:val="ListParagraph"/>
        <w:numPr>
          <w:ilvl w:val="2"/>
          <w:numId w:val="19"/>
        </w:numPr>
        <w:tabs>
          <w:tab w:pos="831" w:val="left" w:leader="none"/>
        </w:tabs>
        <w:spacing w:line="360" w:lineRule="auto" w:before="1" w:after="0"/>
        <w:ind w:left="830" w:right="108" w:hanging="360"/>
        <w:jc w:val="both"/>
        <w:rPr>
          <w:sz w:val="24"/>
        </w:rPr>
      </w:pPr>
      <w:r>
        <w:rPr>
          <w:sz w:val="24"/>
        </w:rPr>
        <w:t>Wiper motors. Los motores de limpiaparabrisas Valeo se caracterizan  por la normalización, la cobertura amplia, soluciones innovadoras de instalación en los vehículos, electrónica integrada y la reducción de peso y el consumo de energía. Se trata de una nueva línea de motores de limpiaparabrisas electrónicos desplegados en todo el mundo, ofreciendo una gama de soluciones adaptadas a las últimas arquitecturas de vehículos, así como una línea de motores traseros de integración simple al vehículo.</w:t>
      </w:r>
    </w:p>
    <w:p>
      <w:pPr>
        <w:spacing w:after="0" w:line="360" w:lineRule="auto"/>
        <w:jc w:val="both"/>
        <w:rPr>
          <w:sz w:val="24"/>
        </w:rPr>
        <w:sectPr>
          <w:pgSz w:w="11910" w:h="16840"/>
          <w:pgMar w:header="755" w:footer="724" w:top="960" w:bottom="920" w:left="1600" w:right="1580"/>
        </w:sectPr>
      </w:pPr>
    </w:p>
    <w:p>
      <w:pPr>
        <w:pStyle w:val="BodyText"/>
        <w:rPr>
          <w:sz w:val="20"/>
        </w:rPr>
      </w:pPr>
    </w:p>
    <w:p>
      <w:pPr>
        <w:pStyle w:val="BodyText"/>
        <w:spacing w:before="3"/>
        <w:rPr>
          <w:sz w:val="19"/>
        </w:rPr>
      </w:pPr>
    </w:p>
    <w:p>
      <w:pPr>
        <w:pStyle w:val="Heading2"/>
        <w:numPr>
          <w:ilvl w:val="1"/>
          <w:numId w:val="19"/>
        </w:numPr>
        <w:tabs>
          <w:tab w:pos="687" w:val="left" w:leader="none"/>
        </w:tabs>
        <w:spacing w:line="240" w:lineRule="auto" w:before="0" w:after="0"/>
        <w:ind w:left="686" w:right="0" w:hanging="576"/>
        <w:jc w:val="both"/>
      </w:pPr>
      <w:bookmarkStart w:name="_TOC_250026" w:id="41"/>
      <w:r>
        <w:rPr/>
        <w:t>Factores de riesgo operacional de</w:t>
      </w:r>
      <w:r>
        <w:rPr>
          <w:spacing w:val="-2"/>
        </w:rPr>
        <w:t> </w:t>
      </w:r>
      <w:bookmarkEnd w:id="41"/>
      <w:r>
        <w:rPr/>
        <w:t>Valeo.</w:t>
      </w:r>
    </w:p>
    <w:p>
      <w:pPr>
        <w:pStyle w:val="BodyText"/>
        <w:rPr>
          <w:b/>
        </w:rPr>
      </w:pPr>
    </w:p>
    <w:p>
      <w:pPr>
        <w:pStyle w:val="BodyText"/>
        <w:spacing w:before="2"/>
        <w:rPr>
          <w:b/>
        </w:rPr>
      </w:pPr>
    </w:p>
    <w:p>
      <w:pPr>
        <w:pStyle w:val="BodyText"/>
        <w:spacing w:line="360" w:lineRule="auto"/>
        <w:ind w:left="110" w:right="108"/>
        <w:jc w:val="both"/>
      </w:pPr>
      <w:r>
        <w:rPr/>
        <w:t>El entorno en el que el Grupo desarrolla su actividad está en constante cambio; por lo tanto, Valeo está expuesto a riesgos que, si se materializan, podrían tener un impacto negativo en sus operaciones, los ingresos, la situación financiera y las perspectivas. Con el fin de prevenir y controlar estos riesgos,  los gerentes generales del Grupo implementaron un sistema de control interno, procedimientos de control interno y gestión de riesgos que se detallan en el informe del Presidente del Consejo de Administración, la aplicación del  principio de igualdad de representación de las mujeres y los hombres, las condiciones en las que el trabajo del consejo está preparada y organizada, así como el control interno y los procedimientos de gestión de riesgos.</w:t>
      </w:r>
    </w:p>
    <w:p>
      <w:pPr>
        <w:pStyle w:val="BodyText"/>
      </w:pPr>
    </w:p>
    <w:p>
      <w:pPr>
        <w:pStyle w:val="BodyText"/>
        <w:spacing w:before="2"/>
        <w:rPr>
          <w:sz w:val="29"/>
        </w:rPr>
      </w:pPr>
    </w:p>
    <w:p>
      <w:pPr>
        <w:pStyle w:val="Heading2"/>
        <w:numPr>
          <w:ilvl w:val="2"/>
          <w:numId w:val="21"/>
        </w:numPr>
        <w:tabs>
          <w:tab w:pos="831" w:val="left" w:leader="none"/>
        </w:tabs>
        <w:spacing w:line="240" w:lineRule="auto" w:before="1" w:after="0"/>
        <w:ind w:left="110" w:right="0" w:firstLine="0"/>
        <w:jc w:val="both"/>
      </w:pPr>
      <w:bookmarkStart w:name="_TOC_250025" w:id="42"/>
      <w:bookmarkEnd w:id="42"/>
      <w:r>
        <w:rPr/>
        <w:t>Riesgos asociados con la industria de equipamiento automotriz.</w:t>
      </w:r>
    </w:p>
    <w:p>
      <w:pPr>
        <w:pStyle w:val="BodyText"/>
        <w:rPr>
          <w:b/>
        </w:rPr>
      </w:pPr>
    </w:p>
    <w:p>
      <w:pPr>
        <w:pStyle w:val="BodyText"/>
        <w:spacing w:before="7"/>
        <w:rPr>
          <w:b/>
        </w:rPr>
      </w:pPr>
    </w:p>
    <w:p>
      <w:pPr>
        <w:spacing w:before="0"/>
        <w:ind w:left="110" w:right="0" w:firstLine="0"/>
        <w:jc w:val="both"/>
        <w:rPr>
          <w:b/>
          <w:sz w:val="24"/>
        </w:rPr>
      </w:pPr>
      <w:r>
        <w:rPr>
          <w:b/>
          <w:sz w:val="24"/>
        </w:rPr>
        <w:t>Riesgos.</w:t>
      </w:r>
    </w:p>
    <w:p>
      <w:pPr>
        <w:pStyle w:val="BodyText"/>
        <w:spacing w:line="360" w:lineRule="auto" w:before="137"/>
        <w:ind w:left="110" w:right="108"/>
        <w:jc w:val="both"/>
      </w:pPr>
      <w:r>
        <w:rPr/>
        <w:t>Las ventas del Grupo dependen del nivel de producción de automóviles. La producción se ve afectada por una serie de factores, incluyendo la confianza  del consumidor, la evolución del empleo, la renta disponible, las tasas de interés, el acceso de los consumidores al crédito y los niveles de inventario de vehículos. Los volúmenes de producción también son influenciados por las iniciativas del gobierno, especialmente los incentivos de compra de vehículos, los acuerdos comerciales y las nuevas regulaciones. El reciente deterioro en el mercado europeo del automóvil y las tendencias de este mercado en 2013 podría llevar a una disminución de los ingresos del Grupo y/o al incumplimiento de algunos de sus clientes y proveedores, y por lo tanto podría afectar la situación financiera de Valeo .</w:t>
      </w:r>
    </w:p>
    <w:p>
      <w:pPr>
        <w:pStyle w:val="BodyText"/>
      </w:pPr>
    </w:p>
    <w:p>
      <w:pPr>
        <w:pStyle w:val="BodyText"/>
        <w:spacing w:line="360" w:lineRule="auto" w:before="144"/>
        <w:ind w:left="110" w:right="108"/>
        <w:jc w:val="both"/>
      </w:pPr>
      <w:r>
        <w:rPr/>
        <w:t>Cabe señalar que los contratos de suministro con los fabricantes de automóviles toman la forma de órdenes abiertas para todo o parte de las necesidades de equipo de un modelo de vehículo, sin volumen mínimo de garantía. Las ganancias de Valeo podrían verse afectadas, en este caso por el fracaso comercial de un modelo.</w:t>
      </w:r>
    </w:p>
    <w:p>
      <w:pPr>
        <w:spacing w:after="0" w:line="360" w:lineRule="auto"/>
        <w:jc w:val="both"/>
        <w:sectPr>
          <w:pgSz w:w="11910" w:h="16840"/>
          <w:pgMar w:header="755" w:footer="724" w:top="960" w:bottom="920" w:left="1600" w:right="1580"/>
        </w:sectPr>
      </w:pPr>
    </w:p>
    <w:p>
      <w:pPr>
        <w:pStyle w:val="BodyText"/>
        <w:rPr>
          <w:sz w:val="20"/>
        </w:rPr>
      </w:pPr>
    </w:p>
    <w:p>
      <w:pPr>
        <w:pStyle w:val="BodyText"/>
        <w:rPr>
          <w:sz w:val="20"/>
        </w:rPr>
      </w:pPr>
    </w:p>
    <w:p>
      <w:pPr>
        <w:pStyle w:val="BodyText"/>
        <w:spacing w:before="2"/>
        <w:rPr>
          <w:sz w:val="29"/>
        </w:rPr>
      </w:pPr>
    </w:p>
    <w:p>
      <w:pPr>
        <w:pStyle w:val="BodyText"/>
        <w:spacing w:line="360" w:lineRule="auto" w:before="69"/>
        <w:ind w:left="110" w:right="108"/>
        <w:jc w:val="both"/>
      </w:pPr>
      <w:r>
        <w:rPr/>
        <w:t>Por último, la industria del automóvil es altamente competitiva. Aunque  el Grupo es un proveedor para un determinado modelo, no puede ser elegido para suministrar las futuras generaciones del modelo en cuestión, y en consecuencia, sus ingresos podrían verse afectados .</w:t>
      </w:r>
    </w:p>
    <w:p>
      <w:pPr>
        <w:pStyle w:val="BodyText"/>
      </w:pPr>
    </w:p>
    <w:p>
      <w:pPr>
        <w:pStyle w:val="Heading2"/>
        <w:spacing w:before="144"/>
      </w:pPr>
      <w:r>
        <w:rPr/>
        <w:t>Administración del riesgo.</w:t>
      </w:r>
    </w:p>
    <w:p>
      <w:pPr>
        <w:pStyle w:val="BodyText"/>
        <w:spacing w:line="360" w:lineRule="auto" w:before="137"/>
        <w:ind w:left="110" w:right="108"/>
        <w:jc w:val="both"/>
      </w:pPr>
      <w:r>
        <w:rPr/>
        <w:t>Valeo cuenta con la experiencia y los recursos necesarios para llevar a cabo  las medidas de reestructuración necesarias si el mercado de automóviles experimenta una recesión. Para hacer frente a las consecuencias de una caída del mercado, el Grupo mantiene un estricto control sobre los costes fijos (en particular asegurando una buena flexibilidad laboral) con el fin de reducir su punto de equilibrio.</w:t>
      </w:r>
    </w:p>
    <w:p>
      <w:pPr>
        <w:pStyle w:val="BodyText"/>
      </w:pPr>
    </w:p>
    <w:p>
      <w:pPr>
        <w:pStyle w:val="BodyText"/>
        <w:spacing w:line="360" w:lineRule="auto" w:before="144"/>
        <w:ind w:left="110" w:right="108"/>
        <w:jc w:val="both"/>
      </w:pPr>
      <w:r>
        <w:rPr/>
        <w:t>La diversidad de las ventas del Grupo en términos de región, los clientes, la marca y el modelo hace que sea menos vulnerable a las tendencias negativas en uno de sus mercados: de esta manera, y en línea con su estrategia de desarrollo, el porcentaje de las ventas de equipos originales de Valeo generados por la producción basada en Europa está disminuyendo (52% con respecto a 58% en 2011), mientras que las ventas generadas por la producción basada en Asia y otros países emergentes (incluyendo Europa del Este) están en aumento (54% con respecto a 50% en 2011).</w:t>
      </w:r>
    </w:p>
    <w:p>
      <w:pPr>
        <w:pStyle w:val="BodyText"/>
        <w:spacing w:line="360" w:lineRule="auto" w:before="7"/>
        <w:ind w:left="110" w:right="108"/>
        <w:jc w:val="both"/>
      </w:pPr>
      <w:r>
        <w:rPr/>
        <w:t>La estructura de ventas de Valeo está compuesta en un 12% por las ventas en el mercado secundario, que es menos vulnerable a las fluctuaciones de la coyuntura económica. Alrededor del 29% de las ventas de Valeo se hacen con los fabricantes de automóviles alemanes cuyos negocios son robustos en la actualidad, debido principalmente al alto nivel de posicionamiento de ciertos nombres de marca en el mercado.</w:t>
      </w:r>
    </w:p>
    <w:p>
      <w:pPr>
        <w:pStyle w:val="BodyText"/>
      </w:pPr>
    </w:p>
    <w:p>
      <w:pPr>
        <w:pStyle w:val="BodyText"/>
        <w:spacing w:before="2"/>
        <w:rPr>
          <w:sz w:val="29"/>
        </w:rPr>
      </w:pPr>
    </w:p>
    <w:p>
      <w:pPr>
        <w:pStyle w:val="Heading2"/>
        <w:numPr>
          <w:ilvl w:val="2"/>
          <w:numId w:val="21"/>
        </w:numPr>
        <w:tabs>
          <w:tab w:pos="831" w:val="left" w:leader="none"/>
        </w:tabs>
        <w:spacing w:line="240" w:lineRule="auto" w:before="1" w:after="0"/>
        <w:ind w:left="830" w:right="0" w:hanging="720"/>
        <w:jc w:val="both"/>
      </w:pPr>
      <w:bookmarkStart w:name="_TOC_250024" w:id="43"/>
      <w:bookmarkEnd w:id="43"/>
      <w:r>
        <w:rPr/>
        <w:t>Riesgos relacionados al desarrollo de nuevos productos.</w:t>
      </w:r>
    </w:p>
    <w:p>
      <w:pPr>
        <w:pStyle w:val="BodyText"/>
        <w:rPr>
          <w:b/>
        </w:rPr>
      </w:pPr>
    </w:p>
    <w:p>
      <w:pPr>
        <w:pStyle w:val="BodyText"/>
        <w:spacing w:before="2"/>
        <w:rPr>
          <w:b/>
        </w:rPr>
      </w:pPr>
    </w:p>
    <w:p>
      <w:pPr>
        <w:spacing w:before="0"/>
        <w:ind w:left="110" w:right="0" w:firstLine="0"/>
        <w:jc w:val="both"/>
        <w:rPr>
          <w:b/>
          <w:sz w:val="24"/>
        </w:rPr>
      </w:pPr>
      <w:r>
        <w:rPr>
          <w:b/>
          <w:sz w:val="24"/>
        </w:rPr>
        <w:t>Riesgos.</w:t>
      </w:r>
    </w:p>
    <w:p>
      <w:pPr>
        <w:spacing w:after="0"/>
        <w:jc w:val="both"/>
        <w:rPr>
          <w:sz w:val="24"/>
        </w:rPr>
        <w:sectPr>
          <w:pgSz w:w="11910" w:h="16840"/>
          <w:pgMar w:header="755" w:footer="724" w:top="960" w:bottom="920" w:left="1600" w:right="1580"/>
        </w:sectPr>
      </w:pPr>
    </w:p>
    <w:p>
      <w:pPr>
        <w:pStyle w:val="BodyText"/>
        <w:rPr>
          <w:b/>
          <w:sz w:val="20"/>
        </w:rPr>
      </w:pPr>
    </w:p>
    <w:p>
      <w:pPr>
        <w:pStyle w:val="BodyText"/>
        <w:spacing w:before="3"/>
        <w:rPr>
          <w:b/>
          <w:sz w:val="19"/>
        </w:rPr>
      </w:pPr>
    </w:p>
    <w:p>
      <w:pPr>
        <w:pStyle w:val="BodyText"/>
        <w:spacing w:line="360" w:lineRule="auto"/>
        <w:ind w:left="110" w:right="108"/>
        <w:jc w:val="both"/>
      </w:pPr>
      <w:r>
        <w:rPr/>
        <w:t>Las ventas y ganancias de Valeo dependen de la capacidad del Grupo para desarrollar nuevos productos y lograr el progreso tecnológico necesario para seguir siendo competitivos. Esto se debe a los desarrollos normativos o tecnológicos que pueden hacer que los productos de Valeo sean obsoletos o menos atractivos para los fabricantes de automóviles. La competitividad del Grupo y la capacidad para aumentar su participación en el mercado radica en ser capaz de anticipar estos cambios y desarrollar nuevos productos. El Grupo está expuesto a los riesgos inherentes en el desarrollo y fabricación de nuevos productos y, en particular, el riesgo de retrasos en el desarrollo y mal funcionamiento del producto.</w:t>
      </w:r>
    </w:p>
    <w:p>
      <w:pPr>
        <w:pStyle w:val="BodyText"/>
      </w:pPr>
    </w:p>
    <w:p>
      <w:pPr>
        <w:pStyle w:val="Heading2"/>
        <w:spacing w:before="144"/>
      </w:pPr>
      <w:r>
        <w:rPr/>
        <w:t>Administración del riesgo.</w:t>
      </w:r>
    </w:p>
    <w:p>
      <w:pPr>
        <w:pStyle w:val="BodyText"/>
        <w:spacing w:line="360" w:lineRule="auto" w:before="137"/>
        <w:ind w:left="110" w:right="108"/>
        <w:jc w:val="both"/>
      </w:pPr>
      <w:r>
        <w:rPr/>
        <w:t>El Grupo emplea todos los medios necesarios para mantenerse en la vanguardia de la tecnología, manteniendo una vigilancia tecnológica en profundidad y realizando una revisión sistemática del plan de desarrollo tecnológico en un período de diez años. La investigación y desarrollo es de importancia clave para el crecimiento futuro del Grupo. Valeo opera 21 centros de investigación y 40 centros de desarrollo en todo el mundo, empleando a 8.800 personas. El aumento del 16% en el número de empleados en estos centros con respecto a 2011 fue principalmente en los países emergentes, y tiene por objeto abordar específicamente las necesidades de estos mercados. Los gastos netos en investigación y desarrollo representaron el 5.1% de las ventas del Grupo en 2012. Sin embargo, no se puede asegurar que el Grupo será capaz de responder satisfactoriamente a todos los desarrollos normativos y tecnológicos a fin de mantener una oferta de productos competitivos.</w:t>
      </w:r>
    </w:p>
    <w:p>
      <w:pPr>
        <w:pStyle w:val="BodyText"/>
      </w:pPr>
    </w:p>
    <w:p>
      <w:pPr>
        <w:pStyle w:val="BodyText"/>
        <w:spacing w:before="7"/>
        <w:rPr>
          <w:sz w:val="29"/>
        </w:rPr>
      </w:pPr>
    </w:p>
    <w:p>
      <w:pPr>
        <w:pStyle w:val="Heading2"/>
        <w:numPr>
          <w:ilvl w:val="2"/>
          <w:numId w:val="21"/>
        </w:numPr>
        <w:tabs>
          <w:tab w:pos="831" w:val="left" w:leader="none"/>
        </w:tabs>
        <w:spacing w:line="360" w:lineRule="auto" w:before="0" w:after="0"/>
        <w:ind w:left="110" w:right="5038" w:firstLine="0"/>
        <w:jc w:val="left"/>
      </w:pPr>
      <w:r>
        <w:rPr/>
        <w:t>Riesgos de proveedores. Riesgos.</w:t>
      </w:r>
    </w:p>
    <w:p>
      <w:pPr>
        <w:pStyle w:val="BodyText"/>
        <w:spacing w:line="360" w:lineRule="auto" w:before="7"/>
        <w:ind w:left="110" w:right="108"/>
        <w:jc w:val="both"/>
      </w:pPr>
      <w:r>
        <w:rPr/>
        <w:t>Valeo está altamente integrado con sus proveedores en un esfuerzo por mejorar continuamente la calidad de los productos que suministra a los fabricantes de automóviles. Esto no significa, sin embargo, que existen vínculos de propiedad entre Valeo y sus</w:t>
      </w:r>
      <w:r>
        <w:rPr>
          <w:spacing w:val="-1"/>
        </w:rPr>
        <w:t> </w:t>
      </w:r>
      <w:r>
        <w:rPr/>
        <w:t>proveedores.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Como Valeo adquiere principalmente nichos de producto (característicos de la industria de autopartes), una parte importante de sus suministros son vulnerables a los riesgos de los proveedores. Por lo tanto, Valeo está expuesto al riesgo de que uno de sus proveedores no entregue las cantidades requeridas o que los productos suministrados no cumplen con los estándares de calidad exigidos. Esto podría causar interrupciones en los suministros y evitar que el Grupo entregue el producto a sus clientes.</w:t>
      </w:r>
    </w:p>
    <w:p>
      <w:pPr>
        <w:pStyle w:val="BodyText"/>
      </w:pPr>
    </w:p>
    <w:p>
      <w:pPr>
        <w:pStyle w:val="Heading2"/>
        <w:spacing w:before="139"/>
      </w:pPr>
      <w:r>
        <w:rPr/>
        <w:t>Administración del riesgo.</w:t>
      </w:r>
    </w:p>
    <w:p>
      <w:pPr>
        <w:pStyle w:val="BodyText"/>
        <w:spacing w:line="360" w:lineRule="auto" w:before="137"/>
        <w:ind w:left="110" w:right="108"/>
        <w:jc w:val="both"/>
      </w:pPr>
      <w:r>
        <w:rPr/>
        <w:t>El Grupo busca diversificar sus flujos de suministro con el fin de reducir éste riesgo en la medida de lo posible, manteniendo condiciones económicas aceptables. Las compras de productos de manufactura se hacen con una amplia gama de proveedores, con varios proveedores para cada empresa y en cada región cuando sea necesario. Noventa y cinco por ciento de las necesidades de Valeo son manejadas por 1176 proveedores. El mayor proveedor del Grupo representa el 2% de sus compras, los cinco proveedores más grandes representan el 8% y las diez más grandes el 13% .</w:t>
      </w:r>
    </w:p>
    <w:p>
      <w:pPr>
        <w:pStyle w:val="BodyText"/>
        <w:spacing w:line="360" w:lineRule="auto" w:before="2"/>
        <w:ind w:left="110" w:right="108"/>
        <w:jc w:val="both"/>
      </w:pPr>
      <w:r>
        <w:rPr/>
        <w:t>Valeo asegura la consistencia de sus suministros a través del monitoreo continuo de sus proveedores sobre la base de los procedimientos de  evaluación de riesgo de proveedores puesto en marcha por el Grupo. Estos procedimientos se basan en varios criterios, incluyendo los criterios financieros y de gestión, la dependencia de Valeo, la integración y la calidad (ISO TS 16 949). Cada proveedor es auditado regularmente, de esta manera el Grupo mantiene una lista de vigilancia de los proveedores en situación de riesgo, que son monitoreados constantemente. Las reservas de emergencia se construyen según sea necesario con una política de puesta en marcha del suministro de abastecimiento de varios proveedores.</w:t>
      </w:r>
    </w:p>
    <w:p>
      <w:pPr>
        <w:pStyle w:val="BodyText"/>
      </w:pPr>
    </w:p>
    <w:p>
      <w:pPr>
        <w:pStyle w:val="BodyText"/>
        <w:spacing w:before="2"/>
        <w:rPr>
          <w:sz w:val="29"/>
        </w:rPr>
      </w:pPr>
    </w:p>
    <w:p>
      <w:pPr>
        <w:pStyle w:val="Heading2"/>
        <w:numPr>
          <w:ilvl w:val="2"/>
          <w:numId w:val="21"/>
        </w:numPr>
        <w:tabs>
          <w:tab w:pos="831" w:val="left" w:leader="none"/>
        </w:tabs>
        <w:spacing w:line="362" w:lineRule="auto" w:before="1" w:after="0"/>
        <w:ind w:left="110" w:right="5412" w:firstLine="0"/>
        <w:jc w:val="left"/>
      </w:pPr>
      <w:r>
        <w:rPr/>
        <w:t>Riesgos geopolíticos. Riesgos.</w:t>
      </w:r>
    </w:p>
    <w:p>
      <w:pPr>
        <w:pStyle w:val="BodyText"/>
        <w:spacing w:line="360" w:lineRule="auto"/>
        <w:ind w:left="110" w:right="108"/>
        <w:jc w:val="both"/>
      </w:pPr>
      <w:r>
        <w:rPr/>
        <w:t>Las operaciones del Grupo en algunos países pueden verse afectadas por varios riesgos políticos tales como la guerra, el terrorismo, los conflictos armados y disturbios laborales.</w:t>
      </w:r>
    </w:p>
    <w:p>
      <w:pPr>
        <w:spacing w:after="0" w:line="360" w:lineRule="auto"/>
        <w:jc w:val="both"/>
        <w:sectPr>
          <w:pgSz w:w="11910" w:h="16840"/>
          <w:pgMar w:header="755" w:footer="724" w:top="960" w:bottom="920" w:left="1600" w:right="1580"/>
        </w:sectPr>
      </w:pPr>
    </w:p>
    <w:p>
      <w:pPr>
        <w:pStyle w:val="BodyText"/>
        <w:rPr>
          <w:sz w:val="20"/>
        </w:rPr>
      </w:pPr>
    </w:p>
    <w:p>
      <w:pPr>
        <w:pStyle w:val="BodyText"/>
        <w:rPr>
          <w:sz w:val="20"/>
        </w:rPr>
      </w:pPr>
    </w:p>
    <w:p>
      <w:pPr>
        <w:pStyle w:val="BodyText"/>
        <w:spacing w:before="2"/>
        <w:rPr>
          <w:sz w:val="29"/>
        </w:rPr>
      </w:pPr>
    </w:p>
    <w:p>
      <w:pPr>
        <w:pStyle w:val="Heading2"/>
        <w:spacing w:before="69"/>
      </w:pPr>
      <w:r>
        <w:rPr/>
        <w:t>Administración del riesgo.</w:t>
      </w:r>
    </w:p>
    <w:p>
      <w:pPr>
        <w:pStyle w:val="BodyText"/>
        <w:spacing w:line="360" w:lineRule="auto" w:before="141"/>
        <w:ind w:left="110" w:right="108"/>
        <w:jc w:val="both"/>
      </w:pPr>
      <w:r>
        <w:rPr/>
        <w:t>Con el fin de protegerse eficazmente contra tales riesgos, Valeo ha puesto en marcha varias alertas y medidas de seguridad. Estas medidas de alerta consisten en acciones de monitoreo permanente de la situación política y social en todos los países, no sólo aquellos en los que opera Valeo, sino también aquellos a los que sus empleados podrían tener que viajar.</w:t>
      </w:r>
    </w:p>
    <w:p>
      <w:pPr>
        <w:pStyle w:val="BodyText"/>
        <w:spacing w:line="360" w:lineRule="auto" w:before="2"/>
        <w:ind w:left="110" w:right="108"/>
        <w:jc w:val="both"/>
      </w:pPr>
      <w:r>
        <w:rPr/>
        <w:t>Las medidas de seguridad incluyen: una lista de las líneas aéreas aceptables para viajes de empleados, seleccionados con base en criterios de seguridad, guías y la información que circula entre los empleados y centradas en la sensibilización de la seguridad, capacitación de los empleados en materia de seguridad, evacuación de los expatriados y mayor seguridad en los sitios de operación.</w:t>
      </w:r>
    </w:p>
    <w:p>
      <w:pPr>
        <w:pStyle w:val="BodyText"/>
        <w:spacing w:line="360" w:lineRule="auto" w:before="2"/>
        <w:ind w:left="110" w:right="108"/>
        <w:jc w:val="both"/>
      </w:pPr>
      <w:r>
        <w:rPr/>
        <w:t>Valeo realiza esfuerzos para estandarizar sus procesos de producción de forma tal que, si la producción se ve afectada en un sitio determinado, otros sitios de producción del grupo podrían ser utilizados para garantizar la continuidad de la producción.</w:t>
      </w:r>
    </w:p>
    <w:p>
      <w:pPr>
        <w:pStyle w:val="BodyText"/>
      </w:pPr>
    </w:p>
    <w:p>
      <w:pPr>
        <w:pStyle w:val="BodyText"/>
        <w:spacing w:before="7"/>
        <w:rPr>
          <w:sz w:val="29"/>
        </w:rPr>
      </w:pPr>
    </w:p>
    <w:p>
      <w:pPr>
        <w:pStyle w:val="Heading2"/>
        <w:numPr>
          <w:ilvl w:val="2"/>
          <w:numId w:val="21"/>
        </w:numPr>
        <w:tabs>
          <w:tab w:pos="831" w:val="left" w:leader="none"/>
        </w:tabs>
        <w:spacing w:line="360" w:lineRule="auto" w:before="0" w:after="0"/>
        <w:ind w:left="110" w:right="957" w:firstLine="0"/>
        <w:jc w:val="left"/>
      </w:pPr>
      <w:r>
        <w:rPr/>
        <w:t>Riesgos de falla de sistemas de Tecnologías de Información. Riesgos.</w:t>
      </w:r>
    </w:p>
    <w:p>
      <w:pPr>
        <w:pStyle w:val="BodyText"/>
        <w:spacing w:line="360" w:lineRule="auto" w:before="7"/>
        <w:ind w:left="110" w:right="108"/>
        <w:jc w:val="both"/>
      </w:pPr>
      <w:r>
        <w:rPr/>
        <w:t>El Grupo depende cada vez más de la infraestructura y las aplicaciones comunes de todos sus negocios. Estos incluyen la adquisición, producción y distribución, facturación, información y software de consolidación. Las causas del mal funcionamiento del sistema o averías pueden ser externos (virus, piratería, cortes de energía, falla en la red, desastres naturales, etc.) o interna (sabotaje, violaciones de la confidencialidad de datos, etc.).</w:t>
      </w:r>
    </w:p>
    <w:p>
      <w:pPr>
        <w:pStyle w:val="BodyText"/>
      </w:pPr>
    </w:p>
    <w:p>
      <w:pPr>
        <w:pStyle w:val="Heading2"/>
        <w:spacing w:before="139"/>
      </w:pPr>
      <w:r>
        <w:rPr/>
        <w:t>Administración del riesgo.</w:t>
      </w:r>
    </w:p>
    <w:p>
      <w:pPr>
        <w:pStyle w:val="BodyText"/>
        <w:spacing w:line="360" w:lineRule="auto" w:before="141"/>
        <w:ind w:left="110" w:right="108"/>
        <w:jc w:val="both"/>
      </w:pPr>
      <w:r>
        <w:rPr/>
        <w:t>Para minimizar el impacto de estos hechos, el Departamento de TI asegura  que: existe el equipo para permitir que las operaciones continúen en caso de cortes de energía o fallo en la red crítica, la infraestructura y los equipos informáticos están protegidos por los planes de contingencia que se van a implementar  en  función  de  la  avería  en  cuestión,  el  acceso  a  la  web  </w:t>
      </w:r>
      <w:r>
        <w:rPr>
          <w:spacing w:val="24"/>
        </w:rPr>
        <w:t> </w:t>
      </w:r>
      <w:r>
        <w:rPr/>
        <w:t>es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controlado y hay acceso limitado y seguro a las infraestructuras críticas; los datos están protegidos por las copias de seguridad automáticas y regulares a través de la utilización de los centros de seguridad de datos externos; cada usuario tiene acceso seguro a los datos en base a estrictos controles de seguridad (pruebas de intrusión, firewalls) y una segregación de la matriz de tareas. El Centro de Seguridad de Valeo es el encargado de llevar a cabo auditorías aleatorias periódicas para asegurarse de que los sitios y  proveedores de Valeo debidamente cumplen con estos procedimientos de seguridad. Todos los usuarios también deben cumplir con la reglamentación puesta en marcha por el</w:t>
      </w:r>
      <w:r>
        <w:rPr>
          <w:spacing w:val="-1"/>
        </w:rPr>
        <w:t> </w:t>
      </w:r>
      <w:r>
        <w:rPr/>
        <w:t>Grupo.</w:t>
      </w:r>
    </w:p>
    <w:p>
      <w:pPr>
        <w:pStyle w:val="BodyText"/>
      </w:pPr>
    </w:p>
    <w:p>
      <w:pPr>
        <w:pStyle w:val="BodyText"/>
        <w:spacing w:before="7"/>
        <w:rPr>
          <w:sz w:val="29"/>
        </w:rPr>
      </w:pPr>
    </w:p>
    <w:p>
      <w:pPr>
        <w:pStyle w:val="Heading2"/>
        <w:numPr>
          <w:ilvl w:val="1"/>
          <w:numId w:val="21"/>
        </w:numPr>
        <w:tabs>
          <w:tab w:pos="687" w:val="left" w:leader="none"/>
        </w:tabs>
        <w:spacing w:line="240" w:lineRule="auto" w:before="0" w:after="0"/>
        <w:ind w:left="686" w:right="0" w:hanging="576"/>
        <w:jc w:val="both"/>
      </w:pPr>
      <w:bookmarkStart w:name="_TOC_250023" w:id="44"/>
      <w:r>
        <w:rPr/>
        <w:t>Factores de Riesgo</w:t>
      </w:r>
      <w:r>
        <w:rPr>
          <w:spacing w:val="-1"/>
        </w:rPr>
        <w:t> </w:t>
      </w:r>
      <w:bookmarkEnd w:id="44"/>
      <w:r>
        <w:rPr/>
        <w:t>financiero.</w:t>
      </w:r>
    </w:p>
    <w:p>
      <w:pPr>
        <w:pStyle w:val="BodyText"/>
        <w:rPr>
          <w:b/>
        </w:rPr>
      </w:pPr>
    </w:p>
    <w:p>
      <w:pPr>
        <w:pStyle w:val="BodyText"/>
        <w:spacing w:before="2"/>
        <w:rPr>
          <w:b/>
        </w:rPr>
      </w:pPr>
    </w:p>
    <w:p>
      <w:pPr>
        <w:pStyle w:val="BodyText"/>
        <w:ind w:left="110"/>
        <w:jc w:val="both"/>
      </w:pPr>
      <w:r>
        <w:rPr/>
        <w:t>Política estándar.</w:t>
      </w:r>
    </w:p>
    <w:p>
      <w:pPr>
        <w:pStyle w:val="BodyText"/>
        <w:spacing w:line="360" w:lineRule="auto" w:before="137"/>
        <w:ind w:left="110" w:right="108"/>
        <w:jc w:val="both"/>
      </w:pPr>
      <w:r>
        <w:rPr/>
        <w:t>El departamento de tesorería y finanzas de Valeo proponen e implementan normas sobre la gestión de la liquidez de mercado (commodities, divisas, tipos de interés y de capital) los riesgos de mercado y los riesgos de los asociados.</w:t>
      </w:r>
    </w:p>
    <w:p>
      <w:pPr>
        <w:pStyle w:val="BodyText"/>
        <w:spacing w:line="360" w:lineRule="auto" w:before="2"/>
        <w:ind w:left="110" w:right="108"/>
        <w:jc w:val="both"/>
      </w:pPr>
      <w:r>
        <w:rPr/>
        <w:t>Estos riesgos son generalmente administrados centralmente por la empresa matriz. Estrategias de financiación, la inversión y la identificación del riesgo, así como las estrategias de cobertura son revisadas cada mes por el  Departamento Financiero del Grupo.</w:t>
      </w:r>
    </w:p>
    <w:p>
      <w:pPr>
        <w:pStyle w:val="BodyText"/>
      </w:pPr>
    </w:p>
    <w:p>
      <w:pPr>
        <w:pStyle w:val="BodyText"/>
        <w:spacing w:line="360" w:lineRule="auto" w:before="139"/>
        <w:ind w:left="110" w:right="108"/>
        <w:jc w:val="both"/>
      </w:pPr>
      <w:r>
        <w:rPr/>
        <w:t>El Departamento de Finanzas y Tesorería se basa, entre otras cosas, en un sistema de gestión de tesorería que monitorea constantemente los principales indicadores de liquidez y de todos los derivados financieros utilizados a nivel central para cubrir los riesgos de los commodities, divisas y tipos de interés. La Dirección General de Valeo recibe informes periódicos sobre las tendencias del mercado y los riesgos de liquidez, de las materias primas, divisas, tipos de interés y los riesgos de la contraparte incurridos por el Grupo, así como los detalles de las operaciones de cobertura y su valoración.</w:t>
      </w:r>
    </w:p>
    <w:p>
      <w:pPr>
        <w:pStyle w:val="BodyText"/>
      </w:pPr>
    </w:p>
    <w:p>
      <w:pPr>
        <w:pStyle w:val="BodyText"/>
        <w:spacing w:before="2"/>
        <w:rPr>
          <w:sz w:val="29"/>
        </w:rPr>
      </w:pPr>
    </w:p>
    <w:p>
      <w:pPr>
        <w:pStyle w:val="Heading2"/>
        <w:numPr>
          <w:ilvl w:val="2"/>
          <w:numId w:val="21"/>
        </w:numPr>
        <w:tabs>
          <w:tab w:pos="831" w:val="left" w:leader="none"/>
        </w:tabs>
        <w:spacing w:line="362" w:lineRule="auto" w:before="1" w:after="0"/>
        <w:ind w:left="110" w:right="5585" w:firstLine="0"/>
        <w:jc w:val="left"/>
      </w:pPr>
      <w:r>
        <w:rPr/>
        <w:t>Riesgos de liquidez. Riesgo.</w:t>
      </w:r>
    </w:p>
    <w:p>
      <w:pPr>
        <w:spacing w:after="0" w:line="362" w:lineRule="auto"/>
        <w:jc w:val="left"/>
        <w:sectPr>
          <w:footerReference w:type="default" r:id="rId38"/>
          <w:pgSz w:w="11910" w:h="16840"/>
          <w:pgMar w:footer="724" w:header="755" w:top="960" w:bottom="920" w:left="1600" w:right="1580"/>
        </w:sectPr>
      </w:pPr>
    </w:p>
    <w:p>
      <w:pPr>
        <w:pStyle w:val="BodyText"/>
        <w:rPr>
          <w:b/>
          <w:sz w:val="20"/>
        </w:rPr>
      </w:pPr>
    </w:p>
    <w:p>
      <w:pPr>
        <w:pStyle w:val="BodyText"/>
        <w:spacing w:before="3"/>
        <w:rPr>
          <w:b/>
          <w:sz w:val="19"/>
        </w:rPr>
      </w:pPr>
    </w:p>
    <w:p>
      <w:pPr>
        <w:pStyle w:val="BodyText"/>
        <w:spacing w:line="360" w:lineRule="auto"/>
        <w:ind w:left="110" w:right="108"/>
        <w:jc w:val="both"/>
      </w:pPr>
      <w:r>
        <w:rPr/>
        <w:t>El Grupo debe asegurarse de que mantiene muy amplio acceso a la liquidez con el fin de cumplir con sus compromisos y necesidades de inversión. Para ello, tiene que pedir prestado a los bancos y los mercados de capitales, lo que la expone al riesgo de liquidez.</w:t>
      </w:r>
    </w:p>
    <w:p>
      <w:pPr>
        <w:pStyle w:val="BodyText"/>
      </w:pPr>
    </w:p>
    <w:p>
      <w:pPr>
        <w:pStyle w:val="Heading2"/>
        <w:spacing w:before="139"/>
      </w:pPr>
      <w:r>
        <w:rPr/>
        <w:t>Administración del riesgo.</w:t>
      </w:r>
    </w:p>
    <w:p>
      <w:pPr>
        <w:pStyle w:val="BodyText"/>
        <w:spacing w:line="360" w:lineRule="auto" w:before="141"/>
        <w:ind w:left="110" w:right="108"/>
        <w:jc w:val="both"/>
      </w:pPr>
      <w:r>
        <w:rPr/>
        <w:t>El dinero se administra centralmente siempre que esté permitido por la legislación local. En este caso, el excedente de efectivo o las necesidades de financiamiento se reúnen o son financiados por Valeo, la empresa matriz.</w:t>
      </w:r>
    </w:p>
    <w:p>
      <w:pPr>
        <w:pStyle w:val="BodyText"/>
        <w:spacing w:line="362" w:lineRule="auto" w:before="2"/>
        <w:ind w:left="110" w:right="108"/>
        <w:jc w:val="both"/>
      </w:pPr>
      <w:r>
        <w:rPr/>
        <w:t>En China y Brasil, donde existen restricciones de control de cambios, el Grupo ha establecido un sistema de cash pooling y recibe regularmente dividendos.</w:t>
      </w:r>
    </w:p>
    <w:p>
      <w:pPr>
        <w:pStyle w:val="BodyText"/>
        <w:spacing w:line="360" w:lineRule="auto"/>
        <w:ind w:left="110" w:right="108"/>
        <w:jc w:val="both"/>
      </w:pPr>
      <w:r>
        <w:rPr/>
        <w:t>Al 31 de diciembre de 2012 y 31 de diciembre de 2011 Valeo tuvo 1.3 billones de euros en efectivo y equivalentes de efectivo. El efectivo comprende depósitos bancarios en 541 millones de euros y equivalentes de efectivo (principalmente fondos del mercado monetario) de 793 millones de euros.</w:t>
      </w:r>
    </w:p>
    <w:p>
      <w:pPr>
        <w:pStyle w:val="BodyText"/>
        <w:spacing w:line="360" w:lineRule="auto" w:before="2"/>
        <w:ind w:left="110" w:right="108"/>
        <w:jc w:val="both"/>
      </w:pPr>
      <w:r>
        <w:rPr/>
        <w:t>El efectivo y equivalentes de efectivo en China y Brasil ascendió a 157 millones de euros al 31 de diciembre de 2012.</w:t>
      </w:r>
    </w:p>
    <w:p>
      <w:pPr>
        <w:pStyle w:val="BodyText"/>
        <w:spacing w:before="2"/>
        <w:ind w:left="110"/>
        <w:jc w:val="both"/>
      </w:pPr>
      <w:r>
        <w:rPr/>
        <w:t>Otras fuentes de liquidez fueron las siguientes:</w:t>
      </w:r>
    </w:p>
    <w:p>
      <w:pPr>
        <w:pStyle w:val="ListParagraph"/>
        <w:numPr>
          <w:ilvl w:val="3"/>
          <w:numId w:val="21"/>
        </w:numPr>
        <w:tabs>
          <w:tab w:pos="831" w:val="left" w:leader="none"/>
        </w:tabs>
        <w:spacing w:line="357" w:lineRule="auto" w:before="140" w:after="0"/>
        <w:ind w:left="830" w:right="108" w:hanging="360"/>
        <w:jc w:val="both"/>
        <w:rPr>
          <w:sz w:val="24"/>
        </w:rPr>
      </w:pPr>
      <w:r>
        <w:rPr>
          <w:sz w:val="24"/>
        </w:rPr>
        <w:t>Líneas de crédito bancarias por un total de 1.2 billones de euros con un vencimiento medio de 3.3 años. Estas líneas de crédito bilaterales, ninguna de los cuales había sido puesta a disposición al 31 de diciembre de 2012 se negociaron con los diez principales bancos, calificaron con</w:t>
      </w:r>
      <w:r>
        <w:rPr>
          <w:spacing w:val="54"/>
          <w:sz w:val="24"/>
        </w:rPr>
        <w:t> </w:t>
      </w:r>
      <w:r>
        <w:rPr>
          <w:sz w:val="24"/>
        </w:rPr>
        <w:t>A</w:t>
      </w:r>
    </w:p>
    <w:p>
      <w:pPr>
        <w:pStyle w:val="BodyText"/>
        <w:spacing w:line="360" w:lineRule="auto" w:before="5"/>
        <w:ind w:left="830" w:right="108"/>
        <w:jc w:val="both"/>
      </w:pPr>
      <w:r>
        <w:rPr/>
        <w:t>+ en promedio de Standard &amp; Poors y A2 en promedio por Moody’s. Estas líneas de crédito están sujetos a un compromiso de Valeo para mantener el ratio de deuda neta del EBITDA por debajo de 3.25; el ratio del año 2012 se situó en 0.61.</w:t>
      </w:r>
    </w:p>
    <w:p>
      <w:pPr>
        <w:pStyle w:val="ListParagraph"/>
        <w:numPr>
          <w:ilvl w:val="3"/>
          <w:numId w:val="21"/>
        </w:numPr>
        <w:tabs>
          <w:tab w:pos="831" w:val="left" w:leader="none"/>
        </w:tabs>
        <w:spacing w:line="357" w:lineRule="auto" w:before="1" w:after="0"/>
        <w:ind w:left="830" w:right="108" w:hanging="360"/>
        <w:jc w:val="both"/>
        <w:rPr>
          <w:sz w:val="24"/>
        </w:rPr>
      </w:pPr>
      <w:r>
        <w:rPr>
          <w:sz w:val="24"/>
        </w:rPr>
        <w:t>Un programa de financiación de papel comercial a corto plazo por un importe máximo de 1.2 millones de euros. Sin embargo, dada la calificación de la deuda de Valeo, la normativa aplicable a los fondos monetarios actualmente restringen su acceso a este mercado.</w:t>
      </w:r>
    </w:p>
    <w:p>
      <w:pPr>
        <w:pStyle w:val="ListParagraph"/>
        <w:numPr>
          <w:ilvl w:val="3"/>
          <w:numId w:val="21"/>
        </w:numPr>
        <w:tabs>
          <w:tab w:pos="831" w:val="left" w:leader="none"/>
        </w:tabs>
        <w:spacing w:line="357" w:lineRule="auto" w:before="3" w:after="0"/>
        <w:ind w:left="830" w:right="108" w:hanging="360"/>
        <w:jc w:val="both"/>
        <w:rPr>
          <w:sz w:val="24"/>
        </w:rPr>
      </w:pPr>
      <w:r>
        <w:rPr>
          <w:sz w:val="24"/>
        </w:rPr>
        <w:t>Un programa de financiamiento de mediano y largo plazo Euro Medium Term Note para un máximo de 2 millones de euros, de los cuales 1,3 billones ha sido utilizado al 31 de diciembre de</w:t>
      </w:r>
      <w:r>
        <w:rPr>
          <w:spacing w:val="-1"/>
          <w:sz w:val="24"/>
        </w:rPr>
        <w:t> </w:t>
      </w:r>
      <w:r>
        <w:rPr>
          <w:sz w:val="24"/>
        </w:rPr>
        <w:t>2012.</w:t>
      </w:r>
    </w:p>
    <w:p>
      <w:pPr>
        <w:spacing w:after="0" w:line="357" w:lineRule="auto"/>
        <w:jc w:val="both"/>
        <w:rPr>
          <w:sz w:val="24"/>
        </w:rPr>
        <w:sectPr>
          <w:footerReference w:type="default" r:id="rId39"/>
          <w:pgSz w:w="11910" w:h="16840"/>
          <w:pgMar w:footer="724" w:header="755" w:top="960" w:bottom="920" w:left="1600" w:right="1580"/>
          <w:pgNumType w:start="61"/>
        </w:sectPr>
      </w:pPr>
    </w:p>
    <w:p>
      <w:pPr>
        <w:pStyle w:val="BodyText"/>
        <w:rPr>
          <w:sz w:val="20"/>
        </w:rPr>
      </w:pPr>
    </w:p>
    <w:p>
      <w:pPr>
        <w:pStyle w:val="BodyText"/>
        <w:spacing w:before="1"/>
        <w:rPr>
          <w:sz w:val="19"/>
        </w:rPr>
      </w:pPr>
    </w:p>
    <w:p>
      <w:pPr>
        <w:pStyle w:val="ListParagraph"/>
        <w:numPr>
          <w:ilvl w:val="3"/>
          <w:numId w:val="21"/>
        </w:numPr>
        <w:tabs>
          <w:tab w:pos="830" w:val="left" w:leader="none"/>
          <w:tab w:pos="831" w:val="left" w:leader="none"/>
        </w:tabs>
        <w:spacing w:line="355" w:lineRule="auto" w:before="1" w:after="0"/>
        <w:ind w:left="830" w:right="108" w:hanging="360"/>
        <w:jc w:val="left"/>
        <w:rPr>
          <w:sz w:val="24"/>
        </w:rPr>
      </w:pPr>
      <w:r>
        <w:rPr>
          <w:sz w:val="24"/>
        </w:rPr>
        <w:t>La deuda bruta del Grupo se sitúa en 2.1 billones de euros al 31 de diciembre 2012, que consiste en la deuda de corto plazo por un total  </w:t>
      </w:r>
      <w:r>
        <w:rPr>
          <w:spacing w:val="22"/>
          <w:sz w:val="24"/>
        </w:rPr>
        <w:t> </w:t>
      </w:r>
      <w:r>
        <w:rPr>
          <w:sz w:val="24"/>
        </w:rPr>
        <w:t>de</w:t>
      </w:r>
    </w:p>
    <w:p>
      <w:pPr>
        <w:pStyle w:val="BodyText"/>
        <w:spacing w:line="360" w:lineRule="auto" w:before="8"/>
        <w:ind w:left="830" w:right="108"/>
        <w:jc w:val="both"/>
      </w:pPr>
      <w:r>
        <w:rPr/>
        <w:t>73 millones de euros, la deuda a largo plazo por un total de 2,004 millones de euros (incluidos los 440 millones de euros que  vencen dentro de un año), y ciertos pasivos mantenidos para la venta relacionados con la deuda bruta por 23 millones de euros. El vencimiento medio de la deuda fue de 3.5 años a finales de</w:t>
      </w:r>
      <w:r>
        <w:rPr>
          <w:spacing w:val="-13"/>
        </w:rPr>
        <w:t> </w:t>
      </w:r>
      <w:r>
        <w:rPr/>
        <w:t>2012.</w:t>
      </w:r>
    </w:p>
    <w:p>
      <w:pPr>
        <w:pStyle w:val="BodyText"/>
      </w:pPr>
    </w:p>
    <w:p>
      <w:pPr>
        <w:pStyle w:val="BodyText"/>
        <w:spacing w:line="360" w:lineRule="auto" w:before="144"/>
        <w:ind w:left="110" w:right="108"/>
        <w:jc w:val="both"/>
      </w:pPr>
      <w:r>
        <w:rPr/>
        <w:t>Valeo realizó varias emisiones de bonos en virtud de su programa de financiamiento de mediano y largo plazo Euro Medium Term Note:</w:t>
      </w:r>
    </w:p>
    <w:p>
      <w:pPr>
        <w:pStyle w:val="ListParagraph"/>
        <w:numPr>
          <w:ilvl w:val="0"/>
          <w:numId w:val="22"/>
        </w:numPr>
        <w:tabs>
          <w:tab w:pos="265" w:val="left" w:leader="none"/>
        </w:tabs>
        <w:spacing w:line="360" w:lineRule="auto" w:before="2" w:after="0"/>
        <w:ind w:left="110" w:right="108" w:firstLine="0"/>
        <w:jc w:val="both"/>
        <w:rPr>
          <w:sz w:val="24"/>
        </w:rPr>
      </w:pPr>
      <w:r>
        <w:rPr>
          <w:sz w:val="24"/>
        </w:rPr>
        <w:t>600 millones de euros en bonos emitidos inicialmente el 24 de junio de 2005 y rescatables el 24 de junio de 2013, pagando intereses fijos del 3,75%. De esta cantidad, 289 millones de euros son redimidos por delante de la madurez después de las dos ofertas de canje público lanzada en mayo de 2011 y luego en enero de</w:t>
      </w:r>
      <w:r>
        <w:rPr>
          <w:spacing w:val="-2"/>
          <w:sz w:val="24"/>
        </w:rPr>
        <w:t> </w:t>
      </w:r>
      <w:r>
        <w:rPr>
          <w:sz w:val="24"/>
        </w:rPr>
        <w:t>2012.</w:t>
      </w:r>
    </w:p>
    <w:p>
      <w:pPr>
        <w:pStyle w:val="ListParagraph"/>
        <w:numPr>
          <w:ilvl w:val="0"/>
          <w:numId w:val="22"/>
        </w:numPr>
        <w:tabs>
          <w:tab w:pos="266" w:val="left" w:leader="none"/>
        </w:tabs>
        <w:spacing w:line="360" w:lineRule="auto" w:before="2" w:after="0"/>
        <w:ind w:left="110" w:right="108" w:firstLine="0"/>
        <w:jc w:val="both"/>
        <w:rPr>
          <w:sz w:val="24"/>
        </w:rPr>
      </w:pPr>
      <w:r>
        <w:rPr>
          <w:sz w:val="24"/>
        </w:rPr>
        <w:t>500 millones de euros en bonos emitidos en enero de 2012 a canjear el 19 de enero 2017, el pago de interés fijo del</w:t>
      </w:r>
      <w:r>
        <w:rPr>
          <w:spacing w:val="-3"/>
          <w:sz w:val="24"/>
        </w:rPr>
        <w:t> </w:t>
      </w:r>
      <w:r>
        <w:rPr>
          <w:sz w:val="24"/>
        </w:rPr>
        <w:t>5.75%.</w:t>
      </w:r>
    </w:p>
    <w:p>
      <w:pPr>
        <w:pStyle w:val="ListParagraph"/>
        <w:numPr>
          <w:ilvl w:val="0"/>
          <w:numId w:val="22"/>
        </w:numPr>
        <w:tabs>
          <w:tab w:pos="268" w:val="left" w:leader="none"/>
        </w:tabs>
        <w:spacing w:line="360" w:lineRule="auto" w:before="7" w:after="0"/>
        <w:ind w:left="110" w:right="108" w:firstLine="0"/>
        <w:jc w:val="both"/>
        <w:rPr>
          <w:sz w:val="24"/>
        </w:rPr>
      </w:pPr>
      <w:r>
        <w:rPr>
          <w:sz w:val="24"/>
        </w:rPr>
        <w:t>500 millones de euros en bonos emitidos en mayo de 2011 a canjear el 11 de mayo 2018, el pago de interés fijo del</w:t>
      </w:r>
      <w:r>
        <w:rPr>
          <w:spacing w:val="-4"/>
          <w:sz w:val="24"/>
        </w:rPr>
        <w:t> </w:t>
      </w:r>
      <w:r>
        <w:rPr>
          <w:sz w:val="24"/>
        </w:rPr>
        <w:t>4.87%.</w:t>
      </w:r>
    </w:p>
    <w:p>
      <w:pPr>
        <w:pStyle w:val="BodyText"/>
      </w:pPr>
    </w:p>
    <w:p>
      <w:pPr>
        <w:pStyle w:val="BodyText"/>
        <w:spacing w:line="360" w:lineRule="auto" w:before="139"/>
        <w:ind w:left="110" w:right="108"/>
        <w:jc w:val="both"/>
      </w:pPr>
      <w:r>
        <w:rPr/>
        <w:t>Estos tres enlaces incluyen una opción a los portadores de bonos para solicitar el reembolso anticipado o el rescate en caso de un cambio de control de Valeo que conduce a la calificación de los bonos que se sitúan por debajo del grado de inversión, asumiendo que se clasificaron previamente en esa categoría, o, si la calificación anterior fue inferior al grado de inversión, al ser degradada por una categoría de clasificación (por ejemplo, de Ba1 a Ba2 ).</w:t>
      </w:r>
    </w:p>
    <w:p>
      <w:pPr>
        <w:pStyle w:val="BodyText"/>
      </w:pPr>
    </w:p>
    <w:p>
      <w:pPr>
        <w:pStyle w:val="BodyText"/>
        <w:spacing w:before="2"/>
        <w:rPr>
          <w:sz w:val="29"/>
        </w:rPr>
      </w:pPr>
    </w:p>
    <w:p>
      <w:pPr>
        <w:pStyle w:val="Heading2"/>
        <w:numPr>
          <w:ilvl w:val="2"/>
          <w:numId w:val="21"/>
        </w:numPr>
        <w:tabs>
          <w:tab w:pos="831" w:val="left" w:leader="none"/>
        </w:tabs>
        <w:spacing w:line="240" w:lineRule="auto" w:before="1" w:after="0"/>
        <w:ind w:left="830" w:right="0" w:hanging="720"/>
        <w:jc w:val="both"/>
      </w:pPr>
      <w:bookmarkStart w:name="_TOC_250022" w:id="45"/>
      <w:bookmarkEnd w:id="45"/>
      <w:r>
        <w:rPr/>
        <w:t>Calificación crediticia.</w:t>
      </w:r>
    </w:p>
    <w:p>
      <w:pPr>
        <w:pStyle w:val="BodyText"/>
        <w:spacing w:line="360" w:lineRule="auto" w:before="141"/>
        <w:ind w:left="110" w:right="108"/>
        <w:jc w:val="both"/>
      </w:pPr>
      <w:r>
        <w:rPr/>
        <w:t>El 14 de septiembre de 2012, Standard &amp; Poor's Ratings Services asignó su "BBB/A-2" calificación de largo plazo y de crédito corporativo a corto plazo a Valeo con una perspectiva estable. El 29 de enero de 2013, Rating Services de Moody confirmó sus "Baa3/P3" calificación de largo plazo y de crédito corporativo a corto plazo para Valeo con una perspectiva estable.</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ind w:left="110"/>
        <w:jc w:val="both"/>
      </w:pPr>
      <w:r>
        <w:rPr/>
        <w:t>Estas dos clasificaciones confirman el grado de inversión de Valeo.</w:t>
      </w:r>
    </w:p>
    <w:p>
      <w:pPr>
        <w:pStyle w:val="BodyText"/>
      </w:pPr>
    </w:p>
    <w:p>
      <w:pPr>
        <w:pStyle w:val="BodyText"/>
      </w:pPr>
    </w:p>
    <w:p>
      <w:pPr>
        <w:pStyle w:val="Heading2"/>
        <w:numPr>
          <w:ilvl w:val="2"/>
          <w:numId w:val="21"/>
        </w:numPr>
        <w:tabs>
          <w:tab w:pos="831" w:val="left" w:leader="none"/>
        </w:tabs>
        <w:spacing w:line="360" w:lineRule="auto" w:before="199" w:after="0"/>
        <w:ind w:left="110" w:right="3329" w:firstLine="0"/>
        <w:jc w:val="left"/>
      </w:pPr>
      <w:r>
        <w:rPr/>
        <w:t>Riesgos relacionados con la mercancía. Riesgo.</w:t>
      </w:r>
    </w:p>
    <w:p>
      <w:pPr>
        <w:pStyle w:val="BodyText"/>
        <w:spacing w:line="360" w:lineRule="auto" w:before="209"/>
        <w:ind w:left="110" w:right="108"/>
        <w:jc w:val="both"/>
      </w:pPr>
      <w:r>
        <w:rPr/>
        <w:t>El Grupo utiliza una variedad de materias primas para sus operaciones industriales, incluyendo los metales no ferrosos, acero, plásticos y metales de tierras raras, que ascienden a 1.7 millones de euros de compras en 2012 (de los cuales 40 % de metales no ferrosos, el 35% de acero, 23% de plásticos y 2% de metales de tierras raras). El Grupo está expuesto a cambios adversos  en los precios de estos productos básicos. En caso de una fuerte subida de los precios de las materias primas, el Grupo no siempre puede estar en  condiciones de transmitir todo el peso de la subida a sus clientes, y esto puede tener un impacto negativo en sus ingresos.</w:t>
      </w:r>
    </w:p>
    <w:p>
      <w:pPr>
        <w:pStyle w:val="BodyText"/>
      </w:pPr>
    </w:p>
    <w:p>
      <w:pPr>
        <w:pStyle w:val="BodyText"/>
      </w:pPr>
    </w:p>
    <w:p>
      <w:pPr>
        <w:pStyle w:val="BodyText"/>
        <w:spacing w:before="2"/>
        <w:rPr>
          <w:sz w:val="23"/>
        </w:rPr>
      </w:pPr>
    </w:p>
    <w:p>
      <w:pPr>
        <w:pStyle w:val="Heading2"/>
      </w:pPr>
      <w:r>
        <w:rPr/>
        <w:t>Administración del riesgo.</w:t>
      </w:r>
    </w:p>
    <w:p>
      <w:pPr>
        <w:pStyle w:val="BodyText"/>
        <w:spacing w:before="9"/>
        <w:rPr>
          <w:b/>
          <w:sz w:val="29"/>
        </w:rPr>
      </w:pPr>
    </w:p>
    <w:p>
      <w:pPr>
        <w:pStyle w:val="BodyText"/>
        <w:spacing w:line="360" w:lineRule="auto"/>
        <w:ind w:left="110" w:right="108"/>
        <w:jc w:val="both"/>
      </w:pPr>
      <w:r>
        <w:rPr/>
        <w:t>El Grupo administra su exposición a las materias primas mediante el uso de cláusulas de traspaso en la medida de lo posible. Este es el caso especialmente de los metales no ferrosos y de acero, para la cual las cláusulas de traspaso cubren la mitad de la exposición del</w:t>
      </w:r>
      <w:r>
        <w:rPr>
          <w:spacing w:val="-2"/>
        </w:rPr>
        <w:t> </w:t>
      </w:r>
      <w:r>
        <w:rPr/>
        <w:t>Grupo.</w:t>
      </w:r>
    </w:p>
    <w:p>
      <w:pPr>
        <w:pStyle w:val="BodyText"/>
        <w:spacing w:line="360" w:lineRule="auto" w:before="209"/>
        <w:ind w:left="110" w:right="108"/>
        <w:jc w:val="both"/>
      </w:pPr>
      <w:r>
        <w:rPr/>
        <w:t>La exposición residual a los metales no ferrosos que cotizan en la Bolsa de Metales de Londres se cubre con los principales bancos que utilizan los instrumentos de cobertura que normalmente tienen un vencimiento de seis meses o menos. El Grupo favorece instrumentos que no impliquen la entrega física de los productos básicos de cobertura. Estas operaciones se registran como cobertura de flujo de efectivo de acuerdo con la NIC 39. Una ganancia no realizada de 1 millón de euros relacionadas con estas coberturas se registran directamente en otro resultado integral al 31 de diciembre de 2012, en comparación con una pérdida no realizada de 7 millones de euros reconocidos en otro resultado global a fines del 2011.</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55" w:lineRule="auto"/>
        <w:ind w:left="110" w:right="108"/>
        <w:jc w:val="both"/>
      </w:pPr>
      <w:r>
        <w:rPr/>
        <w:t>Acero, plásticos y los metales de tierras raras no pueden ser objeto de cobertura, ya que no cotizan en un ningún sistema de intercambio organizado.</w:t>
      </w:r>
    </w:p>
    <w:p>
      <w:pPr>
        <w:pStyle w:val="BodyText"/>
        <w:spacing w:line="360" w:lineRule="auto" w:before="214"/>
        <w:ind w:left="110" w:right="108"/>
        <w:jc w:val="both"/>
      </w:pPr>
      <w:r>
        <w:rPr/>
        <w:t>Los valores de inventario en el estado de posición financiera del Grupo, no se ven afectados de manera significativa por el aumento de los precios de las materias primas debido a la rápida rotación del inventario y la optimización de los flujos logísticos.</w:t>
      </w:r>
    </w:p>
    <w:p>
      <w:pPr>
        <w:pStyle w:val="BodyText"/>
      </w:pPr>
    </w:p>
    <w:p>
      <w:pPr>
        <w:pStyle w:val="BodyText"/>
      </w:pPr>
    </w:p>
    <w:p>
      <w:pPr>
        <w:pStyle w:val="BodyText"/>
        <w:spacing w:before="7"/>
        <w:rPr>
          <w:sz w:val="23"/>
        </w:rPr>
      </w:pPr>
    </w:p>
    <w:p>
      <w:pPr>
        <w:pStyle w:val="Heading2"/>
        <w:numPr>
          <w:ilvl w:val="2"/>
          <w:numId w:val="21"/>
        </w:numPr>
        <w:tabs>
          <w:tab w:pos="831" w:val="left" w:leader="none"/>
        </w:tabs>
        <w:spacing w:line="355" w:lineRule="auto" w:before="0" w:after="0"/>
        <w:ind w:left="110" w:right="4852" w:firstLine="0"/>
        <w:jc w:val="left"/>
      </w:pPr>
      <w:r>
        <w:rPr/>
        <w:t>Riesgo del tipo de cambio. Riesgo.</w:t>
      </w:r>
    </w:p>
    <w:p>
      <w:pPr>
        <w:pStyle w:val="BodyText"/>
        <w:spacing w:line="360" w:lineRule="auto" w:before="214"/>
        <w:ind w:left="110" w:right="108"/>
        <w:jc w:val="both"/>
      </w:pPr>
      <w:r>
        <w:rPr/>
        <w:t>La centralización de las necesidades de financiamiento de las subsidiarias fuera de la zona euro, así como determinadas operaciones de financiación del Grupo expone a algunas entidades al riesgo de tipo financiero. Este riesgo corresponde al riesgo de cambios en el valor de los créditos financieros o débitos en moneda distinta a la moneda funcional de la entidad de crédito o préstamos.</w:t>
      </w:r>
    </w:p>
    <w:p>
      <w:pPr>
        <w:pStyle w:val="Heading2"/>
        <w:spacing w:before="204"/>
      </w:pPr>
      <w:r>
        <w:rPr/>
        <w:t>Gestión del riesgo.</w:t>
      </w:r>
    </w:p>
    <w:p>
      <w:pPr>
        <w:pStyle w:val="BodyText"/>
        <w:spacing w:before="9"/>
        <w:rPr>
          <w:b/>
          <w:sz w:val="29"/>
        </w:rPr>
      </w:pPr>
    </w:p>
    <w:p>
      <w:pPr>
        <w:pStyle w:val="BodyText"/>
        <w:spacing w:line="360" w:lineRule="auto"/>
        <w:ind w:left="110" w:right="108"/>
        <w:jc w:val="both"/>
      </w:pPr>
      <w:r>
        <w:rPr/>
        <w:t>Los préstamos del Grupo están generalmente denominados en euros. Sólo el préstamo concedido por el EIB en noviembre de 2011 se encuentra denominado en dólares estadounidenses y se cambió de inmediato para un préstamo en euros de un importe equivalente.</w:t>
      </w:r>
    </w:p>
    <w:p>
      <w:pPr>
        <w:pStyle w:val="BodyText"/>
        <w:spacing w:line="360" w:lineRule="auto" w:before="209"/>
        <w:ind w:left="110" w:right="108"/>
        <w:jc w:val="both"/>
      </w:pPr>
      <w:r>
        <w:rPr/>
        <w:t>El Grupo también tiende a financiar sus filiales en sus monedas locales y entra sistemáticamente en las coberturas para protegerse contra el riesgo de cambio resultante. El préstamo bancario llevado a cabo a finales de junio de 2011 en relación con la adquisición de Niles se cubre mediante una cross currency  swap convirtiendo la cantidad en euros nominal del préstamo en yenes y los intereses a pagar en euros (en función del interés del euro), en los intereses adeudados en yenes (basado en la tasa de interés para el yen</w:t>
      </w:r>
      <w:r>
        <w:rPr>
          <w:spacing w:val="-1"/>
        </w:rPr>
        <w:t> </w:t>
      </w:r>
      <w:r>
        <w:rPr/>
        <w:t>japonés).</w:t>
      </w:r>
    </w:p>
    <w:p>
      <w:pPr>
        <w:pStyle w:val="BodyText"/>
        <w:spacing w:line="360" w:lineRule="auto" w:before="209"/>
        <w:ind w:left="110" w:right="108"/>
        <w:jc w:val="both"/>
      </w:pPr>
      <w:r>
        <w:rPr/>
        <w:t>Al 31 de diciembre de 2012, una pérdida no realizada de 1 millón de euros relacionados con dichos instrumentos de cobertura fue  reconocido directamente en otros ingresos y gastos.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355" w:lineRule="auto"/>
        <w:ind w:left="110" w:right="108"/>
        <w:jc w:val="both"/>
      </w:pPr>
      <w:r>
        <w:rPr/>
        <w:t>Esta transacción en yenes japoneses se cubre mediante un préstamo interno  en yenes concedidos a Valeo Japón en relación con la adquisición de Niles.</w:t>
      </w:r>
    </w:p>
    <w:p>
      <w:pPr>
        <w:pStyle w:val="Heading2"/>
        <w:numPr>
          <w:ilvl w:val="2"/>
          <w:numId w:val="21"/>
        </w:numPr>
        <w:tabs>
          <w:tab w:pos="712" w:val="left" w:leader="none"/>
        </w:tabs>
        <w:spacing w:line="360" w:lineRule="auto" w:before="214" w:after="0"/>
        <w:ind w:left="110" w:right="4917" w:firstLine="0"/>
        <w:jc w:val="left"/>
      </w:pPr>
      <w:r>
        <w:rPr/>
        <w:t>Riesgo de tasas de interés. Riesgo.</w:t>
      </w:r>
    </w:p>
    <w:p>
      <w:pPr>
        <w:pStyle w:val="BodyText"/>
        <w:spacing w:line="357" w:lineRule="auto" w:before="209"/>
        <w:ind w:left="110" w:right="108"/>
        <w:jc w:val="both"/>
      </w:pPr>
      <w:r>
        <w:rPr/>
        <w:t>El riesgo relacionado con el tipo de interés depende de la deuda del Grupo y  las inversiones financieras, así como la mezcla de tipos de interés fijo /  variable.</w:t>
      </w:r>
    </w:p>
    <w:p>
      <w:pPr>
        <w:pStyle w:val="Heading2"/>
        <w:spacing w:before="212"/>
      </w:pPr>
      <w:r>
        <w:rPr/>
        <w:t>Gestión del riesgo.</w:t>
      </w:r>
    </w:p>
    <w:p>
      <w:pPr>
        <w:pStyle w:val="BodyText"/>
        <w:spacing w:line="360" w:lineRule="auto" w:before="137"/>
        <w:ind w:left="110" w:right="108"/>
        <w:jc w:val="both"/>
      </w:pPr>
      <w:r>
        <w:rPr/>
        <w:t>El Grupo utiliza permutas financieras (swaps) de tipos de interés para convertir los tipos de interés de su deuda en una variable o una tasa fija, ya sea en  origen o durante la vigencia del préstamo.</w:t>
      </w:r>
    </w:p>
    <w:p>
      <w:pPr>
        <w:pStyle w:val="BodyText"/>
        <w:spacing w:line="360" w:lineRule="auto" w:before="2"/>
        <w:ind w:left="110" w:right="108"/>
        <w:jc w:val="both"/>
      </w:pPr>
      <w:r>
        <w:rPr/>
        <w:t>Teniendo en cuenta las operaciones de cobertura, el 77% de la deuda a largo plazo era a tasa fija al 31 de diciembre 2012 (estable en comparación a finales del 2011).</w:t>
      </w:r>
    </w:p>
    <w:p>
      <w:pPr>
        <w:pStyle w:val="BodyText"/>
        <w:spacing w:before="7"/>
        <w:ind w:left="110"/>
        <w:jc w:val="both"/>
      </w:pPr>
      <w:r>
        <w:rPr/>
        <w:t>Las inversiones del Grupo son principalmente a tasas variables.</w:t>
      </w:r>
    </w:p>
    <w:p>
      <w:pPr>
        <w:spacing w:after="0"/>
        <w:jc w:val="both"/>
        <w:sectPr>
          <w:pgSz w:w="11910" w:h="16840"/>
          <w:pgMar w:header="755" w:footer="724" w:top="960" w:bottom="920" w:left="1600" w:right="1580"/>
        </w:sectPr>
      </w:pPr>
    </w:p>
    <w:p>
      <w:pPr>
        <w:pStyle w:val="BodyText"/>
        <w:spacing w:before="4"/>
        <w:rPr>
          <w:rFonts w:ascii="Times New Roman"/>
          <w:sz w:val="17"/>
        </w:rPr>
      </w:pPr>
    </w:p>
    <w:p>
      <w:pPr>
        <w:spacing w:after="0"/>
        <w:rPr>
          <w:rFonts w:ascii="Times New Roman"/>
          <w:sz w:val="17"/>
        </w:rPr>
        <w:sectPr>
          <w:headerReference w:type="default" r:id="rId40"/>
          <w:footerReference w:type="default" r:id="rId41"/>
          <w:pgSz w:w="11910" w:h="16840"/>
          <w:pgMar w:header="0" w:footer="0" w:top="1580" w:bottom="280" w:left="168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7"/>
        </w:rPr>
      </w:pPr>
    </w:p>
    <w:p>
      <w:pPr>
        <w:pStyle w:val="Heading1"/>
        <w:tabs>
          <w:tab w:pos="1853" w:val="left" w:leader="none"/>
        </w:tabs>
      </w:pPr>
      <w:bookmarkStart w:name="_TOC_250021" w:id="46"/>
      <w:r>
        <w:rPr/>
        <w:t>3</w:t>
        <w:tab/>
        <w:t>CAPÍTULO III INDUSTRIA</w:t>
      </w:r>
      <w:r>
        <w:rPr>
          <w:spacing w:val="-10"/>
        </w:rPr>
        <w:t> </w:t>
      </w:r>
      <w:bookmarkEnd w:id="46"/>
      <w:r>
        <w:rPr/>
        <w:t>AUTOMOTRIZ</w:t>
      </w:r>
    </w:p>
    <w:p>
      <w:pPr>
        <w:spacing w:after="0"/>
        <w:sectPr>
          <w:headerReference w:type="default" r:id="rId42"/>
          <w:footerReference w:type="default" r:id="rId43"/>
          <w:pgSz w:w="11910" w:h="16840"/>
          <w:pgMar w:header="0" w:footer="0" w:top="1580" w:bottom="280" w:left="1680" w:right="1680"/>
        </w:sectPr>
      </w:pPr>
    </w:p>
    <w:p>
      <w:pPr>
        <w:pStyle w:val="BodyText"/>
        <w:rPr>
          <w:b/>
          <w:sz w:val="20"/>
        </w:rPr>
      </w:pPr>
    </w:p>
    <w:p>
      <w:pPr>
        <w:pStyle w:val="BodyText"/>
        <w:spacing w:before="3"/>
        <w:rPr>
          <w:b/>
          <w:sz w:val="19"/>
        </w:rPr>
      </w:pPr>
    </w:p>
    <w:p>
      <w:pPr>
        <w:pStyle w:val="Heading2"/>
        <w:numPr>
          <w:ilvl w:val="0"/>
          <w:numId w:val="21"/>
        </w:numPr>
        <w:tabs>
          <w:tab w:pos="471" w:val="left" w:leader="none"/>
        </w:tabs>
        <w:spacing w:line="240" w:lineRule="auto" w:before="0" w:after="0"/>
        <w:ind w:left="470" w:right="0" w:hanging="360"/>
        <w:jc w:val="both"/>
      </w:pPr>
      <w:r>
        <w:rPr/>
        <w:t>Industria Automotriz</w:t>
      </w:r>
    </w:p>
    <w:p>
      <w:pPr>
        <w:pStyle w:val="BodyText"/>
        <w:spacing w:line="360" w:lineRule="auto" w:before="137"/>
        <w:ind w:left="110" w:right="108"/>
        <w:jc w:val="both"/>
      </w:pPr>
      <w:r>
        <w:rPr/>
        <w:t>El sector automotriz y de autopartes ha pasado por diversas fases de cambio profundo, mismas que generaron grandes transformaciones en la economía mundial, pero en particular en los países en vías de desarrollo. El proceso de globalización comercio internacional, mercados financieros, etc. conllevan a nuevos modelos de articulación productiva y logística, dando como resultado la puesta en marcha de nuevas estrategias de suministro de las empresas armadoras de automóviles. El sistema de producción es presentado como un proceso homogéneo, con especificaciones uniformes, ensamblando componentes provenientes de cualquier lugar del mundo. Actualmente, el  sector automotriz es una de las industrias más dinámicas y competitivas que impactan social y económicamente a los diferentes países.</w:t>
      </w:r>
    </w:p>
    <w:p>
      <w:pPr>
        <w:pStyle w:val="BodyText"/>
        <w:spacing w:line="355" w:lineRule="auto" w:before="209"/>
        <w:ind w:left="110" w:right="108"/>
        <w:jc w:val="both"/>
      </w:pPr>
      <w:r>
        <w:rPr/>
        <w:t>El objetivo de este capítulo es analizar el estado actual de la industria automotriz en México.</w:t>
      </w:r>
    </w:p>
    <w:p>
      <w:pPr>
        <w:pStyle w:val="BodyText"/>
      </w:pPr>
    </w:p>
    <w:p>
      <w:pPr>
        <w:pStyle w:val="BodyText"/>
      </w:pPr>
    </w:p>
    <w:p>
      <w:pPr>
        <w:pStyle w:val="BodyText"/>
        <w:spacing w:before="1"/>
      </w:pPr>
    </w:p>
    <w:p>
      <w:pPr>
        <w:pStyle w:val="Heading2"/>
        <w:numPr>
          <w:ilvl w:val="1"/>
          <w:numId w:val="23"/>
        </w:numPr>
        <w:tabs>
          <w:tab w:pos="471" w:val="left" w:leader="none"/>
        </w:tabs>
        <w:spacing w:line="240" w:lineRule="auto" w:before="0" w:after="0"/>
        <w:ind w:left="470" w:right="0" w:hanging="360"/>
        <w:jc w:val="both"/>
      </w:pPr>
      <w:bookmarkStart w:name="_TOC_250020" w:id="47"/>
      <w:r>
        <w:rPr/>
        <w:t>Dinámica de la industria</w:t>
      </w:r>
      <w:r>
        <w:rPr>
          <w:spacing w:val="-5"/>
        </w:rPr>
        <w:t> </w:t>
      </w:r>
      <w:bookmarkEnd w:id="47"/>
      <w:r>
        <w:rPr/>
        <w:t>automotriz.</w:t>
      </w:r>
    </w:p>
    <w:p>
      <w:pPr>
        <w:pStyle w:val="BodyText"/>
        <w:rPr>
          <w:b/>
        </w:rPr>
      </w:pPr>
    </w:p>
    <w:p>
      <w:pPr>
        <w:pStyle w:val="BodyText"/>
        <w:spacing w:before="9"/>
        <w:rPr>
          <w:b/>
          <w:sz w:val="23"/>
        </w:rPr>
      </w:pPr>
    </w:p>
    <w:p>
      <w:pPr>
        <w:pStyle w:val="BodyText"/>
        <w:spacing w:line="360" w:lineRule="auto"/>
        <w:ind w:left="110" w:right="108"/>
        <w:jc w:val="both"/>
      </w:pPr>
      <w:r>
        <w:rPr/>
        <w:t>El proceso de innovación constante y cambio en la industria automotriz conllevan a una serie de estrategias de producción como Calidad Total y justo  a tiempo, subcontratación, relocalización a países con mano de obra a bajo costo, fusiones, adquisiciones, joint venture, etc. Todos estos elementos muestran cambios en la organización de las empresas, en los modelos de producción, cadenas de suministros participación de mercado, etc. (Carbajal Suarez, 2010)</w:t>
      </w:r>
    </w:p>
    <w:p>
      <w:pPr>
        <w:pStyle w:val="BodyText"/>
        <w:spacing w:line="360" w:lineRule="auto" w:before="209"/>
        <w:ind w:left="110" w:right="108"/>
        <w:jc w:val="both"/>
      </w:pPr>
      <w:r>
        <w:rPr/>
        <w:t>A fines del año 2011 la producción mundial de autos fue de alrededor de 80 millones de unidades, incluyendo camionetas, camiones y autobuses; el total  de empleos directos e indirectos en la industria fue de 50 millones de</w:t>
      </w:r>
      <w:r>
        <w:rPr>
          <w:spacing w:val="-1"/>
        </w:rPr>
        <w:t> </w:t>
      </w:r>
      <w:r>
        <w:rPr/>
        <w:t>puestos.</w:t>
      </w:r>
    </w:p>
    <w:p>
      <w:pPr>
        <w:pStyle w:val="BodyText"/>
        <w:spacing w:line="360" w:lineRule="auto" w:before="209"/>
        <w:ind w:left="110" w:right="108"/>
        <w:jc w:val="both"/>
      </w:pPr>
      <w:r>
        <w:rPr/>
        <w:t>Actualmente, los países especializados en segmentos de alto valor coexisten con zonas emergentes especializadas en procesos de fabricación intensivos en trabajo.  Con  base  en  la  OICA  (International  Organization  of  Motor</w:t>
      </w:r>
      <w:r>
        <w:rPr>
          <w:spacing w:val="64"/>
        </w:rPr>
        <w:t> </w:t>
      </w:r>
      <w:r>
        <w:rPr/>
        <w:t>Vehicle</w:t>
      </w:r>
    </w:p>
    <w:p>
      <w:pPr>
        <w:spacing w:after="0" w:line="360" w:lineRule="auto"/>
        <w:jc w:val="both"/>
        <w:sectPr>
          <w:headerReference w:type="default" r:id="rId44"/>
          <w:footerReference w:type="default" r:id="rId45"/>
          <w:pgSz w:w="11910" w:h="16840"/>
          <w:pgMar w:header="755" w:footer="724" w:top="960" w:bottom="920" w:left="1600" w:right="1580"/>
          <w:pgNumType w:start="68"/>
        </w:sectPr>
      </w:pPr>
    </w:p>
    <w:p>
      <w:pPr>
        <w:pStyle w:val="BodyText"/>
        <w:rPr>
          <w:sz w:val="20"/>
        </w:rPr>
      </w:pPr>
    </w:p>
    <w:p>
      <w:pPr>
        <w:pStyle w:val="BodyText"/>
        <w:spacing w:before="3"/>
        <w:rPr>
          <w:sz w:val="19"/>
        </w:rPr>
      </w:pPr>
    </w:p>
    <w:p>
      <w:pPr>
        <w:pStyle w:val="BodyText"/>
        <w:spacing w:line="355" w:lineRule="auto"/>
        <w:ind w:left="130"/>
      </w:pPr>
      <w:r>
        <w:rPr/>
        <w:t>Manufacturest, por sus siglas en inglés) los diez principales países productores de automóviles son:</w:t>
      </w:r>
    </w:p>
    <w:p>
      <w:pPr>
        <w:pStyle w:val="BodyText"/>
      </w:pPr>
    </w:p>
    <w:p>
      <w:pPr>
        <w:pStyle w:val="BodyText"/>
      </w:pPr>
    </w:p>
    <w:p>
      <w:pPr>
        <w:pStyle w:val="BodyText"/>
        <w:spacing w:before="7"/>
        <w:rPr>
          <w:sz w:val="23"/>
        </w:rPr>
      </w:pPr>
    </w:p>
    <w:p>
      <w:pPr>
        <w:pStyle w:val="Heading2"/>
        <w:ind w:left="130"/>
        <w:jc w:val="left"/>
      </w:pPr>
      <w:r>
        <w:rPr/>
        <w:t>Principales países productores mundiales de vehículos</w:t>
      </w:r>
    </w:p>
    <w:p>
      <w:pPr>
        <w:pStyle w:val="BodyText"/>
        <w:rPr>
          <w:b/>
          <w:sz w:val="20"/>
        </w:rPr>
      </w:pPr>
    </w:p>
    <w:p>
      <w:pPr>
        <w:pStyle w:val="BodyText"/>
        <w:rPr>
          <w:b/>
          <w:sz w:val="11"/>
        </w:rPr>
      </w:pPr>
    </w:p>
    <w:tbl>
      <w:tblPr>
        <w:tblW w:w="0" w:type="auto"/>
        <w:jc w:val="left"/>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18"/>
        <w:gridCol w:w="1898"/>
        <w:gridCol w:w="1895"/>
      </w:tblGrid>
      <w:tr>
        <w:trPr>
          <w:trHeight w:val="600" w:hRule="exact"/>
        </w:trPr>
        <w:tc>
          <w:tcPr>
            <w:tcW w:w="1218" w:type="dxa"/>
            <w:tcBorders>
              <w:left w:val="nil"/>
              <w:right w:val="nil"/>
            </w:tcBorders>
          </w:tcPr>
          <w:p>
            <w:pPr>
              <w:pStyle w:val="TableParagraph"/>
              <w:spacing w:line="272" w:lineRule="exact"/>
              <w:ind w:left="90" w:right="87"/>
              <w:rPr>
                <w:rFonts w:ascii="Arial" w:hAnsi="Arial"/>
                <w:b/>
                <w:sz w:val="24"/>
              </w:rPr>
            </w:pPr>
            <w:r>
              <w:rPr>
                <w:rFonts w:ascii="Arial" w:hAnsi="Arial"/>
                <w:b/>
                <w:sz w:val="24"/>
              </w:rPr>
              <w:t>Posición</w:t>
            </w:r>
          </w:p>
        </w:tc>
        <w:tc>
          <w:tcPr>
            <w:tcW w:w="1898" w:type="dxa"/>
            <w:tcBorders>
              <w:left w:val="nil"/>
              <w:right w:val="nil"/>
            </w:tcBorders>
          </w:tcPr>
          <w:p>
            <w:pPr>
              <w:pStyle w:val="TableParagraph"/>
              <w:spacing w:line="272" w:lineRule="exact"/>
              <w:ind w:left="86" w:right="88"/>
              <w:rPr>
                <w:rFonts w:ascii="Arial"/>
                <w:b/>
                <w:sz w:val="24"/>
              </w:rPr>
            </w:pPr>
            <w:r>
              <w:rPr>
                <w:rFonts w:ascii="Arial"/>
                <w:b/>
                <w:sz w:val="24"/>
              </w:rPr>
              <w:t>2010</w:t>
            </w:r>
          </w:p>
        </w:tc>
        <w:tc>
          <w:tcPr>
            <w:tcW w:w="1895" w:type="dxa"/>
            <w:tcBorders>
              <w:left w:val="nil"/>
              <w:right w:val="nil"/>
            </w:tcBorders>
          </w:tcPr>
          <w:p>
            <w:pPr>
              <w:pStyle w:val="TableParagraph"/>
              <w:spacing w:line="272" w:lineRule="exact"/>
              <w:ind w:left="89" w:right="84"/>
              <w:rPr>
                <w:rFonts w:ascii="Arial"/>
                <w:b/>
                <w:sz w:val="24"/>
              </w:rPr>
            </w:pPr>
            <w:r>
              <w:rPr>
                <w:rFonts w:ascii="Arial"/>
                <w:b/>
                <w:sz w:val="24"/>
              </w:rPr>
              <w:t>2011</w:t>
            </w:r>
          </w:p>
        </w:tc>
      </w:tr>
      <w:tr>
        <w:trPr>
          <w:trHeight w:val="590" w:hRule="exact"/>
        </w:trPr>
        <w:tc>
          <w:tcPr>
            <w:tcW w:w="1218" w:type="dxa"/>
            <w:tcBorders>
              <w:left w:val="nil"/>
              <w:bottom w:val="nil"/>
              <w:right w:val="nil"/>
            </w:tcBorders>
            <w:shd w:val="clear" w:color="auto" w:fill="C0C0C0"/>
          </w:tcPr>
          <w:p>
            <w:pPr>
              <w:pStyle w:val="TableParagraph"/>
              <w:spacing w:line="272" w:lineRule="exact"/>
              <w:ind w:left="3"/>
              <w:rPr>
                <w:rFonts w:ascii="Arial"/>
                <w:b/>
                <w:sz w:val="24"/>
              </w:rPr>
            </w:pPr>
            <w:r>
              <w:rPr>
                <w:rFonts w:ascii="Arial"/>
                <w:b/>
                <w:sz w:val="24"/>
              </w:rPr>
              <w:t>1</w:t>
            </w:r>
          </w:p>
        </w:tc>
        <w:tc>
          <w:tcPr>
            <w:tcW w:w="1898" w:type="dxa"/>
            <w:tcBorders>
              <w:left w:val="nil"/>
              <w:bottom w:val="nil"/>
              <w:right w:val="nil"/>
            </w:tcBorders>
            <w:shd w:val="clear" w:color="auto" w:fill="C0C0C0"/>
          </w:tcPr>
          <w:p>
            <w:pPr>
              <w:pStyle w:val="TableParagraph"/>
              <w:spacing w:line="272" w:lineRule="exact"/>
              <w:ind w:left="87" w:right="88"/>
              <w:rPr>
                <w:rFonts w:ascii="Arial"/>
                <w:sz w:val="24"/>
              </w:rPr>
            </w:pPr>
            <w:r>
              <w:rPr>
                <w:rFonts w:ascii="Arial"/>
                <w:sz w:val="24"/>
              </w:rPr>
              <w:t>China</w:t>
            </w:r>
          </w:p>
        </w:tc>
        <w:tc>
          <w:tcPr>
            <w:tcW w:w="1895" w:type="dxa"/>
            <w:tcBorders>
              <w:left w:val="nil"/>
              <w:bottom w:val="nil"/>
              <w:right w:val="nil"/>
            </w:tcBorders>
            <w:shd w:val="clear" w:color="auto" w:fill="C0C0C0"/>
          </w:tcPr>
          <w:p>
            <w:pPr>
              <w:pStyle w:val="TableParagraph"/>
              <w:spacing w:line="272" w:lineRule="exact"/>
              <w:ind w:left="89" w:right="84"/>
              <w:rPr>
                <w:rFonts w:ascii="Arial"/>
                <w:sz w:val="24"/>
              </w:rPr>
            </w:pPr>
            <w:r>
              <w:rPr>
                <w:rFonts w:ascii="Arial"/>
                <w:sz w:val="24"/>
              </w:rPr>
              <w:t>China</w:t>
            </w:r>
          </w:p>
        </w:tc>
      </w:tr>
      <w:tr>
        <w:trPr>
          <w:trHeight w:val="581" w:hRule="exact"/>
        </w:trPr>
        <w:tc>
          <w:tcPr>
            <w:tcW w:w="1218" w:type="dxa"/>
            <w:tcBorders>
              <w:top w:val="nil"/>
              <w:left w:val="nil"/>
              <w:bottom w:val="nil"/>
              <w:right w:val="nil"/>
            </w:tcBorders>
          </w:tcPr>
          <w:p>
            <w:pPr>
              <w:pStyle w:val="TableParagraph"/>
              <w:spacing w:line="272" w:lineRule="exact"/>
              <w:ind w:left="3"/>
              <w:rPr>
                <w:rFonts w:ascii="Arial"/>
                <w:b/>
                <w:sz w:val="24"/>
              </w:rPr>
            </w:pPr>
            <w:r>
              <w:rPr>
                <w:rFonts w:ascii="Arial"/>
                <w:b/>
                <w:sz w:val="24"/>
              </w:rPr>
              <w:t>2</w:t>
            </w:r>
          </w:p>
        </w:tc>
        <w:tc>
          <w:tcPr>
            <w:tcW w:w="1898" w:type="dxa"/>
            <w:tcBorders>
              <w:top w:val="nil"/>
              <w:left w:val="nil"/>
              <w:bottom w:val="nil"/>
              <w:right w:val="nil"/>
            </w:tcBorders>
          </w:tcPr>
          <w:p>
            <w:pPr>
              <w:pStyle w:val="TableParagraph"/>
              <w:spacing w:line="272" w:lineRule="exact"/>
              <w:ind w:left="87" w:right="88"/>
              <w:rPr>
                <w:rFonts w:ascii="Arial" w:hAnsi="Arial"/>
                <w:sz w:val="24"/>
              </w:rPr>
            </w:pPr>
            <w:r>
              <w:rPr>
                <w:rFonts w:ascii="Arial" w:hAnsi="Arial"/>
                <w:sz w:val="24"/>
              </w:rPr>
              <w:t>Japón</w:t>
            </w:r>
          </w:p>
        </w:tc>
        <w:tc>
          <w:tcPr>
            <w:tcW w:w="1895" w:type="dxa"/>
            <w:tcBorders>
              <w:top w:val="nil"/>
              <w:left w:val="nil"/>
              <w:bottom w:val="nil"/>
              <w:right w:val="nil"/>
            </w:tcBorders>
          </w:tcPr>
          <w:p>
            <w:pPr>
              <w:pStyle w:val="TableParagraph"/>
              <w:spacing w:line="272" w:lineRule="exact"/>
              <w:ind w:left="89" w:right="84"/>
              <w:rPr>
                <w:rFonts w:ascii="Arial"/>
                <w:sz w:val="24"/>
              </w:rPr>
            </w:pPr>
            <w:r>
              <w:rPr>
                <w:rFonts w:ascii="Arial"/>
                <w:sz w:val="24"/>
              </w:rPr>
              <w:t>Estados Unidos</w:t>
            </w:r>
          </w:p>
        </w:tc>
      </w:tr>
      <w:tr>
        <w:trPr>
          <w:trHeight w:val="576" w:hRule="exact"/>
        </w:trPr>
        <w:tc>
          <w:tcPr>
            <w:tcW w:w="1218" w:type="dxa"/>
            <w:tcBorders>
              <w:top w:val="nil"/>
              <w:left w:val="nil"/>
              <w:bottom w:val="nil"/>
              <w:right w:val="nil"/>
            </w:tcBorders>
            <w:shd w:val="clear" w:color="auto" w:fill="C0C0C0"/>
          </w:tcPr>
          <w:p>
            <w:pPr>
              <w:pStyle w:val="TableParagraph"/>
              <w:spacing w:line="272" w:lineRule="exact"/>
              <w:ind w:left="3"/>
              <w:rPr>
                <w:rFonts w:ascii="Arial"/>
                <w:b/>
                <w:sz w:val="24"/>
              </w:rPr>
            </w:pPr>
            <w:r>
              <w:rPr>
                <w:rFonts w:ascii="Arial"/>
                <w:b/>
                <w:sz w:val="24"/>
              </w:rPr>
              <w:t>3</w:t>
            </w:r>
          </w:p>
        </w:tc>
        <w:tc>
          <w:tcPr>
            <w:tcW w:w="1898" w:type="dxa"/>
            <w:tcBorders>
              <w:top w:val="nil"/>
              <w:left w:val="nil"/>
              <w:bottom w:val="nil"/>
              <w:right w:val="nil"/>
            </w:tcBorders>
            <w:shd w:val="clear" w:color="auto" w:fill="C0C0C0"/>
          </w:tcPr>
          <w:p>
            <w:pPr>
              <w:pStyle w:val="TableParagraph"/>
              <w:spacing w:line="272" w:lineRule="exact"/>
              <w:ind w:left="88" w:right="88"/>
              <w:rPr>
                <w:rFonts w:ascii="Arial"/>
                <w:sz w:val="24"/>
              </w:rPr>
            </w:pPr>
            <w:r>
              <w:rPr>
                <w:rFonts w:ascii="Arial"/>
                <w:sz w:val="24"/>
              </w:rPr>
              <w:t>Estados Unidos</w:t>
            </w:r>
          </w:p>
        </w:tc>
        <w:tc>
          <w:tcPr>
            <w:tcW w:w="1895" w:type="dxa"/>
            <w:tcBorders>
              <w:top w:val="nil"/>
              <w:left w:val="nil"/>
              <w:bottom w:val="nil"/>
              <w:right w:val="nil"/>
            </w:tcBorders>
            <w:shd w:val="clear" w:color="auto" w:fill="C0C0C0"/>
          </w:tcPr>
          <w:p>
            <w:pPr>
              <w:pStyle w:val="TableParagraph"/>
              <w:spacing w:line="272" w:lineRule="exact"/>
              <w:ind w:left="89" w:right="84"/>
              <w:rPr>
                <w:rFonts w:ascii="Arial" w:hAnsi="Arial"/>
                <w:sz w:val="24"/>
              </w:rPr>
            </w:pPr>
            <w:r>
              <w:rPr>
                <w:rFonts w:ascii="Arial" w:hAnsi="Arial"/>
                <w:sz w:val="24"/>
              </w:rPr>
              <w:t>Japón</w:t>
            </w:r>
          </w:p>
        </w:tc>
      </w:tr>
      <w:tr>
        <w:trPr>
          <w:trHeight w:val="581" w:hRule="exact"/>
        </w:trPr>
        <w:tc>
          <w:tcPr>
            <w:tcW w:w="1218" w:type="dxa"/>
            <w:tcBorders>
              <w:top w:val="nil"/>
              <w:left w:val="nil"/>
              <w:bottom w:val="nil"/>
              <w:right w:val="nil"/>
            </w:tcBorders>
          </w:tcPr>
          <w:p>
            <w:pPr>
              <w:pStyle w:val="TableParagraph"/>
              <w:spacing w:line="272" w:lineRule="exact"/>
              <w:ind w:left="3"/>
              <w:rPr>
                <w:rFonts w:ascii="Arial"/>
                <w:b/>
                <w:sz w:val="24"/>
              </w:rPr>
            </w:pPr>
            <w:r>
              <w:rPr>
                <w:rFonts w:ascii="Arial"/>
                <w:b/>
                <w:sz w:val="24"/>
              </w:rPr>
              <w:t>4</w:t>
            </w:r>
          </w:p>
        </w:tc>
        <w:tc>
          <w:tcPr>
            <w:tcW w:w="1898" w:type="dxa"/>
            <w:tcBorders>
              <w:top w:val="nil"/>
              <w:left w:val="nil"/>
              <w:bottom w:val="nil"/>
              <w:right w:val="nil"/>
            </w:tcBorders>
          </w:tcPr>
          <w:p>
            <w:pPr>
              <w:pStyle w:val="TableParagraph"/>
              <w:spacing w:line="272" w:lineRule="exact"/>
              <w:ind w:left="86" w:right="88"/>
              <w:rPr>
                <w:rFonts w:ascii="Arial"/>
                <w:sz w:val="24"/>
              </w:rPr>
            </w:pPr>
            <w:r>
              <w:rPr>
                <w:rFonts w:ascii="Arial"/>
                <w:sz w:val="24"/>
              </w:rPr>
              <w:t>Alemania</w:t>
            </w:r>
          </w:p>
        </w:tc>
        <w:tc>
          <w:tcPr>
            <w:tcW w:w="1895" w:type="dxa"/>
            <w:tcBorders>
              <w:top w:val="nil"/>
              <w:left w:val="nil"/>
              <w:bottom w:val="nil"/>
              <w:right w:val="nil"/>
            </w:tcBorders>
          </w:tcPr>
          <w:p>
            <w:pPr>
              <w:pStyle w:val="TableParagraph"/>
              <w:spacing w:line="272" w:lineRule="exact"/>
              <w:ind w:left="89" w:right="84"/>
              <w:rPr>
                <w:rFonts w:ascii="Arial"/>
                <w:sz w:val="24"/>
              </w:rPr>
            </w:pPr>
            <w:r>
              <w:rPr>
                <w:rFonts w:ascii="Arial"/>
                <w:sz w:val="24"/>
              </w:rPr>
              <w:t>Alemania</w:t>
            </w:r>
          </w:p>
        </w:tc>
      </w:tr>
      <w:tr>
        <w:trPr>
          <w:trHeight w:val="581" w:hRule="exact"/>
        </w:trPr>
        <w:tc>
          <w:tcPr>
            <w:tcW w:w="1218" w:type="dxa"/>
            <w:tcBorders>
              <w:top w:val="nil"/>
              <w:left w:val="nil"/>
              <w:bottom w:val="nil"/>
              <w:right w:val="nil"/>
            </w:tcBorders>
            <w:shd w:val="clear" w:color="auto" w:fill="C0C0C0"/>
          </w:tcPr>
          <w:p>
            <w:pPr>
              <w:pStyle w:val="TableParagraph"/>
              <w:spacing w:line="272" w:lineRule="exact"/>
              <w:ind w:left="3"/>
              <w:rPr>
                <w:rFonts w:ascii="Arial"/>
                <w:b/>
                <w:sz w:val="24"/>
              </w:rPr>
            </w:pPr>
            <w:r>
              <w:rPr>
                <w:rFonts w:ascii="Arial"/>
                <w:b/>
                <w:sz w:val="24"/>
              </w:rPr>
              <w:t>5</w:t>
            </w:r>
          </w:p>
        </w:tc>
        <w:tc>
          <w:tcPr>
            <w:tcW w:w="1898" w:type="dxa"/>
            <w:tcBorders>
              <w:top w:val="nil"/>
              <w:left w:val="nil"/>
              <w:bottom w:val="nil"/>
              <w:right w:val="nil"/>
            </w:tcBorders>
            <w:shd w:val="clear" w:color="auto" w:fill="C0C0C0"/>
          </w:tcPr>
          <w:p>
            <w:pPr>
              <w:pStyle w:val="TableParagraph"/>
              <w:spacing w:line="272" w:lineRule="exact"/>
              <w:ind w:left="88" w:right="88"/>
              <w:rPr>
                <w:rFonts w:ascii="Arial"/>
                <w:sz w:val="24"/>
              </w:rPr>
            </w:pPr>
            <w:r>
              <w:rPr>
                <w:rFonts w:ascii="Arial"/>
                <w:sz w:val="24"/>
              </w:rPr>
              <w:t>Corea del Sur</w:t>
            </w:r>
          </w:p>
        </w:tc>
        <w:tc>
          <w:tcPr>
            <w:tcW w:w="1895" w:type="dxa"/>
            <w:tcBorders>
              <w:top w:val="nil"/>
              <w:left w:val="nil"/>
              <w:bottom w:val="nil"/>
              <w:right w:val="nil"/>
            </w:tcBorders>
            <w:shd w:val="clear" w:color="auto" w:fill="C0C0C0"/>
          </w:tcPr>
          <w:p>
            <w:pPr>
              <w:pStyle w:val="TableParagraph"/>
              <w:spacing w:line="272" w:lineRule="exact"/>
              <w:ind w:left="89" w:right="84"/>
              <w:rPr>
                <w:rFonts w:ascii="Arial"/>
                <w:sz w:val="24"/>
              </w:rPr>
            </w:pPr>
            <w:r>
              <w:rPr>
                <w:rFonts w:ascii="Arial"/>
                <w:sz w:val="24"/>
              </w:rPr>
              <w:t>Corea del Sur</w:t>
            </w:r>
          </w:p>
        </w:tc>
      </w:tr>
      <w:tr>
        <w:trPr>
          <w:trHeight w:val="581" w:hRule="exact"/>
        </w:trPr>
        <w:tc>
          <w:tcPr>
            <w:tcW w:w="1218" w:type="dxa"/>
            <w:tcBorders>
              <w:top w:val="nil"/>
              <w:left w:val="nil"/>
              <w:bottom w:val="nil"/>
              <w:right w:val="nil"/>
            </w:tcBorders>
          </w:tcPr>
          <w:p>
            <w:pPr>
              <w:pStyle w:val="TableParagraph"/>
              <w:spacing w:line="272" w:lineRule="exact"/>
              <w:ind w:left="3"/>
              <w:rPr>
                <w:rFonts w:ascii="Arial"/>
                <w:b/>
                <w:sz w:val="24"/>
              </w:rPr>
            </w:pPr>
            <w:r>
              <w:rPr>
                <w:rFonts w:ascii="Arial"/>
                <w:b/>
                <w:sz w:val="24"/>
              </w:rPr>
              <w:t>6</w:t>
            </w:r>
          </w:p>
        </w:tc>
        <w:tc>
          <w:tcPr>
            <w:tcW w:w="1898" w:type="dxa"/>
            <w:tcBorders>
              <w:top w:val="nil"/>
              <w:left w:val="nil"/>
              <w:bottom w:val="nil"/>
              <w:right w:val="nil"/>
            </w:tcBorders>
          </w:tcPr>
          <w:p>
            <w:pPr>
              <w:pStyle w:val="TableParagraph"/>
              <w:spacing w:line="272" w:lineRule="exact"/>
              <w:ind w:left="87" w:right="88"/>
              <w:rPr>
                <w:rFonts w:ascii="Arial"/>
                <w:sz w:val="24"/>
              </w:rPr>
            </w:pPr>
            <w:r>
              <w:rPr>
                <w:rFonts w:ascii="Arial"/>
                <w:sz w:val="24"/>
              </w:rPr>
              <w:t>Brasil</w:t>
            </w:r>
          </w:p>
        </w:tc>
        <w:tc>
          <w:tcPr>
            <w:tcW w:w="1895" w:type="dxa"/>
            <w:tcBorders>
              <w:top w:val="nil"/>
              <w:left w:val="nil"/>
              <w:bottom w:val="nil"/>
              <w:right w:val="nil"/>
            </w:tcBorders>
          </w:tcPr>
          <w:p>
            <w:pPr>
              <w:pStyle w:val="TableParagraph"/>
              <w:spacing w:line="272" w:lineRule="exact"/>
              <w:ind w:left="89" w:right="84"/>
              <w:rPr>
                <w:rFonts w:ascii="Arial"/>
                <w:sz w:val="24"/>
              </w:rPr>
            </w:pPr>
            <w:r>
              <w:rPr>
                <w:rFonts w:ascii="Arial"/>
                <w:sz w:val="24"/>
              </w:rPr>
              <w:t>Brasil</w:t>
            </w:r>
          </w:p>
        </w:tc>
      </w:tr>
      <w:tr>
        <w:trPr>
          <w:trHeight w:val="576" w:hRule="exact"/>
        </w:trPr>
        <w:tc>
          <w:tcPr>
            <w:tcW w:w="1218" w:type="dxa"/>
            <w:tcBorders>
              <w:top w:val="nil"/>
              <w:left w:val="nil"/>
              <w:bottom w:val="nil"/>
              <w:right w:val="nil"/>
            </w:tcBorders>
            <w:shd w:val="clear" w:color="auto" w:fill="C0C0C0"/>
          </w:tcPr>
          <w:p>
            <w:pPr>
              <w:pStyle w:val="TableParagraph"/>
              <w:spacing w:line="272" w:lineRule="exact"/>
              <w:ind w:left="3"/>
              <w:rPr>
                <w:rFonts w:ascii="Arial"/>
                <w:b/>
                <w:sz w:val="24"/>
              </w:rPr>
            </w:pPr>
            <w:r>
              <w:rPr>
                <w:rFonts w:ascii="Arial"/>
                <w:b/>
                <w:sz w:val="24"/>
              </w:rPr>
              <w:t>7</w:t>
            </w:r>
          </w:p>
        </w:tc>
        <w:tc>
          <w:tcPr>
            <w:tcW w:w="1898" w:type="dxa"/>
            <w:tcBorders>
              <w:top w:val="nil"/>
              <w:left w:val="nil"/>
              <w:bottom w:val="nil"/>
              <w:right w:val="nil"/>
            </w:tcBorders>
            <w:shd w:val="clear" w:color="auto" w:fill="C0C0C0"/>
          </w:tcPr>
          <w:p>
            <w:pPr>
              <w:pStyle w:val="TableParagraph"/>
              <w:spacing w:line="272" w:lineRule="exact"/>
              <w:ind w:left="87" w:right="88"/>
              <w:rPr>
                <w:rFonts w:ascii="Arial"/>
                <w:sz w:val="24"/>
              </w:rPr>
            </w:pPr>
            <w:r>
              <w:rPr>
                <w:rFonts w:ascii="Arial"/>
                <w:sz w:val="24"/>
              </w:rPr>
              <w:t>India</w:t>
            </w:r>
          </w:p>
        </w:tc>
        <w:tc>
          <w:tcPr>
            <w:tcW w:w="1895" w:type="dxa"/>
            <w:tcBorders>
              <w:top w:val="nil"/>
              <w:left w:val="nil"/>
              <w:bottom w:val="nil"/>
              <w:right w:val="nil"/>
            </w:tcBorders>
            <w:shd w:val="clear" w:color="auto" w:fill="C0C0C0"/>
          </w:tcPr>
          <w:p>
            <w:pPr>
              <w:pStyle w:val="TableParagraph"/>
              <w:spacing w:line="272" w:lineRule="exact"/>
              <w:ind w:left="89" w:right="84"/>
              <w:rPr>
                <w:rFonts w:ascii="Arial"/>
                <w:sz w:val="24"/>
              </w:rPr>
            </w:pPr>
            <w:r>
              <w:rPr>
                <w:rFonts w:ascii="Arial"/>
                <w:sz w:val="24"/>
              </w:rPr>
              <w:t>India</w:t>
            </w:r>
          </w:p>
        </w:tc>
      </w:tr>
      <w:tr>
        <w:trPr>
          <w:trHeight w:val="581" w:hRule="exact"/>
        </w:trPr>
        <w:tc>
          <w:tcPr>
            <w:tcW w:w="1218" w:type="dxa"/>
            <w:tcBorders>
              <w:top w:val="nil"/>
              <w:left w:val="nil"/>
              <w:bottom w:val="nil"/>
              <w:right w:val="nil"/>
            </w:tcBorders>
          </w:tcPr>
          <w:p>
            <w:pPr>
              <w:pStyle w:val="TableParagraph"/>
              <w:spacing w:line="272" w:lineRule="exact"/>
              <w:ind w:left="3"/>
              <w:rPr>
                <w:rFonts w:ascii="Arial"/>
                <w:b/>
                <w:sz w:val="24"/>
              </w:rPr>
            </w:pPr>
            <w:r>
              <w:rPr>
                <w:rFonts w:ascii="Arial"/>
                <w:b/>
                <w:sz w:val="24"/>
              </w:rPr>
              <w:t>8</w:t>
            </w:r>
          </w:p>
        </w:tc>
        <w:tc>
          <w:tcPr>
            <w:tcW w:w="1898" w:type="dxa"/>
            <w:tcBorders>
              <w:top w:val="nil"/>
              <w:left w:val="nil"/>
              <w:bottom w:val="nil"/>
              <w:right w:val="nil"/>
            </w:tcBorders>
          </w:tcPr>
          <w:p>
            <w:pPr>
              <w:pStyle w:val="TableParagraph"/>
              <w:spacing w:line="272" w:lineRule="exact"/>
              <w:ind w:left="87" w:right="88"/>
              <w:rPr>
                <w:rFonts w:ascii="Arial" w:hAnsi="Arial"/>
                <w:sz w:val="24"/>
              </w:rPr>
            </w:pPr>
            <w:r>
              <w:rPr>
                <w:rFonts w:ascii="Arial" w:hAnsi="Arial"/>
                <w:sz w:val="24"/>
              </w:rPr>
              <w:t>España</w:t>
            </w:r>
          </w:p>
        </w:tc>
        <w:tc>
          <w:tcPr>
            <w:tcW w:w="1895" w:type="dxa"/>
            <w:tcBorders>
              <w:top w:val="nil"/>
              <w:left w:val="nil"/>
              <w:bottom w:val="nil"/>
              <w:right w:val="nil"/>
            </w:tcBorders>
          </w:tcPr>
          <w:p>
            <w:pPr>
              <w:pStyle w:val="TableParagraph"/>
              <w:spacing w:line="272" w:lineRule="exact"/>
              <w:ind w:left="89" w:right="84"/>
              <w:rPr>
                <w:rFonts w:ascii="Arial" w:hAnsi="Arial"/>
                <w:sz w:val="24"/>
              </w:rPr>
            </w:pPr>
            <w:r>
              <w:rPr>
                <w:rFonts w:ascii="Arial" w:hAnsi="Arial"/>
                <w:sz w:val="24"/>
              </w:rPr>
              <w:t>México</w:t>
            </w:r>
          </w:p>
        </w:tc>
      </w:tr>
      <w:tr>
        <w:trPr>
          <w:trHeight w:val="581" w:hRule="exact"/>
        </w:trPr>
        <w:tc>
          <w:tcPr>
            <w:tcW w:w="1218" w:type="dxa"/>
            <w:tcBorders>
              <w:top w:val="nil"/>
              <w:left w:val="nil"/>
              <w:bottom w:val="nil"/>
              <w:right w:val="nil"/>
            </w:tcBorders>
            <w:shd w:val="clear" w:color="auto" w:fill="C0C0C0"/>
          </w:tcPr>
          <w:p>
            <w:pPr>
              <w:pStyle w:val="TableParagraph"/>
              <w:spacing w:line="272" w:lineRule="exact"/>
              <w:ind w:left="3"/>
              <w:rPr>
                <w:rFonts w:ascii="Arial"/>
                <w:b/>
                <w:sz w:val="24"/>
              </w:rPr>
            </w:pPr>
            <w:r>
              <w:rPr>
                <w:rFonts w:ascii="Arial"/>
                <w:b/>
                <w:sz w:val="24"/>
              </w:rPr>
              <w:t>9</w:t>
            </w:r>
          </w:p>
        </w:tc>
        <w:tc>
          <w:tcPr>
            <w:tcW w:w="1898" w:type="dxa"/>
            <w:tcBorders>
              <w:top w:val="nil"/>
              <w:left w:val="nil"/>
              <w:bottom w:val="nil"/>
              <w:right w:val="nil"/>
            </w:tcBorders>
            <w:shd w:val="clear" w:color="auto" w:fill="C0C0C0"/>
          </w:tcPr>
          <w:p>
            <w:pPr>
              <w:pStyle w:val="TableParagraph"/>
              <w:spacing w:line="272" w:lineRule="exact"/>
              <w:ind w:left="87" w:right="88"/>
              <w:rPr>
                <w:rFonts w:ascii="Arial" w:hAnsi="Arial"/>
                <w:sz w:val="24"/>
              </w:rPr>
            </w:pPr>
            <w:r>
              <w:rPr>
                <w:rFonts w:ascii="Arial" w:hAnsi="Arial"/>
                <w:sz w:val="24"/>
              </w:rPr>
              <w:t>México</w:t>
            </w:r>
          </w:p>
        </w:tc>
        <w:tc>
          <w:tcPr>
            <w:tcW w:w="1895" w:type="dxa"/>
            <w:tcBorders>
              <w:top w:val="nil"/>
              <w:left w:val="nil"/>
              <w:bottom w:val="nil"/>
              <w:right w:val="nil"/>
            </w:tcBorders>
            <w:shd w:val="clear" w:color="auto" w:fill="C0C0C0"/>
          </w:tcPr>
          <w:p>
            <w:pPr>
              <w:pStyle w:val="TableParagraph"/>
              <w:spacing w:line="272" w:lineRule="exact"/>
              <w:ind w:left="89" w:right="84"/>
              <w:rPr>
                <w:rFonts w:ascii="Arial" w:hAnsi="Arial"/>
                <w:sz w:val="24"/>
              </w:rPr>
            </w:pPr>
            <w:r>
              <w:rPr>
                <w:rFonts w:ascii="Arial" w:hAnsi="Arial"/>
                <w:sz w:val="24"/>
              </w:rPr>
              <w:t>España</w:t>
            </w:r>
          </w:p>
        </w:tc>
      </w:tr>
      <w:tr>
        <w:trPr>
          <w:trHeight w:val="366" w:hRule="exact"/>
        </w:trPr>
        <w:tc>
          <w:tcPr>
            <w:tcW w:w="1218" w:type="dxa"/>
            <w:tcBorders>
              <w:top w:val="nil"/>
              <w:left w:val="nil"/>
              <w:bottom w:val="nil"/>
              <w:right w:val="nil"/>
            </w:tcBorders>
          </w:tcPr>
          <w:p>
            <w:pPr>
              <w:pStyle w:val="TableParagraph"/>
              <w:spacing w:line="272" w:lineRule="exact"/>
              <w:ind w:left="90" w:right="87"/>
              <w:rPr>
                <w:rFonts w:ascii="Arial"/>
                <w:b/>
                <w:sz w:val="24"/>
              </w:rPr>
            </w:pPr>
            <w:r>
              <w:rPr>
                <w:rFonts w:ascii="Arial"/>
                <w:b/>
                <w:sz w:val="24"/>
              </w:rPr>
              <w:t>10</w:t>
            </w:r>
          </w:p>
        </w:tc>
        <w:tc>
          <w:tcPr>
            <w:tcW w:w="1898" w:type="dxa"/>
            <w:tcBorders>
              <w:top w:val="nil"/>
              <w:left w:val="nil"/>
              <w:bottom w:val="nil"/>
              <w:right w:val="nil"/>
            </w:tcBorders>
          </w:tcPr>
          <w:p>
            <w:pPr>
              <w:pStyle w:val="TableParagraph"/>
              <w:spacing w:line="272" w:lineRule="exact"/>
              <w:ind w:left="87" w:right="88"/>
              <w:rPr>
                <w:rFonts w:ascii="Arial"/>
                <w:sz w:val="24"/>
              </w:rPr>
            </w:pPr>
            <w:r>
              <w:rPr>
                <w:rFonts w:ascii="Arial"/>
                <w:sz w:val="24"/>
              </w:rPr>
              <w:t>Francia</w:t>
            </w:r>
          </w:p>
        </w:tc>
        <w:tc>
          <w:tcPr>
            <w:tcW w:w="1895" w:type="dxa"/>
            <w:tcBorders>
              <w:top w:val="nil"/>
              <w:left w:val="nil"/>
              <w:bottom w:val="nil"/>
              <w:right w:val="nil"/>
            </w:tcBorders>
          </w:tcPr>
          <w:p>
            <w:pPr>
              <w:pStyle w:val="TableParagraph"/>
              <w:spacing w:line="272" w:lineRule="exact"/>
              <w:ind w:left="89" w:right="84"/>
              <w:rPr>
                <w:rFonts w:ascii="Arial"/>
                <w:sz w:val="24"/>
              </w:rPr>
            </w:pPr>
            <w:r>
              <w:rPr>
                <w:rFonts w:ascii="Arial"/>
                <w:sz w:val="24"/>
              </w:rPr>
              <w:t>Francia</w:t>
            </w:r>
          </w:p>
        </w:tc>
      </w:tr>
    </w:tbl>
    <w:p>
      <w:pPr>
        <w:pStyle w:val="BodyText"/>
        <w:spacing w:before="2"/>
        <w:rPr>
          <w:b/>
          <w:sz w:val="15"/>
        </w:rPr>
      </w:pPr>
      <w:r>
        <w:rPr/>
        <w:pict>
          <v:group style="position:absolute;margin-left:84.323898pt;margin-top:10.703776pt;width:252.3pt;height:1pt;mso-position-horizontal-relative:page;mso-position-vertical-relative:paragraph;z-index:1960;mso-wrap-distance-left:0;mso-wrap-distance-right:0" coordorigin="1686,214" coordsize="5046,20">
            <v:line style="position:absolute" from="1696,224" to="2930,224" stroked="true" strokeweight=".96pt" strokecolor="#000000"/>
            <v:line style="position:absolute" from="2916,224" to="2935,224" stroked="true" strokeweight=".96pt" strokecolor="#000000"/>
            <v:line style="position:absolute" from="2935,224" to="4826,224" stroked="true" strokeweight=".96pt" strokecolor="#000000"/>
            <v:line style="position:absolute" from="4812,224" to="4831,224" stroked="true" strokeweight=".96pt" strokecolor="#000000"/>
            <v:line style="position:absolute" from="4831,224" to="6722,224" stroked="true" strokeweight=".96pt" strokecolor="#000000"/>
            <w10:wrap type="topAndBottom"/>
          </v:group>
        </w:pict>
      </w:r>
    </w:p>
    <w:p>
      <w:pPr>
        <w:pStyle w:val="BodyText"/>
        <w:spacing w:line="237" w:lineRule="exact"/>
        <w:ind w:left="130"/>
        <w:jc w:val="both"/>
      </w:pPr>
      <w:r>
        <w:rPr/>
        <w:t>Fuente: BBVA Research</w:t>
      </w:r>
    </w:p>
    <w:p>
      <w:pPr>
        <w:pStyle w:val="BodyText"/>
        <w:spacing w:before="9"/>
        <w:rPr>
          <w:sz w:val="29"/>
        </w:rPr>
      </w:pPr>
    </w:p>
    <w:p>
      <w:pPr>
        <w:pStyle w:val="BodyText"/>
        <w:spacing w:line="357" w:lineRule="auto"/>
        <w:ind w:left="130" w:right="108"/>
        <w:jc w:val="both"/>
      </w:pPr>
      <w:r>
        <w:rPr/>
        <w:t>Con base en la premisa anterior, podemos identificar como países pioneros en investigación y desarrollo en el sector automotriz a países como Francia,  Japón, Estados Unidos, Alemania; y como economías en desarrollo a México, Brasil, India.</w:t>
      </w:r>
    </w:p>
    <w:p>
      <w:pPr>
        <w:pStyle w:val="BodyText"/>
        <w:spacing w:line="360" w:lineRule="auto" w:before="212"/>
        <w:ind w:left="130" w:right="108"/>
        <w:jc w:val="both"/>
      </w:pPr>
      <w:r>
        <w:rPr/>
        <w:t>Estados Unidos se ubicaba como productor principal de vehículos a nivel mundial a principios del año 2000, después del 2007, fue desplazado por Japón y por China. Otro cambio reciente en la producción ha sido observado en los países del Oeste de Europa y la zona NAFTA, donde la producción se ha visto disminuida. Sudamérica en contraparte, ha aumentado su participación en la producción   mundial   de   vehículos.   En   Europa   del   este   se   observa</w:t>
      </w:r>
      <w:r>
        <w:rPr>
          <w:spacing w:val="52"/>
        </w:rPr>
        <w:t> </w:t>
      </w:r>
      <w:r>
        <w:rPr/>
        <w:t>un</w:t>
      </w:r>
    </w:p>
    <w:p>
      <w:pPr>
        <w:spacing w:after="0" w:line="360" w:lineRule="auto"/>
        <w:jc w:val="both"/>
        <w:sectPr>
          <w:pgSz w:w="11910" w:h="16840"/>
          <w:pgMar w:header="755" w:footer="724" w:top="960" w:bottom="920" w:left="1580" w:right="1580"/>
        </w:sectPr>
      </w:pPr>
    </w:p>
    <w:p>
      <w:pPr>
        <w:pStyle w:val="BodyText"/>
        <w:rPr>
          <w:sz w:val="20"/>
        </w:rPr>
      </w:pPr>
    </w:p>
    <w:p>
      <w:pPr>
        <w:pStyle w:val="BodyText"/>
        <w:spacing w:before="3"/>
        <w:rPr>
          <w:sz w:val="19"/>
        </w:rPr>
      </w:pPr>
    </w:p>
    <w:p>
      <w:pPr>
        <w:pStyle w:val="BodyText"/>
        <w:spacing w:line="355" w:lineRule="auto"/>
        <w:ind w:left="110" w:right="108"/>
        <w:jc w:val="both"/>
      </w:pPr>
      <w:r>
        <w:rPr/>
        <w:t>decremento en la producción de vehículos principalmente en Rusia, República Checa, Eslovaquia y Turquía ha sido también notoria.</w:t>
      </w:r>
    </w:p>
    <w:p>
      <w:pPr>
        <w:pStyle w:val="BodyText"/>
        <w:spacing w:line="360" w:lineRule="auto" w:before="214"/>
        <w:ind w:left="110" w:right="108"/>
        <w:jc w:val="both"/>
      </w:pPr>
      <w:r>
        <w:rPr/>
        <w:t>Si identificamos por regiones, la más importante es Asia – Oceanía con una producción total de cerca de 41 millones de vehículos a finales del 2010.</w:t>
      </w:r>
    </w:p>
    <w:p>
      <w:pPr>
        <w:pStyle w:val="BodyText"/>
        <w:spacing w:line="357" w:lineRule="auto" w:before="209"/>
        <w:ind w:left="110" w:right="108"/>
        <w:jc w:val="both"/>
      </w:pPr>
      <w:r>
        <w:rPr/>
        <w:t>La importancia de las regiones radica en el desplazamiento de capital hacia zonas densamente pobladas y con grandes reservas de fuerza laboral, tal es el caso de India y China.</w:t>
      </w:r>
    </w:p>
    <w:p>
      <w:pPr>
        <w:pStyle w:val="BodyText"/>
        <w:spacing w:line="360" w:lineRule="auto" w:before="212"/>
        <w:ind w:left="110" w:right="108"/>
        <w:jc w:val="both"/>
      </w:pPr>
      <w:r>
        <w:rPr/>
        <w:t>El despliegue de nuevos productos en Asia no es una casualidad, es resultado del aumento en la producción de vehículos en China, así como al crecimiento económico de este país; en una década, China se convirtió en el primer acreedor y primer mercado del automóvil.</w:t>
      </w:r>
    </w:p>
    <w:p>
      <w:pPr>
        <w:pStyle w:val="BodyText"/>
      </w:pPr>
    </w:p>
    <w:p>
      <w:pPr>
        <w:pStyle w:val="BodyText"/>
      </w:pPr>
    </w:p>
    <w:p>
      <w:pPr>
        <w:pStyle w:val="BodyText"/>
        <w:spacing w:before="2"/>
        <w:rPr>
          <w:sz w:val="23"/>
        </w:rPr>
      </w:pPr>
    </w:p>
    <w:p>
      <w:pPr>
        <w:pStyle w:val="Heading2"/>
        <w:numPr>
          <w:ilvl w:val="1"/>
          <w:numId w:val="23"/>
        </w:numPr>
        <w:tabs>
          <w:tab w:pos="471" w:val="left" w:leader="none"/>
        </w:tabs>
        <w:spacing w:line="240" w:lineRule="auto" w:before="0" w:after="0"/>
        <w:ind w:left="470" w:right="0" w:hanging="360"/>
        <w:jc w:val="both"/>
      </w:pPr>
      <w:bookmarkStart w:name="_TOC_250019" w:id="48"/>
      <w:bookmarkEnd w:id="48"/>
      <w:r>
        <w:rPr/>
        <w:t>Industria Automotriz en México</w:t>
      </w:r>
    </w:p>
    <w:p>
      <w:pPr>
        <w:pStyle w:val="BodyText"/>
        <w:spacing w:line="360" w:lineRule="auto" w:before="141"/>
        <w:ind w:left="110" w:right="108"/>
        <w:jc w:val="both"/>
      </w:pPr>
      <w:r>
        <w:rPr/>
        <w:t>En México así como en otros países cuya actividad principal es la manufactura, la industria automotriz constituye un cimiento económico y estratégico importante debido a la generación de empleos, a la capacitación del personal, al desarrollo de proveedores y a la generación de ingresos entre otros. El crecimiento de la industria automotriz en México es el resultado de una serie de acontecimientos y cambios inherentes a la globalización así como a la política económica del país.</w:t>
      </w:r>
    </w:p>
    <w:p>
      <w:pPr>
        <w:pStyle w:val="BodyText"/>
        <w:spacing w:line="360" w:lineRule="auto" w:before="209"/>
        <w:ind w:left="110" w:right="108"/>
        <w:jc w:val="both"/>
      </w:pPr>
      <w:r>
        <w:rPr/>
        <w:t>Esta industria cuenta desde el comienzo con programas específicos de desarrollo emitidos por el gobierno federal cuyo objeto es la regulación de la producción y ventas; esto incluye limitaciones al número de empresas terminales, restricciones a la participación de la inversión extranjera en las empresas de autopartes y algunas prohibiciones a la importación a fin de proteger la producción local.</w:t>
      </w:r>
    </w:p>
    <w:p>
      <w:pPr>
        <w:pStyle w:val="BodyText"/>
        <w:spacing w:line="360" w:lineRule="auto" w:before="209"/>
        <w:ind w:left="110" w:right="108"/>
        <w:jc w:val="both"/>
      </w:pPr>
      <w:r>
        <w:rPr/>
        <w:t>Desde el inicio de la década de los 60’s, con el objeto de fomentar la industria automotriz en el país, el Gobierno Federal promovió la sustitución de importaciones de vehículos y componentes de ensamble por producción nacional. Las normas comenzaron a ser más flexibles a partir de la adhesión de</w:t>
      </w:r>
    </w:p>
    <w:p>
      <w:pPr>
        <w:spacing w:after="0" w:line="360" w:lineRule="auto"/>
        <w:jc w:val="both"/>
        <w:sectPr>
          <w:footerReference w:type="default" r:id="rId46"/>
          <w:pgSz w:w="11910" w:h="16840"/>
          <w:pgMar w:footer="724" w:header="755" w:top="960" w:bottom="920" w:left="1600" w:right="1580"/>
        </w:sectPr>
      </w:pPr>
    </w:p>
    <w:p>
      <w:pPr>
        <w:pStyle w:val="BodyText"/>
        <w:rPr>
          <w:sz w:val="20"/>
        </w:rPr>
      </w:pPr>
    </w:p>
    <w:p>
      <w:pPr>
        <w:pStyle w:val="BodyText"/>
        <w:spacing w:before="3"/>
        <w:rPr>
          <w:sz w:val="19"/>
        </w:rPr>
      </w:pPr>
    </w:p>
    <w:p>
      <w:pPr>
        <w:pStyle w:val="BodyText"/>
        <w:spacing w:line="360" w:lineRule="auto"/>
        <w:ind w:left="110" w:right="108"/>
        <w:jc w:val="both"/>
      </w:pPr>
      <w:r>
        <w:rPr/>
        <w:t>México al Acuerdo General de Aranceles y Comercio (GATT) en agosto de 1986. Entre 1983 y 1987, período en el que el país enfrentó dos crisis económicas, la industria automotriz se caracterizó por tener una inestabilidad con variaciones a la alza y a la baja en su nivel de producción. A partir de 1987, bajo el contexto de la política de reconversión industrial, las empresas automotrices comenzaron una etapa de reestructuración en sus operaciones.</w:t>
      </w:r>
    </w:p>
    <w:p>
      <w:pPr>
        <w:pStyle w:val="BodyText"/>
        <w:spacing w:line="360" w:lineRule="auto" w:before="209"/>
        <w:ind w:left="110" w:right="108"/>
        <w:jc w:val="both"/>
      </w:pPr>
      <w:r>
        <w:rPr/>
        <w:t>Entre los años de 1988 y 1992, la industria automotriz mexicana tuvo una etapa de expansión debido a su incursión al mercado externo. México ofrecía ventajas competitivas en mano de obra, acceso a insumos y localización estratégica al mercado estadounidense. Los resultados de esa reestructuración se reflejaron en el nivel de producción, el cual pasó de 395 mil 258 unidades en 1987 a 820 mil 576 en 1990. En este último año, el Producto Interno Bruto  (PIB) del sector creció 14.7%, respecto a 1989, gracias a la industria terminal que mostró un crecimiento de 26.3% debido a su mayor inserción en el comercio exterior.</w:t>
      </w:r>
    </w:p>
    <w:p>
      <w:pPr>
        <w:pStyle w:val="BodyText"/>
        <w:spacing w:line="360" w:lineRule="auto" w:before="209"/>
        <w:ind w:left="110" w:right="108"/>
        <w:jc w:val="both"/>
      </w:pPr>
      <w:r>
        <w:rPr/>
        <w:t>Con la firma del Tratado de Libre Comercio de América del Norte (TLCAN) en 1994 y otros acuerdos comerciales, las empresas automotrices mexicanas ampliaron su integración al sistema de producción de la industria automotriz estadounidense; de igual forma, se incrementó el volumen de comercio exterior de esa industria como los flujos de inversión extranjera provenientes de otros países.</w:t>
      </w:r>
    </w:p>
    <w:p>
      <w:pPr>
        <w:pStyle w:val="BodyText"/>
        <w:spacing w:line="360" w:lineRule="auto" w:before="209"/>
        <w:ind w:left="110" w:right="108"/>
        <w:jc w:val="both"/>
      </w:pPr>
      <w:r>
        <w:rPr/>
        <w:t>Esta transformación permitió a las empresas cambiar de una producción de altos costos, falta de flexibilidad para el cambio, calidad deficiente y altos rechazos, a otra considerada hoy como producción de “clase mundial” por su calidad, confiabilidad y métodos de producción flexible.</w:t>
      </w:r>
    </w:p>
    <w:p>
      <w:pPr>
        <w:pStyle w:val="BodyText"/>
        <w:spacing w:line="360" w:lineRule="auto" w:before="209"/>
        <w:ind w:left="110" w:right="108"/>
        <w:jc w:val="both"/>
      </w:pPr>
      <w:r>
        <w:rPr/>
        <w:t>A estas modificaciones le siguieron las transformaciones en los procesos productivos y la gestión administrativa, los ajustes en las entregas con los sistemas justo a tiempo, los programas de calidad total y el desarrollo de una cultura de calidad en la comunidad laboral; de esta forma, se fue conformando un grupo de empresas que se consolidaban como proveedores de primera  línea de las empresas</w:t>
      </w:r>
      <w:r>
        <w:rPr>
          <w:spacing w:val="-1"/>
        </w:rPr>
        <w:t> </w:t>
      </w:r>
      <w:r>
        <w:rPr/>
        <w:t>terminales.</w:t>
      </w:r>
    </w:p>
    <w:p>
      <w:pPr>
        <w:spacing w:after="0" w:line="360" w:lineRule="auto"/>
        <w:jc w:val="both"/>
        <w:sectPr>
          <w:footerReference w:type="default" r:id="rId47"/>
          <w:pgSz w:w="11910" w:h="16840"/>
          <w:pgMar w:footer="724" w:header="755" w:top="960" w:bottom="920" w:left="1600" w:right="1580"/>
          <w:pgNumType w:start="71"/>
        </w:sectPr>
      </w:pPr>
    </w:p>
    <w:p>
      <w:pPr>
        <w:pStyle w:val="BodyText"/>
        <w:rPr>
          <w:sz w:val="20"/>
        </w:rPr>
      </w:pPr>
    </w:p>
    <w:p>
      <w:pPr>
        <w:pStyle w:val="BodyText"/>
        <w:spacing w:before="3"/>
        <w:rPr>
          <w:sz w:val="19"/>
        </w:rPr>
      </w:pPr>
    </w:p>
    <w:p>
      <w:pPr>
        <w:pStyle w:val="BodyText"/>
        <w:spacing w:line="360" w:lineRule="auto"/>
        <w:ind w:left="110" w:right="248"/>
        <w:jc w:val="both"/>
      </w:pPr>
      <w:r>
        <w:rPr/>
        <w:t>Durante el periodo comprendido de 1990 al 2000, la industria automotriz total tuvo una tasa media de crecimiento anual de 8.3%. Al año 2000, el nivel de producción alcanzó 1 millón 923 mil unidades; las exportaciones de productos automotrices pasaron de 10 mil 155 millones de dólares en 1993 a 38 mil 47 millones de dólares en el año 2000.</w:t>
      </w:r>
    </w:p>
    <w:p>
      <w:pPr>
        <w:pStyle w:val="BodyText"/>
        <w:spacing w:line="360" w:lineRule="auto" w:before="209"/>
        <w:ind w:left="110" w:right="248"/>
        <w:jc w:val="both"/>
      </w:pPr>
      <w:r>
        <w:rPr/>
        <w:t>Después de la crisis que la industria automotriz enfrentó en el año 2008, se inició un proceso de reestructuración organizacional, las empresas cambiaron  el enfoque de producción relocalizando sus plantas en países de bajo costo. Se estima que en el año 2011, México ocupó el octavo lugar en la producción mundial de vehículos ligeros y el primer proveedor de autopartes a Estados Unidos.</w:t>
      </w:r>
    </w:p>
    <w:p>
      <w:pPr>
        <w:pStyle w:val="BodyText"/>
        <w:spacing w:line="360" w:lineRule="auto" w:before="209"/>
        <w:ind w:left="110" w:right="248"/>
        <w:jc w:val="both"/>
      </w:pPr>
      <w:r>
        <w:rPr/>
        <w:t>Al tercer trimestre del 2011, la industria automotriz contribuyó con el 3.6% del PIB; participó con más de 530 mil empleos directos e indirectos. El total de las exportaciones de la industria representaron 28.4% del total de la exportación manufacturera total.</w:t>
      </w:r>
    </w:p>
    <w:p>
      <w:pPr>
        <w:pStyle w:val="BodyText"/>
      </w:pPr>
    </w:p>
    <w:p>
      <w:pPr>
        <w:pStyle w:val="BodyText"/>
        <w:spacing w:before="1"/>
        <w:rPr>
          <w:sz w:val="30"/>
        </w:rPr>
      </w:pPr>
    </w:p>
    <w:p>
      <w:pPr>
        <w:pStyle w:val="Heading2"/>
        <w:spacing w:line="355" w:lineRule="auto"/>
        <w:ind w:right="248"/>
      </w:pPr>
      <w:r>
        <w:rPr/>
        <w:t>Porcentaje de contribución de la industria automotriz en los principales indicadores económicos de México, 2011.</w:t>
      </w:r>
    </w:p>
    <w:p>
      <w:pPr>
        <w:pStyle w:val="BodyText"/>
        <w:spacing w:before="1"/>
        <w:rPr>
          <w:b/>
          <w:sz w:val="15"/>
        </w:rPr>
      </w:pPr>
      <w:r>
        <w:rPr/>
        <w:pict>
          <v:group style="position:absolute;margin-left:85.25898pt;margin-top:10.62541pt;width:432.75pt;height:252.75pt;mso-position-horizontal-relative:page;mso-position-vertical-relative:paragraph;z-index:2416;mso-wrap-distance-left:0;mso-wrap-distance-right:0" coordorigin="1705,213" coordsize="8655,5055">
            <v:line style="position:absolute" from="2485,3839" to="9148,3839" stroked="true" strokeweight=".75pt" strokecolor="#989898"/>
            <v:line style="position:absolute" from="2485,3167" to="9148,3167" stroked="true" strokeweight=".75pt" strokecolor="#989898"/>
            <v:shape style="position:absolute;left:4303;top:2782;width:446;height:1742" type="#_x0000_t75" stroked="false">
              <v:imagedata r:id="rId48" o:title=""/>
            </v:shape>
            <v:line style="position:absolute" from="2485,2495" to="9148,2495" stroked="true" strokeweight=".75pt" strokecolor="#989898"/>
            <v:shape style="position:absolute;left:5968;top:2124;width:451;height:2400" type="#_x0000_t75" stroked="false">
              <v:imagedata r:id="rId49" o:title=""/>
            </v:shape>
            <v:line style="position:absolute" from="2485,1823" to="9148,1823" stroked="true" strokeweight=".75pt" strokecolor="#989898"/>
            <v:shape style="position:absolute;left:7639;top:1236;width:446;height:3288" type="#_x0000_t75" stroked="false">
              <v:imagedata r:id="rId50" o:title=""/>
            </v:shape>
            <v:shape style="position:absolute;left:2637;top:4073;width:446;height:451" type="#_x0000_t75" stroked="false">
              <v:imagedata r:id="rId51" o:title=""/>
            </v:shape>
            <v:shape style="position:absolute;left:2940;top:4155;width:446;height:370" type="#_x0000_t75" stroked="false">
              <v:imagedata r:id="rId52" o:title=""/>
            </v:shape>
            <v:shape style="position:absolute;left:4605;top:3012;width:451;height:1512" type="#_x0000_t75" stroked="false">
              <v:imagedata r:id="rId53" o:title=""/>
            </v:shape>
            <v:shape style="position:absolute;left:6276;top:2566;width:446;height:1958" type="#_x0000_t75" stroked="false">
              <v:imagedata r:id="rId54" o:title=""/>
            </v:shape>
            <v:shape style="position:absolute;left:7941;top:1481;width:446;height:3043" type="#_x0000_t75" stroked="false">
              <v:imagedata r:id="rId55" o:title=""/>
            </v:shape>
            <v:shape style="position:absolute;left:3242;top:4049;width:451;height:475" type="#_x0000_t75" stroked="false">
              <v:imagedata r:id="rId56" o:title=""/>
            </v:shape>
            <v:shape style="position:absolute;left:4912;top:2595;width:446;height:1930" type="#_x0000_t75" stroked="false">
              <v:imagedata r:id="rId57" o:title=""/>
            </v:shape>
            <v:shape style="position:absolute;left:6578;top:2028;width:446;height:2496" type="#_x0000_t75" stroked="false">
              <v:imagedata r:id="rId58" o:title=""/>
            </v:shape>
            <v:line style="position:absolute" from="2485,1151" to="9148,1151" stroked="true" strokeweight=".75pt" strokecolor="#989898"/>
            <v:shape style="position:absolute;left:8244;top:929;width:446;height:3595" type="#_x0000_t75" stroked="false">
              <v:imagedata r:id="rId59" o:title=""/>
            </v:shape>
            <v:shape style="position:absolute;left:3549;top:3992;width:446;height:533" type="#_x0000_t75" stroked="false">
              <v:imagedata r:id="rId60" o:title=""/>
            </v:shape>
            <v:shape style="position:absolute;left:5215;top:2676;width:446;height:1848" type="#_x0000_t75" stroked="false">
              <v:imagedata r:id="rId61" o:title=""/>
            </v:shape>
            <v:shape style="position:absolute;left:6880;top:1750;width:446;height:2774" type="#_x0000_t75" stroked="false">
              <v:imagedata r:id="rId62" o:title=""/>
            </v:shape>
            <v:shape style="position:absolute;left:8546;top:660;width:446;height:3864" type="#_x0000_t75" stroked="false">
              <v:imagedata r:id="rId63" o:title=""/>
            </v:shape>
            <v:shape style="position:absolute;left:2710;top:4110;width:303;height:403" type="#_x0000_t75" stroked="false">
              <v:imagedata r:id="rId64" o:title=""/>
            </v:shape>
            <v:shape style="position:absolute;left:4376;top:2819;width:303;height:1694" type="#_x0000_t75" stroked="false">
              <v:imagedata r:id="rId65" o:title=""/>
            </v:shape>
            <v:shape style="position:absolute;left:6043;top:2160;width:303;height:2353" type="#_x0000_t75" stroked="false">
              <v:imagedata r:id="rId66" o:title=""/>
            </v:shape>
            <v:shape style="position:absolute;left:7709;top:1273;width:303;height:3240" type="#_x0000_t75" stroked="false">
              <v:imagedata r:id="rId67" o:title=""/>
            </v:shape>
            <v:shape style="position:absolute;left:3013;top:4190;width:303;height:323" type="#_x0000_t75" stroked="false">
              <v:imagedata r:id="rId68" o:title=""/>
            </v:shape>
            <v:shape style="position:absolute;left:4679;top:3048;width:303;height:1465" type="#_x0000_t75" stroked="false">
              <v:imagedata r:id="rId69" o:title=""/>
            </v:shape>
            <v:shape style="position:absolute;left:6345;top:2604;width:303;height:1909" type="#_x0000_t75" stroked="false">
              <v:imagedata r:id="rId70" o:title=""/>
            </v:shape>
            <v:shape style="position:absolute;left:8012;top:1515;width:303;height:2998" type="#_x0000_t75" stroked="false">
              <v:imagedata r:id="rId71" o:title=""/>
            </v:shape>
            <v:shape style="position:absolute;left:3316;top:4083;width:303;height:430" type="#_x0000_t75" stroked="false">
              <v:imagedata r:id="rId72" o:title=""/>
            </v:shape>
            <v:shape style="position:absolute;left:4982;top:2631;width:303;height:1882" type="#_x0000_t75" stroked="false">
              <v:imagedata r:id="rId73" o:title=""/>
            </v:shape>
            <v:shape style="position:absolute;left:6648;top:2066;width:303;height:2447" type="#_x0000_t75" stroked="false">
              <v:imagedata r:id="rId74" o:title=""/>
            </v:shape>
            <v:shape style="position:absolute;left:8314;top:964;width:303;height:3549" type="#_x0000_t75" stroked="false">
              <v:imagedata r:id="rId75" o:title=""/>
            </v:shape>
            <v:shape style="position:absolute;left:3619;top:4029;width:303;height:484" type="#_x0000_t75" stroked="false">
              <v:imagedata r:id="rId76" o:title=""/>
            </v:shape>
            <v:shape style="position:absolute;left:5285;top:2712;width:303;height:1801" type="#_x0000_t75" stroked="false">
              <v:imagedata r:id="rId77" o:title=""/>
            </v:shape>
            <v:shape style="position:absolute;left:6951;top:1784;width:303;height:2729" type="#_x0000_t75" stroked="false">
              <v:imagedata r:id="rId78" o:title=""/>
            </v:shape>
            <v:shape style="position:absolute;left:8617;top:695;width:303;height:3818" type="#_x0000_t75" stroked="false">
              <v:imagedata r:id="rId79" o:title=""/>
            </v:shape>
            <v:line style="position:absolute" from="2485,479" to="9148,479" stroked="true" strokeweight=".75pt" strokecolor="#989898"/>
            <v:line style="position:absolute" from="2483,4513" to="2483,480" stroked="true" strokeweight=".75pt" strokecolor="#989898"/>
            <v:line style="position:absolute" from="2418,4511" to="2483,4511" stroked="true" strokeweight=".75pt" strokecolor="#989898"/>
            <v:line style="position:absolute" from="2418,3839" to="2483,3839" stroked="true" strokeweight=".75pt" strokecolor="#989898"/>
            <v:line style="position:absolute" from="2418,3167" to="2483,3167" stroked="true" strokeweight=".75pt" strokecolor="#989898"/>
            <v:line style="position:absolute" from="2418,2495" to="2483,2495" stroked="true" strokeweight=".75pt" strokecolor="#989898"/>
            <v:line style="position:absolute" from="2418,1823" to="2483,1823" stroked="true" strokeweight=".75pt" strokecolor="#989898"/>
            <v:line style="position:absolute" from="2418,1151" to="2483,1151" stroked="true" strokeweight=".75pt" strokecolor="#989898"/>
            <v:line style="position:absolute" from="2418,479" to="2483,479" stroked="true" strokeweight=".75pt" strokecolor="#989898"/>
            <v:line style="position:absolute" from="2483,4513" to="9148,4513" stroked="true" strokeweight=".75pt" strokecolor="#989898"/>
            <v:line style="position:absolute" from="2485,4511" to="2485,4577" stroked="true" strokeweight=".75pt" strokecolor="#989898"/>
            <v:line style="position:absolute" from="4151,4511" to="4151,4577" stroked="true" strokeweight=".75pt" strokecolor="#989898"/>
            <v:line style="position:absolute" from="5817,4511" to="5817,4577" stroked="true" strokeweight=".75pt" strokecolor="#989898"/>
            <v:line style="position:absolute" from="7482,4511" to="7482,4577" stroked="true" strokeweight=".75pt" strokecolor="#989898"/>
            <v:line style="position:absolute" from="9148,4511" to="9148,4577" stroked="true" strokeweight=".75pt" strokecolor="#989898"/>
            <v:shape style="position:absolute;left:9522;top:2083;width:110;height:110" type="#_x0000_t75" stroked="false">
              <v:imagedata r:id="rId80" o:title=""/>
            </v:shape>
            <v:shape style="position:absolute;left:9522;top:2484;width:110;height:110" type="#_x0000_t75" stroked="false">
              <v:imagedata r:id="rId81" o:title=""/>
            </v:shape>
            <v:shape style="position:absolute;left:9522;top:2886;width:110;height:110" type="#_x0000_t75" stroked="false">
              <v:imagedata r:id="rId82" o:title=""/>
            </v:shape>
            <v:shape style="position:absolute;left:9522;top:3288;width:110;height:110" type="#_x0000_t75" stroked="false">
              <v:imagedata r:id="rId83" o:title=""/>
            </v:shape>
            <v:rect style="position:absolute;left:1713;top:220;width:8640;height:5040" filled="false" stroked="true" strokeweight=".75pt" strokecolor="#989898"/>
            <v:shape style="position:absolute;left:1898;top:40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30.0</w:t>
                    </w:r>
                  </w:p>
                </w:txbxContent>
              </v:textbox>
              <w10:wrap type="none"/>
            </v:shape>
            <v:shape style="position:absolute;left:8311;top:389;width:658;height:469" type="#_x0000_t202" filled="false" stroked="false">
              <v:textbox inset="0,0,0,0">
                <w:txbxContent>
                  <w:p>
                    <w:pPr>
                      <w:spacing w:line="210" w:lineRule="exact" w:before="0"/>
                      <w:ind w:left="302" w:right="-19" w:firstLine="0"/>
                      <w:jc w:val="left"/>
                      <w:rPr>
                        <w:rFonts w:ascii="Calibri"/>
                        <w:sz w:val="20"/>
                      </w:rPr>
                    </w:pPr>
                    <w:r>
                      <w:rPr>
                        <w:rFonts w:ascii="Calibri"/>
                        <w:sz w:val="20"/>
                      </w:rPr>
                      <w:t>28.4</w:t>
                    </w:r>
                  </w:p>
                  <w:p>
                    <w:pPr>
                      <w:spacing w:line="234" w:lineRule="exact" w:before="24"/>
                      <w:ind w:left="0" w:right="-19" w:firstLine="0"/>
                      <w:jc w:val="left"/>
                      <w:rPr>
                        <w:rFonts w:ascii="Calibri"/>
                        <w:sz w:val="20"/>
                      </w:rPr>
                    </w:pPr>
                    <w:r>
                      <w:rPr>
                        <w:rFonts w:ascii="Calibri"/>
                        <w:sz w:val="20"/>
                      </w:rPr>
                      <w:t>26.4</w:t>
                    </w:r>
                  </w:p>
                </w:txbxContent>
              </v:textbox>
              <w10:wrap type="none"/>
            </v:shape>
            <v:shape style="position:absolute;left:1898;top:967;width:6466;height:442" type="#_x0000_t202" filled="false" stroked="false">
              <v:textbox inset="0,0,0,0">
                <w:txbxContent>
                  <w:p>
                    <w:pPr>
                      <w:tabs>
                        <w:tab w:pos="5807" w:val="left" w:leader="none"/>
                      </w:tabs>
                      <w:spacing w:line="264" w:lineRule="exact" w:before="0"/>
                      <w:ind w:left="0" w:right="0" w:firstLine="0"/>
                      <w:jc w:val="left"/>
                      <w:rPr>
                        <w:rFonts w:ascii="Calibri"/>
                        <w:sz w:val="20"/>
                      </w:rPr>
                    </w:pPr>
                    <w:r>
                      <w:rPr>
                        <w:rFonts w:ascii="Calibri"/>
                        <w:position w:val="-10"/>
                        <w:sz w:val="20"/>
                      </w:rPr>
                      <w:t>25.0</w:t>
                      <w:tab/>
                    </w:r>
                    <w:r>
                      <w:rPr>
                        <w:rFonts w:ascii="Calibri"/>
                        <w:sz w:val="20"/>
                      </w:rPr>
                      <w:t>24.1</w:t>
                    </w:r>
                  </w:p>
                  <w:p>
                    <w:pPr>
                      <w:spacing w:line="178" w:lineRule="exact" w:before="0"/>
                      <w:ind w:left="0" w:right="0" w:firstLine="0"/>
                      <w:jc w:val="right"/>
                      <w:rPr>
                        <w:rFonts w:ascii="Calibri"/>
                        <w:sz w:val="20"/>
                      </w:rPr>
                    </w:pPr>
                    <w:r>
                      <w:rPr>
                        <w:rFonts w:ascii="Calibri"/>
                        <w:sz w:val="20"/>
                      </w:rPr>
                      <w:t>22.3</w:t>
                    </w:r>
                  </w:p>
                </w:txbxContent>
              </v:textbox>
              <w10:wrap type="none"/>
            </v:shape>
            <v:shape style="position:absolute;left:1898;top:174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20.0</w:t>
                    </w:r>
                  </w:p>
                </w:txbxContent>
              </v:textbox>
              <w10:wrap type="none"/>
            </v:shape>
            <v:shape style="position:absolute;left:6039;top:185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17.5</w:t>
                    </w:r>
                  </w:p>
                </w:txbxContent>
              </v:textbox>
              <w10:wrap type="none"/>
            </v:shape>
            <v:shape style="position:absolute;left:6645;top:1478;width:658;height:483" type="#_x0000_t202" filled="false" stroked="false">
              <v:textbox inset="0,0,0,0">
                <w:txbxContent>
                  <w:p>
                    <w:pPr>
                      <w:spacing w:line="210" w:lineRule="exact" w:before="0"/>
                      <w:ind w:left="302" w:right="-19" w:firstLine="0"/>
                      <w:jc w:val="left"/>
                      <w:rPr>
                        <w:rFonts w:ascii="Calibri"/>
                        <w:sz w:val="20"/>
                      </w:rPr>
                    </w:pPr>
                    <w:r>
                      <w:rPr>
                        <w:rFonts w:ascii="Calibri"/>
                        <w:sz w:val="20"/>
                      </w:rPr>
                      <w:t>20.3</w:t>
                    </w:r>
                  </w:p>
                  <w:p>
                    <w:pPr>
                      <w:spacing w:line="234" w:lineRule="exact" w:before="38"/>
                      <w:ind w:left="0" w:right="-19" w:firstLine="0"/>
                      <w:jc w:val="left"/>
                      <w:rPr>
                        <w:rFonts w:ascii="Calibri"/>
                        <w:sz w:val="20"/>
                      </w:rPr>
                    </w:pPr>
                    <w:r>
                      <w:rPr>
                        <w:rFonts w:ascii="Calibri"/>
                        <w:sz w:val="20"/>
                      </w:rPr>
                      <w:t>18.2</w:t>
                    </w:r>
                  </w:p>
                </w:txbxContent>
              </v:textbox>
              <w10:wrap type="none"/>
            </v:shape>
            <v:shape style="position:absolute;left:1898;top:242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15.0</w:t>
                    </w:r>
                  </w:p>
                </w:txbxContent>
              </v:textbox>
              <w10:wrap type="none"/>
            </v:shape>
            <v:shape style="position:absolute;left:4373;top:251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12.6</w:t>
                    </w:r>
                  </w:p>
                </w:txbxContent>
              </v:textbox>
              <w10:wrap type="none"/>
            </v:shape>
            <v:shape style="position:absolute;left:4979;top:2325;width:658;height:281" type="#_x0000_t202" filled="false" stroked="false">
              <v:textbox inset="0,0,0,0">
                <w:txbxContent>
                  <w:p>
                    <w:pPr>
                      <w:spacing w:line="281" w:lineRule="exact" w:before="0"/>
                      <w:ind w:left="0" w:right="-16" w:firstLine="0"/>
                      <w:jc w:val="left"/>
                      <w:rPr>
                        <w:rFonts w:ascii="Calibri"/>
                        <w:sz w:val="20"/>
                      </w:rPr>
                    </w:pPr>
                    <w:r>
                      <w:rPr>
                        <w:rFonts w:ascii="Calibri"/>
                        <w:spacing w:val="-7"/>
                        <w:sz w:val="20"/>
                      </w:rPr>
                      <w:t>14.0</w:t>
                    </w:r>
                    <w:r>
                      <w:rPr>
                        <w:rFonts w:ascii="Calibri"/>
                        <w:spacing w:val="-7"/>
                        <w:position w:val="-7"/>
                        <w:sz w:val="20"/>
                      </w:rPr>
                      <w:t>13.4</w:t>
                    </w:r>
                  </w:p>
                </w:txbxContent>
              </v:textbox>
              <w10:wrap type="none"/>
            </v:shape>
            <v:shape style="position:absolute;left:6342;top:229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14.2</w:t>
                    </w:r>
                  </w:p>
                </w:txbxContent>
              </v:textbox>
              <w10:wrap type="none"/>
            </v:shape>
            <v:shape style="position:absolute;left:4676;top:274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10.9</w:t>
                    </w:r>
                  </w:p>
                </w:txbxContent>
              </v:textbox>
              <w10:wrap type="none"/>
            </v:shape>
            <v:shape style="position:absolute;left:1898;top:309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10.0</w:t>
                    </w:r>
                  </w:p>
                </w:txbxContent>
              </v:textbox>
              <w10:wrap type="none"/>
            </v:shape>
            <v:shape style="position:absolute;left:9677;top:2059;width:406;height:1405" type="#_x0000_t202" filled="false" stroked="false">
              <v:textbox inset="0,0,0,0">
                <w:txbxContent>
                  <w:p>
                    <w:pPr>
                      <w:spacing w:line="210" w:lineRule="exact" w:before="0"/>
                      <w:ind w:left="0" w:right="-20" w:firstLine="0"/>
                      <w:jc w:val="left"/>
                      <w:rPr>
                        <w:rFonts w:ascii="Calibri"/>
                        <w:sz w:val="20"/>
                      </w:rPr>
                    </w:pPr>
                    <w:r>
                      <w:rPr>
                        <w:rFonts w:ascii="Calibri"/>
                        <w:sz w:val="20"/>
                      </w:rPr>
                      <w:t>2008</w:t>
                    </w:r>
                  </w:p>
                  <w:p>
                    <w:pPr>
                      <w:spacing w:before="157"/>
                      <w:ind w:left="0" w:right="-20" w:firstLine="0"/>
                      <w:jc w:val="left"/>
                      <w:rPr>
                        <w:rFonts w:ascii="Calibri"/>
                        <w:sz w:val="20"/>
                      </w:rPr>
                    </w:pPr>
                    <w:r>
                      <w:rPr>
                        <w:rFonts w:ascii="Calibri"/>
                        <w:sz w:val="20"/>
                      </w:rPr>
                      <w:t>2009</w:t>
                    </w:r>
                  </w:p>
                  <w:p>
                    <w:pPr>
                      <w:spacing w:before="157"/>
                      <w:ind w:left="0" w:right="-20" w:firstLine="0"/>
                      <w:jc w:val="left"/>
                      <w:rPr>
                        <w:rFonts w:ascii="Calibri"/>
                        <w:sz w:val="20"/>
                      </w:rPr>
                    </w:pPr>
                    <w:r>
                      <w:rPr>
                        <w:rFonts w:ascii="Calibri"/>
                        <w:sz w:val="20"/>
                      </w:rPr>
                      <w:t>2010</w:t>
                    </w:r>
                  </w:p>
                  <w:p>
                    <w:pPr>
                      <w:spacing w:line="234" w:lineRule="exact" w:before="157"/>
                      <w:ind w:left="0" w:right="-20" w:firstLine="0"/>
                      <w:jc w:val="left"/>
                      <w:rPr>
                        <w:rFonts w:ascii="Calibri"/>
                        <w:sz w:val="20"/>
                      </w:rPr>
                    </w:pPr>
                    <w:r>
                      <w:rPr>
                        <w:rFonts w:ascii="Calibri"/>
                        <w:sz w:val="20"/>
                      </w:rPr>
                      <w:t>2011</w:t>
                    </w:r>
                  </w:p>
                </w:txbxContent>
              </v:textbox>
              <w10:wrap type="none"/>
            </v:shape>
            <v:shape style="position:absolute;left:1999;top:3765;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2757;top:3723;width:1163;height:362" type="#_x0000_t202" filled="false" stroked="false">
              <v:textbox inset="0,0,0,0">
                <w:txbxContent>
                  <w:p>
                    <w:pPr>
                      <w:spacing w:line="361" w:lineRule="exact" w:before="0"/>
                      <w:ind w:left="0" w:right="-6" w:firstLine="0"/>
                      <w:jc w:val="left"/>
                      <w:rPr>
                        <w:rFonts w:ascii="Calibri"/>
                        <w:sz w:val="20"/>
                      </w:rPr>
                    </w:pPr>
                    <w:r>
                      <w:rPr>
                        <w:rFonts w:ascii="Calibri"/>
                        <w:position w:val="-7"/>
                        <w:sz w:val="20"/>
                      </w:rPr>
                      <w:t>3.0 </w:t>
                    </w:r>
                    <w:r>
                      <w:rPr>
                        <w:rFonts w:ascii="Calibri"/>
                        <w:position w:val="-15"/>
                        <w:sz w:val="20"/>
                      </w:rPr>
                      <w:t>2.4 </w:t>
                    </w:r>
                    <w:r>
                      <w:rPr>
                        <w:rFonts w:ascii="Calibri"/>
                        <w:position w:val="-4"/>
                        <w:sz w:val="20"/>
                      </w:rPr>
                      <w:t>3.2 </w:t>
                    </w:r>
                    <w:r>
                      <w:rPr>
                        <w:rFonts w:ascii="Calibri"/>
                        <w:sz w:val="20"/>
                      </w:rPr>
                      <w:t>3.6</w:t>
                    </w:r>
                  </w:p>
                </w:txbxContent>
              </v:textbox>
              <w10:wrap type="none"/>
            </v:shape>
            <v:shape style="position:absolute;left:2101;top:4437;width:62;height:200" type="#_x0000_t202" filled="false" stroked="false">
              <v:textbox inset="0,0,0,0">
                <w:txbxContent>
                  <w:p>
                    <w:pPr>
                      <w:spacing w:line="200" w:lineRule="exact" w:before="0"/>
                      <w:ind w:left="0" w:right="-14" w:firstLine="0"/>
                      <w:jc w:val="left"/>
                      <w:rPr>
                        <w:rFonts w:ascii="Calibri" w:hAnsi="Calibri"/>
                        <w:sz w:val="20"/>
                      </w:rPr>
                    </w:pPr>
                    <w:r>
                      <w:rPr>
                        <w:rFonts w:ascii="Calibri" w:hAnsi="Calibri"/>
                        <w:w w:val="30"/>
                        <w:sz w:val="20"/>
                      </w:rPr>
                      <w:t>-­‐</w:t>
                    </w:r>
                  </w:p>
                </w:txbxContent>
              </v:textbox>
              <w10:wrap type="none"/>
            </v:shape>
            <v:shape style="position:absolute;left:2955;top:4684;width:720;height:200" type="#_x0000_t202" filled="false" stroked="false">
              <v:textbox inset="0,0,0,0">
                <w:txbxContent>
                  <w:p>
                    <w:pPr>
                      <w:spacing w:line="200" w:lineRule="exact" w:before="0"/>
                      <w:ind w:left="0" w:right="-20" w:firstLine="0"/>
                      <w:jc w:val="left"/>
                      <w:rPr>
                        <w:rFonts w:ascii="Calibri"/>
                        <w:sz w:val="20"/>
                      </w:rPr>
                    </w:pPr>
                    <w:r>
                      <w:rPr>
                        <w:rFonts w:ascii="Calibri"/>
                        <w:sz w:val="20"/>
                      </w:rPr>
                      <w:t>PIB Total</w:t>
                    </w:r>
                  </w:p>
                </w:txbxContent>
              </v:textbox>
              <w10:wrap type="none"/>
            </v:shape>
            <v:shape style="position:absolute;left:4363;top:4684;width:4619;height:440" type="#_x0000_t202" filled="false" stroked="false">
              <v:textbox inset="0,0,0,0">
                <w:txbxContent>
                  <w:p>
                    <w:pPr>
                      <w:tabs>
                        <w:tab w:pos="1603" w:val="left" w:leader="none"/>
                        <w:tab w:pos="3284" w:val="left" w:leader="none"/>
                      </w:tabs>
                      <w:spacing w:line="208" w:lineRule="exact" w:before="0"/>
                      <w:ind w:left="0" w:right="0" w:firstLine="310"/>
                      <w:jc w:val="left"/>
                      <w:rPr>
                        <w:rFonts w:ascii="Calibri"/>
                        <w:sz w:val="20"/>
                      </w:rPr>
                    </w:pPr>
                    <w:r>
                      <w:rPr>
                        <w:rFonts w:ascii="Calibri"/>
                        <w:sz w:val="20"/>
                      </w:rPr>
                      <w:t>Empleo</w:t>
                      <w:tab/>
                      <w:t>PIB Manufactura</w:t>
                      <w:tab/>
                      <w:t>% Exportaciones</w:t>
                    </w:r>
                  </w:p>
                  <w:p>
                    <w:pPr>
                      <w:tabs>
                        <w:tab w:pos="3305" w:val="left" w:leader="none"/>
                      </w:tabs>
                      <w:spacing w:line="232" w:lineRule="exact" w:before="0"/>
                      <w:ind w:left="0" w:right="0" w:firstLine="0"/>
                      <w:jc w:val="left"/>
                      <w:rPr>
                        <w:rFonts w:ascii="Calibri"/>
                        <w:sz w:val="20"/>
                      </w:rPr>
                    </w:pPr>
                    <w:r>
                      <w:rPr>
                        <w:rFonts w:ascii="Calibri"/>
                        <w:sz w:val="20"/>
                      </w:rPr>
                      <w:t>Manufacturero</w:t>
                      <w:tab/>
                      <w:t>manufactureras</w:t>
                    </w:r>
                  </w:p>
                </w:txbxContent>
              </v:textbox>
              <w10:wrap type="none"/>
            </v:shape>
            <w10:wrap type="topAndBottom"/>
          </v:group>
        </w:pict>
      </w:r>
    </w:p>
    <w:p>
      <w:pPr>
        <w:pStyle w:val="BodyText"/>
        <w:spacing w:before="10"/>
        <w:rPr>
          <w:b/>
          <w:sz w:val="28"/>
        </w:rPr>
      </w:pPr>
    </w:p>
    <w:p>
      <w:pPr>
        <w:pStyle w:val="BodyText"/>
        <w:ind w:left="110"/>
        <w:jc w:val="both"/>
      </w:pPr>
      <w:r>
        <w:rPr/>
        <w:t>Fuente: BBVA Research</w:t>
      </w:r>
    </w:p>
    <w:p>
      <w:pPr>
        <w:spacing w:after="0"/>
        <w:jc w:val="both"/>
        <w:sectPr>
          <w:pgSz w:w="11910" w:h="16840"/>
          <w:pgMar w:header="755" w:footer="724" w:top="960" w:bottom="920" w:left="1600" w:right="1440"/>
        </w:sectPr>
      </w:pPr>
    </w:p>
    <w:p>
      <w:pPr>
        <w:pStyle w:val="BodyText"/>
        <w:rPr>
          <w:sz w:val="20"/>
        </w:rPr>
      </w:pPr>
    </w:p>
    <w:p>
      <w:pPr>
        <w:pStyle w:val="BodyText"/>
        <w:spacing w:before="3"/>
        <w:rPr>
          <w:sz w:val="19"/>
        </w:rPr>
      </w:pPr>
    </w:p>
    <w:p>
      <w:pPr>
        <w:pStyle w:val="BodyText"/>
        <w:spacing w:line="360" w:lineRule="auto"/>
        <w:ind w:left="110" w:right="388"/>
        <w:jc w:val="both"/>
      </w:pPr>
      <w:r>
        <w:rPr/>
        <w:t>La industria automotriz nacional está formada principalmente por la industria terminal y de autopartes. Con base en datos de la Secretaria de Economía, “en México se encuentran instalaciones productivas de 18 de las más importantes empresas armadoras de vehículos (industria terminal), 2 fabricantes a motor diesel y más de 300 proveedores de primer nivel de la industria terminal o Tier 1”. (Secretaría de Economía, 2012)</w:t>
      </w:r>
    </w:p>
    <w:p>
      <w:pPr>
        <w:pStyle w:val="BodyText"/>
        <w:spacing w:before="6"/>
        <w:rPr>
          <w:sz w:val="15"/>
        </w:rPr>
      </w:pPr>
      <w:r>
        <w:rPr/>
        <w:pict>
          <v:group style="position:absolute;margin-left:86.023903pt;margin-top:10.913894pt;width:439.2pt;height:259.2pt;mso-position-horizontal-relative:page;mso-position-vertical-relative:paragraph;z-index:2752;mso-wrap-distance-left:0;mso-wrap-distance-right:0" coordorigin="1720,218" coordsize="8784,5184">
            <v:shape style="position:absolute;left:1720;top:218;width:2189;height:5184" type="#_x0000_t75" stroked="false">
              <v:imagedata r:id="rId84" o:title=""/>
            </v:shape>
            <v:shape style="position:absolute;left:1989;top:545;width:1646;height:1022" type="#_x0000_t75" stroked="false">
              <v:imagedata r:id="rId85" o:title=""/>
            </v:shape>
            <v:shape style="position:absolute;left:1795;top:255;width:2044;height:5040" coordorigin="1795,255" coordsize="2044,5040" path="m3634,255l1999,255,1920,271,1855,315,1811,380,1795,459,1795,5091,1811,5170,1855,5235,1920,5279,1999,5295,3634,5295,3714,5279,3779,5235,3823,5170,3839,5091,3839,459,3823,380,3779,315,3714,271,3634,255xe" filled="true" fillcolor="#d5d5d5" stroked="false">
              <v:path arrowok="t"/>
              <v:fill type="solid"/>
            </v:shape>
            <v:shape style="position:absolute;left:1927;top:1730;width:1781;height:509" type="#_x0000_t75" stroked="false">
              <v:imagedata r:id="rId86" o:title=""/>
            </v:shape>
            <v:shape style="position:absolute;left:2191;top:1783;width:1262;height:403" type="#_x0000_t75" stroked="false">
              <v:imagedata r:id="rId87" o:title=""/>
            </v:shape>
            <v:shape style="position:absolute;left:1999;top:1768;width:1635;height:361" type="#_x0000_t75" stroked="false">
              <v:imagedata r:id="rId88" o:title=""/>
            </v:shape>
            <v:shape style="position:absolute;left:1927;top:2148;width:1781;height:504" type="#_x0000_t75" stroked="false">
              <v:imagedata r:id="rId89" o:title=""/>
            </v:shape>
            <v:shape style="position:absolute;left:2551;top:2201;width:523;height:403" type="#_x0000_t75" stroked="false">
              <v:imagedata r:id="rId90" o:title=""/>
            </v:shape>
            <v:shape style="position:absolute;left:1999;top:2184;width:1635;height:361" type="#_x0000_t75" stroked="false">
              <v:imagedata r:id="rId91" o:title=""/>
            </v:shape>
            <v:shape style="position:absolute;left:1927;top:2565;width:1781;height:504" type="#_x0000_t75" stroked="false">
              <v:imagedata r:id="rId92" o:title=""/>
            </v:shape>
            <v:shape style="position:absolute;left:2248;top:2618;width:1147;height:403" type="#_x0000_t75" stroked="false">
              <v:imagedata r:id="rId93" o:title=""/>
            </v:shape>
            <v:shape style="position:absolute;left:1999;top:2600;width:1635;height:361" type="#_x0000_t75" stroked="false">
              <v:imagedata r:id="rId88" o:title=""/>
            </v:shape>
            <v:shape style="position:absolute;left:1927;top:2983;width:1781;height:504" type="#_x0000_t75" stroked="false">
              <v:imagedata r:id="rId94" o:title=""/>
            </v:shape>
            <v:shape style="position:absolute;left:2488;top:3031;width:643;height:408" type="#_x0000_t75" stroked="false">
              <v:imagedata r:id="rId95" o:title=""/>
            </v:shape>
            <v:shape style="position:absolute;left:1999;top:3017;width:1635;height:361" type="#_x0000_t75" stroked="false">
              <v:imagedata r:id="rId88" o:title=""/>
            </v:shape>
            <v:shape style="position:absolute;left:1927;top:3396;width:1781;height:504" type="#_x0000_t75" stroked="false">
              <v:imagedata r:id="rId96" o:title=""/>
            </v:shape>
            <v:shape style="position:absolute;left:2488;top:3449;width:667;height:403" type="#_x0000_t75" stroked="false">
              <v:imagedata r:id="rId97" o:title=""/>
            </v:shape>
            <v:shape style="position:absolute;left:1999;top:3433;width:1635;height:361" type="#_x0000_t75" stroked="false">
              <v:imagedata r:id="rId88" o:title=""/>
            </v:shape>
            <v:shape style="position:absolute;left:1927;top:3813;width:1781;height:504" type="#_x0000_t75" stroked="false">
              <v:imagedata r:id="rId98" o:title=""/>
            </v:shape>
            <v:shape style="position:absolute;left:2469;top:3866;width:686;height:403" type="#_x0000_t75" stroked="false">
              <v:imagedata r:id="rId99" o:title=""/>
            </v:shape>
            <v:shape style="position:absolute;left:1999;top:3849;width:1635;height:361" type="#_x0000_t75" stroked="false">
              <v:imagedata r:id="rId88" o:title=""/>
            </v:shape>
            <v:shape style="position:absolute;left:1927;top:4231;width:1781;height:504" type="#_x0000_t75" stroked="false">
              <v:imagedata r:id="rId100" o:title=""/>
            </v:shape>
            <v:shape style="position:absolute;left:2311;top:4284;width:1003;height:403" type="#_x0000_t75" stroked="false">
              <v:imagedata r:id="rId101" o:title=""/>
            </v:shape>
            <v:shape style="position:absolute;left:1999;top:4265;width:1635;height:361" type="#_x0000_t75" stroked="false">
              <v:imagedata r:id="rId88" o:title=""/>
            </v:shape>
            <v:shape style="position:absolute;left:1927;top:4644;width:1781;height:509" type="#_x0000_t75" stroked="false">
              <v:imagedata r:id="rId102" o:title=""/>
            </v:shape>
            <v:shape style="position:absolute;left:2508;top:4697;width:605;height:403" type="#_x0000_t75" stroked="false">
              <v:imagedata r:id="rId103" o:title=""/>
            </v:shape>
            <v:shape style="position:absolute;left:1999;top:4681;width:1635;height:361" type="#_x0000_t75" stroked="false">
              <v:imagedata r:id="rId88" o:title=""/>
            </v:shape>
            <v:shape style="position:absolute;left:3919;top:218;width:2189;height:5184" type="#_x0000_t75" stroked="false">
              <v:imagedata r:id="rId104" o:title=""/>
            </v:shape>
            <v:shape style="position:absolute;left:4010;top:545;width:2021;height:1022" type="#_x0000_t75" stroked="false">
              <v:imagedata r:id="rId105" o:title=""/>
            </v:shape>
            <v:shape style="position:absolute;left:3992;top:255;width:2044;height:5040" coordorigin="3992,255" coordsize="2044,5040" path="m5832,255l4196,255,4117,271,4052,315,4008,380,3992,459,3992,5091,4008,5170,4052,5235,4117,5279,4196,5295,5832,5295,5911,5279,5976,5235,6020,5170,6036,5091,6036,459,6020,380,5976,315,5911,271,5832,255xe" filled="true" fillcolor="#d5d5d5" stroked="false">
              <v:path arrowok="t"/>
              <v:fill type="solid"/>
            </v:shape>
            <v:shape style="position:absolute;left:4125;top:1730;width:1776;height:408" type="#_x0000_t75" stroked="false">
              <v:imagedata r:id="rId106" o:title=""/>
            </v:shape>
            <v:shape style="position:absolute;left:4644;top:1735;width:744;height:403" type="#_x0000_t75" stroked="false">
              <v:imagedata r:id="rId107" o:title=""/>
            </v:shape>
            <v:shape style="position:absolute;left:4196;top:1768;width:1635;height:261" type="#_x0000_t75" stroked="false">
              <v:imagedata r:id="rId108" o:title=""/>
            </v:shape>
            <v:shape style="position:absolute;left:4125;top:2033;width:1776;height:408" type="#_x0000_t75" stroked="false">
              <v:imagedata r:id="rId109" o:title=""/>
            </v:shape>
            <v:shape style="position:absolute;left:4682;top:2037;width:667;height:403" type="#_x0000_t75" stroked="false">
              <v:imagedata r:id="rId110" o:title=""/>
            </v:shape>
            <v:shape style="position:absolute;left:4196;top:2069;width:1635;height:261" type="#_x0000_t75" stroked="false">
              <v:imagedata r:id="rId108" o:title=""/>
            </v:shape>
            <v:shape style="position:absolute;left:4125;top:2335;width:1776;height:403" type="#_x0000_t75" stroked="false">
              <v:imagedata r:id="rId111" o:title=""/>
            </v:shape>
            <v:shape style="position:absolute;left:4706;top:2335;width:600;height:408" type="#_x0000_t75" stroked="false">
              <v:imagedata r:id="rId112" o:title=""/>
            </v:shape>
            <v:shape style="position:absolute;left:4196;top:2371;width:1635;height:261" type="#_x0000_t75" stroked="false">
              <v:imagedata r:id="rId108" o:title=""/>
            </v:shape>
            <v:shape style="position:absolute;left:4125;top:2637;width:1776;height:403" type="#_x0000_t75" stroked="false">
              <v:imagedata r:id="rId113" o:title=""/>
            </v:shape>
            <v:shape style="position:absolute;left:4725;top:2637;width:581;height:403" type="#_x0000_t75" stroked="false">
              <v:imagedata r:id="rId114" o:title=""/>
            </v:shape>
            <v:shape style="position:absolute;left:4196;top:2672;width:1635;height:261" type="#_x0000_t75" stroked="false">
              <v:imagedata r:id="rId108" o:title=""/>
            </v:shape>
            <v:shape style="position:absolute;left:4125;top:2935;width:1776;height:408" type="#_x0000_t75" stroked="false">
              <v:imagedata r:id="rId115" o:title=""/>
            </v:shape>
            <v:shape style="position:absolute;left:4586;top:2940;width:864;height:403" type="#_x0000_t75" stroked="false">
              <v:imagedata r:id="rId116" o:title=""/>
            </v:shape>
            <v:shape style="position:absolute;left:4196;top:2973;width:1635;height:261" type="#_x0000_t75" stroked="false">
              <v:imagedata r:id="rId108" o:title=""/>
            </v:shape>
            <v:shape style="position:absolute;left:4125;top:3237;width:1776;height:408" type="#_x0000_t75" stroked="false">
              <v:imagedata r:id="rId117" o:title=""/>
            </v:shape>
            <v:shape style="position:absolute;left:4485;top:3242;width:1061;height:403" type="#_x0000_t75" stroked="false">
              <v:imagedata r:id="rId118" o:title=""/>
            </v:shape>
            <v:shape style="position:absolute;left:4196;top:3274;width:1635;height:261" type="#_x0000_t75" stroked="false">
              <v:imagedata r:id="rId119" o:title=""/>
            </v:shape>
            <v:shape style="position:absolute;left:4125;top:3540;width:1776;height:403" type="#_x0000_t75" stroked="false">
              <v:imagedata r:id="rId120" o:title=""/>
            </v:shape>
            <v:shape style="position:absolute;left:4504;top:3545;width:1003;height:403" type="#_x0000_t75" stroked="false">
              <v:imagedata r:id="rId121" o:title=""/>
            </v:shape>
            <v:shape style="position:absolute;left:4196;top:3576;width:1635;height:261" type="#_x0000_t75" stroked="false">
              <v:imagedata r:id="rId108" o:title=""/>
            </v:shape>
            <v:shape style="position:absolute;left:4125;top:3842;width:1776;height:403" type="#_x0000_t75" stroked="false">
              <v:imagedata r:id="rId122" o:title=""/>
            </v:shape>
            <v:shape style="position:absolute;left:4744;top:3842;width:523;height:408" type="#_x0000_t75" stroked="false">
              <v:imagedata r:id="rId123" o:title=""/>
            </v:shape>
            <v:shape style="position:absolute;left:4196;top:3877;width:1635;height:261" type="#_x0000_t75" stroked="false">
              <v:imagedata r:id="rId108" o:title=""/>
            </v:shape>
            <v:shape style="position:absolute;left:4125;top:4145;width:1776;height:403" type="#_x0000_t75" stroked="false">
              <v:imagedata r:id="rId124" o:title=""/>
            </v:shape>
            <v:shape style="position:absolute;left:4485;top:4145;width:1042;height:403" type="#_x0000_t75" stroked="false">
              <v:imagedata r:id="rId125" o:title=""/>
            </v:shape>
            <v:shape style="position:absolute;left:4196;top:4178;width:1635;height:261" type="#_x0000_t75" stroked="false">
              <v:imagedata r:id="rId108" o:title=""/>
            </v:shape>
            <v:shape style="position:absolute;left:4125;top:4442;width:1776;height:408" type="#_x0000_t75" stroked="false">
              <v:imagedata r:id="rId126" o:title=""/>
            </v:shape>
            <v:shape style="position:absolute;left:4725;top:4447;width:562;height:403" type="#_x0000_t75" stroked="false">
              <v:imagedata r:id="rId127" o:title=""/>
            </v:shape>
            <v:shape style="position:absolute;left:4196;top:4480;width:1635;height:261" type="#_x0000_t75" stroked="false">
              <v:imagedata r:id="rId108" o:title=""/>
            </v:shape>
            <v:shape style="position:absolute;left:4125;top:4745;width:1776;height:408" type="#_x0000_t75" stroked="false">
              <v:imagedata r:id="rId128" o:title=""/>
            </v:shape>
            <v:shape style="position:absolute;left:4725;top:4749;width:581;height:403" type="#_x0000_t75" stroked="false">
              <v:imagedata r:id="rId129" o:title=""/>
            </v:shape>
            <v:shape style="position:absolute;left:4196;top:4781;width:1635;height:261" type="#_x0000_t75" stroked="false">
              <v:imagedata r:id="rId108" o:title=""/>
            </v:shape>
            <v:shape style="position:absolute;left:6117;top:218;width:2189;height:5184" type="#_x0000_t75" stroked="false">
              <v:imagedata r:id="rId130" o:title=""/>
            </v:shape>
            <v:shape style="position:absolute;left:6468;top:737;width:1483;height:643" type="#_x0000_t75" stroked="false">
              <v:imagedata r:id="rId131" o:title=""/>
            </v:shape>
            <v:shape style="position:absolute;left:6189;top:255;width:2044;height:5040" coordorigin="6189,255" coordsize="2044,5040" path="m8029,255l6394,255,6314,271,6249,315,6205,380,6189,459,6189,5091,6205,5170,6249,5235,6314,5279,6394,5295,8029,5295,8108,5279,8173,5235,8217,5170,8233,5091,8233,459,8217,380,8173,315,8108,271,8029,255xe" filled="true" fillcolor="#d5d5d5" stroked="false">
              <v:path arrowok="t"/>
              <v:fill type="solid"/>
            </v:shape>
            <v:shape style="position:absolute;left:6324;top:1735;width:1776;height:1661" type="#_x0000_t75" stroked="false">
              <v:imagedata r:id="rId132" o:title=""/>
            </v:shape>
            <v:shape style="position:absolute;left:6799;top:2364;width:826;height:403" type="#_x0000_t75" stroked="false">
              <v:imagedata r:id="rId133" o:title=""/>
            </v:shape>
            <v:shape style="position:absolute;left:6394;top:1769;width:1635;height:1520" type="#_x0000_t75" stroked="false">
              <v:imagedata r:id="rId134" o:title=""/>
            </v:shape>
            <v:shape style="position:absolute;left:6324;top:3487;width:1776;height:1661" type="#_x0000_t75" stroked="false">
              <v:imagedata r:id="rId135" o:title=""/>
            </v:shape>
            <v:shape style="position:absolute;left:6660;top:4116;width:1123;height:408" type="#_x0000_t75" stroked="false">
              <v:imagedata r:id="rId136" o:title=""/>
            </v:shape>
            <v:shape style="position:absolute;left:6394;top:3522;width:1635;height:1520" type="#_x0000_t75" stroked="false">
              <v:imagedata r:id="rId137" o:title=""/>
            </v:shape>
            <v:shape style="position:absolute;left:8316;top:218;width:2189;height:5184" type="#_x0000_t75" stroked="false">
              <v:imagedata r:id="rId138" o:title=""/>
            </v:shape>
            <v:shape style="position:absolute;left:8484;top:737;width:1862;height:643" type="#_x0000_t75" stroked="false">
              <v:imagedata r:id="rId139" o:title=""/>
            </v:shape>
            <v:shape style="position:absolute;left:8387;top:255;width:2044;height:5040" coordorigin="8387,255" coordsize="2044,5040" path="m10226,255l8591,255,8511,271,8446,315,8403,380,8387,459,8387,5091,8403,5170,8446,5235,8511,5279,8591,5295,10226,5295,10306,5279,10371,5235,10415,5170,10431,5091,10431,459,10415,380,10371,315,10306,271,10226,255xe" filled="true" fillcolor="#d5d5d5" stroked="false">
              <v:path arrowok="t"/>
              <v:fill type="solid"/>
            </v:shape>
            <v:shape style="position:absolute;left:8517;top:1730;width:1781;height:3422" type="#_x0000_t75" stroked="false">
              <v:imagedata r:id="rId140" o:title=""/>
            </v:shape>
            <v:shape style="position:absolute;left:8560;top:3156;width:1704;height:562" type="#_x0000_t75" stroked="false">
              <v:imagedata r:id="rId141" o:title=""/>
            </v:shape>
            <v:shape style="position:absolute;left:8591;top:1767;width:1635;height:3276" type="#_x0000_t75" stroked="false">
              <v:imagedata r:id="rId142" o:title=""/>
            </v:shape>
            <v:shape style="position:absolute;left:2117;top:662;width:1409;height:740" type="#_x0000_t202" filled="false" stroked="false">
              <v:textbox inset="0,0,0,0">
                <w:txbxContent>
                  <w:p>
                    <w:pPr>
                      <w:spacing w:line="348" w:lineRule="exact" w:before="0"/>
                      <w:ind w:left="0" w:right="0" w:firstLine="0"/>
                      <w:jc w:val="center"/>
                      <w:rPr>
                        <w:rFonts w:ascii="Calibri" w:hAnsi="Calibri"/>
                        <w:sz w:val="36"/>
                      </w:rPr>
                    </w:pPr>
                    <w:r>
                      <w:rPr>
                        <w:rFonts w:ascii="Calibri" w:hAnsi="Calibri"/>
                        <w:spacing w:val="-1"/>
                        <w:sz w:val="36"/>
                      </w:rPr>
                      <w:t>Vehículos</w:t>
                    </w:r>
                  </w:p>
                  <w:p>
                    <w:pPr>
                      <w:spacing w:line="392" w:lineRule="exact" w:before="0"/>
                      <w:ind w:left="0" w:right="0" w:firstLine="0"/>
                      <w:jc w:val="center"/>
                      <w:rPr>
                        <w:rFonts w:ascii="Calibri"/>
                        <w:sz w:val="36"/>
                      </w:rPr>
                    </w:pPr>
                    <w:r>
                      <w:rPr>
                        <w:rFonts w:ascii="Calibri"/>
                        <w:sz w:val="36"/>
                      </w:rPr>
                      <w:t>Ligeros</w:t>
                    </w:r>
                  </w:p>
                </w:txbxContent>
              </v:textbox>
              <w10:wrap type="none"/>
            </v:shape>
            <v:shape style="position:absolute;left:4127;top:662;width:1784;height:740" type="#_x0000_t202" filled="false" stroked="false">
              <v:textbox inset="0,0,0,0">
                <w:txbxContent>
                  <w:p>
                    <w:pPr>
                      <w:spacing w:line="348" w:lineRule="exact" w:before="0"/>
                      <w:ind w:left="0" w:right="1" w:firstLine="0"/>
                      <w:jc w:val="center"/>
                      <w:rPr>
                        <w:rFonts w:ascii="Calibri" w:hAnsi="Calibri"/>
                        <w:sz w:val="36"/>
                      </w:rPr>
                    </w:pPr>
                    <w:r>
                      <w:rPr>
                        <w:rFonts w:ascii="Calibri" w:hAnsi="Calibri"/>
                        <w:sz w:val="36"/>
                      </w:rPr>
                      <w:t>Vehículos</w:t>
                    </w:r>
                  </w:p>
                  <w:p>
                    <w:pPr>
                      <w:spacing w:line="392" w:lineRule="exact" w:before="0"/>
                      <w:ind w:left="0" w:right="0" w:firstLine="0"/>
                      <w:jc w:val="center"/>
                      <w:rPr>
                        <w:rFonts w:ascii="Calibri"/>
                        <w:sz w:val="36"/>
                      </w:rPr>
                    </w:pPr>
                    <w:r>
                      <w:rPr>
                        <w:rFonts w:ascii="Calibri"/>
                        <w:sz w:val="36"/>
                      </w:rPr>
                      <w:t>Comerciales</w:t>
                    </w:r>
                  </w:p>
                </w:txbxContent>
              </v:textbox>
              <w10:wrap type="none"/>
            </v:shape>
            <v:shape style="position:absolute;left:6590;top:856;width:1254;height:360" type="#_x0000_t202" filled="false" stroked="false">
              <v:textbox inset="0,0,0,0">
                <w:txbxContent>
                  <w:p>
                    <w:pPr>
                      <w:spacing w:line="360" w:lineRule="exact" w:before="0"/>
                      <w:ind w:left="0" w:right="-20" w:firstLine="0"/>
                      <w:jc w:val="left"/>
                      <w:rPr>
                        <w:rFonts w:ascii="Calibri"/>
                        <w:sz w:val="36"/>
                      </w:rPr>
                    </w:pPr>
                    <w:r>
                      <w:rPr>
                        <w:rFonts w:ascii="Calibri"/>
                        <w:sz w:val="36"/>
                      </w:rPr>
                      <w:t>Motores</w:t>
                    </w:r>
                  </w:p>
                </w:txbxContent>
              </v:textbox>
              <w10:wrap type="none"/>
            </v:shape>
            <v:shape style="position:absolute;left:8596;top:856;width:1636;height:360" type="#_x0000_t202" filled="false" stroked="false">
              <v:textbox inset="0,0,0,0">
                <w:txbxContent>
                  <w:p>
                    <w:pPr>
                      <w:spacing w:line="360" w:lineRule="exact" w:before="0"/>
                      <w:ind w:left="0" w:right="-20" w:firstLine="0"/>
                      <w:jc w:val="left"/>
                      <w:rPr>
                        <w:rFonts w:ascii="Calibri"/>
                        <w:sz w:val="36"/>
                      </w:rPr>
                    </w:pPr>
                    <w:r>
                      <w:rPr>
                        <w:rFonts w:ascii="Calibri"/>
                        <w:sz w:val="36"/>
                      </w:rPr>
                      <w:t>Autopartes</w:t>
                    </w:r>
                  </w:p>
                </w:txbxContent>
              </v:textbox>
              <w10:wrap type="none"/>
            </v:shape>
            <v:shape style="position:absolute;left:2308;top:1880;width:1028;height:1409" type="#_x0000_t202" filled="false" stroked="false">
              <v:textbox inset="0,0,0,0">
                <w:txbxContent>
                  <w:p>
                    <w:pPr>
                      <w:spacing w:line="168" w:lineRule="exact" w:before="0"/>
                      <w:ind w:left="0" w:right="0" w:firstLine="0"/>
                      <w:jc w:val="center"/>
                      <w:rPr>
                        <w:rFonts w:ascii="Calibri"/>
                        <w:sz w:val="16"/>
                      </w:rPr>
                    </w:pPr>
                    <w:r>
                      <w:rPr>
                        <w:rFonts w:ascii="Calibri"/>
                        <w:sz w:val="16"/>
                      </w:rPr>
                      <w:t>General Motors</w:t>
                    </w:r>
                  </w:p>
                  <w:p>
                    <w:pPr>
                      <w:spacing w:line="240" w:lineRule="auto" w:before="2"/>
                      <w:rPr>
                        <w:sz w:val="19"/>
                      </w:rPr>
                    </w:pPr>
                  </w:p>
                  <w:p>
                    <w:pPr>
                      <w:spacing w:line="511" w:lineRule="auto" w:before="0"/>
                      <w:ind w:left="60" w:right="41" w:firstLine="304"/>
                      <w:jc w:val="left"/>
                      <w:rPr>
                        <w:rFonts w:ascii="Calibri"/>
                        <w:sz w:val="16"/>
                      </w:rPr>
                    </w:pPr>
                    <w:r>
                      <w:rPr>
                        <w:rFonts w:ascii="Calibri"/>
                        <w:sz w:val="16"/>
                      </w:rPr>
                      <w:t>Ford Chrysler / Fiat</w:t>
                    </w:r>
                  </w:p>
                  <w:p>
                    <w:pPr>
                      <w:spacing w:line="188" w:lineRule="exact" w:before="0"/>
                      <w:ind w:left="300" w:right="41" w:firstLine="0"/>
                      <w:jc w:val="left"/>
                      <w:rPr>
                        <w:rFonts w:ascii="Calibri"/>
                        <w:sz w:val="16"/>
                      </w:rPr>
                    </w:pPr>
                    <w:r>
                      <w:rPr>
                        <w:rFonts w:ascii="Calibri"/>
                        <w:sz w:val="16"/>
                      </w:rPr>
                      <w:t>Nissan</w:t>
                    </w:r>
                  </w:p>
                </w:txbxContent>
              </v:textbox>
              <w10:wrap type="none"/>
            </v:shape>
            <v:shape style="position:absolute;left:4597;top:1830;width:845;height:3174" type="#_x0000_t202" filled="false" stroked="false">
              <v:textbox inset="0,0,0,0">
                <w:txbxContent>
                  <w:p>
                    <w:pPr>
                      <w:spacing w:line="168" w:lineRule="exact" w:before="0"/>
                      <w:ind w:left="214" w:right="0" w:hanging="49"/>
                      <w:jc w:val="both"/>
                      <w:rPr>
                        <w:rFonts w:ascii="Calibri"/>
                        <w:sz w:val="16"/>
                      </w:rPr>
                    </w:pPr>
                    <w:r>
                      <w:rPr>
                        <w:rFonts w:ascii="Calibri"/>
                        <w:sz w:val="16"/>
                      </w:rPr>
                      <w:t>Daimler</w:t>
                    </w:r>
                  </w:p>
                  <w:p>
                    <w:pPr>
                      <w:spacing w:line="369" w:lineRule="auto" w:before="106"/>
                      <w:ind w:left="238" w:right="212" w:hanging="24"/>
                      <w:jc w:val="both"/>
                      <w:rPr>
                        <w:rFonts w:ascii="Calibri"/>
                        <w:sz w:val="16"/>
                      </w:rPr>
                    </w:pPr>
                    <w:r>
                      <w:rPr>
                        <w:rFonts w:ascii="Calibri"/>
                        <w:sz w:val="16"/>
                      </w:rPr>
                      <w:t>Scania Volvo DINA</w:t>
                    </w:r>
                  </w:p>
                  <w:p>
                    <w:pPr>
                      <w:spacing w:line="369" w:lineRule="auto" w:before="0"/>
                      <w:ind w:left="0" w:right="0" w:firstLine="0"/>
                      <w:jc w:val="center"/>
                      <w:rPr>
                        <w:rFonts w:ascii="Calibri"/>
                        <w:sz w:val="16"/>
                      </w:rPr>
                    </w:pPr>
                    <w:r>
                      <w:rPr>
                        <w:rFonts w:ascii="Calibri"/>
                        <w:sz w:val="16"/>
                      </w:rPr>
                      <w:t>Kenworth </w:t>
                    </w:r>
                    <w:r>
                      <w:rPr>
                        <w:rFonts w:ascii="Calibri"/>
                        <w:w w:val="95"/>
                        <w:sz w:val="16"/>
                      </w:rPr>
                      <w:t>International </w:t>
                    </w:r>
                    <w:r>
                      <w:rPr>
                        <w:rFonts w:ascii="Calibri"/>
                        <w:sz w:val="16"/>
                      </w:rPr>
                      <w:t>Volkswagen Man</w:t>
                    </w:r>
                  </w:p>
                  <w:p>
                    <w:pPr>
                      <w:spacing w:before="0"/>
                      <w:ind w:left="13" w:right="-7" w:firstLine="0"/>
                      <w:jc w:val="left"/>
                      <w:rPr>
                        <w:rFonts w:ascii="Calibri"/>
                        <w:sz w:val="16"/>
                      </w:rPr>
                    </w:pPr>
                    <w:r>
                      <w:rPr>
                        <w:rFonts w:ascii="Calibri"/>
                        <w:sz w:val="16"/>
                      </w:rPr>
                      <w:t>Hino Motors</w:t>
                    </w:r>
                  </w:p>
                  <w:p>
                    <w:pPr>
                      <w:spacing w:line="300" w:lineRule="atLeast" w:before="1"/>
                      <w:ind w:left="246" w:right="244" w:firstLine="8"/>
                      <w:jc w:val="both"/>
                      <w:rPr>
                        <w:rFonts w:ascii="Calibri"/>
                        <w:sz w:val="16"/>
                      </w:rPr>
                    </w:pPr>
                    <w:r>
                      <w:rPr>
                        <w:rFonts w:ascii="Calibri"/>
                        <w:sz w:val="16"/>
                      </w:rPr>
                      <w:t>Isuzu Giant</w:t>
                    </w:r>
                  </w:p>
                </w:txbxContent>
              </v:textbox>
              <w10:wrap type="none"/>
            </v:shape>
            <v:shape style="position:absolute;left:6912;top:2460;width:609;height:160" type="#_x0000_t202" filled="false" stroked="false">
              <v:textbox inset="0,0,0,0">
                <w:txbxContent>
                  <w:p>
                    <w:pPr>
                      <w:spacing w:line="160" w:lineRule="exact" w:before="0"/>
                      <w:ind w:left="0" w:right="-20" w:firstLine="0"/>
                      <w:jc w:val="left"/>
                      <w:rPr>
                        <w:rFonts w:ascii="Calibri"/>
                        <w:sz w:val="16"/>
                      </w:rPr>
                    </w:pPr>
                    <w:r>
                      <w:rPr>
                        <w:rFonts w:ascii="Calibri"/>
                        <w:sz w:val="16"/>
                      </w:rPr>
                      <w:t>Cummins</w:t>
                    </w:r>
                  </w:p>
                </w:txbxContent>
              </v:textbox>
              <w10:wrap type="none"/>
            </v:shape>
            <v:shape style="position:absolute;left:8684;top:3250;width:1461;height:320" type="#_x0000_t202" filled="false" stroked="false">
              <v:textbox inset="0,0,0,0">
                <w:txbxContent>
                  <w:p>
                    <w:pPr>
                      <w:spacing w:line="196" w:lineRule="auto" w:before="0"/>
                      <w:ind w:left="157" w:right="-19" w:hanging="158"/>
                      <w:jc w:val="left"/>
                      <w:rPr>
                        <w:rFonts w:ascii="Calibri"/>
                        <w:sz w:val="16"/>
                      </w:rPr>
                    </w:pPr>
                    <w:r>
                      <w:rPr>
                        <w:rFonts w:ascii="Calibri"/>
                        <w:sz w:val="16"/>
                      </w:rPr>
                      <w:t>Mas de 600 empresas, incluye 345 Tier 1</w:t>
                    </w:r>
                  </w:p>
                </w:txbxContent>
              </v:textbox>
              <w10:wrap type="none"/>
            </v:shape>
            <v:shape style="position:absolute;left:2607;top:3544;width:429;height:160" type="#_x0000_t202" filled="false" stroked="false">
              <v:textbox inset="0,0,0,0">
                <w:txbxContent>
                  <w:p>
                    <w:pPr>
                      <w:spacing w:line="160" w:lineRule="exact" w:before="0"/>
                      <w:ind w:left="0" w:right="-20" w:firstLine="0"/>
                      <w:jc w:val="left"/>
                      <w:rPr>
                        <w:rFonts w:ascii="Calibri"/>
                        <w:sz w:val="16"/>
                      </w:rPr>
                    </w:pPr>
                    <w:r>
                      <w:rPr>
                        <w:rFonts w:ascii="Calibri"/>
                        <w:sz w:val="16"/>
                      </w:rPr>
                      <w:t>Honda</w:t>
                    </w:r>
                  </w:p>
                </w:txbxContent>
              </v:textbox>
              <w10:wrap type="none"/>
            </v:shape>
            <v:shape style="position:absolute;left:2597;top:3961;width:450;height:160" type="#_x0000_t202" filled="false" stroked="false">
              <v:textbox inset="0,0,0,0">
                <w:txbxContent>
                  <w:p>
                    <w:pPr>
                      <w:spacing w:line="160" w:lineRule="exact" w:before="0"/>
                      <w:ind w:left="0" w:right="-20" w:firstLine="0"/>
                      <w:jc w:val="left"/>
                      <w:rPr>
                        <w:rFonts w:ascii="Calibri"/>
                        <w:sz w:val="16"/>
                      </w:rPr>
                    </w:pPr>
                    <w:r>
                      <w:rPr>
                        <w:rFonts w:ascii="Calibri"/>
                        <w:sz w:val="16"/>
                      </w:rPr>
                      <w:t>Toyota</w:t>
                    </w:r>
                  </w:p>
                </w:txbxContent>
              </v:textbox>
              <w10:wrap type="none"/>
            </v:shape>
            <v:shape style="position:absolute;left:6770;top:4213;width:892;height:160" type="#_x0000_t202" filled="false" stroked="false">
              <v:textbox inset="0,0,0,0">
                <w:txbxContent>
                  <w:p>
                    <w:pPr>
                      <w:spacing w:line="160" w:lineRule="exact" w:before="0"/>
                      <w:ind w:left="0" w:right="-20" w:firstLine="0"/>
                      <w:jc w:val="left"/>
                      <w:rPr>
                        <w:rFonts w:ascii="Calibri"/>
                        <w:sz w:val="16"/>
                      </w:rPr>
                    </w:pPr>
                    <w:r>
                      <w:rPr>
                        <w:rFonts w:ascii="Calibri"/>
                        <w:sz w:val="16"/>
                      </w:rPr>
                      <w:t>Detroit Diesel</w:t>
                    </w:r>
                  </w:p>
                </w:txbxContent>
              </v:textbox>
              <w10:wrap type="none"/>
            </v:shape>
            <v:shape style="position:absolute;left:2433;top:4377;width:778;height:160" type="#_x0000_t202" filled="false" stroked="false">
              <v:textbox inset="0,0,0,0">
                <w:txbxContent>
                  <w:p>
                    <w:pPr>
                      <w:spacing w:line="160" w:lineRule="exact" w:before="0"/>
                      <w:ind w:left="0" w:right="-20" w:firstLine="0"/>
                      <w:jc w:val="left"/>
                      <w:rPr>
                        <w:rFonts w:ascii="Calibri"/>
                        <w:sz w:val="16"/>
                      </w:rPr>
                    </w:pPr>
                    <w:r>
                      <w:rPr>
                        <w:rFonts w:ascii="Calibri"/>
                        <w:sz w:val="16"/>
                      </w:rPr>
                      <w:t>Volkswagen</w:t>
                    </w:r>
                  </w:p>
                </w:txbxContent>
              </v:textbox>
              <w10:wrap type="none"/>
            </v:shape>
            <v:shape style="position:absolute;left:2639;top:4793;width:367;height:160" type="#_x0000_t202" filled="false" stroked="false">
              <v:textbox inset="0,0,0,0">
                <w:txbxContent>
                  <w:p>
                    <w:pPr>
                      <w:spacing w:line="160" w:lineRule="exact" w:before="0"/>
                      <w:ind w:left="0" w:right="-20" w:firstLine="0"/>
                      <w:jc w:val="left"/>
                      <w:rPr>
                        <w:rFonts w:ascii="Calibri"/>
                        <w:sz w:val="16"/>
                      </w:rPr>
                    </w:pPr>
                    <w:r>
                      <w:rPr>
                        <w:rFonts w:ascii="Calibri"/>
                        <w:sz w:val="16"/>
                      </w:rPr>
                      <w:t>BMW</w:t>
                    </w:r>
                  </w:p>
                </w:txbxContent>
              </v:textbox>
              <w10:wrap type="none"/>
            </v:shape>
            <w10:wrap type="topAndBottom"/>
          </v:group>
        </w:pict>
      </w:r>
    </w:p>
    <w:p>
      <w:pPr>
        <w:pStyle w:val="BodyText"/>
        <w:spacing w:before="1"/>
        <w:rPr>
          <w:sz w:val="27"/>
        </w:rPr>
      </w:pPr>
    </w:p>
    <w:p>
      <w:pPr>
        <w:pStyle w:val="BodyText"/>
        <w:spacing w:before="1"/>
        <w:ind w:left="110"/>
        <w:jc w:val="both"/>
      </w:pPr>
      <w:r>
        <w:rPr/>
        <w:t>Industria terminal y de autopartes en México. (Secretaría de Economía, 2012)</w:t>
      </w:r>
    </w:p>
    <w:p>
      <w:pPr>
        <w:pStyle w:val="BodyText"/>
        <w:spacing w:before="9"/>
        <w:rPr>
          <w:sz w:val="29"/>
        </w:rPr>
      </w:pPr>
    </w:p>
    <w:p>
      <w:pPr>
        <w:pStyle w:val="BodyText"/>
        <w:spacing w:line="360" w:lineRule="auto"/>
        <w:ind w:left="110" w:right="388"/>
        <w:jc w:val="both"/>
      </w:pPr>
      <w:r>
        <w:rPr/>
        <w:t>Con base en la Secretaria de Economía, las empresas de la industria terminal de vehículos ligeros cuentan con 18 plantas de producción en 11 estados del país, en los que se realizan actividades que van desde el ensamble, blindaje hasta la fundición y el estampado de los vehículos y motores. Actualmente, en México se producen más de 48 modelos de automóviles y camiones ligeros.</w:t>
      </w:r>
    </w:p>
    <w:p>
      <w:pPr>
        <w:pStyle w:val="BodyText"/>
        <w:spacing w:line="360" w:lineRule="auto" w:before="209"/>
        <w:ind w:left="110" w:right="388"/>
        <w:jc w:val="both"/>
      </w:pPr>
      <w:r>
        <w:rPr/>
        <w:t>Las armadoras de vehículos han constituido centros de diseño e ingeniería en nuestro país, entre algunos: Nissan (Toluca y Mexicali) cuenta con centros de modelado de prototipos de diseño automotriz; Ford (Distrito Federal) cuenta  con un centro de ingeniería y diseño virtual; Chrysler (Distrito Federal) un  centro de ingeniería y diseño; Volkswagen (Puebla) centro de desarrollo tecnológico y diseño de piezas; General Motors (Toluca) Centro Regional de Ingeniería; Delphi (Chihuahua) Centro Técnico de México.</w:t>
      </w:r>
    </w:p>
    <w:p>
      <w:pPr>
        <w:spacing w:after="0" w:line="360" w:lineRule="auto"/>
        <w:jc w:val="both"/>
        <w:sectPr>
          <w:pgSz w:w="11910" w:h="16840"/>
          <w:pgMar w:header="755" w:footer="724" w:top="960" w:bottom="920" w:left="1600" w:right="1300"/>
        </w:sectPr>
      </w:pPr>
    </w:p>
    <w:p>
      <w:pPr>
        <w:pStyle w:val="BodyText"/>
        <w:rPr>
          <w:sz w:val="20"/>
        </w:rPr>
      </w:pPr>
    </w:p>
    <w:p>
      <w:pPr>
        <w:pStyle w:val="BodyText"/>
        <w:spacing w:before="3"/>
        <w:rPr>
          <w:sz w:val="19"/>
        </w:rPr>
      </w:pPr>
    </w:p>
    <w:p>
      <w:pPr>
        <w:pStyle w:val="BodyText"/>
        <w:spacing w:line="360" w:lineRule="auto"/>
        <w:ind w:left="230" w:right="228"/>
        <w:jc w:val="both"/>
      </w:pPr>
      <w:r>
        <w:rPr/>
        <w:t>La industria terminal de vehículos pesados ha logrado importantes niveles de desarrollo en México, 11 de las empresas armadoras de vehículos y 2 de motores cuentan con instalaciones en nuestro país.</w:t>
      </w:r>
    </w:p>
    <w:p>
      <w:pPr>
        <w:pStyle w:val="BodyText"/>
        <w:spacing w:line="357" w:lineRule="auto" w:before="209"/>
        <w:ind w:left="230" w:right="228"/>
        <w:jc w:val="both"/>
      </w:pPr>
      <w:r>
        <w:rPr/>
        <w:t>Las empresas productoras de vehículos comerciales establecidas en México, desarrollan actividades de ensamble, estampado y carrocería para el mercado interno y exportación.</w:t>
      </w:r>
    </w:p>
    <w:p>
      <w:pPr>
        <w:pStyle w:val="BodyText"/>
        <w:spacing w:line="357" w:lineRule="auto" w:before="212"/>
        <w:ind w:left="230" w:right="228"/>
        <w:jc w:val="both"/>
      </w:pPr>
      <w:r>
        <w:rPr/>
        <w:t>El peso relativo de la industria automotriz en el PIB de las entidades es variado, destacan Aguascalientes, Puebla y Coahuila donde la industria participa con el 20% del PIB estatal.</w:t>
      </w:r>
    </w:p>
    <w:p>
      <w:pPr>
        <w:pStyle w:val="BodyText"/>
      </w:pPr>
    </w:p>
    <w:p>
      <w:pPr>
        <w:pStyle w:val="BodyText"/>
        <w:spacing w:before="8"/>
        <w:rPr>
          <w:sz w:val="30"/>
        </w:rPr>
      </w:pPr>
    </w:p>
    <w:p>
      <w:pPr>
        <w:pStyle w:val="Heading2"/>
        <w:spacing w:line="355" w:lineRule="auto"/>
        <w:ind w:left="230" w:right="228"/>
      </w:pPr>
      <w:r>
        <w:rPr/>
        <w:t>Importancia de la Industria Automotriz en la economía de los estados (Participación % 2008)</w:t>
      </w:r>
    </w:p>
    <w:p>
      <w:pPr>
        <w:pStyle w:val="BodyText"/>
        <w:rPr>
          <w:b/>
          <w:sz w:val="13"/>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7"/>
        <w:gridCol w:w="1823"/>
        <w:gridCol w:w="2029"/>
        <w:gridCol w:w="2412"/>
      </w:tblGrid>
      <w:tr>
        <w:trPr>
          <w:trHeight w:val="457" w:hRule="exact"/>
        </w:trPr>
        <w:tc>
          <w:tcPr>
            <w:tcW w:w="2457" w:type="dxa"/>
            <w:tcBorders>
              <w:bottom w:val="single" w:sz="8" w:space="0" w:color="000000"/>
            </w:tcBorders>
          </w:tcPr>
          <w:p>
            <w:pPr/>
          </w:p>
        </w:tc>
        <w:tc>
          <w:tcPr>
            <w:tcW w:w="1823" w:type="dxa"/>
            <w:tcBorders>
              <w:bottom w:val="single" w:sz="8" w:space="0" w:color="000000"/>
            </w:tcBorders>
          </w:tcPr>
          <w:p>
            <w:pPr>
              <w:pStyle w:val="TableParagraph"/>
              <w:spacing w:before="78"/>
              <w:ind w:right="832"/>
              <w:jc w:val="right"/>
              <w:rPr>
                <w:rFonts w:ascii="Arial"/>
                <w:sz w:val="21"/>
              </w:rPr>
            </w:pPr>
            <w:r>
              <w:rPr>
                <w:rFonts w:ascii="Arial"/>
                <w:sz w:val="21"/>
              </w:rPr>
              <w:t>PIB</w:t>
            </w:r>
          </w:p>
        </w:tc>
        <w:tc>
          <w:tcPr>
            <w:tcW w:w="2029" w:type="dxa"/>
            <w:tcBorders>
              <w:bottom w:val="single" w:sz="8" w:space="0" w:color="000000"/>
            </w:tcBorders>
          </w:tcPr>
          <w:p>
            <w:pPr>
              <w:pStyle w:val="TableParagraph"/>
              <w:spacing w:before="78"/>
              <w:ind w:left="774" w:right="466"/>
              <w:rPr>
                <w:rFonts w:ascii="Arial"/>
                <w:sz w:val="21"/>
              </w:rPr>
            </w:pPr>
            <w:r>
              <w:rPr>
                <w:rFonts w:ascii="Arial"/>
                <w:w w:val="105"/>
                <w:sz w:val="21"/>
              </w:rPr>
              <w:t>Empleo</w:t>
            </w:r>
          </w:p>
        </w:tc>
        <w:tc>
          <w:tcPr>
            <w:tcW w:w="2412" w:type="dxa"/>
            <w:tcBorders>
              <w:bottom w:val="single" w:sz="8" w:space="0" w:color="000000"/>
            </w:tcBorders>
          </w:tcPr>
          <w:p>
            <w:pPr>
              <w:pStyle w:val="TableParagraph"/>
              <w:spacing w:before="78"/>
              <w:ind w:left="465" w:right="239"/>
              <w:rPr>
                <w:rFonts w:ascii="Arial"/>
                <w:sz w:val="21"/>
              </w:rPr>
            </w:pPr>
            <w:r>
              <w:rPr>
                <w:rFonts w:ascii="Arial"/>
                <w:w w:val="105"/>
                <w:sz w:val="21"/>
              </w:rPr>
              <w:t>Remuneraciones</w:t>
            </w:r>
          </w:p>
        </w:tc>
      </w:tr>
      <w:tr>
        <w:trPr>
          <w:trHeight w:val="389" w:hRule="exact"/>
        </w:trPr>
        <w:tc>
          <w:tcPr>
            <w:tcW w:w="2457" w:type="dxa"/>
            <w:tcBorders>
              <w:top w:val="single" w:sz="8" w:space="0" w:color="000000"/>
            </w:tcBorders>
            <w:shd w:val="clear" w:color="auto" w:fill="C0C0C0"/>
          </w:tcPr>
          <w:p>
            <w:pPr>
              <w:pStyle w:val="TableParagraph"/>
              <w:spacing w:before="9"/>
              <w:ind w:left="295" w:right="576"/>
              <w:rPr>
                <w:rFonts w:ascii="Arial"/>
                <w:b/>
                <w:sz w:val="21"/>
              </w:rPr>
            </w:pPr>
            <w:r>
              <w:rPr>
                <w:rFonts w:ascii="Arial"/>
                <w:b/>
                <w:w w:val="105"/>
                <w:sz w:val="21"/>
              </w:rPr>
              <w:t>Nacional</w:t>
            </w:r>
          </w:p>
        </w:tc>
        <w:tc>
          <w:tcPr>
            <w:tcW w:w="1823" w:type="dxa"/>
            <w:tcBorders>
              <w:top w:val="single" w:sz="8" w:space="0" w:color="000000"/>
            </w:tcBorders>
            <w:shd w:val="clear" w:color="auto" w:fill="C0C0C0"/>
          </w:tcPr>
          <w:p>
            <w:pPr>
              <w:pStyle w:val="TableParagraph"/>
              <w:spacing w:before="9"/>
              <w:ind w:right="856"/>
              <w:jc w:val="right"/>
              <w:rPr>
                <w:rFonts w:ascii="Arial"/>
                <w:sz w:val="21"/>
              </w:rPr>
            </w:pPr>
            <w:r>
              <w:rPr>
                <w:rFonts w:ascii="Arial"/>
                <w:sz w:val="21"/>
              </w:rPr>
              <w:t>4.3</w:t>
            </w:r>
          </w:p>
        </w:tc>
        <w:tc>
          <w:tcPr>
            <w:tcW w:w="2029" w:type="dxa"/>
            <w:tcBorders>
              <w:top w:val="single" w:sz="8" w:space="0" w:color="000000"/>
            </w:tcBorders>
            <w:shd w:val="clear" w:color="auto" w:fill="C0C0C0"/>
          </w:tcPr>
          <w:p>
            <w:pPr>
              <w:pStyle w:val="TableParagraph"/>
              <w:spacing w:before="9"/>
              <w:ind w:left="774" w:right="466"/>
              <w:rPr>
                <w:rFonts w:ascii="Arial"/>
                <w:sz w:val="21"/>
              </w:rPr>
            </w:pPr>
            <w:r>
              <w:rPr>
                <w:rFonts w:ascii="Arial"/>
                <w:w w:val="105"/>
                <w:sz w:val="21"/>
              </w:rPr>
              <w:t>2.7</w:t>
            </w:r>
          </w:p>
        </w:tc>
        <w:tc>
          <w:tcPr>
            <w:tcW w:w="2412" w:type="dxa"/>
            <w:tcBorders>
              <w:top w:val="single" w:sz="8" w:space="0" w:color="000000"/>
            </w:tcBorders>
            <w:shd w:val="clear" w:color="auto" w:fill="C0C0C0"/>
          </w:tcPr>
          <w:p>
            <w:pPr>
              <w:pStyle w:val="TableParagraph"/>
              <w:spacing w:before="9"/>
              <w:ind w:left="465" w:right="239"/>
              <w:rPr>
                <w:rFonts w:ascii="Arial"/>
                <w:sz w:val="21"/>
              </w:rPr>
            </w:pPr>
            <w:r>
              <w:rPr>
                <w:rFonts w:ascii="Arial"/>
                <w:w w:val="105"/>
                <w:sz w:val="21"/>
              </w:rPr>
              <w:t>5.5</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Coahuila</w:t>
            </w:r>
          </w:p>
        </w:tc>
        <w:tc>
          <w:tcPr>
            <w:tcW w:w="1823" w:type="dxa"/>
          </w:tcPr>
          <w:p>
            <w:pPr>
              <w:pStyle w:val="TableParagraph"/>
              <w:spacing w:before="9"/>
              <w:ind w:right="795"/>
              <w:jc w:val="right"/>
              <w:rPr>
                <w:rFonts w:ascii="Arial"/>
                <w:sz w:val="21"/>
              </w:rPr>
            </w:pPr>
            <w:r>
              <w:rPr>
                <w:rFonts w:ascii="Arial"/>
                <w:sz w:val="21"/>
              </w:rPr>
              <w:t>22.3</w:t>
            </w:r>
          </w:p>
        </w:tc>
        <w:tc>
          <w:tcPr>
            <w:tcW w:w="2029" w:type="dxa"/>
          </w:tcPr>
          <w:p>
            <w:pPr>
              <w:pStyle w:val="TableParagraph"/>
              <w:spacing w:before="9"/>
              <w:ind w:left="774" w:right="466"/>
              <w:rPr>
                <w:rFonts w:ascii="Arial"/>
                <w:sz w:val="21"/>
              </w:rPr>
            </w:pPr>
            <w:r>
              <w:rPr>
                <w:rFonts w:ascii="Arial"/>
                <w:w w:val="105"/>
                <w:sz w:val="21"/>
              </w:rPr>
              <w:t>10.0</w:t>
            </w:r>
          </w:p>
        </w:tc>
        <w:tc>
          <w:tcPr>
            <w:tcW w:w="2412" w:type="dxa"/>
          </w:tcPr>
          <w:p>
            <w:pPr>
              <w:pStyle w:val="TableParagraph"/>
              <w:spacing w:before="9"/>
              <w:ind w:left="465" w:right="239"/>
              <w:rPr>
                <w:rFonts w:ascii="Arial"/>
                <w:sz w:val="21"/>
              </w:rPr>
            </w:pPr>
            <w:r>
              <w:rPr>
                <w:rFonts w:ascii="Arial"/>
                <w:w w:val="105"/>
                <w:sz w:val="21"/>
              </w:rPr>
              <w:t>15.3</w:t>
            </w:r>
          </w:p>
        </w:tc>
      </w:tr>
      <w:tr>
        <w:trPr>
          <w:trHeight w:val="379" w:hRule="exact"/>
        </w:trPr>
        <w:tc>
          <w:tcPr>
            <w:tcW w:w="2457" w:type="dxa"/>
            <w:shd w:val="clear" w:color="auto" w:fill="C0C0C0"/>
          </w:tcPr>
          <w:p>
            <w:pPr>
              <w:pStyle w:val="TableParagraph"/>
              <w:spacing w:before="9"/>
              <w:ind w:left="294" w:right="576"/>
              <w:rPr>
                <w:rFonts w:ascii="Arial"/>
                <w:sz w:val="21"/>
              </w:rPr>
            </w:pPr>
            <w:r>
              <w:rPr>
                <w:rFonts w:ascii="Arial"/>
                <w:w w:val="105"/>
                <w:sz w:val="21"/>
              </w:rPr>
              <w:t>Chihuahua</w:t>
            </w:r>
          </w:p>
        </w:tc>
        <w:tc>
          <w:tcPr>
            <w:tcW w:w="1823" w:type="dxa"/>
            <w:shd w:val="clear" w:color="auto" w:fill="C0C0C0"/>
          </w:tcPr>
          <w:p>
            <w:pPr>
              <w:pStyle w:val="TableParagraph"/>
              <w:spacing w:before="9"/>
              <w:ind w:right="795"/>
              <w:jc w:val="right"/>
              <w:rPr>
                <w:rFonts w:ascii="Arial"/>
                <w:sz w:val="21"/>
              </w:rPr>
            </w:pPr>
            <w:r>
              <w:rPr>
                <w:rFonts w:ascii="Arial"/>
                <w:sz w:val="21"/>
              </w:rPr>
              <w:t>16.2</w:t>
            </w:r>
          </w:p>
        </w:tc>
        <w:tc>
          <w:tcPr>
            <w:tcW w:w="2029" w:type="dxa"/>
            <w:shd w:val="clear" w:color="auto" w:fill="C0C0C0"/>
          </w:tcPr>
          <w:p>
            <w:pPr>
              <w:pStyle w:val="TableParagraph"/>
              <w:spacing w:before="9"/>
              <w:ind w:left="774" w:right="466"/>
              <w:rPr>
                <w:rFonts w:ascii="Arial"/>
                <w:sz w:val="21"/>
              </w:rPr>
            </w:pPr>
            <w:r>
              <w:rPr>
                <w:rFonts w:ascii="Arial"/>
                <w:w w:val="105"/>
                <w:sz w:val="21"/>
              </w:rPr>
              <w:t>14.0</w:t>
            </w:r>
          </w:p>
        </w:tc>
        <w:tc>
          <w:tcPr>
            <w:tcW w:w="2412" w:type="dxa"/>
            <w:shd w:val="clear" w:color="auto" w:fill="C0C0C0"/>
          </w:tcPr>
          <w:p>
            <w:pPr>
              <w:pStyle w:val="TableParagraph"/>
              <w:spacing w:before="9"/>
              <w:ind w:left="465" w:right="239"/>
              <w:rPr>
                <w:rFonts w:ascii="Arial"/>
                <w:sz w:val="21"/>
              </w:rPr>
            </w:pPr>
            <w:r>
              <w:rPr>
                <w:rFonts w:ascii="Arial"/>
                <w:w w:val="105"/>
                <w:sz w:val="21"/>
              </w:rPr>
              <w:t>21.0</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Sonora</w:t>
            </w:r>
          </w:p>
        </w:tc>
        <w:tc>
          <w:tcPr>
            <w:tcW w:w="1823" w:type="dxa"/>
          </w:tcPr>
          <w:p>
            <w:pPr>
              <w:pStyle w:val="TableParagraph"/>
              <w:spacing w:before="9"/>
              <w:ind w:right="795"/>
              <w:jc w:val="right"/>
              <w:rPr>
                <w:rFonts w:ascii="Arial"/>
                <w:sz w:val="21"/>
              </w:rPr>
            </w:pPr>
            <w:r>
              <w:rPr>
                <w:rFonts w:ascii="Arial"/>
                <w:sz w:val="21"/>
              </w:rPr>
              <w:t>11.6</w:t>
            </w:r>
          </w:p>
        </w:tc>
        <w:tc>
          <w:tcPr>
            <w:tcW w:w="2029" w:type="dxa"/>
          </w:tcPr>
          <w:p>
            <w:pPr>
              <w:pStyle w:val="TableParagraph"/>
              <w:spacing w:before="9"/>
              <w:ind w:left="774" w:right="466"/>
              <w:rPr>
                <w:rFonts w:ascii="Arial"/>
                <w:sz w:val="21"/>
              </w:rPr>
            </w:pPr>
            <w:r>
              <w:rPr>
                <w:rFonts w:ascii="Arial"/>
                <w:w w:val="105"/>
                <w:sz w:val="21"/>
              </w:rPr>
              <w:t>5.9</w:t>
            </w:r>
          </w:p>
        </w:tc>
        <w:tc>
          <w:tcPr>
            <w:tcW w:w="2412" w:type="dxa"/>
          </w:tcPr>
          <w:p>
            <w:pPr>
              <w:pStyle w:val="TableParagraph"/>
              <w:spacing w:before="9"/>
              <w:ind w:left="465" w:right="239"/>
              <w:rPr>
                <w:rFonts w:ascii="Arial"/>
                <w:sz w:val="21"/>
              </w:rPr>
            </w:pPr>
            <w:r>
              <w:rPr>
                <w:rFonts w:ascii="Arial"/>
                <w:w w:val="105"/>
                <w:sz w:val="21"/>
              </w:rPr>
              <w:t>10.0</w:t>
            </w:r>
          </w:p>
        </w:tc>
      </w:tr>
      <w:tr>
        <w:trPr>
          <w:trHeight w:val="379" w:hRule="exact"/>
        </w:trPr>
        <w:tc>
          <w:tcPr>
            <w:tcW w:w="2457" w:type="dxa"/>
            <w:shd w:val="clear" w:color="auto" w:fill="C0C0C0"/>
          </w:tcPr>
          <w:p>
            <w:pPr>
              <w:pStyle w:val="TableParagraph"/>
              <w:spacing w:before="9"/>
              <w:ind w:left="294" w:right="576"/>
              <w:rPr>
                <w:rFonts w:ascii="Arial"/>
                <w:sz w:val="21"/>
              </w:rPr>
            </w:pPr>
            <w:r>
              <w:rPr>
                <w:rFonts w:ascii="Arial"/>
                <w:w w:val="105"/>
                <w:sz w:val="21"/>
              </w:rPr>
              <w:t>Tamaulipas</w:t>
            </w:r>
          </w:p>
        </w:tc>
        <w:tc>
          <w:tcPr>
            <w:tcW w:w="1823" w:type="dxa"/>
            <w:shd w:val="clear" w:color="auto" w:fill="C0C0C0"/>
          </w:tcPr>
          <w:p>
            <w:pPr>
              <w:pStyle w:val="TableParagraph"/>
              <w:spacing w:before="9"/>
              <w:ind w:right="856"/>
              <w:jc w:val="right"/>
              <w:rPr>
                <w:rFonts w:ascii="Arial"/>
                <w:sz w:val="21"/>
              </w:rPr>
            </w:pPr>
            <w:r>
              <w:rPr>
                <w:rFonts w:ascii="Arial"/>
                <w:sz w:val="21"/>
              </w:rPr>
              <w:t>5.7</w:t>
            </w:r>
          </w:p>
        </w:tc>
        <w:tc>
          <w:tcPr>
            <w:tcW w:w="2029" w:type="dxa"/>
            <w:shd w:val="clear" w:color="auto" w:fill="C0C0C0"/>
          </w:tcPr>
          <w:p>
            <w:pPr>
              <w:pStyle w:val="TableParagraph"/>
              <w:spacing w:before="9"/>
              <w:ind w:left="774" w:right="466"/>
              <w:rPr>
                <w:rFonts w:ascii="Arial"/>
                <w:sz w:val="21"/>
              </w:rPr>
            </w:pPr>
            <w:r>
              <w:rPr>
                <w:rFonts w:ascii="Arial"/>
                <w:w w:val="105"/>
                <w:sz w:val="21"/>
              </w:rPr>
              <w:t>6.8</w:t>
            </w:r>
          </w:p>
        </w:tc>
        <w:tc>
          <w:tcPr>
            <w:tcW w:w="2412" w:type="dxa"/>
            <w:shd w:val="clear" w:color="auto" w:fill="C0C0C0"/>
          </w:tcPr>
          <w:p>
            <w:pPr>
              <w:pStyle w:val="TableParagraph"/>
              <w:spacing w:before="9"/>
              <w:ind w:left="465" w:right="239"/>
              <w:rPr>
                <w:rFonts w:ascii="Arial"/>
                <w:sz w:val="21"/>
              </w:rPr>
            </w:pPr>
            <w:r>
              <w:rPr>
                <w:rFonts w:ascii="Arial"/>
                <w:w w:val="105"/>
                <w:sz w:val="21"/>
              </w:rPr>
              <w:t>10.3</w:t>
            </w:r>
          </w:p>
        </w:tc>
      </w:tr>
      <w:tr>
        <w:trPr>
          <w:trHeight w:val="379" w:hRule="exact"/>
        </w:trPr>
        <w:tc>
          <w:tcPr>
            <w:tcW w:w="2457" w:type="dxa"/>
          </w:tcPr>
          <w:p>
            <w:pPr>
              <w:pStyle w:val="TableParagraph"/>
              <w:spacing w:before="9"/>
              <w:ind w:left="294" w:right="576"/>
              <w:rPr>
                <w:rFonts w:ascii="Arial" w:hAnsi="Arial"/>
                <w:sz w:val="21"/>
              </w:rPr>
            </w:pPr>
            <w:r>
              <w:rPr>
                <w:rFonts w:ascii="Arial" w:hAnsi="Arial"/>
                <w:w w:val="105"/>
                <w:sz w:val="21"/>
              </w:rPr>
              <w:t>Nuevo León</w:t>
            </w:r>
          </w:p>
        </w:tc>
        <w:tc>
          <w:tcPr>
            <w:tcW w:w="1823" w:type="dxa"/>
          </w:tcPr>
          <w:p>
            <w:pPr>
              <w:pStyle w:val="TableParagraph"/>
              <w:spacing w:before="9"/>
              <w:ind w:right="856"/>
              <w:jc w:val="right"/>
              <w:rPr>
                <w:rFonts w:ascii="Arial"/>
                <w:sz w:val="21"/>
              </w:rPr>
            </w:pPr>
            <w:r>
              <w:rPr>
                <w:rFonts w:ascii="Arial"/>
                <w:sz w:val="21"/>
              </w:rPr>
              <w:t>4.7</w:t>
            </w:r>
          </w:p>
        </w:tc>
        <w:tc>
          <w:tcPr>
            <w:tcW w:w="2029" w:type="dxa"/>
          </w:tcPr>
          <w:p>
            <w:pPr>
              <w:pStyle w:val="TableParagraph"/>
              <w:spacing w:before="9"/>
              <w:ind w:left="774" w:right="466"/>
              <w:rPr>
                <w:rFonts w:ascii="Arial"/>
                <w:sz w:val="21"/>
              </w:rPr>
            </w:pPr>
            <w:r>
              <w:rPr>
                <w:rFonts w:ascii="Arial"/>
                <w:w w:val="105"/>
                <w:sz w:val="21"/>
              </w:rPr>
              <w:t>3.6</w:t>
            </w:r>
          </w:p>
        </w:tc>
        <w:tc>
          <w:tcPr>
            <w:tcW w:w="2412" w:type="dxa"/>
          </w:tcPr>
          <w:p>
            <w:pPr>
              <w:pStyle w:val="TableParagraph"/>
              <w:spacing w:before="9"/>
              <w:ind w:left="465" w:right="239"/>
              <w:rPr>
                <w:rFonts w:ascii="Arial"/>
                <w:sz w:val="21"/>
              </w:rPr>
            </w:pPr>
            <w:r>
              <w:rPr>
                <w:rFonts w:ascii="Arial"/>
                <w:w w:val="105"/>
                <w:sz w:val="21"/>
              </w:rPr>
              <w:t>4.3</w:t>
            </w:r>
          </w:p>
        </w:tc>
      </w:tr>
      <w:tr>
        <w:trPr>
          <w:trHeight w:val="379" w:hRule="exact"/>
        </w:trPr>
        <w:tc>
          <w:tcPr>
            <w:tcW w:w="2457" w:type="dxa"/>
            <w:shd w:val="clear" w:color="auto" w:fill="C0C0C0"/>
          </w:tcPr>
          <w:p>
            <w:pPr>
              <w:pStyle w:val="TableParagraph"/>
              <w:spacing w:before="9"/>
              <w:ind w:left="294" w:right="576"/>
              <w:rPr>
                <w:rFonts w:ascii="Arial"/>
                <w:sz w:val="21"/>
              </w:rPr>
            </w:pPr>
            <w:r>
              <w:rPr>
                <w:rFonts w:ascii="Arial"/>
                <w:w w:val="105"/>
                <w:sz w:val="21"/>
              </w:rPr>
              <w:t>Baja California</w:t>
            </w:r>
          </w:p>
        </w:tc>
        <w:tc>
          <w:tcPr>
            <w:tcW w:w="1823" w:type="dxa"/>
            <w:shd w:val="clear" w:color="auto" w:fill="C0C0C0"/>
          </w:tcPr>
          <w:p>
            <w:pPr>
              <w:pStyle w:val="TableParagraph"/>
              <w:spacing w:before="9"/>
              <w:ind w:right="856"/>
              <w:jc w:val="right"/>
              <w:rPr>
                <w:rFonts w:ascii="Arial"/>
                <w:sz w:val="21"/>
              </w:rPr>
            </w:pPr>
            <w:r>
              <w:rPr>
                <w:rFonts w:ascii="Arial"/>
                <w:sz w:val="21"/>
              </w:rPr>
              <w:t>4.2</w:t>
            </w:r>
          </w:p>
        </w:tc>
        <w:tc>
          <w:tcPr>
            <w:tcW w:w="2029" w:type="dxa"/>
            <w:shd w:val="clear" w:color="auto" w:fill="C0C0C0"/>
          </w:tcPr>
          <w:p>
            <w:pPr>
              <w:pStyle w:val="TableParagraph"/>
              <w:spacing w:before="9"/>
              <w:ind w:left="774" w:right="466"/>
              <w:rPr>
                <w:rFonts w:ascii="Arial"/>
                <w:sz w:val="21"/>
              </w:rPr>
            </w:pPr>
            <w:r>
              <w:rPr>
                <w:rFonts w:ascii="Arial"/>
                <w:w w:val="105"/>
                <w:sz w:val="21"/>
              </w:rPr>
              <w:t>1.8</w:t>
            </w:r>
          </w:p>
        </w:tc>
        <w:tc>
          <w:tcPr>
            <w:tcW w:w="2412" w:type="dxa"/>
            <w:shd w:val="clear" w:color="auto" w:fill="C0C0C0"/>
          </w:tcPr>
          <w:p>
            <w:pPr>
              <w:pStyle w:val="TableParagraph"/>
              <w:spacing w:before="9"/>
              <w:ind w:left="465" w:right="239"/>
              <w:rPr>
                <w:rFonts w:ascii="Arial"/>
                <w:sz w:val="21"/>
              </w:rPr>
            </w:pPr>
            <w:r>
              <w:rPr>
                <w:rFonts w:ascii="Arial"/>
                <w:w w:val="105"/>
                <w:sz w:val="21"/>
              </w:rPr>
              <w:t>4.1</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Norte</w:t>
            </w:r>
          </w:p>
        </w:tc>
        <w:tc>
          <w:tcPr>
            <w:tcW w:w="1823" w:type="dxa"/>
          </w:tcPr>
          <w:p>
            <w:pPr>
              <w:pStyle w:val="TableParagraph"/>
              <w:spacing w:before="9"/>
              <w:ind w:right="856"/>
              <w:jc w:val="right"/>
              <w:rPr>
                <w:rFonts w:ascii="Arial"/>
                <w:sz w:val="21"/>
              </w:rPr>
            </w:pPr>
            <w:r>
              <w:rPr>
                <w:rFonts w:ascii="Arial"/>
                <w:sz w:val="21"/>
              </w:rPr>
              <w:t>9.7</w:t>
            </w:r>
          </w:p>
        </w:tc>
        <w:tc>
          <w:tcPr>
            <w:tcW w:w="2029" w:type="dxa"/>
          </w:tcPr>
          <w:p>
            <w:pPr>
              <w:pStyle w:val="TableParagraph"/>
              <w:spacing w:before="9"/>
              <w:ind w:left="774" w:right="466"/>
              <w:rPr>
                <w:rFonts w:ascii="Arial"/>
                <w:sz w:val="21"/>
              </w:rPr>
            </w:pPr>
            <w:r>
              <w:rPr>
                <w:rFonts w:ascii="Arial"/>
                <w:w w:val="105"/>
                <w:sz w:val="21"/>
              </w:rPr>
              <w:t>6.7</w:t>
            </w:r>
          </w:p>
        </w:tc>
        <w:tc>
          <w:tcPr>
            <w:tcW w:w="2412" w:type="dxa"/>
          </w:tcPr>
          <w:p>
            <w:pPr>
              <w:pStyle w:val="TableParagraph"/>
              <w:spacing w:before="9"/>
              <w:ind w:left="465" w:right="239"/>
              <w:rPr>
                <w:rFonts w:ascii="Arial"/>
                <w:sz w:val="21"/>
              </w:rPr>
            </w:pPr>
            <w:r>
              <w:rPr>
                <w:rFonts w:ascii="Arial"/>
                <w:w w:val="105"/>
                <w:sz w:val="21"/>
              </w:rPr>
              <w:t>9.9</w:t>
            </w:r>
          </w:p>
        </w:tc>
      </w:tr>
      <w:tr>
        <w:trPr>
          <w:trHeight w:val="384" w:hRule="exact"/>
        </w:trPr>
        <w:tc>
          <w:tcPr>
            <w:tcW w:w="2457" w:type="dxa"/>
            <w:shd w:val="clear" w:color="auto" w:fill="C0C0C0"/>
          </w:tcPr>
          <w:p>
            <w:pPr>
              <w:pStyle w:val="TableParagraph"/>
              <w:spacing w:before="9"/>
              <w:ind w:left="294" w:right="576"/>
              <w:rPr>
                <w:rFonts w:ascii="Arial"/>
                <w:sz w:val="21"/>
              </w:rPr>
            </w:pPr>
            <w:r>
              <w:rPr>
                <w:rFonts w:ascii="Arial"/>
                <w:w w:val="105"/>
                <w:sz w:val="21"/>
              </w:rPr>
              <w:t>Aguascalientes</w:t>
            </w:r>
          </w:p>
        </w:tc>
        <w:tc>
          <w:tcPr>
            <w:tcW w:w="1823" w:type="dxa"/>
            <w:shd w:val="clear" w:color="auto" w:fill="C0C0C0"/>
          </w:tcPr>
          <w:p>
            <w:pPr>
              <w:pStyle w:val="TableParagraph"/>
              <w:spacing w:before="9"/>
              <w:ind w:right="795"/>
              <w:jc w:val="right"/>
              <w:rPr>
                <w:rFonts w:ascii="Arial"/>
                <w:sz w:val="21"/>
              </w:rPr>
            </w:pPr>
            <w:r>
              <w:rPr>
                <w:rFonts w:ascii="Arial"/>
                <w:sz w:val="21"/>
              </w:rPr>
              <w:t>35.3</w:t>
            </w:r>
          </w:p>
        </w:tc>
        <w:tc>
          <w:tcPr>
            <w:tcW w:w="2029" w:type="dxa"/>
            <w:shd w:val="clear" w:color="auto" w:fill="C0C0C0"/>
          </w:tcPr>
          <w:p>
            <w:pPr>
              <w:pStyle w:val="TableParagraph"/>
              <w:spacing w:before="9"/>
              <w:ind w:left="774" w:right="466"/>
              <w:rPr>
                <w:rFonts w:ascii="Arial"/>
                <w:sz w:val="21"/>
              </w:rPr>
            </w:pPr>
            <w:r>
              <w:rPr>
                <w:rFonts w:ascii="Arial"/>
                <w:w w:val="105"/>
                <w:sz w:val="21"/>
              </w:rPr>
              <w:t>6.7</w:t>
            </w:r>
          </w:p>
        </w:tc>
        <w:tc>
          <w:tcPr>
            <w:tcW w:w="2412" w:type="dxa"/>
            <w:shd w:val="clear" w:color="auto" w:fill="C0C0C0"/>
          </w:tcPr>
          <w:p>
            <w:pPr>
              <w:pStyle w:val="TableParagraph"/>
              <w:spacing w:before="9"/>
              <w:ind w:left="465" w:right="239"/>
              <w:rPr>
                <w:rFonts w:ascii="Arial"/>
                <w:sz w:val="21"/>
              </w:rPr>
            </w:pPr>
            <w:r>
              <w:rPr>
                <w:rFonts w:ascii="Arial"/>
                <w:w w:val="105"/>
                <w:sz w:val="21"/>
              </w:rPr>
              <w:t>24.3</w:t>
            </w:r>
          </w:p>
        </w:tc>
      </w:tr>
      <w:tr>
        <w:trPr>
          <w:trHeight w:val="379" w:hRule="exact"/>
        </w:trPr>
        <w:tc>
          <w:tcPr>
            <w:tcW w:w="2457" w:type="dxa"/>
          </w:tcPr>
          <w:p>
            <w:pPr>
              <w:pStyle w:val="TableParagraph"/>
              <w:spacing w:before="9"/>
              <w:ind w:left="294" w:right="576"/>
              <w:rPr>
                <w:rFonts w:ascii="Arial" w:hAnsi="Arial"/>
                <w:sz w:val="21"/>
              </w:rPr>
            </w:pPr>
            <w:r>
              <w:rPr>
                <w:rFonts w:ascii="Arial" w:hAnsi="Arial"/>
                <w:w w:val="105"/>
                <w:sz w:val="21"/>
              </w:rPr>
              <w:t>Querétaro</w:t>
            </w:r>
          </w:p>
        </w:tc>
        <w:tc>
          <w:tcPr>
            <w:tcW w:w="1823" w:type="dxa"/>
          </w:tcPr>
          <w:p>
            <w:pPr>
              <w:pStyle w:val="TableParagraph"/>
              <w:spacing w:before="9"/>
              <w:ind w:right="795"/>
              <w:jc w:val="right"/>
              <w:rPr>
                <w:rFonts w:ascii="Arial"/>
                <w:sz w:val="21"/>
              </w:rPr>
            </w:pPr>
            <w:r>
              <w:rPr>
                <w:rFonts w:ascii="Arial"/>
                <w:sz w:val="21"/>
              </w:rPr>
              <w:t>11.5</w:t>
            </w:r>
          </w:p>
        </w:tc>
        <w:tc>
          <w:tcPr>
            <w:tcW w:w="2029" w:type="dxa"/>
          </w:tcPr>
          <w:p>
            <w:pPr>
              <w:pStyle w:val="TableParagraph"/>
              <w:spacing w:before="9"/>
              <w:ind w:left="774" w:right="466"/>
              <w:rPr>
                <w:rFonts w:ascii="Arial"/>
                <w:sz w:val="21"/>
              </w:rPr>
            </w:pPr>
            <w:r>
              <w:rPr>
                <w:rFonts w:ascii="Arial"/>
                <w:w w:val="105"/>
                <w:sz w:val="21"/>
              </w:rPr>
              <w:t>6.5</w:t>
            </w:r>
          </w:p>
        </w:tc>
        <w:tc>
          <w:tcPr>
            <w:tcW w:w="2412" w:type="dxa"/>
          </w:tcPr>
          <w:p>
            <w:pPr>
              <w:pStyle w:val="TableParagraph"/>
              <w:spacing w:before="9"/>
              <w:ind w:left="465" w:right="239"/>
              <w:rPr>
                <w:rFonts w:ascii="Arial"/>
                <w:sz w:val="21"/>
              </w:rPr>
            </w:pPr>
            <w:r>
              <w:rPr>
                <w:rFonts w:ascii="Arial"/>
                <w:w w:val="105"/>
                <w:sz w:val="21"/>
              </w:rPr>
              <w:t>12.9</w:t>
            </w:r>
          </w:p>
        </w:tc>
      </w:tr>
      <w:tr>
        <w:trPr>
          <w:trHeight w:val="379" w:hRule="exact"/>
        </w:trPr>
        <w:tc>
          <w:tcPr>
            <w:tcW w:w="2457" w:type="dxa"/>
            <w:shd w:val="clear" w:color="auto" w:fill="C0C0C0"/>
          </w:tcPr>
          <w:p>
            <w:pPr>
              <w:pStyle w:val="TableParagraph"/>
              <w:spacing w:before="9"/>
              <w:ind w:left="295" w:right="576"/>
              <w:rPr>
                <w:rFonts w:ascii="Arial" w:hAnsi="Arial"/>
                <w:sz w:val="21"/>
              </w:rPr>
            </w:pPr>
            <w:r>
              <w:rPr>
                <w:rFonts w:ascii="Arial" w:hAnsi="Arial"/>
                <w:w w:val="105"/>
                <w:sz w:val="21"/>
              </w:rPr>
              <w:t>San Luis Potosí</w:t>
            </w:r>
          </w:p>
        </w:tc>
        <w:tc>
          <w:tcPr>
            <w:tcW w:w="1823" w:type="dxa"/>
            <w:shd w:val="clear" w:color="auto" w:fill="C0C0C0"/>
          </w:tcPr>
          <w:p>
            <w:pPr>
              <w:pStyle w:val="TableParagraph"/>
              <w:spacing w:before="9"/>
              <w:ind w:right="856"/>
              <w:jc w:val="right"/>
              <w:rPr>
                <w:rFonts w:ascii="Arial"/>
                <w:sz w:val="21"/>
              </w:rPr>
            </w:pPr>
            <w:r>
              <w:rPr>
                <w:rFonts w:ascii="Arial"/>
                <w:sz w:val="21"/>
              </w:rPr>
              <w:t>8.6</w:t>
            </w:r>
          </w:p>
        </w:tc>
        <w:tc>
          <w:tcPr>
            <w:tcW w:w="2029" w:type="dxa"/>
            <w:shd w:val="clear" w:color="auto" w:fill="C0C0C0"/>
          </w:tcPr>
          <w:p>
            <w:pPr>
              <w:pStyle w:val="TableParagraph"/>
              <w:spacing w:before="9"/>
              <w:ind w:left="774" w:right="466"/>
              <w:rPr>
                <w:rFonts w:ascii="Arial"/>
                <w:sz w:val="21"/>
              </w:rPr>
            </w:pPr>
            <w:r>
              <w:rPr>
                <w:rFonts w:ascii="Arial"/>
                <w:w w:val="105"/>
                <w:sz w:val="21"/>
              </w:rPr>
              <w:t>6.2</w:t>
            </w:r>
          </w:p>
        </w:tc>
        <w:tc>
          <w:tcPr>
            <w:tcW w:w="2412" w:type="dxa"/>
            <w:shd w:val="clear" w:color="auto" w:fill="C0C0C0"/>
          </w:tcPr>
          <w:p>
            <w:pPr>
              <w:pStyle w:val="TableParagraph"/>
              <w:spacing w:before="9"/>
              <w:ind w:left="465" w:right="239"/>
              <w:rPr>
                <w:rFonts w:ascii="Arial"/>
                <w:sz w:val="21"/>
              </w:rPr>
            </w:pPr>
            <w:r>
              <w:rPr>
                <w:rFonts w:ascii="Arial"/>
                <w:w w:val="105"/>
                <w:sz w:val="21"/>
              </w:rPr>
              <w:t>11.1</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Guanajuato</w:t>
            </w:r>
          </w:p>
        </w:tc>
        <w:tc>
          <w:tcPr>
            <w:tcW w:w="1823" w:type="dxa"/>
          </w:tcPr>
          <w:p>
            <w:pPr>
              <w:pStyle w:val="TableParagraph"/>
              <w:spacing w:before="9"/>
              <w:ind w:right="856"/>
              <w:jc w:val="right"/>
              <w:rPr>
                <w:rFonts w:ascii="Arial"/>
                <w:sz w:val="21"/>
              </w:rPr>
            </w:pPr>
            <w:r>
              <w:rPr>
                <w:rFonts w:ascii="Arial"/>
                <w:sz w:val="21"/>
              </w:rPr>
              <w:t>8.9</w:t>
            </w:r>
          </w:p>
        </w:tc>
        <w:tc>
          <w:tcPr>
            <w:tcW w:w="2029" w:type="dxa"/>
          </w:tcPr>
          <w:p>
            <w:pPr>
              <w:pStyle w:val="TableParagraph"/>
              <w:spacing w:before="9"/>
              <w:ind w:left="774" w:right="466"/>
              <w:rPr>
                <w:rFonts w:ascii="Arial"/>
                <w:sz w:val="21"/>
              </w:rPr>
            </w:pPr>
            <w:r>
              <w:rPr>
                <w:rFonts w:ascii="Arial"/>
                <w:w w:val="105"/>
                <w:sz w:val="21"/>
              </w:rPr>
              <w:t>2.8</w:t>
            </w:r>
          </w:p>
        </w:tc>
        <w:tc>
          <w:tcPr>
            <w:tcW w:w="2412" w:type="dxa"/>
          </w:tcPr>
          <w:p>
            <w:pPr>
              <w:pStyle w:val="TableParagraph"/>
              <w:spacing w:before="9"/>
              <w:ind w:left="465" w:right="239"/>
              <w:rPr>
                <w:rFonts w:ascii="Arial"/>
                <w:sz w:val="21"/>
              </w:rPr>
            </w:pPr>
            <w:r>
              <w:rPr>
                <w:rFonts w:ascii="Arial"/>
                <w:w w:val="105"/>
                <w:sz w:val="21"/>
              </w:rPr>
              <w:t>5.5</w:t>
            </w:r>
          </w:p>
        </w:tc>
      </w:tr>
      <w:tr>
        <w:trPr>
          <w:trHeight w:val="379" w:hRule="exact"/>
        </w:trPr>
        <w:tc>
          <w:tcPr>
            <w:tcW w:w="2457" w:type="dxa"/>
            <w:shd w:val="clear" w:color="auto" w:fill="C0C0C0"/>
          </w:tcPr>
          <w:p>
            <w:pPr>
              <w:pStyle w:val="TableParagraph"/>
              <w:spacing w:before="9"/>
              <w:ind w:left="295" w:right="575"/>
              <w:rPr>
                <w:rFonts w:ascii="Arial"/>
                <w:sz w:val="21"/>
              </w:rPr>
            </w:pPr>
            <w:r>
              <w:rPr>
                <w:rFonts w:ascii="Arial"/>
                <w:w w:val="105"/>
                <w:sz w:val="21"/>
              </w:rPr>
              <w:t>Jalisco</w:t>
            </w:r>
          </w:p>
        </w:tc>
        <w:tc>
          <w:tcPr>
            <w:tcW w:w="1823" w:type="dxa"/>
            <w:shd w:val="clear" w:color="auto" w:fill="C0C0C0"/>
          </w:tcPr>
          <w:p>
            <w:pPr>
              <w:pStyle w:val="TableParagraph"/>
              <w:spacing w:before="9"/>
              <w:ind w:right="856"/>
              <w:jc w:val="right"/>
              <w:rPr>
                <w:rFonts w:ascii="Arial"/>
                <w:sz w:val="21"/>
              </w:rPr>
            </w:pPr>
            <w:r>
              <w:rPr>
                <w:rFonts w:ascii="Arial"/>
                <w:sz w:val="21"/>
              </w:rPr>
              <w:t>1.8</w:t>
            </w:r>
          </w:p>
        </w:tc>
        <w:tc>
          <w:tcPr>
            <w:tcW w:w="2029" w:type="dxa"/>
            <w:shd w:val="clear" w:color="auto" w:fill="C0C0C0"/>
          </w:tcPr>
          <w:p>
            <w:pPr>
              <w:pStyle w:val="TableParagraph"/>
              <w:spacing w:before="9"/>
              <w:ind w:left="774" w:right="466"/>
              <w:rPr>
                <w:rFonts w:ascii="Arial"/>
                <w:sz w:val="21"/>
              </w:rPr>
            </w:pPr>
            <w:r>
              <w:rPr>
                <w:rFonts w:ascii="Arial"/>
                <w:w w:val="105"/>
                <w:sz w:val="21"/>
              </w:rPr>
              <w:t>1.0</w:t>
            </w:r>
          </w:p>
        </w:tc>
        <w:tc>
          <w:tcPr>
            <w:tcW w:w="2412" w:type="dxa"/>
            <w:shd w:val="clear" w:color="auto" w:fill="C0C0C0"/>
          </w:tcPr>
          <w:p>
            <w:pPr>
              <w:pStyle w:val="TableParagraph"/>
              <w:spacing w:before="9"/>
              <w:ind w:left="465" w:right="239"/>
              <w:rPr>
                <w:rFonts w:ascii="Arial"/>
                <w:sz w:val="21"/>
              </w:rPr>
            </w:pPr>
            <w:r>
              <w:rPr>
                <w:rFonts w:ascii="Arial"/>
                <w:w w:val="105"/>
                <w:sz w:val="21"/>
              </w:rPr>
              <w:t>2.1</w:t>
            </w:r>
          </w:p>
        </w:tc>
      </w:tr>
      <w:tr>
        <w:trPr>
          <w:trHeight w:val="379" w:hRule="exact"/>
        </w:trPr>
        <w:tc>
          <w:tcPr>
            <w:tcW w:w="2457" w:type="dxa"/>
          </w:tcPr>
          <w:p>
            <w:pPr>
              <w:pStyle w:val="TableParagraph"/>
              <w:spacing w:before="9"/>
              <w:ind w:left="294" w:right="576"/>
              <w:rPr>
                <w:rFonts w:ascii="Arial" w:hAnsi="Arial"/>
                <w:b/>
                <w:sz w:val="21"/>
              </w:rPr>
            </w:pPr>
            <w:r>
              <w:rPr>
                <w:rFonts w:ascii="Arial" w:hAnsi="Arial"/>
                <w:b/>
                <w:w w:val="105"/>
                <w:sz w:val="21"/>
              </w:rPr>
              <w:t>Bajío</w:t>
            </w:r>
          </w:p>
        </w:tc>
        <w:tc>
          <w:tcPr>
            <w:tcW w:w="1823" w:type="dxa"/>
          </w:tcPr>
          <w:p>
            <w:pPr>
              <w:pStyle w:val="TableParagraph"/>
              <w:spacing w:before="9"/>
              <w:ind w:right="856"/>
              <w:jc w:val="right"/>
              <w:rPr>
                <w:rFonts w:ascii="Arial"/>
                <w:sz w:val="21"/>
              </w:rPr>
            </w:pPr>
            <w:r>
              <w:rPr>
                <w:rFonts w:ascii="Arial"/>
                <w:sz w:val="21"/>
              </w:rPr>
              <w:t>8.4</w:t>
            </w:r>
          </w:p>
        </w:tc>
        <w:tc>
          <w:tcPr>
            <w:tcW w:w="2029" w:type="dxa"/>
          </w:tcPr>
          <w:p>
            <w:pPr>
              <w:pStyle w:val="TableParagraph"/>
              <w:spacing w:before="9"/>
              <w:ind w:left="774" w:right="466"/>
              <w:rPr>
                <w:rFonts w:ascii="Arial"/>
                <w:sz w:val="21"/>
              </w:rPr>
            </w:pPr>
            <w:r>
              <w:rPr>
                <w:rFonts w:ascii="Arial"/>
                <w:w w:val="105"/>
                <w:sz w:val="21"/>
              </w:rPr>
              <w:t>3.1</w:t>
            </w:r>
          </w:p>
        </w:tc>
        <w:tc>
          <w:tcPr>
            <w:tcW w:w="2412" w:type="dxa"/>
          </w:tcPr>
          <w:p>
            <w:pPr>
              <w:pStyle w:val="TableParagraph"/>
              <w:spacing w:before="9"/>
              <w:ind w:left="465" w:right="239"/>
              <w:rPr>
                <w:rFonts w:ascii="Arial"/>
                <w:sz w:val="21"/>
              </w:rPr>
            </w:pPr>
            <w:r>
              <w:rPr>
                <w:rFonts w:ascii="Arial"/>
                <w:w w:val="105"/>
                <w:sz w:val="21"/>
              </w:rPr>
              <w:t>7.3</w:t>
            </w:r>
          </w:p>
        </w:tc>
      </w:tr>
      <w:tr>
        <w:trPr>
          <w:trHeight w:val="379" w:hRule="exact"/>
        </w:trPr>
        <w:tc>
          <w:tcPr>
            <w:tcW w:w="2457" w:type="dxa"/>
            <w:shd w:val="clear" w:color="auto" w:fill="C0C0C0"/>
          </w:tcPr>
          <w:p>
            <w:pPr>
              <w:pStyle w:val="TableParagraph"/>
              <w:spacing w:before="9"/>
              <w:ind w:left="294" w:right="576"/>
              <w:rPr>
                <w:rFonts w:ascii="Arial" w:hAnsi="Arial"/>
                <w:sz w:val="21"/>
              </w:rPr>
            </w:pPr>
            <w:r>
              <w:rPr>
                <w:rFonts w:ascii="Arial" w:hAnsi="Arial"/>
                <w:w w:val="105"/>
                <w:sz w:val="21"/>
              </w:rPr>
              <w:t>México</w:t>
            </w:r>
          </w:p>
        </w:tc>
        <w:tc>
          <w:tcPr>
            <w:tcW w:w="1823" w:type="dxa"/>
            <w:shd w:val="clear" w:color="auto" w:fill="C0C0C0"/>
          </w:tcPr>
          <w:p>
            <w:pPr>
              <w:pStyle w:val="TableParagraph"/>
              <w:spacing w:before="9"/>
              <w:ind w:right="856"/>
              <w:jc w:val="right"/>
              <w:rPr>
                <w:rFonts w:ascii="Arial"/>
                <w:sz w:val="21"/>
              </w:rPr>
            </w:pPr>
            <w:r>
              <w:rPr>
                <w:rFonts w:ascii="Arial"/>
                <w:sz w:val="21"/>
              </w:rPr>
              <w:t>6.5</w:t>
            </w:r>
          </w:p>
        </w:tc>
        <w:tc>
          <w:tcPr>
            <w:tcW w:w="2029" w:type="dxa"/>
            <w:shd w:val="clear" w:color="auto" w:fill="C0C0C0"/>
          </w:tcPr>
          <w:p>
            <w:pPr>
              <w:pStyle w:val="TableParagraph"/>
              <w:spacing w:before="9"/>
              <w:ind w:left="774" w:right="466"/>
              <w:rPr>
                <w:rFonts w:ascii="Arial"/>
                <w:sz w:val="21"/>
              </w:rPr>
            </w:pPr>
            <w:r>
              <w:rPr>
                <w:rFonts w:ascii="Arial"/>
                <w:w w:val="105"/>
                <w:sz w:val="21"/>
              </w:rPr>
              <w:t>2.6</w:t>
            </w:r>
          </w:p>
        </w:tc>
        <w:tc>
          <w:tcPr>
            <w:tcW w:w="2412" w:type="dxa"/>
            <w:shd w:val="clear" w:color="auto" w:fill="C0C0C0"/>
          </w:tcPr>
          <w:p>
            <w:pPr>
              <w:pStyle w:val="TableParagraph"/>
              <w:spacing w:before="9"/>
              <w:ind w:left="465" w:right="238"/>
              <w:rPr>
                <w:rFonts w:ascii="Arial"/>
                <w:sz w:val="21"/>
              </w:rPr>
            </w:pPr>
            <w:r>
              <w:rPr>
                <w:rFonts w:ascii="Arial"/>
                <w:w w:val="105"/>
                <w:sz w:val="21"/>
              </w:rPr>
              <w:t>6.6</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Puebla</w:t>
            </w:r>
          </w:p>
        </w:tc>
        <w:tc>
          <w:tcPr>
            <w:tcW w:w="1823" w:type="dxa"/>
          </w:tcPr>
          <w:p>
            <w:pPr>
              <w:pStyle w:val="TableParagraph"/>
              <w:spacing w:before="9"/>
              <w:ind w:right="795"/>
              <w:jc w:val="right"/>
              <w:rPr>
                <w:rFonts w:ascii="Arial"/>
                <w:sz w:val="21"/>
              </w:rPr>
            </w:pPr>
            <w:r>
              <w:rPr>
                <w:rFonts w:ascii="Arial"/>
                <w:sz w:val="21"/>
              </w:rPr>
              <w:t>25.6</w:t>
            </w:r>
          </w:p>
        </w:tc>
        <w:tc>
          <w:tcPr>
            <w:tcW w:w="2029" w:type="dxa"/>
          </w:tcPr>
          <w:p>
            <w:pPr>
              <w:pStyle w:val="TableParagraph"/>
              <w:spacing w:before="9"/>
              <w:ind w:left="774" w:right="466"/>
              <w:rPr>
                <w:rFonts w:ascii="Arial"/>
                <w:sz w:val="21"/>
              </w:rPr>
            </w:pPr>
            <w:r>
              <w:rPr>
                <w:rFonts w:ascii="Arial"/>
                <w:w w:val="105"/>
                <w:sz w:val="21"/>
              </w:rPr>
              <w:t>4.5</w:t>
            </w:r>
          </w:p>
        </w:tc>
        <w:tc>
          <w:tcPr>
            <w:tcW w:w="2412" w:type="dxa"/>
          </w:tcPr>
          <w:p>
            <w:pPr>
              <w:pStyle w:val="TableParagraph"/>
              <w:spacing w:before="9"/>
              <w:ind w:left="465" w:right="239"/>
              <w:rPr>
                <w:rFonts w:ascii="Arial"/>
                <w:sz w:val="21"/>
              </w:rPr>
            </w:pPr>
            <w:r>
              <w:rPr>
                <w:rFonts w:ascii="Arial"/>
                <w:w w:val="105"/>
                <w:sz w:val="21"/>
              </w:rPr>
              <w:t>20.8</w:t>
            </w:r>
          </w:p>
        </w:tc>
      </w:tr>
      <w:tr>
        <w:trPr>
          <w:trHeight w:val="379" w:hRule="exact"/>
        </w:trPr>
        <w:tc>
          <w:tcPr>
            <w:tcW w:w="2457" w:type="dxa"/>
            <w:shd w:val="clear" w:color="auto" w:fill="C0C0C0"/>
          </w:tcPr>
          <w:p>
            <w:pPr>
              <w:pStyle w:val="TableParagraph"/>
              <w:spacing w:before="9"/>
              <w:ind w:left="295" w:right="576"/>
              <w:rPr>
                <w:rFonts w:ascii="Arial"/>
                <w:sz w:val="21"/>
              </w:rPr>
            </w:pPr>
            <w:r>
              <w:rPr>
                <w:rFonts w:ascii="Arial"/>
                <w:w w:val="105"/>
                <w:sz w:val="21"/>
              </w:rPr>
              <w:t>Morelos</w:t>
            </w:r>
          </w:p>
        </w:tc>
        <w:tc>
          <w:tcPr>
            <w:tcW w:w="1823" w:type="dxa"/>
            <w:shd w:val="clear" w:color="auto" w:fill="C0C0C0"/>
          </w:tcPr>
          <w:p>
            <w:pPr>
              <w:pStyle w:val="TableParagraph"/>
              <w:spacing w:before="9"/>
              <w:ind w:right="795"/>
              <w:jc w:val="right"/>
              <w:rPr>
                <w:rFonts w:ascii="Arial"/>
                <w:sz w:val="21"/>
              </w:rPr>
            </w:pPr>
            <w:r>
              <w:rPr>
                <w:rFonts w:ascii="Arial"/>
                <w:sz w:val="21"/>
              </w:rPr>
              <w:t>10.6</w:t>
            </w:r>
          </w:p>
        </w:tc>
        <w:tc>
          <w:tcPr>
            <w:tcW w:w="2029" w:type="dxa"/>
            <w:shd w:val="clear" w:color="auto" w:fill="C0C0C0"/>
          </w:tcPr>
          <w:p>
            <w:pPr>
              <w:pStyle w:val="TableParagraph"/>
              <w:spacing w:before="9"/>
              <w:ind w:left="774" w:right="466"/>
              <w:rPr>
                <w:rFonts w:ascii="Arial"/>
                <w:sz w:val="21"/>
              </w:rPr>
            </w:pPr>
            <w:r>
              <w:rPr>
                <w:rFonts w:ascii="Arial"/>
                <w:w w:val="105"/>
                <w:sz w:val="21"/>
              </w:rPr>
              <w:t>1.8</w:t>
            </w:r>
          </w:p>
        </w:tc>
        <w:tc>
          <w:tcPr>
            <w:tcW w:w="2412" w:type="dxa"/>
            <w:shd w:val="clear" w:color="auto" w:fill="C0C0C0"/>
          </w:tcPr>
          <w:p>
            <w:pPr>
              <w:pStyle w:val="TableParagraph"/>
              <w:spacing w:before="9"/>
              <w:ind w:left="465" w:right="239"/>
              <w:rPr>
                <w:rFonts w:ascii="Arial"/>
                <w:sz w:val="21"/>
              </w:rPr>
            </w:pPr>
            <w:r>
              <w:rPr>
                <w:rFonts w:ascii="Arial"/>
                <w:w w:val="105"/>
                <w:sz w:val="21"/>
              </w:rPr>
              <w:t>10.0</w:t>
            </w:r>
          </w:p>
        </w:tc>
      </w:tr>
      <w:tr>
        <w:trPr>
          <w:trHeight w:val="379" w:hRule="exact"/>
        </w:trPr>
        <w:tc>
          <w:tcPr>
            <w:tcW w:w="2457" w:type="dxa"/>
          </w:tcPr>
          <w:p>
            <w:pPr>
              <w:pStyle w:val="TableParagraph"/>
              <w:spacing w:before="9"/>
              <w:ind w:left="294" w:right="576"/>
              <w:rPr>
                <w:rFonts w:ascii="Arial"/>
                <w:sz w:val="21"/>
              </w:rPr>
            </w:pPr>
            <w:r>
              <w:rPr>
                <w:rFonts w:ascii="Arial"/>
                <w:w w:val="105"/>
                <w:sz w:val="21"/>
              </w:rPr>
              <w:t>Tlaxcala</w:t>
            </w:r>
          </w:p>
        </w:tc>
        <w:tc>
          <w:tcPr>
            <w:tcW w:w="1823" w:type="dxa"/>
          </w:tcPr>
          <w:p>
            <w:pPr>
              <w:pStyle w:val="TableParagraph"/>
              <w:spacing w:before="9"/>
              <w:ind w:right="856"/>
              <w:jc w:val="right"/>
              <w:rPr>
                <w:rFonts w:ascii="Arial"/>
                <w:sz w:val="21"/>
              </w:rPr>
            </w:pPr>
            <w:r>
              <w:rPr>
                <w:rFonts w:ascii="Arial"/>
                <w:sz w:val="21"/>
              </w:rPr>
              <w:t>2.1</w:t>
            </w:r>
          </w:p>
        </w:tc>
        <w:tc>
          <w:tcPr>
            <w:tcW w:w="2029" w:type="dxa"/>
          </w:tcPr>
          <w:p>
            <w:pPr>
              <w:pStyle w:val="TableParagraph"/>
              <w:spacing w:before="9"/>
              <w:ind w:left="774" w:right="466"/>
              <w:rPr>
                <w:rFonts w:ascii="Arial"/>
                <w:sz w:val="21"/>
              </w:rPr>
            </w:pPr>
            <w:r>
              <w:rPr>
                <w:rFonts w:ascii="Arial"/>
                <w:w w:val="105"/>
                <w:sz w:val="21"/>
              </w:rPr>
              <w:t>2.4</w:t>
            </w:r>
          </w:p>
        </w:tc>
        <w:tc>
          <w:tcPr>
            <w:tcW w:w="2412" w:type="dxa"/>
          </w:tcPr>
          <w:p>
            <w:pPr>
              <w:pStyle w:val="TableParagraph"/>
              <w:spacing w:before="9"/>
              <w:ind w:left="465" w:right="239"/>
              <w:rPr>
                <w:rFonts w:ascii="Arial"/>
                <w:sz w:val="21"/>
              </w:rPr>
            </w:pPr>
            <w:r>
              <w:rPr>
                <w:rFonts w:ascii="Arial"/>
                <w:w w:val="105"/>
                <w:sz w:val="21"/>
              </w:rPr>
              <w:t>5.0</w:t>
            </w:r>
          </w:p>
        </w:tc>
      </w:tr>
      <w:tr>
        <w:trPr>
          <w:trHeight w:val="389" w:hRule="exact"/>
        </w:trPr>
        <w:tc>
          <w:tcPr>
            <w:tcW w:w="2457" w:type="dxa"/>
            <w:tcBorders>
              <w:bottom w:val="single" w:sz="8" w:space="0" w:color="000000"/>
            </w:tcBorders>
            <w:shd w:val="clear" w:color="auto" w:fill="C0C0C0"/>
          </w:tcPr>
          <w:p>
            <w:pPr>
              <w:pStyle w:val="TableParagraph"/>
              <w:spacing w:before="9"/>
              <w:ind w:left="294" w:right="576"/>
              <w:rPr>
                <w:rFonts w:ascii="Arial"/>
                <w:b/>
                <w:sz w:val="21"/>
              </w:rPr>
            </w:pPr>
            <w:r>
              <w:rPr>
                <w:rFonts w:ascii="Arial"/>
                <w:b/>
                <w:w w:val="105"/>
                <w:sz w:val="21"/>
              </w:rPr>
              <w:t>Centro</w:t>
            </w:r>
          </w:p>
        </w:tc>
        <w:tc>
          <w:tcPr>
            <w:tcW w:w="1823" w:type="dxa"/>
            <w:tcBorders>
              <w:bottom w:val="single" w:sz="8" w:space="0" w:color="000000"/>
            </w:tcBorders>
            <w:shd w:val="clear" w:color="auto" w:fill="C0C0C0"/>
          </w:tcPr>
          <w:p>
            <w:pPr>
              <w:pStyle w:val="TableParagraph"/>
              <w:spacing w:before="9"/>
              <w:ind w:right="795"/>
              <w:jc w:val="right"/>
              <w:rPr>
                <w:rFonts w:ascii="Arial"/>
                <w:sz w:val="21"/>
              </w:rPr>
            </w:pPr>
            <w:r>
              <w:rPr>
                <w:rFonts w:ascii="Arial"/>
                <w:sz w:val="21"/>
              </w:rPr>
              <w:t>10.8</w:t>
            </w:r>
          </w:p>
        </w:tc>
        <w:tc>
          <w:tcPr>
            <w:tcW w:w="2029" w:type="dxa"/>
            <w:tcBorders>
              <w:bottom w:val="single" w:sz="8" w:space="0" w:color="000000"/>
            </w:tcBorders>
            <w:shd w:val="clear" w:color="auto" w:fill="C0C0C0"/>
          </w:tcPr>
          <w:p>
            <w:pPr>
              <w:pStyle w:val="TableParagraph"/>
              <w:spacing w:before="9"/>
              <w:ind w:left="774" w:right="466"/>
              <w:rPr>
                <w:rFonts w:ascii="Arial"/>
                <w:sz w:val="21"/>
              </w:rPr>
            </w:pPr>
            <w:r>
              <w:rPr>
                <w:rFonts w:ascii="Arial"/>
                <w:w w:val="105"/>
                <w:sz w:val="21"/>
              </w:rPr>
              <w:t>3.0</w:t>
            </w:r>
          </w:p>
        </w:tc>
        <w:tc>
          <w:tcPr>
            <w:tcW w:w="2412" w:type="dxa"/>
            <w:tcBorders>
              <w:bottom w:val="single" w:sz="8" w:space="0" w:color="000000"/>
            </w:tcBorders>
            <w:shd w:val="clear" w:color="auto" w:fill="C0C0C0"/>
          </w:tcPr>
          <w:p>
            <w:pPr>
              <w:pStyle w:val="TableParagraph"/>
              <w:spacing w:before="9"/>
              <w:ind w:left="465" w:right="239"/>
              <w:rPr>
                <w:rFonts w:ascii="Arial"/>
                <w:sz w:val="21"/>
              </w:rPr>
            </w:pPr>
            <w:r>
              <w:rPr>
                <w:rFonts w:ascii="Arial"/>
                <w:w w:val="105"/>
                <w:sz w:val="21"/>
              </w:rPr>
              <w:t>10.1</w:t>
            </w:r>
          </w:p>
        </w:tc>
      </w:tr>
    </w:tbl>
    <w:p>
      <w:pPr>
        <w:pStyle w:val="BodyText"/>
        <w:spacing w:line="257" w:lineRule="exact"/>
        <w:ind w:left="230"/>
      </w:pPr>
      <w:r>
        <w:rPr/>
        <w:t>Fuente: INEGI</w:t>
      </w:r>
    </w:p>
    <w:p>
      <w:pPr>
        <w:spacing w:after="0" w:line="257" w:lineRule="exact"/>
        <w:sectPr>
          <w:pgSz w:w="11910" w:h="16840"/>
          <w:pgMar w:header="755" w:footer="724" w:top="960" w:bottom="920" w:left="1480" w:right="1460"/>
        </w:sectPr>
      </w:pPr>
    </w:p>
    <w:p>
      <w:pPr>
        <w:pStyle w:val="BodyText"/>
        <w:rPr>
          <w:sz w:val="20"/>
        </w:rPr>
      </w:pPr>
    </w:p>
    <w:p>
      <w:pPr>
        <w:pStyle w:val="BodyText"/>
        <w:spacing w:before="10"/>
        <w:rPr>
          <w:sz w:val="18"/>
        </w:rPr>
      </w:pPr>
    </w:p>
    <w:p>
      <w:pPr>
        <w:pStyle w:val="Heading2"/>
      </w:pPr>
      <w:r>
        <w:rPr/>
        <w:t>Producción de vehículos ligeros en México.</w:t>
      </w:r>
    </w:p>
    <w:p>
      <w:pPr>
        <w:pStyle w:val="BodyText"/>
        <w:spacing w:before="9"/>
        <w:rPr>
          <w:b/>
          <w:sz w:val="29"/>
        </w:rPr>
      </w:pPr>
    </w:p>
    <w:p>
      <w:pPr>
        <w:pStyle w:val="BodyText"/>
        <w:spacing w:line="360" w:lineRule="auto"/>
        <w:ind w:left="110" w:right="248"/>
        <w:jc w:val="both"/>
      </w:pPr>
      <w:r>
        <w:rPr/>
        <w:t>En el 2011, México ocupó el octavo lugar como productor de vehículos en el mundo con una producción de 2.6 millones de vehículos, representando el 3.1 por ciento del total de la producción mundial.</w:t>
      </w:r>
    </w:p>
    <w:p>
      <w:pPr>
        <w:pStyle w:val="BodyText"/>
        <w:spacing w:before="3"/>
        <w:rPr>
          <w:sz w:val="14"/>
        </w:rPr>
      </w:pPr>
      <w:r>
        <w:rPr/>
        <w:pict>
          <v:group style="position:absolute;margin-left:85.25898pt;margin-top:10.182016pt;width:432.75pt;height:252.75pt;mso-position-horizontal-relative:page;mso-position-vertical-relative:paragraph;z-index:3400;mso-wrap-distance-left:0;mso-wrap-distance-right:0" coordorigin="1705,204" coordsize="8655,5055">
            <v:line style="position:absolute" from="2293,4142" to="10093,4142" stroked="true" strokeweight=".75pt" strokecolor="#989898"/>
            <v:line style="position:absolute" from="2293,3538" to="10093,3538" stroked="true" strokeweight=".75pt" strokecolor="#989898"/>
            <v:line style="position:absolute" from="2293,2933" to="10093,2933" stroked="true" strokeweight=".75pt" strokecolor="#989898"/>
            <v:shape style="position:absolute;left:2479;top:2777;width:490;height:1982" type="#_x0000_t75" stroked="false">
              <v:imagedata r:id="rId143" o:title=""/>
            </v:shape>
            <v:shape style="position:absolute;left:3348;top:2897;width:490;height:1862" type="#_x0000_t75" stroked="false">
              <v:imagedata r:id="rId144" o:title=""/>
            </v:shape>
            <v:shape style="position:absolute;left:4212;top:2777;width:494;height:1982" type="#_x0000_t75" stroked="false">
              <v:imagedata r:id="rId145" o:title=""/>
            </v:shape>
            <v:line style="position:absolute" from="2293,2328" to="10093,2328" stroked="true" strokeweight=".75pt" strokecolor="#989898"/>
            <v:shape style="position:absolute;left:5080;top:2297;width:490;height:2462" type="#_x0000_t75" stroked="false">
              <v:imagedata r:id="rId146" o:title=""/>
            </v:shape>
            <v:shape style="position:absolute;left:5944;top:2297;width:494;height:2462" type="#_x0000_t75" stroked="false">
              <v:imagedata r:id="rId147" o:title=""/>
            </v:shape>
            <v:shape style="position:absolute;left:6813;top:2172;width:490;height:2587" type="#_x0000_t75" stroked="false">
              <v:imagedata r:id="rId148" o:title=""/>
            </v:shape>
            <v:shape style="position:absolute;left:7682;top:2897;width:490;height:1862" type="#_x0000_t75" stroked="false">
              <v:imagedata r:id="rId149" o:title=""/>
            </v:shape>
            <v:shape style="position:absolute;left:8546;top:1932;width:490;height:2827" type="#_x0000_t75" stroked="false">
              <v:imagedata r:id="rId150" o:title=""/>
            </v:shape>
            <v:line style="position:absolute" from="2293,1728" to="10093,1728" stroked="true" strokeweight=".75pt" strokecolor="#989898"/>
            <v:shape style="position:absolute;left:9415;top:1572;width:490;height:3187" type="#_x0000_t75" stroked="false">
              <v:imagedata r:id="rId151" o:title=""/>
            </v:shape>
            <v:shape style="position:absolute;left:2551;top:2813;width:347;height:1931" type="#_x0000_t75" stroked="false">
              <v:imagedata r:id="rId152" o:title=""/>
            </v:shape>
            <v:shape style="position:absolute;left:3418;top:2934;width:347;height:1811" type="#_x0000_t75" stroked="false">
              <v:imagedata r:id="rId153" o:title=""/>
            </v:shape>
            <v:shape style="position:absolute;left:4285;top:2813;width:347;height:1931" type="#_x0000_t75" stroked="false">
              <v:imagedata r:id="rId154" o:title=""/>
            </v:shape>
            <v:shape style="position:absolute;left:5152;top:2330;width:347;height:2414" type="#_x0000_t75" stroked="false">
              <v:imagedata r:id="rId155" o:title=""/>
            </v:shape>
            <v:shape style="position:absolute;left:6019;top:2330;width:347;height:2414" type="#_x0000_t75" stroked="false">
              <v:imagedata r:id="rId155" o:title=""/>
            </v:shape>
            <v:shape style="position:absolute;left:6885;top:2209;width:347;height:2535" type="#_x0000_t75" stroked="false">
              <v:imagedata r:id="rId156" o:title=""/>
            </v:shape>
            <v:shape style="position:absolute;left:7752;top:2934;width:347;height:1811" type="#_x0000_t75" stroked="false">
              <v:imagedata r:id="rId157" o:title=""/>
            </v:shape>
            <v:shape style="position:absolute;left:8619;top:1968;width:347;height:2776" type="#_x0000_t75" stroked="false">
              <v:imagedata r:id="rId158" o:title=""/>
            </v:shape>
            <v:shape style="position:absolute;left:9486;top:1606;width:347;height:3138" type="#_x0000_t75" stroked="false">
              <v:imagedata r:id="rId159" o:title=""/>
            </v:shape>
            <v:line style="position:absolute" from="2293,1123" to="10093,1123" stroked="true" strokeweight=".75pt" strokecolor="#989898"/>
            <v:line style="position:absolute" from="2291,4744" to="2291,1123" stroked="true" strokeweight=".75pt" strokecolor="#989898"/>
            <v:line style="position:absolute" from="2226,4742" to="2291,4742" stroked="true" strokeweight=".75pt" strokecolor="#989898"/>
            <v:line style="position:absolute" from="2226,4142" to="2291,4142" stroked="true" strokeweight=".75pt" strokecolor="#989898"/>
            <v:line style="position:absolute" from="2226,3538" to="2291,3538" stroked="true" strokeweight=".75pt" strokecolor="#989898"/>
            <v:line style="position:absolute" from="2226,2933" to="2291,2933" stroked="true" strokeweight=".75pt" strokecolor="#989898"/>
            <v:line style="position:absolute" from="2226,2328" to="2291,2328" stroked="true" strokeweight=".75pt" strokecolor="#989898"/>
            <v:line style="position:absolute" from="2226,1728" to="2291,1728" stroked="true" strokeweight=".75pt" strokecolor="#989898"/>
            <v:line style="position:absolute" from="2226,1123" to="2291,1123" stroked="true" strokeweight=".75pt" strokecolor="#989898"/>
            <v:line style="position:absolute" from="2291,4744" to="10093,4744" stroked="true" strokeweight=".75pt" strokecolor="#989898"/>
            <v:line style="position:absolute" from="2293,4742" to="2293,4808" stroked="true" strokeweight=".75pt" strokecolor="#989898"/>
            <v:line style="position:absolute" from="3157,4742" to="3157,4808" stroked="true" strokeweight=".75pt" strokecolor="#989898"/>
            <v:line style="position:absolute" from="4026,4742" to="4026,4808" stroked="true" strokeweight=".75pt" strokecolor="#989898"/>
            <v:line style="position:absolute" from="4890,4742" to="4890,4808" stroked="true" strokeweight=".75pt" strokecolor="#989898"/>
            <v:line style="position:absolute" from="5759,4742" to="5759,4808" stroked="true" strokeweight=".75pt" strokecolor="#989898"/>
            <v:line style="position:absolute" from="6623,4742" to="6623,4808" stroked="true" strokeweight=".75pt" strokecolor="#989898"/>
            <v:line style="position:absolute" from="7492,4742" to="7492,4808" stroked="true" strokeweight=".75pt" strokecolor="#989898"/>
            <v:line style="position:absolute" from="8361,4742" to="8361,4808" stroked="true" strokeweight=".75pt" strokecolor="#989898"/>
            <v:line style="position:absolute" from="9225,4742" to="9225,4808" stroked="true" strokeweight=".75pt" strokecolor="#989898"/>
            <v:line style="position:absolute" from="10093,4742" to="10093,4808" stroked="true" strokeweight=".75pt" strokecolor="#989898"/>
            <v:rect style="position:absolute;left:1713;top:211;width:8640;height:5040" filled="false" stroked="true" strokeweight=".75pt" strokecolor="#989898"/>
            <v:shape style="position:absolute;left:2872;top:480;width:6322;height:360" type="#_x0000_t202" filled="false" stroked="false">
              <v:textbox inset="0,0,0,0">
                <w:txbxContent>
                  <w:p>
                    <w:pPr>
                      <w:spacing w:line="360" w:lineRule="exact" w:before="0"/>
                      <w:ind w:left="0" w:right="-20" w:firstLine="0"/>
                      <w:jc w:val="left"/>
                      <w:rPr>
                        <w:rFonts w:ascii="Calibri" w:hAnsi="Calibri"/>
                        <w:b/>
                        <w:sz w:val="36"/>
                      </w:rPr>
                    </w:pPr>
                    <w:r>
                      <w:rPr>
                        <w:rFonts w:ascii="Calibri" w:hAnsi="Calibri"/>
                        <w:b/>
                        <w:sz w:val="36"/>
                      </w:rPr>
                      <w:t>Producción de vehículos ligeros en México</w:t>
                    </w:r>
                  </w:p>
                </w:txbxContent>
              </v:textbox>
              <w10:wrap type="none"/>
            </v:shape>
            <v:shape style="position:absolute;left:2005;top:1047;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3</w:t>
                    </w:r>
                  </w:p>
                </w:txbxContent>
              </v:textbox>
              <w10:wrap type="none"/>
            </v:shape>
            <v:shape style="position:absolute;left:9530;top:1300;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2.6</w:t>
                    </w:r>
                  </w:p>
                </w:txbxContent>
              </v:textbox>
              <w10:wrap type="none"/>
            </v:shape>
            <v:shape style="position:absolute;left:1853;top:1651;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2.5</w:t>
                    </w:r>
                  </w:p>
                </w:txbxContent>
              </v:textbox>
              <w10:wrap type="none"/>
            </v:shape>
            <v:shape style="position:absolute;left:8664;top:1662;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2.3</w:t>
                    </w:r>
                  </w:p>
                </w:txbxContent>
              </v:textbox>
              <w10:wrap type="none"/>
            </v:shape>
            <v:shape style="position:absolute;left:5274;top:202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2</w:t>
                    </w:r>
                  </w:p>
                </w:txbxContent>
              </v:textbox>
              <w10:wrap type="none"/>
            </v:shape>
            <v:shape style="position:absolute;left:6141;top:202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2</w:t>
                    </w:r>
                  </w:p>
                </w:txbxContent>
              </v:textbox>
              <w10:wrap type="none"/>
            </v:shape>
            <v:shape style="position:absolute;left:6932;top:1903;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2.1</w:t>
                    </w:r>
                  </w:p>
                </w:txbxContent>
              </v:textbox>
              <w10:wrap type="none"/>
            </v:shape>
            <v:shape style="position:absolute;left:2005;top:225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2</w:t>
                    </w:r>
                  </w:p>
                </w:txbxContent>
              </v:textbox>
              <w10:wrap type="none"/>
            </v:shape>
            <v:shape style="position:absolute;left:2597;top:2507;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1.6</w:t>
                    </w:r>
                  </w:p>
                </w:txbxContent>
              </v:textbox>
              <w10:wrap type="none"/>
            </v:shape>
            <v:shape style="position:absolute;left:3466;top:2628;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1.5</w:t>
                    </w:r>
                  </w:p>
                </w:txbxContent>
              </v:textbox>
              <w10:wrap type="none"/>
            </v:shape>
            <v:shape style="position:absolute;left:4331;top:2507;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1.6</w:t>
                    </w:r>
                  </w:p>
                </w:txbxContent>
              </v:textbox>
              <w10:wrap type="none"/>
            </v:shape>
            <v:shape style="position:absolute;left:7800;top:2628;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1.5</w:t>
                    </w:r>
                  </w:p>
                </w:txbxContent>
              </v:textbox>
              <w10:wrap type="none"/>
            </v:shape>
            <v:shape style="position:absolute;left:1853;top:2858;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1.5</w:t>
                    </w:r>
                  </w:p>
                </w:txbxContent>
              </v:textbox>
              <w10:wrap type="none"/>
            </v:shape>
            <v:shape style="position:absolute;left:2005;top:3461;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1</w:t>
                    </w:r>
                  </w:p>
                </w:txbxContent>
              </v:textbox>
              <w10:wrap type="none"/>
            </v:shape>
            <v:shape style="position:absolute;left:1853;top:4065;width:254;height:200" type="#_x0000_t202" filled="false" stroked="false">
              <v:textbox inset="0,0,0,0">
                <w:txbxContent>
                  <w:p>
                    <w:pPr>
                      <w:spacing w:line="200" w:lineRule="exact" w:before="0"/>
                      <w:ind w:left="0" w:right="-20" w:firstLine="0"/>
                      <w:jc w:val="left"/>
                      <w:rPr>
                        <w:rFonts w:ascii="Calibri"/>
                        <w:sz w:val="20"/>
                      </w:rPr>
                    </w:pPr>
                    <w:r>
                      <w:rPr>
                        <w:rFonts w:ascii="Calibri"/>
                        <w:sz w:val="20"/>
                      </w:rPr>
                      <w:t>0.5</w:t>
                    </w:r>
                  </w:p>
                </w:txbxContent>
              </v:textbox>
              <w10:wrap type="none"/>
            </v:shape>
            <v:shape style="position:absolute;left:2005;top:4668;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2522;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2003</w:t>
                    </w:r>
                  </w:p>
                </w:txbxContent>
              </v:textbox>
              <w10:wrap type="none"/>
            </v:shape>
            <v:shape style="position:absolute;left:3389;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2004</w:t>
                    </w:r>
                  </w:p>
                </w:txbxContent>
              </v:textbox>
              <w10:wrap type="none"/>
            </v:shape>
            <v:shape style="position:absolute;left:4256;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2005</w:t>
                    </w:r>
                  </w:p>
                </w:txbxContent>
              </v:textbox>
              <w10:wrap type="none"/>
            </v:shape>
            <v:shape style="position:absolute;left:5123;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2006</w:t>
                    </w:r>
                  </w:p>
                </w:txbxContent>
              </v:textbox>
              <w10:wrap type="none"/>
            </v:shape>
            <v:shape style="position:absolute;left:5989;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2007</w:t>
                    </w:r>
                  </w:p>
                </w:txbxContent>
              </v:textbox>
              <w10:wrap type="none"/>
            </v:shape>
            <v:shape style="position:absolute;left:6856;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7723;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8590;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9457;top:4915;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w10:wrap type="topAndBottom"/>
          </v:group>
        </w:pict>
      </w:r>
    </w:p>
    <w:p>
      <w:pPr>
        <w:pStyle w:val="BodyText"/>
        <w:spacing w:before="9"/>
        <w:rPr>
          <w:sz w:val="28"/>
        </w:rPr>
      </w:pPr>
    </w:p>
    <w:p>
      <w:pPr>
        <w:pStyle w:val="BodyText"/>
        <w:ind w:left="110"/>
        <w:jc w:val="both"/>
      </w:pPr>
      <w:r>
        <w:rPr/>
        <w:t>Fuente: AMIA</w:t>
      </w:r>
    </w:p>
    <w:p>
      <w:pPr>
        <w:pStyle w:val="BodyText"/>
        <w:spacing w:before="9"/>
        <w:rPr>
          <w:sz w:val="29"/>
        </w:rPr>
      </w:pPr>
    </w:p>
    <w:p>
      <w:pPr>
        <w:pStyle w:val="BodyText"/>
        <w:spacing w:line="360" w:lineRule="auto"/>
        <w:ind w:left="110" w:right="248"/>
        <w:jc w:val="both"/>
      </w:pPr>
      <w:r>
        <w:rPr/>
        <w:t>De las empresas armadoras ubicadas en nuestro país, Nissan es el líder en la producción de vehículos ligeros con 23.7% del total producido en el año 2011, seguido por GM 21.3%, VW 19.9%, Ford 18.1%.</w:t>
      </w:r>
    </w:p>
    <w:p>
      <w:pPr>
        <w:pStyle w:val="BodyText"/>
        <w:spacing w:line="360" w:lineRule="auto" w:before="209"/>
        <w:ind w:left="110" w:right="248"/>
        <w:jc w:val="both"/>
      </w:pPr>
      <w:r>
        <w:rPr/>
        <w:t>La producción de vehículos ligeros en nuestro país está destinada principalmente a la exportación, sobre todo al mercado norteamericano. En el 2011, se produjeron 2.6 millones de vehículos ligeros, del total, el 83% de la producción fue destinada a la exportación y 17% al mercado interno. Del total de las exportaciones en el año 2011, el principal destino fue Estados Unidos con 63.5%, América Latina (14.3%) y Europa (10.3%).</w:t>
      </w:r>
    </w:p>
    <w:p>
      <w:pPr>
        <w:spacing w:after="0" w:line="360" w:lineRule="auto"/>
        <w:jc w:val="both"/>
        <w:sectPr>
          <w:pgSz w:w="11910" w:h="16840"/>
          <w:pgMar w:header="755" w:footer="724" w:top="960" w:bottom="920" w:left="1600" w:right="1440"/>
        </w:sectPr>
      </w:pPr>
    </w:p>
    <w:p>
      <w:pPr>
        <w:pStyle w:val="BodyText"/>
        <w:rPr>
          <w:sz w:val="20"/>
        </w:rPr>
      </w:pPr>
    </w:p>
    <w:p>
      <w:pPr>
        <w:pStyle w:val="BodyText"/>
        <w:rPr>
          <w:sz w:val="20"/>
        </w:rPr>
      </w:pPr>
    </w:p>
    <w:tbl>
      <w:tblPr>
        <w:tblW w:w="0" w:type="auto"/>
        <w:jc w:val="left"/>
        <w:tblInd w:w="11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009"/>
        <w:gridCol w:w="1473"/>
        <w:gridCol w:w="1216"/>
        <w:gridCol w:w="1329"/>
        <w:gridCol w:w="1161"/>
        <w:gridCol w:w="1276"/>
      </w:tblGrid>
      <w:tr>
        <w:trPr>
          <w:trHeight w:val="713" w:hRule="exact"/>
        </w:trPr>
        <w:tc>
          <w:tcPr>
            <w:tcW w:w="2009" w:type="dxa"/>
            <w:tcBorders>
              <w:bottom w:val="single" w:sz="7" w:space="0" w:color="FFFFFF"/>
              <w:right w:val="nil"/>
            </w:tcBorders>
            <w:shd w:val="clear" w:color="auto" w:fill="808080"/>
          </w:tcPr>
          <w:p>
            <w:pPr>
              <w:pStyle w:val="TableParagraph"/>
              <w:jc w:val="left"/>
              <w:rPr>
                <w:rFonts w:ascii="Arial"/>
                <w:sz w:val="18"/>
              </w:rPr>
            </w:pPr>
          </w:p>
          <w:p>
            <w:pPr>
              <w:pStyle w:val="TableParagraph"/>
              <w:spacing w:before="142"/>
              <w:ind w:left="758" w:right="832"/>
              <w:rPr>
                <w:rFonts w:ascii="Arial"/>
                <w:sz w:val="19"/>
              </w:rPr>
            </w:pPr>
            <w:r>
              <w:rPr>
                <w:rFonts w:ascii="Arial"/>
                <w:sz w:val="19"/>
              </w:rPr>
              <w:t>Pais</w:t>
            </w:r>
          </w:p>
        </w:tc>
        <w:tc>
          <w:tcPr>
            <w:tcW w:w="2689" w:type="dxa"/>
            <w:gridSpan w:val="2"/>
            <w:tcBorders>
              <w:top w:val="nil"/>
              <w:left w:val="nil"/>
              <w:bottom w:val="single" w:sz="7" w:space="0" w:color="FFFFFF"/>
              <w:right w:val="nil"/>
            </w:tcBorders>
            <w:shd w:val="clear" w:color="auto" w:fill="808080"/>
          </w:tcPr>
          <w:p>
            <w:pPr>
              <w:pStyle w:val="TableParagraph"/>
              <w:spacing w:before="6"/>
              <w:ind w:right="40"/>
              <w:rPr>
                <w:rFonts w:ascii="Arial"/>
                <w:sz w:val="19"/>
              </w:rPr>
            </w:pPr>
            <w:r>
              <w:rPr>
                <w:rFonts w:ascii="Arial"/>
                <w:sz w:val="19"/>
              </w:rPr>
              <w:t>Unidades</w:t>
            </w:r>
          </w:p>
          <w:p>
            <w:pPr>
              <w:pStyle w:val="TableParagraph"/>
              <w:tabs>
                <w:tab w:pos="1358" w:val="left" w:leader="none"/>
              </w:tabs>
              <w:spacing w:before="133"/>
              <w:ind w:right="56"/>
              <w:rPr>
                <w:rFonts w:ascii="Arial"/>
                <w:sz w:val="19"/>
              </w:rPr>
            </w:pPr>
            <w:r>
              <w:rPr>
                <w:rFonts w:ascii="Arial"/>
                <w:sz w:val="19"/>
              </w:rPr>
              <w:t>2010</w:t>
              <w:tab/>
            </w:r>
            <w:r>
              <w:rPr>
                <w:rFonts w:ascii="Arial"/>
                <w:spacing w:val="-4"/>
                <w:sz w:val="19"/>
              </w:rPr>
              <w:t>2011</w:t>
            </w:r>
          </w:p>
        </w:tc>
        <w:tc>
          <w:tcPr>
            <w:tcW w:w="1329" w:type="dxa"/>
            <w:tcBorders>
              <w:top w:val="nil"/>
              <w:left w:val="nil"/>
              <w:bottom w:val="single" w:sz="7" w:space="0" w:color="FFFFFF"/>
              <w:right w:val="nil"/>
            </w:tcBorders>
            <w:shd w:val="clear" w:color="auto" w:fill="808080"/>
          </w:tcPr>
          <w:p>
            <w:pPr>
              <w:pStyle w:val="TableParagraph"/>
              <w:jc w:val="left"/>
              <w:rPr>
                <w:rFonts w:ascii="Arial"/>
                <w:sz w:val="22"/>
              </w:rPr>
            </w:pPr>
          </w:p>
          <w:p>
            <w:pPr>
              <w:pStyle w:val="TableParagraph"/>
              <w:spacing w:line="252" w:lineRule="auto"/>
              <w:ind w:left="387" w:right="186" w:hanging="278"/>
              <w:jc w:val="left"/>
              <w:rPr>
                <w:rFonts w:ascii="Arial"/>
                <w:sz w:val="19"/>
              </w:rPr>
            </w:pPr>
            <w:r>
              <w:rPr>
                <w:rFonts w:ascii="Arial"/>
                <w:sz w:val="19"/>
              </w:rPr>
              <w:t>Variacion % anual</w:t>
            </w:r>
          </w:p>
        </w:tc>
        <w:tc>
          <w:tcPr>
            <w:tcW w:w="2437" w:type="dxa"/>
            <w:gridSpan w:val="2"/>
            <w:tcBorders>
              <w:top w:val="nil"/>
              <w:left w:val="nil"/>
              <w:bottom w:val="single" w:sz="7" w:space="0" w:color="FFFFFF"/>
              <w:right w:val="nil"/>
            </w:tcBorders>
            <w:shd w:val="clear" w:color="auto" w:fill="808080"/>
          </w:tcPr>
          <w:p>
            <w:pPr>
              <w:pStyle w:val="TableParagraph"/>
              <w:tabs>
                <w:tab w:pos="1583" w:val="left" w:leader="none"/>
              </w:tabs>
              <w:spacing w:line="386" w:lineRule="auto" w:before="6"/>
              <w:ind w:left="330" w:right="437" w:firstLine="278"/>
              <w:jc w:val="left"/>
              <w:rPr>
                <w:rFonts w:ascii="Arial"/>
                <w:sz w:val="19"/>
              </w:rPr>
            </w:pPr>
            <w:r>
              <w:rPr>
                <w:rFonts w:ascii="Arial"/>
                <w:sz w:val="19"/>
              </w:rPr>
              <w:t>Estructura % 2010</w:t>
              <w:tab/>
            </w:r>
            <w:r>
              <w:rPr>
                <w:rFonts w:ascii="Arial"/>
                <w:spacing w:val="-4"/>
                <w:sz w:val="19"/>
              </w:rPr>
              <w:t>2011</w:t>
            </w:r>
          </w:p>
        </w:tc>
      </w:tr>
      <w:tr>
        <w:trPr>
          <w:trHeight w:val="265" w:hRule="exact"/>
        </w:trPr>
        <w:tc>
          <w:tcPr>
            <w:tcW w:w="2009" w:type="dxa"/>
            <w:tcBorders>
              <w:top w:val="single" w:sz="7" w:space="0" w:color="FFFFFF"/>
              <w:left w:val="nil"/>
              <w:bottom w:val="nil"/>
              <w:right w:val="nil"/>
            </w:tcBorders>
            <w:shd w:val="clear" w:color="auto" w:fill="D9D9D9"/>
          </w:tcPr>
          <w:p>
            <w:pPr>
              <w:pStyle w:val="TableParagraph"/>
              <w:spacing w:before="6"/>
              <w:ind w:left="285" w:right="353"/>
              <w:rPr>
                <w:rFonts w:ascii="Arial"/>
                <w:sz w:val="19"/>
              </w:rPr>
            </w:pPr>
            <w:r>
              <w:rPr>
                <w:rFonts w:ascii="Arial"/>
                <w:sz w:val="19"/>
              </w:rPr>
              <w:t>Estados Unidos</w:t>
            </w:r>
          </w:p>
        </w:tc>
        <w:tc>
          <w:tcPr>
            <w:tcW w:w="1473" w:type="dxa"/>
            <w:tcBorders>
              <w:top w:val="single" w:sz="7" w:space="0" w:color="FFFFFF"/>
              <w:left w:val="nil"/>
              <w:bottom w:val="nil"/>
              <w:right w:val="nil"/>
            </w:tcBorders>
            <w:shd w:val="clear" w:color="auto" w:fill="D9D9D9"/>
          </w:tcPr>
          <w:p>
            <w:pPr>
              <w:pStyle w:val="TableParagraph"/>
              <w:spacing w:before="6"/>
              <w:ind w:right="250"/>
              <w:jc w:val="right"/>
              <w:rPr>
                <w:rFonts w:ascii="Arial"/>
                <w:sz w:val="19"/>
              </w:rPr>
            </w:pPr>
            <w:r>
              <w:rPr>
                <w:rFonts w:ascii="Arial"/>
                <w:sz w:val="19"/>
              </w:rPr>
              <w:t>1,277,184</w:t>
            </w:r>
          </w:p>
        </w:tc>
        <w:tc>
          <w:tcPr>
            <w:tcW w:w="1216" w:type="dxa"/>
            <w:tcBorders>
              <w:top w:val="single" w:sz="7" w:space="0" w:color="FFFFFF"/>
              <w:left w:val="nil"/>
              <w:bottom w:val="nil"/>
              <w:right w:val="nil"/>
            </w:tcBorders>
            <w:shd w:val="clear" w:color="auto" w:fill="D9D9D9"/>
          </w:tcPr>
          <w:p>
            <w:pPr>
              <w:pStyle w:val="TableParagraph"/>
              <w:spacing w:before="6"/>
              <w:ind w:right="107"/>
              <w:jc w:val="right"/>
              <w:rPr>
                <w:rFonts w:ascii="Arial"/>
                <w:sz w:val="19"/>
              </w:rPr>
            </w:pPr>
            <w:r>
              <w:rPr>
                <w:rFonts w:ascii="Arial"/>
                <w:sz w:val="19"/>
              </w:rPr>
              <w:t>1,362,425</w:t>
            </w:r>
          </w:p>
        </w:tc>
        <w:tc>
          <w:tcPr>
            <w:tcW w:w="1329" w:type="dxa"/>
            <w:tcBorders>
              <w:top w:val="single" w:sz="7" w:space="0" w:color="FFFFFF"/>
              <w:left w:val="nil"/>
              <w:bottom w:val="nil"/>
              <w:right w:val="nil"/>
            </w:tcBorders>
            <w:shd w:val="clear" w:color="auto" w:fill="D9D9D9"/>
          </w:tcPr>
          <w:p>
            <w:pPr>
              <w:pStyle w:val="TableParagraph"/>
              <w:spacing w:before="6"/>
              <w:ind w:left="387" w:right="186"/>
              <w:jc w:val="left"/>
              <w:rPr>
                <w:rFonts w:ascii="Arial"/>
                <w:sz w:val="19"/>
              </w:rPr>
            </w:pPr>
            <w:r>
              <w:rPr>
                <w:rFonts w:ascii="Arial"/>
                <w:sz w:val="19"/>
              </w:rPr>
              <w:t>6.7%</w:t>
            </w:r>
          </w:p>
        </w:tc>
        <w:tc>
          <w:tcPr>
            <w:tcW w:w="1161" w:type="dxa"/>
            <w:tcBorders>
              <w:top w:val="single" w:sz="7" w:space="0" w:color="FFFFFF"/>
              <w:left w:val="nil"/>
              <w:bottom w:val="nil"/>
              <w:right w:val="nil"/>
            </w:tcBorders>
            <w:shd w:val="clear" w:color="auto" w:fill="D9D9D9"/>
          </w:tcPr>
          <w:p>
            <w:pPr>
              <w:pStyle w:val="TableParagraph"/>
              <w:spacing w:before="6"/>
              <w:ind w:left="260"/>
              <w:jc w:val="left"/>
              <w:rPr>
                <w:rFonts w:ascii="Arial"/>
                <w:sz w:val="19"/>
              </w:rPr>
            </w:pPr>
            <w:r>
              <w:rPr>
                <w:rFonts w:ascii="Arial"/>
                <w:sz w:val="19"/>
              </w:rPr>
              <w:t>68.7%</w:t>
            </w:r>
          </w:p>
        </w:tc>
        <w:tc>
          <w:tcPr>
            <w:tcW w:w="1276" w:type="dxa"/>
            <w:tcBorders>
              <w:top w:val="single" w:sz="7" w:space="0" w:color="FFFFFF"/>
              <w:left w:val="nil"/>
              <w:bottom w:val="nil"/>
              <w:right w:val="nil"/>
            </w:tcBorders>
            <w:shd w:val="clear" w:color="auto" w:fill="D9D9D9"/>
          </w:tcPr>
          <w:p>
            <w:pPr>
              <w:pStyle w:val="TableParagraph"/>
              <w:spacing w:before="6"/>
              <w:ind w:left="283" w:right="305"/>
              <w:rPr>
                <w:rFonts w:ascii="Arial"/>
                <w:sz w:val="19"/>
              </w:rPr>
            </w:pPr>
            <w:r>
              <w:rPr>
                <w:rFonts w:ascii="Arial"/>
                <w:sz w:val="19"/>
              </w:rPr>
              <w:t>63.5%</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52"/>
              <w:rPr>
                <w:rFonts w:ascii="Arial"/>
                <w:sz w:val="19"/>
              </w:rPr>
            </w:pPr>
            <w:r>
              <w:rPr>
                <w:rFonts w:ascii="Arial"/>
                <w:sz w:val="19"/>
              </w:rPr>
              <w:t>Latinoamerica</w:t>
            </w:r>
          </w:p>
        </w:tc>
        <w:tc>
          <w:tcPr>
            <w:tcW w:w="1473" w:type="dxa"/>
            <w:tcBorders>
              <w:top w:val="nil"/>
              <w:left w:val="nil"/>
              <w:bottom w:val="nil"/>
              <w:right w:val="nil"/>
            </w:tcBorders>
            <w:shd w:val="clear" w:color="auto" w:fill="D9D9D9"/>
          </w:tcPr>
          <w:p>
            <w:pPr>
              <w:pStyle w:val="TableParagraph"/>
              <w:spacing w:before="14"/>
              <w:ind w:right="268"/>
              <w:jc w:val="right"/>
              <w:rPr>
                <w:rFonts w:ascii="Arial"/>
                <w:sz w:val="19"/>
              </w:rPr>
            </w:pPr>
            <w:r>
              <w:rPr>
                <w:rFonts w:ascii="Arial"/>
                <w:sz w:val="19"/>
              </w:rPr>
              <w:t>196,859</w:t>
            </w:r>
          </w:p>
        </w:tc>
        <w:tc>
          <w:tcPr>
            <w:tcW w:w="1216" w:type="dxa"/>
            <w:tcBorders>
              <w:top w:val="nil"/>
              <w:left w:val="nil"/>
              <w:bottom w:val="nil"/>
              <w:right w:val="nil"/>
            </w:tcBorders>
            <w:shd w:val="clear" w:color="auto" w:fill="D9D9D9"/>
          </w:tcPr>
          <w:p>
            <w:pPr>
              <w:pStyle w:val="TableParagraph"/>
              <w:spacing w:before="14"/>
              <w:ind w:right="125"/>
              <w:jc w:val="right"/>
              <w:rPr>
                <w:rFonts w:ascii="Arial"/>
                <w:sz w:val="19"/>
              </w:rPr>
            </w:pPr>
            <w:r>
              <w:rPr>
                <w:rFonts w:ascii="Arial"/>
                <w:sz w:val="19"/>
              </w:rPr>
              <w:t>306,583</w:t>
            </w:r>
          </w:p>
        </w:tc>
        <w:tc>
          <w:tcPr>
            <w:tcW w:w="1329" w:type="dxa"/>
            <w:tcBorders>
              <w:top w:val="nil"/>
              <w:left w:val="nil"/>
              <w:bottom w:val="nil"/>
              <w:right w:val="nil"/>
            </w:tcBorders>
            <w:shd w:val="clear" w:color="auto" w:fill="D9D9D9"/>
          </w:tcPr>
          <w:p>
            <w:pPr>
              <w:pStyle w:val="TableParagraph"/>
              <w:spacing w:before="14"/>
              <w:ind w:left="335" w:right="186"/>
              <w:jc w:val="left"/>
              <w:rPr>
                <w:rFonts w:ascii="Arial"/>
                <w:sz w:val="19"/>
              </w:rPr>
            </w:pPr>
            <w:r>
              <w:rPr>
                <w:rFonts w:ascii="Arial"/>
                <w:sz w:val="19"/>
              </w:rPr>
              <w:t>55.7%</w:t>
            </w:r>
          </w:p>
        </w:tc>
        <w:tc>
          <w:tcPr>
            <w:tcW w:w="1161" w:type="dxa"/>
            <w:tcBorders>
              <w:top w:val="nil"/>
              <w:left w:val="nil"/>
              <w:bottom w:val="nil"/>
              <w:right w:val="nil"/>
            </w:tcBorders>
            <w:shd w:val="clear" w:color="auto" w:fill="D9D9D9"/>
          </w:tcPr>
          <w:p>
            <w:pPr>
              <w:pStyle w:val="TableParagraph"/>
              <w:spacing w:before="14"/>
              <w:ind w:left="260"/>
              <w:jc w:val="left"/>
              <w:rPr>
                <w:rFonts w:ascii="Arial"/>
                <w:sz w:val="19"/>
              </w:rPr>
            </w:pPr>
            <w:r>
              <w:rPr>
                <w:rFonts w:ascii="Arial"/>
                <w:sz w:val="19"/>
              </w:rPr>
              <w:t>10.6%</w:t>
            </w:r>
          </w:p>
        </w:tc>
        <w:tc>
          <w:tcPr>
            <w:tcW w:w="1276" w:type="dxa"/>
            <w:tcBorders>
              <w:top w:val="nil"/>
              <w:left w:val="nil"/>
              <w:bottom w:val="nil"/>
              <w:right w:val="nil"/>
            </w:tcBorders>
            <w:shd w:val="clear" w:color="auto" w:fill="D9D9D9"/>
          </w:tcPr>
          <w:p>
            <w:pPr>
              <w:pStyle w:val="TableParagraph"/>
              <w:spacing w:before="14"/>
              <w:ind w:left="283" w:right="305"/>
              <w:rPr>
                <w:rFonts w:ascii="Arial"/>
                <w:sz w:val="19"/>
              </w:rPr>
            </w:pPr>
            <w:r>
              <w:rPr>
                <w:rFonts w:ascii="Arial"/>
                <w:sz w:val="19"/>
              </w:rPr>
              <w:t>14.3%</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48"/>
              <w:rPr>
                <w:rFonts w:ascii="Arial"/>
                <w:sz w:val="19"/>
              </w:rPr>
            </w:pPr>
            <w:r>
              <w:rPr>
                <w:rFonts w:ascii="Arial"/>
                <w:sz w:val="19"/>
              </w:rPr>
              <w:t>Europa</w:t>
            </w:r>
          </w:p>
        </w:tc>
        <w:tc>
          <w:tcPr>
            <w:tcW w:w="1473" w:type="dxa"/>
            <w:tcBorders>
              <w:top w:val="nil"/>
              <w:left w:val="nil"/>
              <w:bottom w:val="nil"/>
              <w:right w:val="nil"/>
            </w:tcBorders>
            <w:shd w:val="clear" w:color="auto" w:fill="D9D9D9"/>
          </w:tcPr>
          <w:p>
            <w:pPr>
              <w:pStyle w:val="TableParagraph"/>
              <w:spacing w:before="14"/>
              <w:ind w:right="268"/>
              <w:jc w:val="right"/>
              <w:rPr>
                <w:rFonts w:ascii="Arial"/>
                <w:sz w:val="19"/>
              </w:rPr>
            </w:pPr>
            <w:r>
              <w:rPr>
                <w:rFonts w:ascii="Arial"/>
                <w:sz w:val="19"/>
              </w:rPr>
              <w:t>178,221</w:t>
            </w:r>
          </w:p>
        </w:tc>
        <w:tc>
          <w:tcPr>
            <w:tcW w:w="1216" w:type="dxa"/>
            <w:tcBorders>
              <w:top w:val="nil"/>
              <w:left w:val="nil"/>
              <w:bottom w:val="nil"/>
              <w:right w:val="nil"/>
            </w:tcBorders>
            <w:shd w:val="clear" w:color="auto" w:fill="D9D9D9"/>
          </w:tcPr>
          <w:p>
            <w:pPr>
              <w:pStyle w:val="TableParagraph"/>
              <w:spacing w:before="14"/>
              <w:ind w:right="125"/>
              <w:jc w:val="right"/>
              <w:rPr>
                <w:rFonts w:ascii="Arial"/>
                <w:sz w:val="19"/>
              </w:rPr>
            </w:pPr>
            <w:r>
              <w:rPr>
                <w:rFonts w:ascii="Arial"/>
                <w:sz w:val="19"/>
              </w:rPr>
              <w:t>220,788</w:t>
            </w:r>
          </w:p>
        </w:tc>
        <w:tc>
          <w:tcPr>
            <w:tcW w:w="1329" w:type="dxa"/>
            <w:tcBorders>
              <w:top w:val="nil"/>
              <w:left w:val="nil"/>
              <w:bottom w:val="nil"/>
              <w:right w:val="nil"/>
            </w:tcBorders>
            <w:shd w:val="clear" w:color="auto" w:fill="D9D9D9"/>
          </w:tcPr>
          <w:p>
            <w:pPr>
              <w:pStyle w:val="TableParagraph"/>
              <w:spacing w:before="14"/>
              <w:ind w:left="335" w:right="186"/>
              <w:jc w:val="left"/>
              <w:rPr>
                <w:rFonts w:ascii="Arial"/>
                <w:sz w:val="19"/>
              </w:rPr>
            </w:pPr>
            <w:r>
              <w:rPr>
                <w:rFonts w:ascii="Arial"/>
                <w:sz w:val="19"/>
              </w:rPr>
              <w:t>23.9%</w:t>
            </w:r>
          </w:p>
        </w:tc>
        <w:tc>
          <w:tcPr>
            <w:tcW w:w="1161" w:type="dxa"/>
            <w:tcBorders>
              <w:top w:val="nil"/>
              <w:left w:val="nil"/>
              <w:bottom w:val="nil"/>
              <w:right w:val="nil"/>
            </w:tcBorders>
            <w:shd w:val="clear" w:color="auto" w:fill="D9D9D9"/>
          </w:tcPr>
          <w:p>
            <w:pPr>
              <w:pStyle w:val="TableParagraph"/>
              <w:spacing w:before="14"/>
              <w:ind w:left="312"/>
              <w:jc w:val="left"/>
              <w:rPr>
                <w:rFonts w:ascii="Arial"/>
                <w:sz w:val="19"/>
              </w:rPr>
            </w:pPr>
            <w:r>
              <w:rPr>
                <w:rFonts w:ascii="Arial"/>
                <w:sz w:val="19"/>
              </w:rPr>
              <w:t>9.6%</w:t>
            </w:r>
          </w:p>
        </w:tc>
        <w:tc>
          <w:tcPr>
            <w:tcW w:w="1276" w:type="dxa"/>
            <w:tcBorders>
              <w:top w:val="nil"/>
              <w:left w:val="nil"/>
              <w:bottom w:val="nil"/>
              <w:right w:val="nil"/>
            </w:tcBorders>
            <w:shd w:val="clear" w:color="auto" w:fill="D9D9D9"/>
          </w:tcPr>
          <w:p>
            <w:pPr>
              <w:pStyle w:val="TableParagraph"/>
              <w:spacing w:before="14"/>
              <w:ind w:left="283" w:right="305"/>
              <w:rPr>
                <w:rFonts w:ascii="Arial"/>
                <w:sz w:val="19"/>
              </w:rPr>
            </w:pPr>
            <w:r>
              <w:rPr>
                <w:rFonts w:ascii="Arial"/>
                <w:sz w:val="19"/>
              </w:rPr>
              <w:t>10.3%</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29"/>
              <w:rPr>
                <w:rFonts w:ascii="Arial"/>
                <w:sz w:val="19"/>
              </w:rPr>
            </w:pPr>
            <w:r>
              <w:rPr>
                <w:rFonts w:ascii="Arial"/>
                <w:sz w:val="19"/>
              </w:rPr>
              <w:t>Canada</w:t>
            </w:r>
          </w:p>
        </w:tc>
        <w:tc>
          <w:tcPr>
            <w:tcW w:w="1473" w:type="dxa"/>
            <w:tcBorders>
              <w:top w:val="nil"/>
              <w:left w:val="nil"/>
              <w:bottom w:val="nil"/>
              <w:right w:val="nil"/>
            </w:tcBorders>
            <w:shd w:val="clear" w:color="auto" w:fill="D9D9D9"/>
          </w:tcPr>
          <w:p>
            <w:pPr>
              <w:pStyle w:val="TableParagraph"/>
              <w:spacing w:before="14"/>
              <w:ind w:right="268"/>
              <w:jc w:val="right"/>
              <w:rPr>
                <w:rFonts w:ascii="Arial"/>
                <w:sz w:val="19"/>
              </w:rPr>
            </w:pPr>
            <w:r>
              <w:rPr>
                <w:rFonts w:ascii="Arial"/>
                <w:sz w:val="19"/>
              </w:rPr>
              <w:t>142,800</w:t>
            </w:r>
          </w:p>
        </w:tc>
        <w:tc>
          <w:tcPr>
            <w:tcW w:w="1216" w:type="dxa"/>
            <w:tcBorders>
              <w:top w:val="nil"/>
              <w:left w:val="nil"/>
              <w:bottom w:val="nil"/>
              <w:right w:val="nil"/>
            </w:tcBorders>
            <w:shd w:val="clear" w:color="auto" w:fill="D9D9D9"/>
          </w:tcPr>
          <w:p>
            <w:pPr>
              <w:pStyle w:val="TableParagraph"/>
              <w:spacing w:before="14"/>
              <w:ind w:right="125"/>
              <w:jc w:val="right"/>
              <w:rPr>
                <w:rFonts w:ascii="Arial"/>
                <w:sz w:val="19"/>
              </w:rPr>
            </w:pPr>
            <w:r>
              <w:rPr>
                <w:rFonts w:ascii="Arial"/>
                <w:sz w:val="19"/>
              </w:rPr>
              <w:t>159,440</w:t>
            </w:r>
          </w:p>
        </w:tc>
        <w:tc>
          <w:tcPr>
            <w:tcW w:w="1329" w:type="dxa"/>
            <w:tcBorders>
              <w:top w:val="nil"/>
              <w:left w:val="nil"/>
              <w:bottom w:val="nil"/>
              <w:right w:val="nil"/>
            </w:tcBorders>
            <w:shd w:val="clear" w:color="auto" w:fill="D9D9D9"/>
          </w:tcPr>
          <w:p>
            <w:pPr>
              <w:pStyle w:val="TableParagraph"/>
              <w:spacing w:before="14"/>
              <w:ind w:left="352" w:right="186"/>
              <w:jc w:val="left"/>
              <w:rPr>
                <w:rFonts w:ascii="Arial"/>
                <w:sz w:val="19"/>
              </w:rPr>
            </w:pPr>
            <w:r>
              <w:rPr>
                <w:rFonts w:ascii="Arial"/>
                <w:sz w:val="19"/>
              </w:rPr>
              <w:t>11.7%</w:t>
            </w:r>
          </w:p>
        </w:tc>
        <w:tc>
          <w:tcPr>
            <w:tcW w:w="1161" w:type="dxa"/>
            <w:tcBorders>
              <w:top w:val="nil"/>
              <w:left w:val="nil"/>
              <w:bottom w:val="nil"/>
              <w:right w:val="nil"/>
            </w:tcBorders>
            <w:shd w:val="clear" w:color="auto" w:fill="D9D9D9"/>
          </w:tcPr>
          <w:p>
            <w:pPr>
              <w:pStyle w:val="TableParagraph"/>
              <w:spacing w:before="14"/>
              <w:ind w:left="312"/>
              <w:jc w:val="left"/>
              <w:rPr>
                <w:rFonts w:ascii="Arial"/>
                <w:sz w:val="19"/>
              </w:rPr>
            </w:pPr>
            <w:r>
              <w:rPr>
                <w:rFonts w:ascii="Arial"/>
                <w:sz w:val="19"/>
              </w:rPr>
              <w:t>7.7%</w:t>
            </w:r>
          </w:p>
        </w:tc>
        <w:tc>
          <w:tcPr>
            <w:tcW w:w="1276" w:type="dxa"/>
            <w:tcBorders>
              <w:top w:val="nil"/>
              <w:left w:val="nil"/>
              <w:bottom w:val="nil"/>
              <w:right w:val="nil"/>
            </w:tcBorders>
            <w:shd w:val="clear" w:color="auto" w:fill="D9D9D9"/>
          </w:tcPr>
          <w:p>
            <w:pPr>
              <w:pStyle w:val="TableParagraph"/>
              <w:spacing w:before="14"/>
              <w:ind w:left="280" w:right="305"/>
              <w:rPr>
                <w:rFonts w:ascii="Arial"/>
                <w:sz w:val="19"/>
              </w:rPr>
            </w:pPr>
            <w:r>
              <w:rPr>
                <w:rFonts w:ascii="Arial"/>
                <w:sz w:val="19"/>
              </w:rPr>
              <w:t>7.4%</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24"/>
              <w:rPr>
                <w:rFonts w:ascii="Arial"/>
                <w:sz w:val="19"/>
              </w:rPr>
            </w:pPr>
            <w:r>
              <w:rPr>
                <w:rFonts w:ascii="Arial"/>
                <w:sz w:val="19"/>
              </w:rPr>
              <w:t>Otros</w:t>
            </w:r>
          </w:p>
        </w:tc>
        <w:tc>
          <w:tcPr>
            <w:tcW w:w="1473" w:type="dxa"/>
            <w:tcBorders>
              <w:top w:val="nil"/>
              <w:left w:val="nil"/>
              <w:bottom w:val="nil"/>
              <w:right w:val="nil"/>
            </w:tcBorders>
            <w:shd w:val="clear" w:color="auto" w:fill="D9D9D9"/>
          </w:tcPr>
          <w:p>
            <w:pPr>
              <w:pStyle w:val="TableParagraph"/>
              <w:spacing w:before="14"/>
              <w:ind w:right="268"/>
              <w:jc w:val="right"/>
              <w:rPr>
                <w:rFonts w:ascii="Arial"/>
                <w:sz w:val="19"/>
              </w:rPr>
            </w:pPr>
            <w:r>
              <w:rPr>
                <w:rFonts w:ascii="Arial"/>
                <w:sz w:val="19"/>
              </w:rPr>
              <w:t>25,578</w:t>
            </w:r>
          </w:p>
        </w:tc>
        <w:tc>
          <w:tcPr>
            <w:tcW w:w="1216" w:type="dxa"/>
            <w:tcBorders>
              <w:top w:val="nil"/>
              <w:left w:val="nil"/>
              <w:bottom w:val="nil"/>
              <w:right w:val="nil"/>
            </w:tcBorders>
            <w:shd w:val="clear" w:color="auto" w:fill="D9D9D9"/>
          </w:tcPr>
          <w:p>
            <w:pPr>
              <w:pStyle w:val="TableParagraph"/>
              <w:spacing w:before="14"/>
              <w:ind w:right="125"/>
              <w:jc w:val="right"/>
              <w:rPr>
                <w:rFonts w:ascii="Arial"/>
                <w:sz w:val="19"/>
              </w:rPr>
            </w:pPr>
            <w:r>
              <w:rPr>
                <w:rFonts w:ascii="Arial"/>
                <w:sz w:val="19"/>
              </w:rPr>
              <w:t>61,093</w:t>
            </w:r>
          </w:p>
        </w:tc>
        <w:tc>
          <w:tcPr>
            <w:tcW w:w="1329" w:type="dxa"/>
            <w:tcBorders>
              <w:top w:val="nil"/>
              <w:left w:val="nil"/>
              <w:bottom w:val="nil"/>
              <w:right w:val="nil"/>
            </w:tcBorders>
            <w:shd w:val="clear" w:color="auto" w:fill="D9D9D9"/>
          </w:tcPr>
          <w:p>
            <w:pPr>
              <w:pStyle w:val="TableParagraph"/>
              <w:spacing w:before="14"/>
              <w:ind w:left="283" w:right="186"/>
              <w:jc w:val="left"/>
              <w:rPr>
                <w:rFonts w:ascii="Arial"/>
                <w:sz w:val="19"/>
              </w:rPr>
            </w:pPr>
            <w:r>
              <w:rPr>
                <w:rFonts w:ascii="Arial"/>
                <w:sz w:val="19"/>
              </w:rPr>
              <w:t>138.8%</w:t>
            </w:r>
          </w:p>
        </w:tc>
        <w:tc>
          <w:tcPr>
            <w:tcW w:w="1161" w:type="dxa"/>
            <w:tcBorders>
              <w:top w:val="nil"/>
              <w:left w:val="nil"/>
              <w:bottom w:val="nil"/>
              <w:right w:val="nil"/>
            </w:tcBorders>
            <w:shd w:val="clear" w:color="auto" w:fill="D9D9D9"/>
          </w:tcPr>
          <w:p>
            <w:pPr>
              <w:pStyle w:val="TableParagraph"/>
              <w:spacing w:before="14"/>
              <w:ind w:left="312"/>
              <w:jc w:val="left"/>
              <w:rPr>
                <w:rFonts w:ascii="Arial"/>
                <w:sz w:val="19"/>
              </w:rPr>
            </w:pPr>
            <w:r>
              <w:rPr>
                <w:rFonts w:ascii="Arial"/>
                <w:sz w:val="19"/>
              </w:rPr>
              <w:t>1.4%</w:t>
            </w:r>
          </w:p>
        </w:tc>
        <w:tc>
          <w:tcPr>
            <w:tcW w:w="1276" w:type="dxa"/>
            <w:tcBorders>
              <w:top w:val="nil"/>
              <w:left w:val="nil"/>
              <w:bottom w:val="nil"/>
              <w:right w:val="nil"/>
            </w:tcBorders>
            <w:shd w:val="clear" w:color="auto" w:fill="D9D9D9"/>
          </w:tcPr>
          <w:p>
            <w:pPr>
              <w:pStyle w:val="TableParagraph"/>
              <w:spacing w:before="14"/>
              <w:ind w:left="280" w:right="305"/>
              <w:rPr>
                <w:rFonts w:ascii="Arial"/>
                <w:sz w:val="19"/>
              </w:rPr>
            </w:pPr>
            <w:r>
              <w:rPr>
                <w:rFonts w:ascii="Arial"/>
                <w:sz w:val="19"/>
              </w:rPr>
              <w:t>2.8%</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50"/>
              <w:rPr>
                <w:rFonts w:ascii="Arial"/>
                <w:sz w:val="19"/>
              </w:rPr>
            </w:pPr>
            <w:r>
              <w:rPr>
                <w:rFonts w:ascii="Arial"/>
                <w:sz w:val="19"/>
              </w:rPr>
              <w:t>Asia</w:t>
            </w:r>
          </w:p>
        </w:tc>
        <w:tc>
          <w:tcPr>
            <w:tcW w:w="1473" w:type="dxa"/>
            <w:tcBorders>
              <w:top w:val="nil"/>
              <w:left w:val="nil"/>
              <w:bottom w:val="nil"/>
              <w:right w:val="nil"/>
            </w:tcBorders>
            <w:shd w:val="clear" w:color="auto" w:fill="D9D9D9"/>
          </w:tcPr>
          <w:p>
            <w:pPr>
              <w:pStyle w:val="TableParagraph"/>
              <w:spacing w:before="14"/>
              <w:ind w:right="268"/>
              <w:jc w:val="right"/>
              <w:rPr>
                <w:rFonts w:ascii="Arial"/>
                <w:sz w:val="19"/>
              </w:rPr>
            </w:pPr>
            <w:r>
              <w:rPr>
                <w:rFonts w:ascii="Arial"/>
                <w:sz w:val="19"/>
              </w:rPr>
              <w:t>29,050</w:t>
            </w:r>
          </w:p>
        </w:tc>
        <w:tc>
          <w:tcPr>
            <w:tcW w:w="1216" w:type="dxa"/>
            <w:tcBorders>
              <w:top w:val="nil"/>
              <w:left w:val="nil"/>
              <w:bottom w:val="nil"/>
              <w:right w:val="nil"/>
            </w:tcBorders>
            <w:shd w:val="clear" w:color="auto" w:fill="D9D9D9"/>
          </w:tcPr>
          <w:p>
            <w:pPr>
              <w:pStyle w:val="TableParagraph"/>
              <w:spacing w:before="14"/>
              <w:ind w:right="125"/>
              <w:jc w:val="right"/>
              <w:rPr>
                <w:rFonts w:ascii="Arial"/>
                <w:sz w:val="19"/>
              </w:rPr>
            </w:pPr>
            <w:r>
              <w:rPr>
                <w:rFonts w:ascii="Arial"/>
                <w:sz w:val="19"/>
              </w:rPr>
              <w:t>25,538</w:t>
            </w:r>
          </w:p>
        </w:tc>
        <w:tc>
          <w:tcPr>
            <w:tcW w:w="1329" w:type="dxa"/>
            <w:tcBorders>
              <w:top w:val="nil"/>
              <w:left w:val="nil"/>
              <w:bottom w:val="nil"/>
              <w:right w:val="nil"/>
            </w:tcBorders>
            <w:shd w:val="clear" w:color="auto" w:fill="D9D9D9"/>
          </w:tcPr>
          <w:p>
            <w:pPr>
              <w:pStyle w:val="TableParagraph"/>
              <w:spacing w:before="14"/>
              <w:ind w:left="300" w:right="186"/>
              <w:jc w:val="left"/>
              <w:rPr>
                <w:rFonts w:ascii="Arial"/>
                <w:sz w:val="19"/>
              </w:rPr>
            </w:pPr>
            <w:r>
              <w:rPr>
                <w:rFonts w:ascii="Arial"/>
                <w:sz w:val="19"/>
              </w:rPr>
              <w:t>-12.1%</w:t>
            </w:r>
          </w:p>
        </w:tc>
        <w:tc>
          <w:tcPr>
            <w:tcW w:w="1161" w:type="dxa"/>
            <w:tcBorders>
              <w:top w:val="nil"/>
              <w:left w:val="nil"/>
              <w:bottom w:val="nil"/>
              <w:right w:val="nil"/>
            </w:tcBorders>
            <w:shd w:val="clear" w:color="auto" w:fill="D9D9D9"/>
          </w:tcPr>
          <w:p>
            <w:pPr>
              <w:pStyle w:val="TableParagraph"/>
              <w:spacing w:before="14"/>
              <w:ind w:left="312"/>
              <w:jc w:val="left"/>
              <w:rPr>
                <w:rFonts w:ascii="Arial"/>
                <w:sz w:val="19"/>
              </w:rPr>
            </w:pPr>
            <w:r>
              <w:rPr>
                <w:rFonts w:ascii="Arial"/>
                <w:sz w:val="19"/>
              </w:rPr>
              <w:t>1.6%</w:t>
            </w:r>
          </w:p>
        </w:tc>
        <w:tc>
          <w:tcPr>
            <w:tcW w:w="1276" w:type="dxa"/>
            <w:tcBorders>
              <w:top w:val="nil"/>
              <w:left w:val="nil"/>
              <w:bottom w:val="nil"/>
              <w:right w:val="nil"/>
            </w:tcBorders>
            <w:shd w:val="clear" w:color="auto" w:fill="D9D9D9"/>
          </w:tcPr>
          <w:p>
            <w:pPr>
              <w:pStyle w:val="TableParagraph"/>
              <w:spacing w:before="14"/>
              <w:ind w:left="280" w:right="305"/>
              <w:rPr>
                <w:rFonts w:ascii="Arial"/>
                <w:sz w:val="19"/>
              </w:rPr>
            </w:pPr>
            <w:r>
              <w:rPr>
                <w:rFonts w:ascii="Arial"/>
                <w:sz w:val="19"/>
              </w:rPr>
              <w:t>1.2%</w:t>
            </w:r>
          </w:p>
        </w:tc>
      </w:tr>
      <w:tr>
        <w:trPr>
          <w:trHeight w:val="264" w:hRule="exact"/>
        </w:trPr>
        <w:tc>
          <w:tcPr>
            <w:tcW w:w="2009" w:type="dxa"/>
            <w:tcBorders>
              <w:top w:val="nil"/>
              <w:left w:val="nil"/>
              <w:bottom w:val="nil"/>
              <w:right w:val="nil"/>
            </w:tcBorders>
            <w:shd w:val="clear" w:color="auto" w:fill="D9D9D9"/>
          </w:tcPr>
          <w:p>
            <w:pPr>
              <w:pStyle w:val="TableParagraph"/>
              <w:spacing w:before="14"/>
              <w:ind w:left="285" w:right="337"/>
              <w:rPr>
                <w:rFonts w:ascii="Arial"/>
                <w:sz w:val="19"/>
              </w:rPr>
            </w:pPr>
            <w:r>
              <w:rPr>
                <w:rFonts w:ascii="Arial"/>
                <w:sz w:val="19"/>
              </w:rPr>
              <w:t>Africa</w:t>
            </w:r>
          </w:p>
        </w:tc>
        <w:tc>
          <w:tcPr>
            <w:tcW w:w="1473" w:type="dxa"/>
            <w:tcBorders>
              <w:top w:val="nil"/>
              <w:left w:val="nil"/>
              <w:bottom w:val="nil"/>
              <w:right w:val="nil"/>
            </w:tcBorders>
            <w:shd w:val="clear" w:color="auto" w:fill="D9D9D9"/>
          </w:tcPr>
          <w:p>
            <w:pPr>
              <w:pStyle w:val="TableParagraph"/>
              <w:spacing w:before="14"/>
              <w:ind w:right="304"/>
              <w:jc w:val="right"/>
              <w:rPr>
                <w:rFonts w:ascii="Arial"/>
                <w:sz w:val="19"/>
              </w:rPr>
            </w:pPr>
            <w:r>
              <w:rPr>
                <w:rFonts w:ascii="Arial"/>
                <w:sz w:val="19"/>
              </w:rPr>
              <w:t>9,494</w:t>
            </w:r>
          </w:p>
        </w:tc>
        <w:tc>
          <w:tcPr>
            <w:tcW w:w="1216" w:type="dxa"/>
            <w:tcBorders>
              <w:top w:val="nil"/>
              <w:left w:val="nil"/>
              <w:bottom w:val="nil"/>
              <w:right w:val="nil"/>
            </w:tcBorders>
            <w:shd w:val="clear" w:color="auto" w:fill="D9D9D9"/>
          </w:tcPr>
          <w:p>
            <w:pPr>
              <w:pStyle w:val="TableParagraph"/>
              <w:spacing w:before="14"/>
              <w:ind w:right="161"/>
              <w:jc w:val="right"/>
              <w:rPr>
                <w:rFonts w:ascii="Arial"/>
                <w:sz w:val="19"/>
              </w:rPr>
            </w:pPr>
            <w:r>
              <w:rPr>
                <w:rFonts w:ascii="Arial"/>
                <w:sz w:val="19"/>
              </w:rPr>
              <w:t>8,012</w:t>
            </w:r>
          </w:p>
        </w:tc>
        <w:tc>
          <w:tcPr>
            <w:tcW w:w="1329" w:type="dxa"/>
            <w:tcBorders>
              <w:top w:val="nil"/>
              <w:left w:val="nil"/>
              <w:bottom w:val="nil"/>
              <w:right w:val="nil"/>
            </w:tcBorders>
            <w:shd w:val="clear" w:color="auto" w:fill="D9D9D9"/>
          </w:tcPr>
          <w:p>
            <w:pPr>
              <w:pStyle w:val="TableParagraph"/>
              <w:spacing w:before="14"/>
              <w:ind w:left="300" w:right="186"/>
              <w:jc w:val="left"/>
              <w:rPr>
                <w:rFonts w:ascii="Arial"/>
                <w:sz w:val="19"/>
              </w:rPr>
            </w:pPr>
            <w:r>
              <w:rPr>
                <w:rFonts w:ascii="Arial"/>
                <w:sz w:val="19"/>
              </w:rPr>
              <w:t>-15.6%</w:t>
            </w:r>
          </w:p>
        </w:tc>
        <w:tc>
          <w:tcPr>
            <w:tcW w:w="1161" w:type="dxa"/>
            <w:tcBorders>
              <w:top w:val="nil"/>
              <w:left w:val="nil"/>
              <w:bottom w:val="nil"/>
              <w:right w:val="nil"/>
            </w:tcBorders>
            <w:shd w:val="clear" w:color="auto" w:fill="D9D9D9"/>
          </w:tcPr>
          <w:p>
            <w:pPr>
              <w:pStyle w:val="TableParagraph"/>
              <w:spacing w:before="14"/>
              <w:ind w:left="312"/>
              <w:jc w:val="left"/>
              <w:rPr>
                <w:rFonts w:ascii="Arial"/>
                <w:sz w:val="19"/>
              </w:rPr>
            </w:pPr>
            <w:r>
              <w:rPr>
                <w:rFonts w:ascii="Arial"/>
                <w:sz w:val="19"/>
              </w:rPr>
              <w:t>0.5%</w:t>
            </w:r>
          </w:p>
        </w:tc>
        <w:tc>
          <w:tcPr>
            <w:tcW w:w="1276" w:type="dxa"/>
            <w:tcBorders>
              <w:top w:val="nil"/>
              <w:left w:val="nil"/>
              <w:bottom w:val="nil"/>
              <w:right w:val="nil"/>
            </w:tcBorders>
            <w:shd w:val="clear" w:color="auto" w:fill="D9D9D9"/>
          </w:tcPr>
          <w:p>
            <w:pPr>
              <w:pStyle w:val="TableParagraph"/>
              <w:spacing w:before="14"/>
              <w:ind w:left="280" w:right="305"/>
              <w:rPr>
                <w:rFonts w:ascii="Arial"/>
                <w:sz w:val="19"/>
              </w:rPr>
            </w:pPr>
            <w:r>
              <w:rPr>
                <w:rFonts w:ascii="Arial"/>
                <w:sz w:val="19"/>
              </w:rPr>
              <w:t>0.4%</w:t>
            </w:r>
          </w:p>
        </w:tc>
      </w:tr>
      <w:tr>
        <w:trPr>
          <w:trHeight w:val="271" w:hRule="exact"/>
        </w:trPr>
        <w:tc>
          <w:tcPr>
            <w:tcW w:w="2009" w:type="dxa"/>
            <w:tcBorders>
              <w:top w:val="nil"/>
              <w:left w:val="nil"/>
              <w:bottom w:val="nil"/>
              <w:right w:val="nil"/>
            </w:tcBorders>
            <w:shd w:val="clear" w:color="auto" w:fill="D9D9D9"/>
          </w:tcPr>
          <w:p>
            <w:pPr>
              <w:pStyle w:val="TableParagraph"/>
              <w:spacing w:before="14"/>
              <w:ind w:left="285" w:right="353"/>
              <w:rPr>
                <w:rFonts w:ascii="Arial"/>
                <w:sz w:val="19"/>
              </w:rPr>
            </w:pPr>
            <w:r>
              <w:rPr>
                <w:rFonts w:ascii="Arial"/>
                <w:sz w:val="19"/>
              </w:rPr>
              <w:t>Total</w:t>
            </w:r>
          </w:p>
        </w:tc>
        <w:tc>
          <w:tcPr>
            <w:tcW w:w="1473" w:type="dxa"/>
            <w:tcBorders>
              <w:top w:val="nil"/>
              <w:left w:val="nil"/>
              <w:bottom w:val="nil"/>
              <w:right w:val="nil"/>
            </w:tcBorders>
            <w:shd w:val="clear" w:color="auto" w:fill="D9D9D9"/>
          </w:tcPr>
          <w:p>
            <w:pPr>
              <w:pStyle w:val="TableParagraph"/>
              <w:spacing w:before="14"/>
              <w:ind w:right="250"/>
              <w:jc w:val="right"/>
              <w:rPr>
                <w:rFonts w:ascii="Arial"/>
                <w:sz w:val="19"/>
              </w:rPr>
            </w:pPr>
            <w:r>
              <w:rPr>
                <w:rFonts w:ascii="Arial"/>
                <w:sz w:val="19"/>
              </w:rPr>
              <w:t>1,859,186</w:t>
            </w:r>
          </w:p>
        </w:tc>
        <w:tc>
          <w:tcPr>
            <w:tcW w:w="1216" w:type="dxa"/>
            <w:tcBorders>
              <w:top w:val="nil"/>
              <w:left w:val="nil"/>
              <w:bottom w:val="nil"/>
              <w:right w:val="nil"/>
            </w:tcBorders>
            <w:shd w:val="clear" w:color="auto" w:fill="D9D9D9"/>
          </w:tcPr>
          <w:p>
            <w:pPr>
              <w:pStyle w:val="TableParagraph"/>
              <w:spacing w:before="14"/>
              <w:ind w:right="107"/>
              <w:jc w:val="right"/>
              <w:rPr>
                <w:rFonts w:ascii="Arial"/>
                <w:sz w:val="19"/>
              </w:rPr>
            </w:pPr>
            <w:r>
              <w:rPr>
                <w:rFonts w:ascii="Arial"/>
                <w:sz w:val="19"/>
              </w:rPr>
              <w:t>2,143,879</w:t>
            </w:r>
          </w:p>
        </w:tc>
        <w:tc>
          <w:tcPr>
            <w:tcW w:w="1329" w:type="dxa"/>
            <w:tcBorders>
              <w:top w:val="nil"/>
              <w:left w:val="nil"/>
              <w:bottom w:val="nil"/>
              <w:right w:val="nil"/>
            </w:tcBorders>
            <w:shd w:val="clear" w:color="auto" w:fill="D9D9D9"/>
          </w:tcPr>
          <w:p>
            <w:pPr>
              <w:pStyle w:val="TableParagraph"/>
              <w:spacing w:before="14"/>
              <w:ind w:left="335" w:right="186"/>
              <w:jc w:val="left"/>
              <w:rPr>
                <w:rFonts w:ascii="Arial"/>
                <w:sz w:val="19"/>
              </w:rPr>
            </w:pPr>
            <w:r>
              <w:rPr>
                <w:rFonts w:ascii="Arial"/>
                <w:sz w:val="19"/>
              </w:rPr>
              <w:t>15.3%</w:t>
            </w:r>
          </w:p>
        </w:tc>
        <w:tc>
          <w:tcPr>
            <w:tcW w:w="1161" w:type="dxa"/>
            <w:tcBorders>
              <w:top w:val="nil"/>
              <w:left w:val="nil"/>
              <w:bottom w:val="nil"/>
              <w:right w:val="nil"/>
            </w:tcBorders>
            <w:shd w:val="clear" w:color="auto" w:fill="D9D9D9"/>
          </w:tcPr>
          <w:p>
            <w:pPr>
              <w:pStyle w:val="TableParagraph"/>
              <w:spacing w:before="14"/>
              <w:ind w:left="208"/>
              <w:jc w:val="left"/>
              <w:rPr>
                <w:rFonts w:ascii="Arial"/>
                <w:sz w:val="19"/>
              </w:rPr>
            </w:pPr>
            <w:r>
              <w:rPr>
                <w:rFonts w:ascii="Arial"/>
                <w:sz w:val="19"/>
              </w:rPr>
              <w:t>100.0%</w:t>
            </w:r>
          </w:p>
        </w:tc>
        <w:tc>
          <w:tcPr>
            <w:tcW w:w="1276" w:type="dxa"/>
            <w:tcBorders>
              <w:top w:val="nil"/>
              <w:left w:val="nil"/>
              <w:bottom w:val="nil"/>
              <w:right w:val="nil"/>
            </w:tcBorders>
            <w:shd w:val="clear" w:color="auto" w:fill="D9D9D9"/>
          </w:tcPr>
          <w:p>
            <w:pPr>
              <w:pStyle w:val="TableParagraph"/>
              <w:spacing w:before="14"/>
              <w:ind w:left="285" w:right="305"/>
              <w:rPr>
                <w:rFonts w:ascii="Arial"/>
                <w:sz w:val="19"/>
              </w:rPr>
            </w:pPr>
            <w:r>
              <w:rPr>
                <w:rFonts w:ascii="Arial"/>
                <w:sz w:val="19"/>
              </w:rPr>
              <w:t>100.0%</w:t>
            </w:r>
          </w:p>
        </w:tc>
      </w:tr>
    </w:tbl>
    <w:p>
      <w:pPr>
        <w:pStyle w:val="BodyText"/>
        <w:spacing w:before="5"/>
        <w:rPr>
          <w:sz w:val="22"/>
        </w:rPr>
      </w:pPr>
    </w:p>
    <w:p>
      <w:pPr>
        <w:pStyle w:val="BodyText"/>
        <w:spacing w:before="69"/>
        <w:ind w:left="110"/>
        <w:jc w:val="both"/>
      </w:pPr>
      <w:r>
        <w:rPr/>
        <w:pict>
          <v:shape style="position:absolute;margin-left:115pt;margin-top:463.783386pt;width:5pt;height:4pt;mso-position-horizontal-relative:page;mso-position-vertical-relative:paragraph;z-index:3424" coordorigin="2300,9276" coordsize="100,80" path="m3714,-523l3801,-523m3714,-505l3783,-505m3714,-487l3766,-487m3714,-470l3749,-470m3714,-452l3731,-452e" filled="false" stroked="true" strokeweight=".8754pt" strokecolor="#008000">
            <v:path arrowok="t"/>
            <w10:wrap type="none"/>
          </v:shape>
        </w:pict>
      </w:r>
      <w:r>
        <w:rPr/>
        <w:pict>
          <v:shape style="position:absolute;margin-left:193pt;margin-top:463.783386pt;width:5pt;height:4pt;mso-position-horizontal-relative:page;mso-position-vertical-relative:paragraph;z-index:3448" coordorigin="3860,9276" coordsize="100,80" path="m5072,-523l5159,-523m5072,-505l5142,-505m5072,-487l5124,-487m5072,-470l5107,-470m5072,-452l5090,-452e" filled="false" stroked="true" strokeweight=".8754pt" strokecolor="#008000">
            <v:path arrowok="t"/>
            <w10:wrap type="none"/>
          </v:shape>
        </w:pict>
      </w:r>
      <w:r>
        <w:rPr/>
        <w:t>Fuente: AMIA</w:t>
      </w:r>
    </w:p>
    <w:p>
      <w:pPr>
        <w:pStyle w:val="BodyText"/>
      </w:pPr>
    </w:p>
    <w:p>
      <w:pPr>
        <w:pStyle w:val="BodyText"/>
      </w:pPr>
    </w:p>
    <w:p>
      <w:pPr>
        <w:pStyle w:val="BodyText"/>
        <w:spacing w:before="9"/>
        <w:rPr>
          <w:sz w:val="34"/>
        </w:rPr>
      </w:pPr>
    </w:p>
    <w:p>
      <w:pPr>
        <w:pStyle w:val="Heading2"/>
        <w:numPr>
          <w:ilvl w:val="2"/>
          <w:numId w:val="24"/>
        </w:numPr>
        <w:tabs>
          <w:tab w:pos="831" w:val="left" w:leader="none"/>
        </w:tabs>
        <w:spacing w:line="240" w:lineRule="auto" w:before="1" w:after="0"/>
        <w:ind w:left="830" w:right="0" w:hanging="720"/>
        <w:jc w:val="both"/>
      </w:pPr>
      <w:bookmarkStart w:name="_TOC_250018" w:id="49"/>
      <w:bookmarkEnd w:id="49"/>
      <w:r>
        <w:rPr/>
        <w:t>Industria de autopartes en México</w:t>
      </w:r>
    </w:p>
    <w:p>
      <w:pPr>
        <w:pStyle w:val="BodyText"/>
        <w:spacing w:line="360" w:lineRule="auto" w:before="45"/>
        <w:ind w:left="110" w:right="108"/>
        <w:jc w:val="both"/>
      </w:pPr>
      <w:r>
        <w:rPr/>
        <w:t>La industria de autopartes en México se ha visto perturbada por los cambios que ha sufrido la industria automotriz mundial en la última década; el proceso de globalización, la demanda de vehículos en el mundo, la regulación gubernamental y el cambio tecnológico han modificado las estrategias competitivas desarrolladas por las empresas fabricantes de automóviles. Como respuesta a esos cambios…”las ensambladoras han adoptado una perspectiva global en sus actividades de manufactura basándose en los principios de producción flexible;” (Álvarez Medina, 2008), realizando alianzas, fusiones y adquisiciones para tener acceso a nuevos mercados y poder ser competitivos.</w:t>
      </w:r>
    </w:p>
    <w:p>
      <w:pPr>
        <w:pStyle w:val="BodyText"/>
        <w:spacing w:line="360" w:lineRule="auto" w:before="204"/>
        <w:ind w:left="110" w:right="108"/>
        <w:jc w:val="both"/>
      </w:pPr>
      <w:r>
        <w:rPr/>
        <w:t>Con base en datos del Sistema Empresarial Mexicano, en México se encuentran instaladas más de 600 empresas de autopartes, de las cuales más de una tercera parte son proveedores de nivel uno o Tier 1. Nuestro país, es uno de los principales centros manufactureros de la industria, gracias al establecimiento de proveedores de nivel uno provenientes de Estados Unidos, Europa y recientemente de Asia. El desarrollo de la industria de autopartes ha visto su mayor etapa de desarrollo en los últimos diez años, esto a pesar de la caída de la producción de automóviles durante el periodo 2008-2010.</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1"/>
        <w:rPr>
          <w:sz w:val="19"/>
        </w:rPr>
      </w:pPr>
    </w:p>
    <w:p>
      <w:pPr>
        <w:pStyle w:val="BodyText"/>
        <w:ind w:left="105"/>
        <w:rPr>
          <w:sz w:val="20"/>
        </w:rPr>
      </w:pPr>
      <w:r>
        <w:rPr>
          <w:sz w:val="20"/>
        </w:rPr>
        <w:pict>
          <v:group style="width:432.75pt;height:252.75pt;mso-position-horizontal-relative:char;mso-position-vertical-relative:line" coordorigin="0,0" coordsize="8655,5055">
            <v:shape style="position:absolute;left:649;top:1192;width:4848;height:3322" type="#_x0000_t75" stroked="false">
              <v:imagedata r:id="rId160" o:title=""/>
            </v:shape>
            <v:line style="position:absolute" from="804,2456" to="631,2478" stroked="true" strokeweight=".75pt" strokecolor="#000000"/>
            <v:rect style="position:absolute;left:6252;top:1995;width:110;height:110" filled="true" fillcolor="#747474" stroked="false">
              <v:fill type="solid"/>
            </v:rect>
            <v:rect style="position:absolute;left:6252;top:2397;width:110;height:110" filled="true" fillcolor="#c0c0c0" stroked="false">
              <v:fill type="solid"/>
            </v:rect>
            <v:rect style="position:absolute;left:6252;top:2799;width:110;height:110" filled="true" fillcolor="#939393" stroked="false">
              <v:fill type="solid"/>
            </v:rect>
            <v:rect style="position:absolute;left:6252;top:3200;width:110;height:110" filled="true" fillcolor="#636363" stroked="false">
              <v:fill type="solid"/>
            </v:rect>
            <v:rect style="position:absolute;left:6252;top:3602;width:110;height:110" filled="true" fillcolor="#a6a6a6" stroked="false">
              <v:fill type="solid"/>
            </v:rect>
            <v:rect style="position:absolute;left:7;top:7;width:8640;height:5040" filled="false" stroked="true" strokeweight=".75pt" strokecolor="#989898"/>
            <v:shape style="position:absolute;left:1707;top:277;width:5242;height:360" type="#_x0000_t202" filled="false" stroked="false">
              <v:textbox inset="0,0,0,0">
                <w:txbxContent>
                  <w:p>
                    <w:pPr>
                      <w:spacing w:line="360" w:lineRule="exact" w:before="0"/>
                      <w:ind w:left="0" w:right="-20" w:firstLine="0"/>
                      <w:jc w:val="left"/>
                      <w:rPr>
                        <w:rFonts w:ascii="Calibri"/>
                        <w:b/>
                        <w:sz w:val="36"/>
                      </w:rPr>
                    </w:pPr>
                    <w:r>
                      <w:rPr>
                        <w:rFonts w:ascii="Calibri"/>
                        <w:b/>
                        <w:sz w:val="36"/>
                      </w:rPr>
                      <w:t>Empresas de autopartes en Mexico</w:t>
                    </w:r>
                  </w:p>
                </w:txbxContent>
              </v:textbox>
              <w10:wrap type="none"/>
            </v:shape>
            <v:shape style="position:absolute;left:1827;top:1722;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152</w:t>
                    </w:r>
                  </w:p>
                </w:txbxContent>
              </v:textbox>
              <w10:wrap type="none"/>
            </v:shape>
            <v:shape style="position:absolute;left:3491;top:160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77</w:t>
                    </w:r>
                  </w:p>
                </w:txbxContent>
              </v:textbox>
              <w10:wrap type="none"/>
            </v:shape>
            <v:shape style="position:absolute;left:271;top:2317;width:423;height:845" type="#_x0000_t202" filled="false" stroked="false">
              <v:textbox inset="0,0,0,0">
                <w:txbxContent>
                  <w:p>
                    <w:pPr>
                      <w:spacing w:line="215" w:lineRule="exact" w:before="0"/>
                      <w:ind w:left="0" w:right="-19" w:firstLine="0"/>
                      <w:jc w:val="left"/>
                      <w:rPr>
                        <w:rFonts w:ascii="Times New Roman"/>
                        <w:sz w:val="20"/>
                      </w:rPr>
                    </w:pPr>
                    <w:r>
                      <w:rPr>
                        <w:rFonts w:ascii="Calibri"/>
                        <w:sz w:val="20"/>
                      </w:rPr>
                      <w:t>17 </w:t>
                    </w:r>
                    <w:r>
                      <w:rPr>
                        <w:rFonts w:ascii="Times New Roman"/>
                        <w:sz w:val="20"/>
                        <w:u w:val="single"/>
                      </w:rPr>
                      <w:t>  </w:t>
                    </w:r>
                  </w:p>
                  <w:p>
                    <w:pPr>
                      <w:spacing w:line="240" w:lineRule="auto" w:before="0"/>
                      <w:rPr>
                        <w:sz w:val="20"/>
                      </w:rPr>
                    </w:pPr>
                  </w:p>
                  <w:p>
                    <w:pPr>
                      <w:spacing w:line="234" w:lineRule="exact" w:before="166"/>
                      <w:ind w:left="219" w:right="-19" w:firstLine="0"/>
                      <w:jc w:val="left"/>
                      <w:rPr>
                        <w:rFonts w:ascii="Calibri"/>
                        <w:sz w:val="20"/>
                      </w:rPr>
                    </w:pPr>
                    <w:r>
                      <w:rPr>
                        <w:rFonts w:ascii="Calibri"/>
                        <w:sz w:val="20"/>
                      </w:rPr>
                      <w:t>10</w:t>
                    </w:r>
                  </w:p>
                </w:txbxContent>
              </v:textbox>
              <w10:wrap type="none"/>
            </v:shape>
            <v:shape style="position:absolute;left:3907;top:3142;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362</w:t>
                    </w:r>
                  </w:p>
                </w:txbxContent>
              </v:textbox>
              <w10:wrap type="none"/>
            </v:shape>
            <v:shape style="position:absolute;left:6407;top:1972;width:1971;height:1807" type="#_x0000_t202" filled="false" stroked="false">
              <v:textbox inset="0,0,0,0">
                <w:txbxContent>
                  <w:p>
                    <w:pPr>
                      <w:spacing w:line="210" w:lineRule="exact" w:before="0"/>
                      <w:ind w:left="0" w:right="-20" w:firstLine="0"/>
                      <w:jc w:val="left"/>
                      <w:rPr>
                        <w:rFonts w:ascii="Calibri"/>
                        <w:sz w:val="20"/>
                      </w:rPr>
                    </w:pPr>
                    <w:r>
                      <w:rPr>
                        <w:rFonts w:ascii="Calibri"/>
                        <w:sz w:val="20"/>
                      </w:rPr>
                      <w:t>Carrocerias y remolques</w:t>
                    </w:r>
                  </w:p>
                  <w:p>
                    <w:pPr>
                      <w:spacing w:line="400" w:lineRule="atLeast" w:before="1"/>
                      <w:ind w:left="0" w:right="-17" w:firstLine="0"/>
                      <w:jc w:val="left"/>
                      <w:rPr>
                        <w:rFonts w:ascii="Calibri"/>
                        <w:sz w:val="20"/>
                      </w:rPr>
                    </w:pPr>
                    <w:r>
                      <w:rPr>
                        <w:rFonts w:ascii="Calibri"/>
                        <w:sz w:val="20"/>
                      </w:rPr>
                      <w:t>Motores y sus partes Sistemas de transmision Sistemas de suspension Varios</w:t>
                    </w:r>
                  </w:p>
                </w:txbxContent>
              </v:textbox>
              <w10:wrap type="none"/>
            </v:shape>
          </v:group>
        </w:pict>
      </w:r>
      <w:r>
        <w:rPr>
          <w:sz w:val="20"/>
        </w:rPr>
      </w:r>
    </w:p>
    <w:p>
      <w:pPr>
        <w:pStyle w:val="BodyText"/>
        <w:spacing w:before="1"/>
      </w:pPr>
    </w:p>
    <w:p>
      <w:pPr>
        <w:pStyle w:val="BodyText"/>
        <w:spacing w:line="357" w:lineRule="auto" w:before="69"/>
        <w:ind w:left="110" w:right="248"/>
        <w:jc w:val="both"/>
      </w:pPr>
      <w:r>
        <w:rPr/>
        <w:t>La industria se encuentra especializada por región, el clúster noroeste es el  más importante en México. Las principales zonas productoras de nuestro país son:</w:t>
      </w:r>
    </w:p>
    <w:p>
      <w:pPr>
        <w:pStyle w:val="Heading2"/>
        <w:spacing w:line="360" w:lineRule="auto" w:before="212"/>
        <w:ind w:right="248"/>
      </w:pPr>
      <w:r>
        <w:rPr/>
        <w:t>Región Norte (Baja California, Baja California Sur, Sonora, Sinaloa, Durango).</w:t>
      </w:r>
    </w:p>
    <w:p>
      <w:pPr>
        <w:pStyle w:val="BodyText"/>
        <w:spacing w:line="355" w:lineRule="auto" w:before="209"/>
        <w:ind w:left="110" w:right="248"/>
        <w:jc w:val="both"/>
      </w:pPr>
      <w:r>
        <w:rPr/>
        <w:t>70 plantas de producción, principalmente de aire acondicionado y calefacción, componentes de interiores y accesorios, sistemas eléctricos para vehículos.</w:t>
      </w:r>
    </w:p>
    <w:p>
      <w:pPr>
        <w:pStyle w:val="Heading2"/>
        <w:spacing w:before="209"/>
      </w:pPr>
      <w:r>
        <w:rPr/>
        <w:t>Región Noroeste (Coahuila, Chihuahua, Nuevo León, Tamaulipas)</w:t>
      </w:r>
    </w:p>
    <w:p>
      <w:pPr>
        <w:pStyle w:val="BodyText"/>
        <w:spacing w:before="9"/>
        <w:rPr>
          <w:b/>
          <w:sz w:val="29"/>
        </w:rPr>
      </w:pPr>
    </w:p>
    <w:p>
      <w:pPr>
        <w:pStyle w:val="BodyText"/>
        <w:spacing w:line="357" w:lineRule="auto"/>
        <w:ind w:left="110" w:right="248"/>
        <w:jc w:val="both"/>
      </w:pPr>
      <w:r>
        <w:rPr/>
        <w:t>198 plantas de producción, sistemas de aire acondicionado y calefacción,  partes para el motor y maquinados, partes plásticas, partes para el sistema eléctrico, sistemas automotrices.</w:t>
      </w:r>
    </w:p>
    <w:p>
      <w:pPr>
        <w:pStyle w:val="Heading2"/>
        <w:spacing w:line="355" w:lineRule="auto" w:before="212"/>
        <w:ind w:right="248"/>
      </w:pPr>
      <w:r>
        <w:rPr/>
        <w:t>Región Centro (Aguascalientes, San Luis Potosí, Querétaro, Jalisco, Guanajuato)</w:t>
      </w:r>
    </w:p>
    <w:p>
      <w:pPr>
        <w:pStyle w:val="BodyText"/>
        <w:spacing w:line="355" w:lineRule="auto" w:before="214"/>
        <w:ind w:left="110" w:right="248"/>
        <w:jc w:val="both"/>
      </w:pPr>
      <w:r>
        <w:rPr/>
        <w:t>142 plantas de producción, estampados, frenos y sus partes, partes para el motor y transmisiones, productos de hule, partes para el sistema eléctrico.</w:t>
      </w:r>
    </w:p>
    <w:p>
      <w:pPr>
        <w:spacing w:after="0" w:line="355" w:lineRule="auto"/>
        <w:jc w:val="both"/>
        <w:sectPr>
          <w:pgSz w:w="11910" w:h="16840"/>
          <w:pgMar w:header="755" w:footer="724" w:top="960" w:bottom="920" w:left="1600" w:right="1440"/>
        </w:sectPr>
      </w:pPr>
    </w:p>
    <w:p>
      <w:pPr>
        <w:pStyle w:val="BodyText"/>
        <w:rPr>
          <w:sz w:val="20"/>
        </w:rPr>
      </w:pPr>
    </w:p>
    <w:p>
      <w:pPr>
        <w:pStyle w:val="BodyText"/>
        <w:spacing w:before="10"/>
        <w:rPr>
          <w:sz w:val="18"/>
        </w:rPr>
      </w:pPr>
    </w:p>
    <w:p>
      <w:pPr>
        <w:pStyle w:val="Heading2"/>
      </w:pPr>
      <w:r>
        <w:rPr/>
        <w:t>Región Sureste (Morelos, Veracruz, Tlaxcala, Yucatán, Puebla, Hidalgo)</w:t>
      </w:r>
    </w:p>
    <w:p>
      <w:pPr>
        <w:pStyle w:val="BodyText"/>
        <w:spacing w:before="9"/>
        <w:rPr>
          <w:b/>
          <w:sz w:val="29"/>
        </w:rPr>
      </w:pPr>
    </w:p>
    <w:p>
      <w:pPr>
        <w:pStyle w:val="BodyText"/>
        <w:spacing w:line="360" w:lineRule="auto"/>
        <w:ind w:left="110" w:right="248"/>
        <w:jc w:val="both"/>
      </w:pPr>
      <w:r>
        <w:rPr/>
        <w:t>101 plantas de producción, sistemas de aire acondicionado y calefacción, gatos hidráulicos tipo botella, componentes de interiores, asientos, partes para motor, sistemas eléctricos, partes para estampados, partes para suspensión.</w:t>
      </w:r>
    </w:p>
    <w:p>
      <w:pPr>
        <w:pStyle w:val="BodyText"/>
        <w:spacing w:line="355" w:lineRule="auto" w:before="209"/>
        <w:ind w:left="110" w:right="248"/>
        <w:jc w:val="both"/>
      </w:pPr>
      <w:r>
        <w:rPr/>
        <w:t>En el 2011, el valor de la producción de autopartes fue de un total de 65 mil millones de dólares.</w:t>
      </w:r>
    </w:p>
    <w:p>
      <w:pPr>
        <w:pStyle w:val="BodyText"/>
        <w:spacing w:before="9"/>
        <w:rPr>
          <w:sz w:val="14"/>
        </w:rPr>
      </w:pPr>
      <w:r>
        <w:rPr/>
        <w:pict>
          <v:group style="position:absolute;margin-left:85.25898pt;margin-top:10.486523pt;width:432.75pt;height:252.75pt;mso-position-horizontal-relative:page;mso-position-vertical-relative:paragraph;z-index:3880;mso-wrap-distance-left:0;mso-wrap-distance-right:0" coordorigin="1705,210" coordsize="8655,5055">
            <v:line style="position:absolute" from="2241,4139" to="7722,4139" stroked="true" strokeweight=".75pt" strokecolor="#989898"/>
            <v:line style="position:absolute" from="2241,3529" to="7722,3529" stroked="true" strokeweight=".75pt" strokecolor="#989898"/>
            <v:line style="position:absolute" from="2241,2920" to="7722,2920" stroked="true" strokeweight=".75pt" strokecolor="#989898"/>
            <v:line style="position:absolute" from="2241,2310" to="7722,2310" stroked="true" strokeweight=".75pt" strokecolor="#989898"/>
            <v:shape style="position:absolute;left:2301;top:2297;width:490;height:2467" type="#_x0000_t75" stroked="false">
              <v:imagedata r:id="rId161" o:title=""/>
            </v:shape>
            <v:shape style="position:absolute;left:2911;top:1889;width:490;height:2875" type="#_x0000_t75" stroked="false">
              <v:imagedata r:id="rId162" o:title=""/>
            </v:shape>
            <v:line style="position:absolute" from="2241,1700" to="7722,1700" stroked="true" strokeweight=".75pt" strokecolor="#989898"/>
            <v:shape style="position:absolute;left:3520;top:1630;width:490;height:3134" type="#_x0000_t75" stroked="false">
              <v:imagedata r:id="rId163" o:title=""/>
            </v:shape>
            <v:shape style="position:absolute;left:4125;top:1294;width:494;height:3470" type="#_x0000_t75" stroked="false">
              <v:imagedata r:id="rId164" o:title=""/>
            </v:shape>
            <v:line style="position:absolute" from="2241,1086" to="7722,1086" stroked="true" strokeweight=".75pt" strokecolor="#989898"/>
            <v:shape style="position:absolute;left:4735;top:953;width:494;height:3811" type="#_x0000_t75" stroked="false">
              <v:imagedata r:id="rId165" o:title=""/>
            </v:shape>
            <v:shape style="position:absolute;left:5344;top:1064;width:494;height:3701" type="#_x0000_t75" stroked="false">
              <v:imagedata r:id="rId166" o:title=""/>
            </v:shape>
            <v:shape style="position:absolute;left:5954;top:2091;width:494;height:2674" type="#_x0000_t75" stroked="false">
              <v:imagedata r:id="rId167" o:title=""/>
            </v:shape>
            <v:shape style="position:absolute;left:6564;top:929;width:494;height:3835" type="#_x0000_t75" stroked="false">
              <v:imagedata r:id="rId168" o:title=""/>
            </v:shape>
            <v:shape style="position:absolute;left:7173;top:617;width:494;height:4147" type="#_x0000_t75" stroked="false">
              <v:imagedata r:id="rId169" o:title=""/>
            </v:shape>
            <v:shape style="position:absolute;left:2371;top:2333;width:174;height:2417" type="#_x0000_t75" stroked="false">
              <v:imagedata r:id="rId170" o:title=""/>
            </v:shape>
            <v:shape style="position:absolute;left:2981;top:1924;width:174;height:2826" type="#_x0000_t75" stroked="false">
              <v:imagedata r:id="rId171" o:title=""/>
            </v:shape>
            <v:shape style="position:absolute;left:3590;top:1668;width:174;height:3083" type="#_x0000_t75" stroked="false">
              <v:imagedata r:id="rId172" o:title=""/>
            </v:shape>
            <v:shape style="position:absolute;left:4199;top:1332;width:174;height:3418" type="#_x0000_t75" stroked="false">
              <v:imagedata r:id="rId173" o:title=""/>
            </v:shape>
            <v:shape style="position:absolute;left:4809;top:990;width:174;height:3760" type="#_x0000_t75" stroked="false">
              <v:imagedata r:id="rId174" o:title=""/>
            </v:shape>
            <v:shape style="position:absolute;left:5418;top:1100;width:174;height:3650" type="#_x0000_t75" stroked="false">
              <v:imagedata r:id="rId175" o:title=""/>
            </v:shape>
            <v:shape style="position:absolute;left:6027;top:2125;width:174;height:2625" type="#_x0000_t75" stroked="false">
              <v:imagedata r:id="rId176" o:title=""/>
            </v:shape>
            <v:shape style="position:absolute;left:6637;top:966;width:174;height:3785" type="#_x0000_t75" stroked="false">
              <v:imagedata r:id="rId177" o:title=""/>
            </v:shape>
            <v:shape style="position:absolute;left:7246;top:654;width:174;height:4096" type="#_x0000_t75" stroked="false">
              <v:imagedata r:id="rId178" o:title=""/>
            </v:shape>
            <v:shape style="position:absolute;left:3155;top:4740;width:174;height:10" type="#_x0000_t75" stroked="false">
              <v:imagedata r:id="rId179" o:title=""/>
            </v:shape>
            <v:shape style="position:absolute;left:3764;top:4745;width:174;height:6" type="#_x0000_t75" stroked="false">
              <v:imagedata r:id="rId180" o:title=""/>
            </v:shape>
            <v:shape style="position:absolute;left:4373;top:4744;width:174;height:7" type="#_x0000_t75" stroked="false">
              <v:imagedata r:id="rId181" o:title=""/>
            </v:shape>
            <v:shape style="position:absolute;left:4983;top:4744;width:174;height:6" type="#_x0000_t75" stroked="false">
              <v:imagedata r:id="rId182" o:title=""/>
            </v:shape>
            <v:shape style="position:absolute;left:5592;top:4750;width:174;height:5" type="#_x0000_t75" stroked="false">
              <v:imagedata r:id="rId183" o:title=""/>
            </v:shape>
            <v:shape style="position:absolute;left:6201;top:4750;width:174;height:14" type="#_x0000_t75" stroked="false">
              <v:imagedata r:id="rId184" o:title=""/>
            </v:shape>
            <v:shape style="position:absolute;left:6811;top:4723;width:174;height:27" type="#_x0000_t75" stroked="false">
              <v:imagedata r:id="rId185" o:title=""/>
            </v:shape>
            <v:shape style="position:absolute;left:7420;top:4745;width:174;height:5" type="#_x0000_t75" stroked="false">
              <v:imagedata r:id="rId186" o:title=""/>
            </v:shape>
            <v:line style="position:absolute" from="2241,476" to="7722,476" stroked="true" strokeweight=".75pt" strokecolor="#989898"/>
            <v:line style="position:absolute" from="2241,4750" to="2241,477" stroked="true" strokeweight=".75pt" strokecolor="#989898"/>
            <v:line style="position:absolute" from="2178,4748" to="2241,4748" stroked="true" strokeweight=".75pt" strokecolor="#989898"/>
            <v:line style="position:absolute" from="2178,4139" to="2241,4139" stroked="true" strokeweight=".75pt" strokecolor="#989898"/>
            <v:line style="position:absolute" from="2178,3529" to="2241,3529" stroked="true" strokeweight=".75pt" strokecolor="#989898"/>
            <v:line style="position:absolute" from="2178,2920" to="2241,2920" stroked="true" strokeweight=".75pt" strokecolor="#989898"/>
            <v:line style="position:absolute" from="2178,2310" to="2241,2310" stroked="true" strokeweight=".75pt" strokecolor="#989898"/>
            <v:line style="position:absolute" from="2178,1700" to="2241,1700" stroked="true" strokeweight=".75pt" strokecolor="#989898"/>
            <v:line style="position:absolute" from="2178,1086" to="2241,1086" stroked="true" strokeweight=".75pt" strokecolor="#989898"/>
            <v:line style="position:absolute" from="2178,476" to="2241,476" stroked="true" strokeweight=".75pt" strokecolor="#989898"/>
            <v:line style="position:absolute" from="2241,4750" to="7725,4750" stroked="true" strokeweight=".75pt" strokecolor="#989898"/>
            <v:line style="position:absolute" from="2241,4748" to="2241,4814" stroked="true" strokeweight=".75pt" strokecolor="#989898"/>
            <v:line style="position:absolute" from="2850,4748" to="2850,4814" stroked="true" strokeweight=".75pt" strokecolor="#989898"/>
            <v:line style="position:absolute" from="3460,4748" to="3460,4814" stroked="true" strokeweight=".75pt" strokecolor="#989898"/>
            <v:line style="position:absolute" from="4069,4748" to="4069,4814" stroked="true" strokeweight=".75pt" strokecolor="#989898"/>
            <v:line style="position:absolute" from="4679,4748" to="4679,4814" stroked="true" strokeweight=".75pt" strokecolor="#989898"/>
            <v:line style="position:absolute" from="5289,4748" to="5289,4814" stroked="true" strokeweight=".75pt" strokecolor="#989898"/>
            <v:line style="position:absolute" from="5898,4748" to="5898,4814" stroked="true" strokeweight=".75pt" strokecolor="#989898"/>
            <v:line style="position:absolute" from="6508,4748" to="6508,4814" stroked="true" strokeweight=".75pt" strokecolor="#989898"/>
            <v:line style="position:absolute" from="7117,4748" to="7117,4814" stroked="true" strokeweight=".75pt" strokecolor="#989898"/>
            <v:line style="position:absolute" from="7722,4748" to="7722,4814" stroked="true" strokeweight=".75pt" strokecolor="#989898"/>
            <v:shape style="position:absolute;left:8100;top:2481;width:110;height:110" type="#_x0000_t75" stroked="false">
              <v:imagedata r:id="rId80" o:title=""/>
            </v:shape>
            <v:shape style="position:absolute;left:8100;top:2883;width:110;height:110" type="#_x0000_t75" stroked="false">
              <v:imagedata r:id="rId81" o:title=""/>
            </v:shape>
            <v:rect style="position:absolute;left:1713;top:217;width:8640;height:5040" filled="false" stroked="true" strokeweight=".75pt" strokecolor="#989898"/>
            <v:shape style="position:absolute;left:1853;top:401;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70</w:t>
                    </w:r>
                  </w:p>
                </w:txbxContent>
              </v:textbox>
              <w10:wrap type="none"/>
            </v:shape>
            <v:shape style="position:absolute;left:1853;top:101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60</w:t>
                    </w:r>
                  </w:p>
                </w:txbxContent>
              </v:textbox>
              <w10:wrap type="none"/>
            </v:shape>
            <v:shape style="position:absolute;left:1853;top:162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1853;top:2233;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1853;top:2843;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30</w:t>
                    </w:r>
                  </w:p>
                </w:txbxContent>
              </v:textbox>
              <w10:wrap type="none"/>
            </v:shape>
            <v:shape style="position:absolute;left:8254;top:2458;width:1829;height:602" type="#_x0000_t202" filled="false" stroked="false">
              <v:textbox inset="0,0,0,0">
                <w:txbxContent>
                  <w:p>
                    <w:pPr>
                      <w:spacing w:line="210" w:lineRule="exact" w:before="0"/>
                      <w:ind w:left="0" w:right="-20" w:firstLine="0"/>
                      <w:jc w:val="left"/>
                      <w:rPr>
                        <w:rFonts w:ascii="Calibri"/>
                        <w:sz w:val="20"/>
                      </w:rPr>
                    </w:pPr>
                    <w:r>
                      <w:rPr>
                        <w:rFonts w:ascii="Calibri"/>
                        <w:sz w:val="20"/>
                      </w:rPr>
                      <w:t>Valor de la produccion</w:t>
                    </w:r>
                  </w:p>
                  <w:p>
                    <w:pPr>
                      <w:spacing w:line="234" w:lineRule="exact" w:before="157"/>
                      <w:ind w:left="0" w:right="-20" w:firstLine="0"/>
                      <w:jc w:val="left"/>
                      <w:rPr>
                        <w:rFonts w:ascii="Calibri"/>
                        <w:sz w:val="20"/>
                      </w:rPr>
                    </w:pPr>
                    <w:r>
                      <w:rPr>
                        <w:rFonts w:ascii="Calibri"/>
                        <w:sz w:val="20"/>
                      </w:rPr>
                      <w:t>Variacion %</w:t>
                    </w:r>
                  </w:p>
                </w:txbxContent>
              </v:textbox>
              <w10:wrap type="none"/>
            </v:shape>
            <v:shape style="position:absolute;left:1853;top:3453;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1853;top:406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10</w:t>
                    </w:r>
                  </w:p>
                </w:txbxContent>
              </v:textbox>
              <w10:wrap type="none"/>
            </v:shape>
            <v:shape style="position:absolute;left:1954;top:467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2339;top:4921;width:5284;height:200" type="#_x0000_t202" filled="false" stroked="false">
              <v:textbox inset="0,0,0,0">
                <w:txbxContent>
                  <w:p>
                    <w:pPr>
                      <w:tabs>
                        <w:tab w:pos="609" w:val="left" w:leader="none"/>
                        <w:tab w:pos="1222" w:val="left" w:leader="none"/>
                        <w:tab w:pos="2440" w:val="left" w:leader="none"/>
                        <w:tab w:pos="3050" w:val="left" w:leader="none"/>
                        <w:tab w:pos="3659" w:val="left" w:leader="none"/>
                        <w:tab w:pos="4878" w:val="left" w:leader="none"/>
                      </w:tabs>
                      <w:spacing w:line="200" w:lineRule="exact" w:before="0"/>
                      <w:ind w:left="0" w:right="0" w:firstLine="0"/>
                      <w:jc w:val="left"/>
                      <w:rPr>
                        <w:rFonts w:ascii="Calibri"/>
                        <w:sz w:val="20"/>
                      </w:rPr>
                    </w:pPr>
                    <w:r>
                      <w:rPr>
                        <w:rFonts w:ascii="Calibri"/>
                        <w:sz w:val="20"/>
                      </w:rPr>
                      <w:t>2003</w:t>
                      <w:tab/>
                      <w:t>2004</w:t>
                      <w:tab/>
                      <w:t>2005   </w:t>
                    </w:r>
                    <w:r>
                      <w:rPr>
                        <w:rFonts w:ascii="Calibri"/>
                        <w:spacing w:val="19"/>
                        <w:sz w:val="20"/>
                      </w:rPr>
                      <w:t> </w:t>
                    </w:r>
                    <w:r>
                      <w:rPr>
                        <w:rFonts w:ascii="Calibri"/>
                        <w:sz w:val="20"/>
                      </w:rPr>
                      <w:t>2006</w:t>
                      <w:tab/>
                      <w:t>2007</w:t>
                      <w:tab/>
                      <w:t>2008</w:t>
                      <w:tab/>
                      <w:t>2009   </w:t>
                    </w:r>
                    <w:r>
                      <w:rPr>
                        <w:rFonts w:ascii="Calibri"/>
                        <w:spacing w:val="19"/>
                        <w:sz w:val="20"/>
                      </w:rPr>
                      <w:t> </w:t>
                    </w:r>
                    <w:r>
                      <w:rPr>
                        <w:rFonts w:ascii="Calibri"/>
                        <w:sz w:val="20"/>
                      </w:rPr>
                      <w:t>2010</w:t>
                      <w:tab/>
                      <w:t>2011</w:t>
                    </w:r>
                  </w:p>
                </w:txbxContent>
              </v:textbox>
              <w10:wrap type="none"/>
            </v:shape>
            <w10:wrap type="topAndBottom"/>
          </v:group>
        </w:pict>
      </w:r>
    </w:p>
    <w:p>
      <w:pPr>
        <w:pStyle w:val="BodyText"/>
        <w:spacing w:before="8"/>
        <w:rPr>
          <w:sz w:val="28"/>
        </w:rPr>
      </w:pPr>
    </w:p>
    <w:p>
      <w:pPr>
        <w:pStyle w:val="BodyText"/>
        <w:ind w:left="110"/>
        <w:jc w:val="both"/>
      </w:pPr>
      <w:r>
        <w:rPr/>
        <w:t>Fuente: BBVA Research</w:t>
      </w:r>
    </w:p>
    <w:p>
      <w:pPr>
        <w:pStyle w:val="BodyText"/>
      </w:pPr>
    </w:p>
    <w:p>
      <w:pPr>
        <w:pStyle w:val="BodyText"/>
      </w:pPr>
    </w:p>
    <w:p>
      <w:pPr>
        <w:pStyle w:val="BodyText"/>
        <w:spacing w:before="10"/>
        <w:rPr>
          <w:sz w:val="26"/>
        </w:rPr>
      </w:pPr>
    </w:p>
    <w:p>
      <w:pPr>
        <w:pStyle w:val="Heading2"/>
        <w:numPr>
          <w:ilvl w:val="2"/>
          <w:numId w:val="24"/>
        </w:numPr>
        <w:tabs>
          <w:tab w:pos="831" w:val="left" w:leader="none"/>
        </w:tabs>
        <w:spacing w:line="240" w:lineRule="auto" w:before="0" w:after="0"/>
        <w:ind w:left="830" w:right="0" w:hanging="720"/>
        <w:jc w:val="both"/>
      </w:pPr>
      <w:bookmarkStart w:name="_TOC_250017" w:id="50"/>
      <w:bookmarkEnd w:id="50"/>
      <w:r>
        <w:rPr/>
        <w:t>Empresa Valeo en México</w:t>
      </w:r>
    </w:p>
    <w:p>
      <w:pPr>
        <w:pStyle w:val="BodyText"/>
        <w:spacing w:line="360" w:lineRule="auto" w:before="41"/>
        <w:ind w:left="110" w:right="248"/>
        <w:jc w:val="both"/>
      </w:pPr>
      <w:r>
        <w:rPr/>
        <w:t>Valeo es un grupo mundial independiente, enfocado en el diseño, producción y venta de componentes, sistemas integrados y módulos para autos y camiones en el mercado original y de refacciones.</w:t>
      </w:r>
    </w:p>
    <w:p>
      <w:pPr>
        <w:pStyle w:val="BodyText"/>
        <w:spacing w:line="360" w:lineRule="auto" w:before="209"/>
        <w:ind w:left="110" w:right="248"/>
        <w:jc w:val="both"/>
      </w:pPr>
      <w:r>
        <w:rPr/>
        <w:t>En México cuenta con plantas de producción en Aguascalientes, Ciudad Juárez, Querétaro, Río Bravo, San Luis Potosí y Toluca; en estas plantas se realizan también actividades de investigación y desarrollo, se encuentran también oficinas de ventas y oficinas de dirección nacional. La producción en México incluye todos los grupos de producto del grupo Valeo así como las refacciones para el mercado original.</w:t>
      </w:r>
    </w:p>
    <w:p>
      <w:pPr>
        <w:spacing w:after="0" w:line="360" w:lineRule="auto"/>
        <w:jc w:val="both"/>
        <w:sectPr>
          <w:pgSz w:w="11910" w:h="16840"/>
          <w:pgMar w:header="755" w:footer="724" w:top="960" w:bottom="920" w:left="1600" w:right="1440"/>
        </w:sectPr>
      </w:pPr>
    </w:p>
    <w:p>
      <w:pPr>
        <w:pStyle w:val="BodyText"/>
        <w:rPr>
          <w:sz w:val="20"/>
        </w:rPr>
      </w:pPr>
    </w:p>
    <w:p>
      <w:pPr>
        <w:pStyle w:val="BodyText"/>
        <w:spacing w:before="3"/>
        <w:rPr>
          <w:sz w:val="19"/>
        </w:rPr>
      </w:pPr>
    </w:p>
    <w:p>
      <w:pPr>
        <w:pStyle w:val="BodyText"/>
        <w:spacing w:line="360" w:lineRule="auto"/>
        <w:ind w:left="110"/>
      </w:pPr>
      <w:r>
        <w:rPr/>
        <w:t>Los principales competidores de Valeo en México, según su participación de mercado en el año 2011 fueron:</w:t>
      </w:r>
    </w:p>
    <w:p>
      <w:pPr>
        <w:pStyle w:val="BodyText"/>
        <w:spacing w:before="7"/>
        <w:ind w:left="110"/>
      </w:pPr>
      <w:r>
        <w:rPr/>
        <w:t>Valeo: 16%</w:t>
      </w:r>
    </w:p>
    <w:p>
      <w:pPr>
        <w:pStyle w:val="BodyText"/>
        <w:spacing w:before="137"/>
        <w:ind w:left="110"/>
      </w:pPr>
      <w:r>
        <w:rPr/>
        <w:t>Denso: 27%</w:t>
      </w:r>
    </w:p>
    <w:p>
      <w:pPr>
        <w:pStyle w:val="BodyText"/>
        <w:spacing w:before="137"/>
        <w:ind w:left="110"/>
      </w:pPr>
      <w:r>
        <w:rPr/>
        <w:t>Behr: 10%</w:t>
      </w:r>
    </w:p>
    <w:p>
      <w:pPr>
        <w:pStyle w:val="BodyText"/>
        <w:spacing w:before="137"/>
        <w:ind w:left="110"/>
      </w:pPr>
      <w:r>
        <w:rPr/>
        <w:t>Delphi: 10%</w:t>
      </w:r>
    </w:p>
    <w:p>
      <w:pPr>
        <w:pStyle w:val="BodyText"/>
        <w:spacing w:before="141"/>
        <w:ind w:left="110"/>
      </w:pPr>
      <w:r>
        <w:rPr/>
        <w:t>Calsonic: 4%</w:t>
      </w:r>
    </w:p>
    <w:p>
      <w:pPr>
        <w:pStyle w:val="BodyText"/>
        <w:spacing w:before="137"/>
        <w:ind w:left="110"/>
      </w:pPr>
      <w:r>
        <w:rPr/>
        <w:t>Others: 33%</w:t>
      </w:r>
    </w:p>
    <w:p>
      <w:pPr>
        <w:spacing w:after="0"/>
        <w:sectPr>
          <w:pgSz w:w="11910" w:h="16840"/>
          <w:pgMar w:header="755" w:footer="724" w:top="960" w:bottom="9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1"/>
        <w:tabs>
          <w:tab w:pos="2063" w:val="left" w:leader="none"/>
        </w:tabs>
        <w:ind w:left="1631" w:right="122"/>
      </w:pPr>
      <w:bookmarkStart w:name="_TOC_250016" w:id="51"/>
      <w:r>
        <w:rPr/>
        <w:t>4</w:t>
        <w:tab/>
        <w:t>CAPÍTULO 4 ANÁLISIS</w:t>
      </w:r>
      <w:r>
        <w:rPr>
          <w:spacing w:val="-9"/>
        </w:rPr>
        <w:t> </w:t>
      </w:r>
      <w:bookmarkEnd w:id="51"/>
      <w:r>
        <w:rPr/>
        <w:t>FINANCIERO</w:t>
      </w:r>
    </w:p>
    <w:p>
      <w:pPr>
        <w:spacing w:after="0"/>
        <w:sectPr>
          <w:headerReference w:type="default" r:id="rId187"/>
          <w:footerReference w:type="default" r:id="rId188"/>
          <w:pgSz w:w="11910" w:h="16840"/>
          <w:pgMar w:header="755" w:footer="0" w:top="960" w:bottom="280" w:left="1680" w:right="1580"/>
        </w:sectPr>
      </w:pPr>
    </w:p>
    <w:p>
      <w:pPr>
        <w:pStyle w:val="BodyText"/>
        <w:rPr>
          <w:b/>
          <w:sz w:val="20"/>
        </w:rPr>
      </w:pPr>
      <w:r>
        <w:rPr/>
        <w:pict>
          <v:shape style="position:absolute;margin-left:225pt;margin-top:464.861023pt;width:2pt;height:1pt;mso-position-horizontal-relative:page;mso-position-vertical-relative:page;z-index:-241048" coordorigin="4500,9297" coordsize="40,20" path="m5423,9491l5456,9491m5439,9508l5456,9508e" filled="false" stroked="true" strokeweight=".823895pt" strokecolor="#dd0806">
            <v:path arrowok="t"/>
            <w10:wrap type="none"/>
          </v:shape>
        </w:pict>
      </w:r>
      <w:r>
        <w:rPr/>
        <w:pict>
          <v:shape style="position:absolute;margin-left:298pt;margin-top:464.861023pt;width:3pt;height:2pt;mso-position-horizontal-relative:page;mso-position-vertical-relative:page;z-index:-241024" coordorigin="5960,9297" coordsize="60,40" path="m6627,9475l6677,9475m6627,9491l6660,9491m6627,9508l6644,9508e" filled="false" stroked="true" strokeweight=".823895pt" strokecolor="#008000">
            <v:path arrowok="t"/>
            <w10:wrap type="none"/>
          </v:shape>
        </w:pict>
      </w:r>
      <w:r>
        <w:rPr/>
        <w:pict>
          <v:shape style="position:absolute;margin-left:368pt;margin-top:464.861023pt;width:3pt;height:2pt;mso-position-horizontal-relative:page;mso-position-vertical-relative:page;z-index:-241000" coordorigin="7360,9297" coordsize="60,40" path="m7782,9475l7832,9475m7782,9491l7815,9491m7782,9508l7799,9508e" filled="false" stroked="true" strokeweight=".823895pt" strokecolor="#008000">
            <v:path arrowok="t"/>
            <w10:wrap type="none"/>
          </v:shape>
        </w:pict>
      </w:r>
      <w:r>
        <w:rPr/>
        <w:pict>
          <v:shape style="position:absolute;margin-left:438pt;margin-top:464.861023pt;width:3pt;height:2pt;mso-position-horizontal-relative:page;mso-position-vertical-relative:page;z-index:-240976" coordorigin="8760,9297" coordsize="60,40" path="m8937,9475l8986,9475m8937,9491l8970,9491m8937,9508l8953,9508e" filled="false" stroked="true" strokeweight=".823895pt" strokecolor="#008000">
            <v:path arrowok="t"/>
            <w10:wrap type="none"/>
          </v:shape>
        </w:pict>
      </w:r>
      <w:r>
        <w:rPr/>
        <w:pict>
          <v:shape style="position:absolute;margin-left:298pt;margin-top:350.861023pt;width:2pt;height:1pt;mso-position-horizontal-relative:page;mso-position-vertical-relative:page;z-index:-240952" coordorigin="5960,7017" coordsize="40,20" path="m6627,11368l6660,11368m6627,11384l6644,11384e" filled="false" stroked="true" strokeweight=".823895pt" strokecolor="#008000">
            <v:path arrowok="t"/>
            <w10:wrap type="none"/>
          </v:shape>
        </w:pict>
      </w:r>
      <w:r>
        <w:rPr/>
        <w:pict>
          <v:shape style="position:absolute;margin-left:368pt;margin-top:350.861023pt;width:3pt;height:2pt;mso-position-horizontal-relative:page;mso-position-vertical-relative:page;z-index:-240928" coordorigin="7360,7017" coordsize="60,40" path="m7782,11351l7832,11351m7782,11368l7815,11368m7782,11384l7799,11384e" filled="false" stroked="true" strokeweight=".823895pt" strokecolor="#008000">
            <v:path arrowok="t"/>
            <w10:wrap type="none"/>
          </v:shape>
        </w:pict>
      </w:r>
      <w:r>
        <w:rPr/>
        <w:pict>
          <v:shape style="position:absolute;margin-left:438pt;margin-top:350.861023pt;width:3pt;height:2pt;mso-position-horizontal-relative:page;mso-position-vertical-relative:page;z-index:-240904" coordorigin="8760,7017" coordsize="60,40" path="m8937,11351l8986,11351m8937,11368l8970,11368m8937,11384l8953,11384e" filled="false" stroked="true" strokeweight=".823895pt" strokecolor="#008000">
            <v:path arrowok="t"/>
            <w10:wrap type="none"/>
          </v:shape>
        </w:pict>
      </w:r>
    </w:p>
    <w:p>
      <w:pPr>
        <w:pStyle w:val="BodyText"/>
        <w:spacing w:before="3"/>
        <w:rPr>
          <w:b/>
          <w:sz w:val="19"/>
        </w:rPr>
      </w:pPr>
    </w:p>
    <w:p>
      <w:pPr>
        <w:pStyle w:val="BodyText"/>
        <w:spacing w:line="271" w:lineRule="auto"/>
        <w:ind w:left="110" w:right="108"/>
      </w:pPr>
      <w:r>
        <w:rPr/>
        <w:t>A continuación se presenta la información financiera de Valeo de los años 2008 a 2011.</w:t>
      </w:r>
    </w:p>
    <w:p>
      <w:pPr>
        <w:pStyle w:val="BodyText"/>
      </w:pPr>
    </w:p>
    <w:p>
      <w:pPr>
        <w:pStyle w:val="BodyText"/>
      </w:pPr>
    </w:p>
    <w:p>
      <w:pPr>
        <w:pStyle w:val="Heading2"/>
        <w:spacing w:before="174"/>
        <w:jc w:val="left"/>
      </w:pPr>
      <w:r>
        <w:rPr/>
        <w:t>Balance General</w:t>
      </w:r>
    </w:p>
    <w:p>
      <w:pPr>
        <w:pStyle w:val="BodyText"/>
        <w:spacing w:before="5"/>
        <w:rPr>
          <w:b/>
          <w:sz w:val="21"/>
        </w:rPr>
      </w:pPr>
    </w:p>
    <w:tbl>
      <w:tblPr>
        <w:tblW w:w="0" w:type="auto"/>
        <w:jc w:val="left"/>
        <w:tblInd w:w="11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737"/>
        <w:gridCol w:w="1155"/>
        <w:gridCol w:w="1155"/>
        <w:gridCol w:w="1155"/>
        <w:gridCol w:w="1155"/>
      </w:tblGrid>
      <w:tr>
        <w:trPr>
          <w:trHeight w:val="239" w:hRule="exact"/>
        </w:trPr>
        <w:tc>
          <w:tcPr>
            <w:tcW w:w="8356" w:type="dxa"/>
            <w:gridSpan w:val="5"/>
            <w:tcBorders>
              <w:bottom w:val="single" w:sz="13" w:space="0" w:color="000000"/>
            </w:tcBorders>
            <w:shd w:val="clear" w:color="auto" w:fill="808080"/>
          </w:tcPr>
          <w:p>
            <w:pPr>
              <w:pStyle w:val="TableParagraph"/>
              <w:spacing w:line="205" w:lineRule="exact"/>
              <w:ind w:left="2359"/>
              <w:jc w:val="left"/>
              <w:rPr>
                <w:b/>
                <w:sz w:val="18"/>
              </w:rPr>
            </w:pPr>
            <w:r>
              <w:rPr>
                <w:b/>
                <w:sz w:val="18"/>
              </w:rPr>
              <w:t>C. Consolidated Statements of financial position</w:t>
            </w:r>
          </w:p>
        </w:tc>
      </w:tr>
      <w:tr>
        <w:trPr>
          <w:trHeight w:val="247" w:hRule="exact"/>
        </w:trPr>
        <w:tc>
          <w:tcPr>
            <w:tcW w:w="3737" w:type="dxa"/>
            <w:tcBorders>
              <w:bottom w:val="single" w:sz="13" w:space="0" w:color="000000"/>
              <w:right w:val="single" w:sz="13" w:space="0" w:color="000000"/>
            </w:tcBorders>
          </w:tcPr>
          <w:p>
            <w:pPr>
              <w:pStyle w:val="TableParagraph"/>
              <w:spacing w:line="213" w:lineRule="exact"/>
              <w:ind w:left="32"/>
              <w:jc w:val="left"/>
              <w:rPr>
                <w:b/>
                <w:sz w:val="18"/>
              </w:rPr>
            </w:pPr>
            <w:r>
              <w:rPr>
                <w:b/>
                <w:sz w:val="18"/>
              </w:rPr>
              <w:t>(In millions of Euros)</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51" w:right="27"/>
              <w:rPr>
                <w:b/>
                <w:sz w:val="18"/>
              </w:rPr>
            </w:pPr>
            <w:r>
              <w:rPr>
                <w:b/>
                <w:sz w:val="18"/>
              </w:rPr>
              <w:t>Dec. 31, 2011</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51" w:right="27"/>
              <w:rPr>
                <w:b/>
                <w:sz w:val="18"/>
              </w:rPr>
            </w:pPr>
            <w:r>
              <w:rPr>
                <w:b/>
                <w:sz w:val="18"/>
              </w:rPr>
              <w:t>Dec. 31, 2010</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51" w:right="27"/>
              <w:rPr>
                <w:b/>
                <w:sz w:val="18"/>
              </w:rPr>
            </w:pPr>
            <w:r>
              <w:rPr>
                <w:b/>
                <w:sz w:val="18"/>
              </w:rPr>
              <w:t>Dec. 31, 2009</w:t>
            </w:r>
          </w:p>
        </w:tc>
        <w:tc>
          <w:tcPr>
            <w:tcW w:w="1155" w:type="dxa"/>
            <w:tcBorders>
              <w:left w:val="single" w:sz="13" w:space="0" w:color="000000"/>
              <w:bottom w:val="single" w:sz="13" w:space="0" w:color="000000"/>
            </w:tcBorders>
          </w:tcPr>
          <w:p>
            <w:pPr>
              <w:pStyle w:val="TableParagraph"/>
              <w:spacing w:line="213" w:lineRule="exact"/>
              <w:ind w:left="51" w:right="35"/>
              <w:rPr>
                <w:b/>
                <w:sz w:val="18"/>
              </w:rPr>
            </w:pPr>
            <w:r>
              <w:rPr>
                <w:b/>
                <w:sz w:val="18"/>
              </w:rPr>
              <w:t>Dec. 31, 2008</w:t>
            </w:r>
          </w:p>
        </w:tc>
      </w:tr>
      <w:tr>
        <w:trPr>
          <w:trHeight w:val="247" w:hRule="exact"/>
        </w:trPr>
        <w:tc>
          <w:tcPr>
            <w:tcW w:w="3737" w:type="dxa"/>
            <w:tcBorders>
              <w:top w:val="single" w:sz="13" w:space="0" w:color="000000"/>
              <w:bottom w:val="single" w:sz="13" w:space="0" w:color="000000"/>
              <w:right w:val="single" w:sz="13" w:space="0" w:color="000000"/>
            </w:tcBorders>
          </w:tcPr>
          <w:p>
            <w:pPr>
              <w:pStyle w:val="TableParagraph"/>
              <w:spacing w:line="205" w:lineRule="exact"/>
              <w:ind w:left="32"/>
              <w:jc w:val="left"/>
              <w:rPr>
                <w:b/>
                <w:sz w:val="18"/>
              </w:rPr>
            </w:pPr>
            <w:r>
              <w:rPr>
                <w:b/>
                <w:sz w:val="18"/>
              </w:rPr>
              <w:t>ASSETS</w:t>
            </w:r>
          </w:p>
        </w:tc>
        <w:tc>
          <w:tcPr>
            <w:tcW w:w="1155" w:type="dxa"/>
            <w:tcBorders>
              <w:top w:val="single" w:sz="13" w:space="0" w:color="000000"/>
              <w:left w:val="single" w:sz="13" w:space="0" w:color="000000"/>
              <w:bottom w:val="single" w:sz="13" w:space="0" w:color="000000"/>
              <w:right w:val="single" w:sz="13" w:space="0" w:color="000000"/>
            </w:tcBorders>
          </w:tcPr>
          <w:p>
            <w:pPr/>
          </w:p>
        </w:tc>
        <w:tc>
          <w:tcPr>
            <w:tcW w:w="1155" w:type="dxa"/>
            <w:tcBorders>
              <w:top w:val="single" w:sz="13" w:space="0" w:color="000000"/>
              <w:left w:val="single" w:sz="13" w:space="0" w:color="000000"/>
              <w:bottom w:val="single" w:sz="13" w:space="0" w:color="000000"/>
              <w:right w:val="single" w:sz="13" w:space="0" w:color="000000"/>
            </w:tcBorders>
          </w:tcPr>
          <w:p>
            <w:pPr/>
          </w:p>
        </w:tc>
        <w:tc>
          <w:tcPr>
            <w:tcW w:w="1155" w:type="dxa"/>
            <w:tcBorders>
              <w:top w:val="single" w:sz="13" w:space="0" w:color="000000"/>
              <w:left w:val="single" w:sz="13" w:space="0" w:color="000000"/>
              <w:bottom w:val="single" w:sz="13" w:space="0" w:color="000000"/>
              <w:right w:val="single" w:sz="13" w:space="0" w:color="000000"/>
            </w:tcBorders>
          </w:tcPr>
          <w:p>
            <w:pPr/>
          </w:p>
        </w:tc>
        <w:tc>
          <w:tcPr>
            <w:tcW w:w="1155" w:type="dxa"/>
            <w:tcBorders>
              <w:top w:val="single" w:sz="13" w:space="0" w:color="000000"/>
              <w:left w:val="single" w:sz="13" w:space="0" w:color="000000"/>
              <w:bottom w:val="single" w:sz="13" w:space="0" w:color="000000"/>
              <w:right w:val="single" w:sz="13" w:space="0" w:color="000000"/>
            </w:tcBorders>
          </w:tcPr>
          <w:p>
            <w:pPr/>
          </w:p>
        </w:tc>
      </w:tr>
      <w:tr>
        <w:trPr>
          <w:trHeight w:val="239" w:hRule="exact"/>
        </w:trPr>
        <w:tc>
          <w:tcPr>
            <w:tcW w:w="3737" w:type="dxa"/>
            <w:tcBorders>
              <w:top w:val="single" w:sz="13" w:space="0" w:color="000000"/>
              <w:right w:val="single" w:sz="13" w:space="0" w:color="000000"/>
            </w:tcBorders>
          </w:tcPr>
          <w:p>
            <w:pPr>
              <w:pStyle w:val="TableParagraph"/>
              <w:spacing w:line="205" w:lineRule="exact"/>
              <w:ind w:left="32"/>
              <w:jc w:val="left"/>
              <w:rPr>
                <w:sz w:val="18"/>
              </w:rPr>
            </w:pPr>
            <w:r>
              <w:rPr>
                <w:sz w:val="18"/>
              </w:rPr>
              <w:t>Goodwill</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45" w:right="27"/>
              <w:rPr>
                <w:sz w:val="18"/>
              </w:rPr>
            </w:pPr>
            <w:r>
              <w:rPr>
                <w:sz w:val="18"/>
              </w:rPr>
              <w:t>1,437</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45" w:right="27"/>
              <w:rPr>
                <w:sz w:val="18"/>
              </w:rPr>
            </w:pPr>
            <w:r>
              <w:rPr>
                <w:sz w:val="18"/>
              </w:rPr>
              <w:t>1,210</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45" w:right="27"/>
              <w:rPr>
                <w:sz w:val="18"/>
              </w:rPr>
            </w:pPr>
            <w:r>
              <w:rPr>
                <w:sz w:val="18"/>
              </w:rPr>
              <w:t>1,146</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45" w:right="27"/>
              <w:rPr>
                <w:sz w:val="18"/>
              </w:rPr>
            </w:pPr>
            <w:r>
              <w:rPr>
                <w:sz w:val="18"/>
              </w:rPr>
              <w:t>1,154</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Other intangible assets</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641</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544</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535</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525</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Property, plant and equipment</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1,956</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1,655</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1,665</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1,739</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Investments in associates</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104</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104</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94</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133</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Non=current financial assets</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91</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107</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74</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24</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Deferred tax assets</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223</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198</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117</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103</w:t>
            </w:r>
          </w:p>
        </w:tc>
      </w:tr>
      <w:tr>
        <w:trPr>
          <w:trHeight w:val="239" w:hRule="exact"/>
        </w:trPr>
        <w:tc>
          <w:tcPr>
            <w:tcW w:w="3737" w:type="dxa"/>
            <w:tcBorders>
              <w:bottom w:val="single" w:sz="13" w:space="0" w:color="000000"/>
              <w:right w:val="single" w:sz="13" w:space="0" w:color="000000"/>
            </w:tcBorders>
          </w:tcPr>
          <w:p>
            <w:pPr>
              <w:pStyle w:val="TableParagraph"/>
              <w:spacing w:line="205" w:lineRule="exact"/>
              <w:ind w:left="32"/>
              <w:jc w:val="left"/>
              <w:rPr>
                <w:b/>
                <w:sz w:val="18"/>
              </w:rPr>
            </w:pPr>
            <w:r>
              <w:rPr>
                <w:b/>
                <w:sz w:val="18"/>
              </w:rPr>
              <w:t>Non3current assets</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4,452</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3,818</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3,631</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3,678</w:t>
            </w:r>
          </w:p>
        </w:tc>
      </w:tr>
      <w:tr>
        <w:trPr>
          <w:trHeight w:val="239" w:hRule="exact"/>
        </w:trPr>
        <w:tc>
          <w:tcPr>
            <w:tcW w:w="3737" w:type="dxa"/>
            <w:tcBorders>
              <w:top w:val="single" w:sz="13" w:space="0" w:color="000000"/>
              <w:right w:val="single" w:sz="13" w:space="0" w:color="000000"/>
            </w:tcBorders>
          </w:tcPr>
          <w:p>
            <w:pPr>
              <w:pStyle w:val="TableParagraph"/>
              <w:spacing w:line="205" w:lineRule="exact"/>
              <w:ind w:left="32"/>
              <w:jc w:val="left"/>
              <w:rPr>
                <w:sz w:val="18"/>
              </w:rPr>
            </w:pPr>
            <w:r>
              <w:rPr>
                <w:sz w:val="18"/>
              </w:rPr>
              <w:t>Inventories</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39" w:right="27"/>
              <w:rPr>
                <w:sz w:val="18"/>
              </w:rPr>
            </w:pPr>
            <w:r>
              <w:rPr>
                <w:sz w:val="18"/>
              </w:rPr>
              <w:t>766</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39" w:right="27"/>
              <w:rPr>
                <w:sz w:val="18"/>
              </w:rPr>
            </w:pPr>
            <w:r>
              <w:rPr>
                <w:sz w:val="18"/>
              </w:rPr>
              <w:t>621</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39" w:right="27"/>
              <w:rPr>
                <w:sz w:val="18"/>
              </w:rPr>
            </w:pPr>
            <w:r>
              <w:rPr>
                <w:sz w:val="18"/>
              </w:rPr>
              <w:t>482</w:t>
            </w:r>
          </w:p>
        </w:tc>
        <w:tc>
          <w:tcPr>
            <w:tcW w:w="1155" w:type="dxa"/>
            <w:tcBorders>
              <w:top w:val="single" w:sz="13" w:space="0" w:color="000000"/>
              <w:left w:val="single" w:sz="13" w:space="0" w:color="000000"/>
              <w:right w:val="single" w:sz="13" w:space="0" w:color="000000"/>
            </w:tcBorders>
          </w:tcPr>
          <w:p>
            <w:pPr>
              <w:pStyle w:val="TableParagraph"/>
              <w:spacing w:line="205" w:lineRule="exact"/>
              <w:ind w:left="39" w:right="27"/>
              <w:rPr>
                <w:sz w:val="18"/>
              </w:rPr>
            </w:pPr>
            <w:r>
              <w:rPr>
                <w:sz w:val="18"/>
              </w:rPr>
              <w:t>543</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Accounts and notes receivable</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1,705</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1,449</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1,251</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1,168</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Other current assets</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312</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200</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232</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248</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Taxes recoverable</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20</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10</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15</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30</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Other current financial assets</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10</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24</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13</w:t>
            </w:r>
          </w:p>
        </w:tc>
        <w:tc>
          <w:tcPr>
            <w:tcW w:w="1155" w:type="dxa"/>
            <w:tcBorders>
              <w:left w:val="single" w:sz="13" w:space="0" w:color="000000"/>
              <w:right w:val="single" w:sz="13" w:space="0" w:color="000000"/>
            </w:tcBorders>
          </w:tcPr>
          <w:p>
            <w:pPr>
              <w:pStyle w:val="TableParagraph"/>
              <w:spacing w:line="205" w:lineRule="exact"/>
              <w:ind w:left="46" w:right="27"/>
              <w:rPr>
                <w:sz w:val="18"/>
              </w:rPr>
            </w:pPr>
            <w:r>
              <w:rPr>
                <w:sz w:val="18"/>
              </w:rPr>
              <w:t>15</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Assets held for sale</w:t>
            </w:r>
          </w:p>
        </w:tc>
        <w:tc>
          <w:tcPr>
            <w:tcW w:w="1155" w:type="dxa"/>
            <w:tcBorders>
              <w:left w:val="single" w:sz="13" w:space="0" w:color="000000"/>
              <w:right w:val="single" w:sz="13" w:space="0" w:color="000000"/>
            </w:tcBorders>
          </w:tcPr>
          <w:p>
            <w:pPr>
              <w:pStyle w:val="TableParagraph"/>
              <w:spacing w:line="205" w:lineRule="exact"/>
              <w:ind w:left="26"/>
              <w:rPr>
                <w:sz w:val="18"/>
              </w:rPr>
            </w:pPr>
            <w:r>
              <w:rPr>
                <w:w w:val="101"/>
                <w:sz w:val="18"/>
              </w:rPr>
              <w:t>2</w:t>
            </w:r>
          </w:p>
        </w:tc>
        <w:tc>
          <w:tcPr>
            <w:tcW w:w="1155" w:type="dxa"/>
            <w:tcBorders>
              <w:left w:val="single" w:sz="13" w:space="0" w:color="000000"/>
              <w:right w:val="single" w:sz="13" w:space="0" w:color="000000"/>
            </w:tcBorders>
          </w:tcPr>
          <w:p>
            <w:pPr>
              <w:pStyle w:val="TableParagraph"/>
              <w:spacing w:line="205" w:lineRule="exact"/>
              <w:ind w:left="26"/>
              <w:rPr>
                <w:sz w:val="18"/>
              </w:rPr>
            </w:pPr>
            <w:r>
              <w:rPr>
                <w:w w:val="101"/>
                <w:sz w:val="18"/>
              </w:rPr>
              <w:t>2</w:t>
            </w:r>
          </w:p>
        </w:tc>
        <w:tc>
          <w:tcPr>
            <w:tcW w:w="1155" w:type="dxa"/>
            <w:tcBorders>
              <w:left w:val="single" w:sz="13" w:space="0" w:color="000000"/>
              <w:right w:val="single" w:sz="13" w:space="0" w:color="000000"/>
            </w:tcBorders>
          </w:tcPr>
          <w:p>
            <w:pPr>
              <w:pStyle w:val="TableParagraph"/>
              <w:spacing w:line="205" w:lineRule="exact"/>
              <w:ind w:left="26"/>
              <w:rPr>
                <w:sz w:val="18"/>
              </w:rPr>
            </w:pPr>
            <w:r>
              <w:rPr>
                <w:w w:val="101"/>
                <w:sz w:val="18"/>
              </w:rPr>
              <w:t>1</w:t>
            </w:r>
          </w:p>
        </w:tc>
        <w:tc>
          <w:tcPr>
            <w:tcW w:w="1155" w:type="dxa"/>
            <w:tcBorders>
              <w:left w:val="single" w:sz="13" w:space="0" w:color="000000"/>
              <w:right w:val="single" w:sz="13" w:space="0" w:color="000000"/>
            </w:tcBorders>
          </w:tcPr>
          <w:p>
            <w:pPr>
              <w:pStyle w:val="TableParagraph"/>
              <w:spacing w:line="205" w:lineRule="exact"/>
              <w:ind w:left="26"/>
              <w:rPr>
                <w:sz w:val="18"/>
              </w:rPr>
            </w:pPr>
            <w:r>
              <w:rPr>
                <w:w w:val="101"/>
                <w:sz w:val="18"/>
              </w:rPr>
              <w:t>5</w:t>
            </w:r>
          </w:p>
        </w:tc>
      </w:tr>
      <w:tr>
        <w:trPr>
          <w:trHeight w:val="230" w:hRule="exact"/>
        </w:trPr>
        <w:tc>
          <w:tcPr>
            <w:tcW w:w="3737" w:type="dxa"/>
            <w:tcBorders>
              <w:right w:val="single" w:sz="13" w:space="0" w:color="000000"/>
            </w:tcBorders>
          </w:tcPr>
          <w:p>
            <w:pPr>
              <w:pStyle w:val="TableParagraph"/>
              <w:spacing w:line="205" w:lineRule="exact"/>
              <w:ind w:left="32"/>
              <w:jc w:val="left"/>
              <w:rPr>
                <w:sz w:val="18"/>
              </w:rPr>
            </w:pPr>
            <w:r>
              <w:rPr>
                <w:sz w:val="18"/>
              </w:rPr>
              <w:t>Cash and cash equivalents</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1,295</w:t>
            </w:r>
          </w:p>
        </w:tc>
        <w:tc>
          <w:tcPr>
            <w:tcW w:w="1155" w:type="dxa"/>
            <w:tcBorders>
              <w:left w:val="single" w:sz="13" w:space="0" w:color="000000"/>
              <w:right w:val="single" w:sz="13" w:space="0" w:color="000000"/>
            </w:tcBorders>
          </w:tcPr>
          <w:p>
            <w:pPr>
              <w:pStyle w:val="TableParagraph"/>
              <w:spacing w:line="205" w:lineRule="exact"/>
              <w:ind w:left="45" w:right="27"/>
              <w:rPr>
                <w:sz w:val="18"/>
              </w:rPr>
            </w:pPr>
            <w:r>
              <w:rPr>
                <w:sz w:val="18"/>
              </w:rPr>
              <w:t>1,316</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860</w:t>
            </w:r>
          </w:p>
        </w:tc>
        <w:tc>
          <w:tcPr>
            <w:tcW w:w="1155" w:type="dxa"/>
            <w:tcBorders>
              <w:left w:val="single" w:sz="13" w:space="0" w:color="000000"/>
              <w:right w:val="single" w:sz="13" w:space="0" w:color="000000"/>
            </w:tcBorders>
          </w:tcPr>
          <w:p>
            <w:pPr>
              <w:pStyle w:val="TableParagraph"/>
              <w:spacing w:line="205" w:lineRule="exact"/>
              <w:ind w:left="39" w:right="27"/>
              <w:rPr>
                <w:sz w:val="18"/>
              </w:rPr>
            </w:pPr>
            <w:r>
              <w:rPr>
                <w:sz w:val="18"/>
              </w:rPr>
              <w:t>661</w:t>
            </w:r>
          </w:p>
        </w:tc>
      </w:tr>
      <w:tr>
        <w:trPr>
          <w:trHeight w:val="239" w:hRule="exact"/>
        </w:trPr>
        <w:tc>
          <w:tcPr>
            <w:tcW w:w="3737" w:type="dxa"/>
            <w:tcBorders>
              <w:bottom w:val="single" w:sz="13" w:space="0" w:color="000000"/>
              <w:right w:val="single" w:sz="13" w:space="0" w:color="000000"/>
            </w:tcBorders>
          </w:tcPr>
          <w:p>
            <w:pPr>
              <w:pStyle w:val="TableParagraph"/>
              <w:spacing w:line="205" w:lineRule="exact"/>
              <w:ind w:left="32"/>
              <w:jc w:val="left"/>
              <w:rPr>
                <w:b/>
                <w:sz w:val="18"/>
              </w:rPr>
            </w:pPr>
            <w:r>
              <w:rPr>
                <w:b/>
                <w:sz w:val="18"/>
              </w:rPr>
              <w:t>Current assets</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4,110</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3,622</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2,854</w:t>
            </w:r>
          </w:p>
        </w:tc>
        <w:tc>
          <w:tcPr>
            <w:tcW w:w="1155" w:type="dxa"/>
            <w:tcBorders>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2,670</w:t>
            </w:r>
          </w:p>
        </w:tc>
      </w:tr>
      <w:tr>
        <w:trPr>
          <w:trHeight w:val="247" w:hRule="exact"/>
        </w:trPr>
        <w:tc>
          <w:tcPr>
            <w:tcW w:w="3737" w:type="dxa"/>
            <w:tcBorders>
              <w:top w:val="single" w:sz="13" w:space="0" w:color="000000"/>
              <w:bottom w:val="single" w:sz="13" w:space="0" w:color="000000"/>
              <w:right w:val="single" w:sz="13" w:space="0" w:color="000000"/>
            </w:tcBorders>
          </w:tcPr>
          <w:p>
            <w:pPr>
              <w:pStyle w:val="TableParagraph"/>
              <w:spacing w:line="205" w:lineRule="exact"/>
              <w:ind w:left="32"/>
              <w:jc w:val="left"/>
              <w:rPr>
                <w:b/>
                <w:sz w:val="18"/>
              </w:rPr>
            </w:pPr>
            <w:r>
              <w:rPr>
                <w:b/>
                <w:sz w:val="18"/>
              </w:rPr>
              <w:t>TOTAL ASSETS</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8,562</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7,440</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6,485</w:t>
            </w:r>
          </w:p>
        </w:tc>
        <w:tc>
          <w:tcPr>
            <w:tcW w:w="1155" w:type="dxa"/>
            <w:tcBorders>
              <w:top w:val="single" w:sz="13" w:space="0" w:color="000000"/>
              <w:left w:val="single" w:sz="13" w:space="0" w:color="000000"/>
              <w:bottom w:val="single" w:sz="13" w:space="0" w:color="000000"/>
              <w:right w:val="single" w:sz="13" w:space="0" w:color="000000"/>
            </w:tcBorders>
          </w:tcPr>
          <w:p>
            <w:pPr>
              <w:pStyle w:val="TableParagraph"/>
              <w:spacing w:line="205" w:lineRule="exact"/>
              <w:ind w:left="47" w:right="27"/>
              <w:rPr>
                <w:b/>
                <w:sz w:val="18"/>
              </w:rPr>
            </w:pPr>
            <w:r>
              <w:rPr>
                <w:b/>
                <w:sz w:val="18"/>
              </w:rPr>
              <w:t>6,348</w:t>
            </w:r>
          </w:p>
        </w:tc>
      </w:tr>
    </w:tbl>
    <w:p>
      <w:pPr>
        <w:pStyle w:val="BodyText"/>
        <w:spacing w:before="6" w:after="1"/>
        <w:rPr>
          <w:b/>
          <w:sz w:val="18"/>
        </w:rPr>
      </w:pPr>
    </w:p>
    <w:tbl>
      <w:tblPr>
        <w:tblW w:w="0" w:type="auto"/>
        <w:jc w:val="left"/>
        <w:tblInd w:w="11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745"/>
        <w:gridCol w:w="1155"/>
        <w:gridCol w:w="1155"/>
        <w:gridCol w:w="1155"/>
        <w:gridCol w:w="1147"/>
      </w:tblGrid>
      <w:tr>
        <w:trPr>
          <w:trHeight w:val="239" w:hRule="exact"/>
        </w:trPr>
        <w:tc>
          <w:tcPr>
            <w:tcW w:w="3745" w:type="dxa"/>
            <w:tcBorders>
              <w:bottom w:val="single" w:sz="13" w:space="0" w:color="000000"/>
            </w:tcBorders>
          </w:tcPr>
          <w:p>
            <w:pPr>
              <w:pStyle w:val="TableParagraph"/>
              <w:spacing w:line="205" w:lineRule="exact"/>
              <w:ind w:left="32"/>
              <w:jc w:val="left"/>
              <w:rPr>
                <w:b/>
                <w:sz w:val="18"/>
              </w:rPr>
            </w:pPr>
            <w:r>
              <w:rPr>
                <w:b/>
                <w:sz w:val="18"/>
              </w:rPr>
              <w:t>(In millions of Euros)</w:t>
            </w:r>
          </w:p>
        </w:tc>
        <w:tc>
          <w:tcPr>
            <w:tcW w:w="1155" w:type="dxa"/>
            <w:tcBorders>
              <w:bottom w:val="single" w:sz="13" w:space="0" w:color="000000"/>
            </w:tcBorders>
          </w:tcPr>
          <w:p>
            <w:pPr>
              <w:pStyle w:val="TableParagraph"/>
              <w:spacing w:line="205" w:lineRule="exact"/>
              <w:ind w:left="51" w:right="44"/>
              <w:rPr>
                <w:b/>
                <w:sz w:val="18"/>
              </w:rPr>
            </w:pPr>
            <w:r>
              <w:rPr>
                <w:b/>
                <w:sz w:val="18"/>
              </w:rPr>
              <w:t>Dec. 31, 2011</w:t>
            </w:r>
          </w:p>
        </w:tc>
        <w:tc>
          <w:tcPr>
            <w:tcW w:w="1155" w:type="dxa"/>
            <w:tcBorders>
              <w:bottom w:val="single" w:sz="13" w:space="0" w:color="000000"/>
            </w:tcBorders>
          </w:tcPr>
          <w:p>
            <w:pPr>
              <w:pStyle w:val="TableParagraph"/>
              <w:spacing w:line="205" w:lineRule="exact"/>
              <w:ind w:left="51" w:right="44"/>
              <w:rPr>
                <w:b/>
                <w:sz w:val="18"/>
              </w:rPr>
            </w:pPr>
            <w:r>
              <w:rPr>
                <w:b/>
                <w:sz w:val="18"/>
              </w:rPr>
              <w:t>Dec. 31, 2010</w:t>
            </w:r>
          </w:p>
        </w:tc>
        <w:tc>
          <w:tcPr>
            <w:tcW w:w="1155" w:type="dxa"/>
            <w:tcBorders>
              <w:bottom w:val="single" w:sz="13" w:space="0" w:color="000000"/>
            </w:tcBorders>
          </w:tcPr>
          <w:p>
            <w:pPr>
              <w:pStyle w:val="TableParagraph"/>
              <w:spacing w:line="205" w:lineRule="exact"/>
              <w:ind w:left="51" w:right="44"/>
              <w:rPr>
                <w:b/>
                <w:sz w:val="18"/>
              </w:rPr>
            </w:pPr>
            <w:r>
              <w:rPr>
                <w:b/>
                <w:sz w:val="18"/>
              </w:rPr>
              <w:t>Dec. 31, 2009</w:t>
            </w:r>
          </w:p>
        </w:tc>
        <w:tc>
          <w:tcPr>
            <w:tcW w:w="1147" w:type="dxa"/>
            <w:tcBorders>
              <w:bottom w:val="single" w:sz="13" w:space="0" w:color="000000"/>
            </w:tcBorders>
          </w:tcPr>
          <w:p>
            <w:pPr>
              <w:pStyle w:val="TableParagraph"/>
              <w:spacing w:line="205" w:lineRule="exact"/>
              <w:ind w:left="51" w:right="35"/>
              <w:rPr>
                <w:b/>
                <w:sz w:val="18"/>
              </w:rPr>
            </w:pPr>
            <w:r>
              <w:rPr>
                <w:b/>
                <w:sz w:val="18"/>
              </w:rPr>
              <w:t>Dec. 31, 2008</w:t>
            </w:r>
          </w:p>
        </w:tc>
      </w:tr>
      <w:tr>
        <w:trPr>
          <w:trHeight w:val="247" w:hRule="exact"/>
        </w:trPr>
        <w:tc>
          <w:tcPr>
            <w:tcW w:w="3745" w:type="dxa"/>
            <w:tcBorders>
              <w:top w:val="single" w:sz="13" w:space="0" w:color="000000"/>
              <w:bottom w:val="single" w:sz="13" w:space="0" w:color="000000"/>
            </w:tcBorders>
          </w:tcPr>
          <w:p>
            <w:pPr>
              <w:pStyle w:val="TableParagraph"/>
              <w:spacing w:line="205" w:lineRule="exact"/>
              <w:ind w:left="32"/>
              <w:jc w:val="left"/>
              <w:rPr>
                <w:b/>
                <w:sz w:val="18"/>
              </w:rPr>
            </w:pPr>
            <w:r>
              <w:rPr>
                <w:b/>
                <w:sz w:val="18"/>
              </w:rPr>
              <w:t>LIABILITIES AND EQUITY</w:t>
            </w:r>
          </w:p>
        </w:tc>
        <w:tc>
          <w:tcPr>
            <w:tcW w:w="1155" w:type="dxa"/>
            <w:tcBorders>
              <w:top w:val="single" w:sz="13" w:space="0" w:color="000000"/>
              <w:bottom w:val="single" w:sz="13" w:space="0" w:color="000000"/>
            </w:tcBorders>
          </w:tcPr>
          <w:p>
            <w:pPr/>
          </w:p>
        </w:tc>
        <w:tc>
          <w:tcPr>
            <w:tcW w:w="1155" w:type="dxa"/>
            <w:tcBorders>
              <w:top w:val="single" w:sz="13" w:space="0" w:color="000000"/>
              <w:bottom w:val="single" w:sz="13" w:space="0" w:color="000000"/>
            </w:tcBorders>
          </w:tcPr>
          <w:p>
            <w:pPr/>
          </w:p>
        </w:tc>
        <w:tc>
          <w:tcPr>
            <w:tcW w:w="1155" w:type="dxa"/>
            <w:tcBorders>
              <w:top w:val="single" w:sz="13" w:space="0" w:color="000000"/>
              <w:bottom w:val="single" w:sz="13" w:space="0" w:color="000000"/>
            </w:tcBorders>
          </w:tcPr>
          <w:p>
            <w:pPr/>
          </w:p>
        </w:tc>
        <w:tc>
          <w:tcPr>
            <w:tcW w:w="1147" w:type="dxa"/>
            <w:tcBorders>
              <w:top w:val="single" w:sz="13" w:space="0" w:color="000000"/>
              <w:bottom w:val="single" w:sz="13" w:space="0" w:color="000000"/>
              <w:right w:val="single" w:sz="13" w:space="0" w:color="000000"/>
            </w:tcBorders>
          </w:tcPr>
          <w:p>
            <w:pPr/>
          </w:p>
        </w:tc>
      </w:tr>
      <w:tr>
        <w:trPr>
          <w:trHeight w:val="239" w:hRule="exact"/>
        </w:trPr>
        <w:tc>
          <w:tcPr>
            <w:tcW w:w="3745" w:type="dxa"/>
            <w:tcBorders>
              <w:top w:val="single" w:sz="13" w:space="0" w:color="000000"/>
            </w:tcBorders>
          </w:tcPr>
          <w:p>
            <w:pPr>
              <w:pStyle w:val="TableParagraph"/>
              <w:spacing w:line="205" w:lineRule="exact"/>
              <w:ind w:left="32"/>
              <w:jc w:val="left"/>
              <w:rPr>
                <w:sz w:val="18"/>
              </w:rPr>
            </w:pPr>
            <w:r>
              <w:rPr>
                <w:sz w:val="18"/>
              </w:rPr>
              <w:t>Share capital</w:t>
            </w:r>
          </w:p>
        </w:tc>
        <w:tc>
          <w:tcPr>
            <w:tcW w:w="1155" w:type="dxa"/>
            <w:tcBorders>
              <w:top w:val="single" w:sz="13" w:space="0" w:color="000000"/>
            </w:tcBorders>
          </w:tcPr>
          <w:p>
            <w:pPr>
              <w:pStyle w:val="TableParagraph"/>
              <w:spacing w:line="205" w:lineRule="exact"/>
              <w:ind w:left="43" w:right="44"/>
              <w:rPr>
                <w:sz w:val="18"/>
              </w:rPr>
            </w:pPr>
            <w:r>
              <w:rPr>
                <w:sz w:val="18"/>
              </w:rPr>
              <w:t>238</w:t>
            </w:r>
          </w:p>
        </w:tc>
        <w:tc>
          <w:tcPr>
            <w:tcW w:w="1155" w:type="dxa"/>
            <w:tcBorders>
              <w:top w:val="single" w:sz="13" w:space="0" w:color="000000"/>
            </w:tcBorders>
          </w:tcPr>
          <w:p>
            <w:pPr>
              <w:pStyle w:val="TableParagraph"/>
              <w:spacing w:line="205" w:lineRule="exact"/>
              <w:ind w:left="43" w:right="44"/>
              <w:rPr>
                <w:sz w:val="18"/>
              </w:rPr>
            </w:pPr>
            <w:r>
              <w:rPr>
                <w:sz w:val="18"/>
              </w:rPr>
              <w:t>236</w:t>
            </w:r>
          </w:p>
        </w:tc>
        <w:tc>
          <w:tcPr>
            <w:tcW w:w="1155" w:type="dxa"/>
            <w:tcBorders>
              <w:top w:val="single" w:sz="13" w:space="0" w:color="000000"/>
            </w:tcBorders>
          </w:tcPr>
          <w:p>
            <w:pPr>
              <w:pStyle w:val="TableParagraph"/>
              <w:spacing w:line="205" w:lineRule="exact"/>
              <w:ind w:left="43" w:right="44"/>
              <w:rPr>
                <w:sz w:val="18"/>
              </w:rPr>
            </w:pPr>
            <w:r>
              <w:rPr>
                <w:sz w:val="18"/>
              </w:rPr>
              <w:t>235</w:t>
            </w:r>
          </w:p>
        </w:tc>
        <w:tc>
          <w:tcPr>
            <w:tcW w:w="1147" w:type="dxa"/>
            <w:tcBorders>
              <w:top w:val="single" w:sz="13" w:space="0" w:color="000000"/>
              <w:right w:val="single" w:sz="13" w:space="0" w:color="000000"/>
            </w:tcBorders>
          </w:tcPr>
          <w:p>
            <w:pPr>
              <w:pStyle w:val="TableParagraph"/>
              <w:spacing w:line="205" w:lineRule="exact"/>
              <w:ind w:left="39" w:right="27"/>
              <w:rPr>
                <w:sz w:val="18"/>
              </w:rPr>
            </w:pPr>
            <w:r>
              <w:rPr>
                <w:sz w:val="18"/>
              </w:rPr>
              <w:t>235</w:t>
            </w:r>
          </w:p>
        </w:tc>
      </w:tr>
      <w:tr>
        <w:trPr>
          <w:trHeight w:val="230" w:hRule="exact"/>
        </w:trPr>
        <w:tc>
          <w:tcPr>
            <w:tcW w:w="3745" w:type="dxa"/>
          </w:tcPr>
          <w:p>
            <w:pPr>
              <w:pStyle w:val="TableParagraph"/>
              <w:spacing w:line="205" w:lineRule="exact"/>
              <w:ind w:left="32"/>
              <w:jc w:val="left"/>
              <w:rPr>
                <w:sz w:val="18"/>
              </w:rPr>
            </w:pPr>
            <w:r>
              <w:rPr>
                <w:sz w:val="18"/>
              </w:rPr>
              <w:t>Additional paid=in capital</w:t>
            </w:r>
          </w:p>
        </w:tc>
        <w:tc>
          <w:tcPr>
            <w:tcW w:w="1155" w:type="dxa"/>
          </w:tcPr>
          <w:p>
            <w:pPr>
              <w:pStyle w:val="TableParagraph"/>
              <w:spacing w:line="205" w:lineRule="exact"/>
              <w:ind w:left="46" w:right="44"/>
              <w:rPr>
                <w:sz w:val="18"/>
              </w:rPr>
            </w:pPr>
            <w:r>
              <w:rPr>
                <w:sz w:val="18"/>
              </w:rPr>
              <w:t>1,429</w:t>
            </w:r>
          </w:p>
        </w:tc>
        <w:tc>
          <w:tcPr>
            <w:tcW w:w="1155" w:type="dxa"/>
          </w:tcPr>
          <w:p>
            <w:pPr>
              <w:pStyle w:val="TableParagraph"/>
              <w:spacing w:line="205" w:lineRule="exact"/>
              <w:ind w:left="46" w:right="44"/>
              <w:rPr>
                <w:sz w:val="18"/>
              </w:rPr>
            </w:pPr>
            <w:r>
              <w:rPr>
                <w:sz w:val="18"/>
              </w:rPr>
              <w:t>1,412</w:t>
            </w:r>
          </w:p>
        </w:tc>
        <w:tc>
          <w:tcPr>
            <w:tcW w:w="1155" w:type="dxa"/>
          </w:tcPr>
          <w:p>
            <w:pPr>
              <w:pStyle w:val="TableParagraph"/>
              <w:spacing w:line="205" w:lineRule="exact"/>
              <w:ind w:left="46" w:right="44"/>
              <w:rPr>
                <w:sz w:val="18"/>
              </w:rPr>
            </w:pPr>
            <w:r>
              <w:rPr>
                <w:sz w:val="18"/>
              </w:rPr>
              <w:t>1,402</w:t>
            </w:r>
          </w:p>
        </w:tc>
        <w:tc>
          <w:tcPr>
            <w:tcW w:w="1147" w:type="dxa"/>
            <w:tcBorders>
              <w:right w:val="single" w:sz="13" w:space="0" w:color="000000"/>
            </w:tcBorders>
          </w:tcPr>
          <w:p>
            <w:pPr>
              <w:pStyle w:val="TableParagraph"/>
              <w:spacing w:line="205" w:lineRule="exact"/>
              <w:ind w:left="45" w:right="27"/>
              <w:rPr>
                <w:sz w:val="18"/>
              </w:rPr>
            </w:pPr>
            <w:r>
              <w:rPr>
                <w:sz w:val="18"/>
              </w:rPr>
              <w:t>1,402</w:t>
            </w:r>
          </w:p>
        </w:tc>
      </w:tr>
      <w:tr>
        <w:trPr>
          <w:trHeight w:val="230" w:hRule="exact"/>
        </w:trPr>
        <w:tc>
          <w:tcPr>
            <w:tcW w:w="3745" w:type="dxa"/>
          </w:tcPr>
          <w:p>
            <w:pPr>
              <w:pStyle w:val="TableParagraph"/>
              <w:spacing w:line="205" w:lineRule="exact"/>
              <w:ind w:left="32"/>
              <w:jc w:val="left"/>
              <w:rPr>
                <w:sz w:val="18"/>
              </w:rPr>
            </w:pPr>
            <w:r>
              <w:rPr>
                <w:sz w:val="18"/>
              </w:rPr>
              <w:t>Translation adjustment</w:t>
            </w:r>
          </w:p>
        </w:tc>
        <w:tc>
          <w:tcPr>
            <w:tcW w:w="1155" w:type="dxa"/>
          </w:tcPr>
          <w:p>
            <w:pPr>
              <w:pStyle w:val="TableParagraph"/>
              <w:spacing w:line="205" w:lineRule="exact"/>
              <w:ind w:left="43" w:right="44"/>
              <w:rPr>
                <w:sz w:val="18"/>
              </w:rPr>
            </w:pPr>
            <w:r>
              <w:rPr>
                <w:sz w:val="18"/>
              </w:rPr>
              <w:t>230</w:t>
            </w:r>
          </w:p>
        </w:tc>
        <w:tc>
          <w:tcPr>
            <w:tcW w:w="1155" w:type="dxa"/>
          </w:tcPr>
          <w:p>
            <w:pPr/>
          </w:p>
        </w:tc>
        <w:tc>
          <w:tcPr>
            <w:tcW w:w="1155" w:type="dxa"/>
          </w:tcPr>
          <w:p>
            <w:pPr/>
          </w:p>
        </w:tc>
        <w:tc>
          <w:tcPr>
            <w:tcW w:w="1147" w:type="dxa"/>
            <w:tcBorders>
              <w:right w:val="single" w:sz="13" w:space="0" w:color="000000"/>
            </w:tcBorders>
          </w:tcPr>
          <w:p>
            <w:pPr/>
          </w:p>
        </w:tc>
      </w:tr>
      <w:tr>
        <w:trPr>
          <w:trHeight w:val="230" w:hRule="exact"/>
        </w:trPr>
        <w:tc>
          <w:tcPr>
            <w:tcW w:w="3745" w:type="dxa"/>
          </w:tcPr>
          <w:p>
            <w:pPr>
              <w:pStyle w:val="TableParagraph"/>
              <w:spacing w:line="205" w:lineRule="exact"/>
              <w:ind w:left="32"/>
              <w:jc w:val="left"/>
              <w:rPr>
                <w:sz w:val="18"/>
              </w:rPr>
            </w:pPr>
            <w:r>
              <w:rPr>
                <w:sz w:val="18"/>
              </w:rPr>
              <w:t>Retained earnings</w:t>
            </w:r>
          </w:p>
        </w:tc>
        <w:tc>
          <w:tcPr>
            <w:tcW w:w="1155" w:type="dxa"/>
          </w:tcPr>
          <w:p>
            <w:pPr>
              <w:pStyle w:val="TableParagraph"/>
              <w:spacing w:line="205" w:lineRule="exact"/>
              <w:ind w:left="47" w:right="44"/>
              <w:rPr>
                <w:sz w:val="18"/>
              </w:rPr>
            </w:pPr>
            <w:r>
              <w:rPr>
                <w:sz w:val="18"/>
              </w:rPr>
              <w:t>39</w:t>
            </w:r>
          </w:p>
        </w:tc>
        <w:tc>
          <w:tcPr>
            <w:tcW w:w="1155" w:type="dxa"/>
          </w:tcPr>
          <w:p>
            <w:pPr>
              <w:pStyle w:val="TableParagraph"/>
              <w:spacing w:line="205" w:lineRule="exact"/>
              <w:ind w:left="47" w:right="44"/>
              <w:rPr>
                <w:sz w:val="18"/>
              </w:rPr>
            </w:pPr>
            <w:r>
              <w:rPr>
                <w:sz w:val="18"/>
              </w:rPr>
              <w:t>60</w:t>
            </w:r>
          </w:p>
        </w:tc>
        <w:tc>
          <w:tcPr>
            <w:tcW w:w="1155" w:type="dxa"/>
          </w:tcPr>
          <w:p>
            <w:pPr>
              <w:pStyle w:val="TableParagraph"/>
              <w:spacing w:line="205" w:lineRule="exact"/>
              <w:ind w:left="33" w:right="44"/>
              <w:rPr>
                <w:sz w:val="18"/>
              </w:rPr>
            </w:pPr>
            <w:r>
              <w:rPr>
                <w:sz w:val="18"/>
              </w:rPr>
              <w:t>=404</w:t>
            </w:r>
          </w:p>
        </w:tc>
        <w:tc>
          <w:tcPr>
            <w:tcW w:w="1147" w:type="dxa"/>
            <w:tcBorders>
              <w:right w:val="single" w:sz="13" w:space="0" w:color="000000"/>
            </w:tcBorders>
          </w:tcPr>
          <w:p>
            <w:pPr>
              <w:pStyle w:val="TableParagraph"/>
              <w:spacing w:line="205" w:lineRule="exact"/>
              <w:ind w:left="29" w:right="27"/>
              <w:rPr>
                <w:sz w:val="18"/>
              </w:rPr>
            </w:pPr>
            <w:r>
              <w:rPr>
                <w:sz w:val="18"/>
              </w:rPr>
              <w:t>=326</w:t>
            </w:r>
          </w:p>
        </w:tc>
      </w:tr>
      <w:tr>
        <w:trPr>
          <w:trHeight w:val="239" w:hRule="exact"/>
        </w:trPr>
        <w:tc>
          <w:tcPr>
            <w:tcW w:w="3745" w:type="dxa"/>
            <w:tcBorders>
              <w:bottom w:val="single" w:sz="13" w:space="0" w:color="000000"/>
            </w:tcBorders>
          </w:tcPr>
          <w:p>
            <w:pPr>
              <w:pStyle w:val="TableParagraph"/>
              <w:spacing w:line="205" w:lineRule="exact"/>
              <w:ind w:left="32"/>
              <w:jc w:val="left"/>
              <w:rPr>
                <w:b/>
                <w:sz w:val="18"/>
              </w:rPr>
            </w:pPr>
            <w:r>
              <w:rPr>
                <w:b/>
                <w:sz w:val="18"/>
              </w:rPr>
              <w:t>Stockholders' equity</w:t>
            </w:r>
          </w:p>
        </w:tc>
        <w:tc>
          <w:tcPr>
            <w:tcW w:w="1155" w:type="dxa"/>
            <w:tcBorders>
              <w:bottom w:val="single" w:sz="13" w:space="0" w:color="000000"/>
            </w:tcBorders>
          </w:tcPr>
          <w:p>
            <w:pPr>
              <w:pStyle w:val="TableParagraph"/>
              <w:spacing w:line="205" w:lineRule="exact"/>
              <w:ind w:left="47" w:right="44"/>
              <w:rPr>
                <w:b/>
                <w:sz w:val="18"/>
              </w:rPr>
            </w:pPr>
            <w:r>
              <w:rPr>
                <w:b/>
                <w:sz w:val="18"/>
              </w:rPr>
              <w:t>1,936</w:t>
            </w:r>
          </w:p>
        </w:tc>
        <w:tc>
          <w:tcPr>
            <w:tcW w:w="1155" w:type="dxa"/>
            <w:tcBorders>
              <w:bottom w:val="single" w:sz="13" w:space="0" w:color="000000"/>
            </w:tcBorders>
          </w:tcPr>
          <w:p>
            <w:pPr>
              <w:pStyle w:val="TableParagraph"/>
              <w:spacing w:line="205" w:lineRule="exact"/>
              <w:ind w:left="47" w:right="44"/>
              <w:rPr>
                <w:b/>
                <w:sz w:val="18"/>
              </w:rPr>
            </w:pPr>
            <w:r>
              <w:rPr>
                <w:b/>
                <w:sz w:val="18"/>
              </w:rPr>
              <w:t>1,708</w:t>
            </w:r>
          </w:p>
        </w:tc>
        <w:tc>
          <w:tcPr>
            <w:tcW w:w="1155" w:type="dxa"/>
            <w:tcBorders>
              <w:bottom w:val="single" w:sz="13" w:space="0" w:color="000000"/>
            </w:tcBorders>
          </w:tcPr>
          <w:p>
            <w:pPr>
              <w:pStyle w:val="TableParagraph"/>
              <w:spacing w:line="205" w:lineRule="exact"/>
              <w:ind w:left="47" w:right="44"/>
              <w:rPr>
                <w:b/>
                <w:sz w:val="18"/>
              </w:rPr>
            </w:pPr>
            <w:r>
              <w:rPr>
                <w:b/>
                <w:sz w:val="18"/>
              </w:rPr>
              <w:t>1,233</w:t>
            </w:r>
          </w:p>
        </w:tc>
        <w:tc>
          <w:tcPr>
            <w:tcW w:w="1147" w:type="dxa"/>
            <w:tcBorders>
              <w:bottom w:val="single" w:sz="13" w:space="0" w:color="000000"/>
              <w:right w:val="single" w:sz="13" w:space="0" w:color="000000"/>
            </w:tcBorders>
          </w:tcPr>
          <w:p>
            <w:pPr>
              <w:pStyle w:val="TableParagraph"/>
              <w:spacing w:line="205" w:lineRule="exact"/>
              <w:ind w:left="47" w:right="27"/>
              <w:rPr>
                <w:b/>
                <w:sz w:val="18"/>
              </w:rPr>
            </w:pPr>
            <w:r>
              <w:rPr>
                <w:b/>
                <w:sz w:val="18"/>
              </w:rPr>
              <w:t>1,311</w:t>
            </w:r>
          </w:p>
        </w:tc>
      </w:tr>
      <w:tr>
        <w:trPr>
          <w:trHeight w:val="239" w:hRule="exact"/>
        </w:trPr>
        <w:tc>
          <w:tcPr>
            <w:tcW w:w="3745" w:type="dxa"/>
            <w:tcBorders>
              <w:top w:val="single" w:sz="13" w:space="0" w:color="000000"/>
            </w:tcBorders>
          </w:tcPr>
          <w:p>
            <w:pPr>
              <w:pStyle w:val="TableParagraph"/>
              <w:spacing w:line="205" w:lineRule="exact"/>
              <w:ind w:left="32"/>
              <w:jc w:val="left"/>
              <w:rPr>
                <w:sz w:val="18"/>
              </w:rPr>
            </w:pPr>
            <w:r>
              <w:rPr>
                <w:sz w:val="18"/>
              </w:rPr>
              <w:t>Minority interest</w:t>
            </w:r>
          </w:p>
        </w:tc>
        <w:tc>
          <w:tcPr>
            <w:tcW w:w="1155" w:type="dxa"/>
            <w:tcBorders>
              <w:top w:val="single" w:sz="13" w:space="0" w:color="000000"/>
            </w:tcBorders>
          </w:tcPr>
          <w:p>
            <w:pPr>
              <w:pStyle w:val="TableParagraph"/>
              <w:spacing w:line="205" w:lineRule="exact"/>
              <w:ind w:left="43" w:right="44"/>
              <w:rPr>
                <w:sz w:val="18"/>
              </w:rPr>
            </w:pPr>
            <w:r>
              <w:rPr>
                <w:sz w:val="18"/>
              </w:rPr>
              <w:t>144</w:t>
            </w:r>
          </w:p>
        </w:tc>
        <w:tc>
          <w:tcPr>
            <w:tcW w:w="1155" w:type="dxa"/>
            <w:tcBorders>
              <w:top w:val="single" w:sz="13" w:space="0" w:color="000000"/>
            </w:tcBorders>
          </w:tcPr>
          <w:p>
            <w:pPr>
              <w:pStyle w:val="TableParagraph"/>
              <w:spacing w:line="205" w:lineRule="exact"/>
              <w:ind w:left="47" w:right="44"/>
              <w:rPr>
                <w:sz w:val="18"/>
              </w:rPr>
            </w:pPr>
            <w:r>
              <w:rPr>
                <w:sz w:val="18"/>
              </w:rPr>
              <w:t>62</w:t>
            </w:r>
          </w:p>
        </w:tc>
        <w:tc>
          <w:tcPr>
            <w:tcW w:w="1155" w:type="dxa"/>
            <w:tcBorders>
              <w:top w:val="single" w:sz="13" w:space="0" w:color="000000"/>
            </w:tcBorders>
          </w:tcPr>
          <w:p>
            <w:pPr>
              <w:pStyle w:val="TableParagraph"/>
              <w:spacing w:line="205" w:lineRule="exact"/>
              <w:ind w:left="47" w:right="44"/>
              <w:rPr>
                <w:sz w:val="18"/>
              </w:rPr>
            </w:pPr>
            <w:r>
              <w:rPr>
                <w:sz w:val="18"/>
              </w:rPr>
              <w:t>51</w:t>
            </w:r>
          </w:p>
        </w:tc>
        <w:tc>
          <w:tcPr>
            <w:tcW w:w="1147" w:type="dxa"/>
            <w:tcBorders>
              <w:top w:val="single" w:sz="13" w:space="0" w:color="000000"/>
              <w:right w:val="single" w:sz="13" w:space="0" w:color="000000"/>
            </w:tcBorders>
          </w:tcPr>
          <w:p>
            <w:pPr>
              <w:pStyle w:val="TableParagraph"/>
              <w:spacing w:line="205" w:lineRule="exact"/>
              <w:ind w:left="46" w:right="27"/>
              <w:rPr>
                <w:sz w:val="18"/>
              </w:rPr>
            </w:pPr>
            <w:r>
              <w:rPr>
                <w:sz w:val="18"/>
              </w:rPr>
              <w:t>51</w:t>
            </w:r>
          </w:p>
        </w:tc>
      </w:tr>
      <w:tr>
        <w:trPr>
          <w:trHeight w:val="239" w:hRule="exact"/>
        </w:trPr>
        <w:tc>
          <w:tcPr>
            <w:tcW w:w="3745" w:type="dxa"/>
            <w:tcBorders>
              <w:bottom w:val="single" w:sz="13" w:space="0" w:color="000000"/>
            </w:tcBorders>
          </w:tcPr>
          <w:p>
            <w:pPr>
              <w:pStyle w:val="TableParagraph"/>
              <w:spacing w:line="205" w:lineRule="exact"/>
              <w:ind w:left="32"/>
              <w:jc w:val="left"/>
              <w:rPr>
                <w:b/>
                <w:sz w:val="18"/>
              </w:rPr>
            </w:pPr>
            <w:r>
              <w:rPr>
                <w:b/>
                <w:sz w:val="18"/>
              </w:rPr>
              <w:t>Stockholders' equity including minority interest</w:t>
            </w:r>
          </w:p>
        </w:tc>
        <w:tc>
          <w:tcPr>
            <w:tcW w:w="1155" w:type="dxa"/>
            <w:tcBorders>
              <w:bottom w:val="single" w:sz="13" w:space="0" w:color="000000"/>
            </w:tcBorders>
          </w:tcPr>
          <w:p>
            <w:pPr>
              <w:pStyle w:val="TableParagraph"/>
              <w:spacing w:line="205" w:lineRule="exact"/>
              <w:ind w:left="47" w:right="44"/>
              <w:rPr>
                <w:b/>
                <w:sz w:val="18"/>
              </w:rPr>
            </w:pPr>
            <w:r>
              <w:rPr>
                <w:b/>
                <w:sz w:val="18"/>
              </w:rPr>
              <w:t>2,080</w:t>
            </w:r>
          </w:p>
        </w:tc>
        <w:tc>
          <w:tcPr>
            <w:tcW w:w="1155" w:type="dxa"/>
            <w:tcBorders>
              <w:bottom w:val="single" w:sz="13" w:space="0" w:color="000000"/>
            </w:tcBorders>
          </w:tcPr>
          <w:p>
            <w:pPr>
              <w:pStyle w:val="TableParagraph"/>
              <w:spacing w:line="205" w:lineRule="exact"/>
              <w:ind w:left="47" w:right="44"/>
              <w:rPr>
                <w:b/>
                <w:sz w:val="18"/>
              </w:rPr>
            </w:pPr>
            <w:r>
              <w:rPr>
                <w:b/>
                <w:sz w:val="18"/>
              </w:rPr>
              <w:t>1,770</w:t>
            </w:r>
          </w:p>
        </w:tc>
        <w:tc>
          <w:tcPr>
            <w:tcW w:w="1155" w:type="dxa"/>
            <w:tcBorders>
              <w:bottom w:val="single" w:sz="13" w:space="0" w:color="000000"/>
            </w:tcBorders>
          </w:tcPr>
          <w:p>
            <w:pPr>
              <w:pStyle w:val="TableParagraph"/>
              <w:spacing w:line="205" w:lineRule="exact"/>
              <w:ind w:left="47" w:right="44"/>
              <w:rPr>
                <w:b/>
                <w:sz w:val="18"/>
              </w:rPr>
            </w:pPr>
            <w:r>
              <w:rPr>
                <w:b/>
                <w:sz w:val="18"/>
              </w:rPr>
              <w:t>1,284</w:t>
            </w:r>
          </w:p>
        </w:tc>
        <w:tc>
          <w:tcPr>
            <w:tcW w:w="1147" w:type="dxa"/>
            <w:tcBorders>
              <w:bottom w:val="single" w:sz="13" w:space="0" w:color="000000"/>
              <w:right w:val="single" w:sz="13" w:space="0" w:color="000000"/>
            </w:tcBorders>
          </w:tcPr>
          <w:p>
            <w:pPr>
              <w:pStyle w:val="TableParagraph"/>
              <w:spacing w:line="205" w:lineRule="exact"/>
              <w:ind w:left="47" w:right="27"/>
              <w:rPr>
                <w:b/>
                <w:sz w:val="18"/>
              </w:rPr>
            </w:pPr>
            <w:r>
              <w:rPr>
                <w:b/>
                <w:sz w:val="18"/>
              </w:rPr>
              <w:t>1,362</w:t>
            </w:r>
          </w:p>
        </w:tc>
      </w:tr>
      <w:tr>
        <w:trPr>
          <w:trHeight w:val="239" w:hRule="exact"/>
        </w:trPr>
        <w:tc>
          <w:tcPr>
            <w:tcW w:w="3745" w:type="dxa"/>
            <w:tcBorders>
              <w:top w:val="single" w:sz="13" w:space="0" w:color="000000"/>
            </w:tcBorders>
          </w:tcPr>
          <w:p>
            <w:pPr>
              <w:pStyle w:val="TableParagraph"/>
              <w:spacing w:line="205" w:lineRule="exact"/>
              <w:ind w:left="32"/>
              <w:jc w:val="left"/>
              <w:rPr>
                <w:sz w:val="18"/>
              </w:rPr>
            </w:pPr>
            <w:r>
              <w:rPr>
                <w:sz w:val="18"/>
              </w:rPr>
              <w:t>Provisions = long=term portion (*)</w:t>
            </w:r>
          </w:p>
        </w:tc>
        <w:tc>
          <w:tcPr>
            <w:tcW w:w="1155" w:type="dxa"/>
            <w:tcBorders>
              <w:top w:val="single" w:sz="13" w:space="0" w:color="000000"/>
            </w:tcBorders>
          </w:tcPr>
          <w:p>
            <w:pPr>
              <w:pStyle w:val="TableParagraph"/>
              <w:spacing w:line="205" w:lineRule="exact"/>
              <w:ind w:left="43" w:right="44"/>
              <w:rPr>
                <w:sz w:val="18"/>
              </w:rPr>
            </w:pPr>
            <w:r>
              <w:rPr>
                <w:sz w:val="18"/>
              </w:rPr>
              <w:t>994</w:t>
            </w:r>
          </w:p>
        </w:tc>
        <w:tc>
          <w:tcPr>
            <w:tcW w:w="1155" w:type="dxa"/>
            <w:tcBorders>
              <w:top w:val="single" w:sz="13" w:space="0" w:color="000000"/>
            </w:tcBorders>
          </w:tcPr>
          <w:p>
            <w:pPr>
              <w:pStyle w:val="TableParagraph"/>
              <w:spacing w:line="205" w:lineRule="exact"/>
              <w:ind w:left="43" w:right="44"/>
              <w:rPr>
                <w:sz w:val="18"/>
              </w:rPr>
            </w:pPr>
            <w:r>
              <w:rPr>
                <w:sz w:val="18"/>
              </w:rPr>
              <w:t>806</w:t>
            </w:r>
          </w:p>
        </w:tc>
        <w:tc>
          <w:tcPr>
            <w:tcW w:w="1155" w:type="dxa"/>
            <w:tcBorders>
              <w:top w:val="single" w:sz="13" w:space="0" w:color="000000"/>
            </w:tcBorders>
          </w:tcPr>
          <w:p>
            <w:pPr>
              <w:pStyle w:val="TableParagraph"/>
              <w:spacing w:line="205" w:lineRule="exact"/>
              <w:ind w:left="43" w:right="44"/>
              <w:rPr>
                <w:sz w:val="18"/>
              </w:rPr>
            </w:pPr>
            <w:r>
              <w:rPr>
                <w:sz w:val="18"/>
              </w:rPr>
              <w:t>749</w:t>
            </w:r>
          </w:p>
        </w:tc>
        <w:tc>
          <w:tcPr>
            <w:tcW w:w="1147" w:type="dxa"/>
            <w:tcBorders>
              <w:top w:val="single" w:sz="13" w:space="0" w:color="000000"/>
              <w:right w:val="single" w:sz="13" w:space="0" w:color="000000"/>
            </w:tcBorders>
          </w:tcPr>
          <w:p>
            <w:pPr>
              <w:pStyle w:val="TableParagraph"/>
              <w:spacing w:line="205" w:lineRule="exact"/>
              <w:ind w:left="39" w:right="27"/>
              <w:rPr>
                <w:sz w:val="18"/>
              </w:rPr>
            </w:pPr>
            <w:r>
              <w:rPr>
                <w:sz w:val="18"/>
              </w:rPr>
              <w:t>765</w:t>
            </w:r>
          </w:p>
        </w:tc>
      </w:tr>
      <w:tr>
        <w:trPr>
          <w:trHeight w:val="230" w:hRule="exact"/>
        </w:trPr>
        <w:tc>
          <w:tcPr>
            <w:tcW w:w="3745" w:type="dxa"/>
          </w:tcPr>
          <w:p>
            <w:pPr>
              <w:pStyle w:val="TableParagraph"/>
              <w:spacing w:line="205" w:lineRule="exact"/>
              <w:ind w:left="32"/>
              <w:jc w:val="left"/>
              <w:rPr>
                <w:sz w:val="18"/>
              </w:rPr>
            </w:pPr>
            <w:r>
              <w:rPr>
                <w:sz w:val="18"/>
              </w:rPr>
              <w:t>Debt = long=term portion</w:t>
            </w:r>
          </w:p>
        </w:tc>
        <w:tc>
          <w:tcPr>
            <w:tcW w:w="1155" w:type="dxa"/>
          </w:tcPr>
          <w:p>
            <w:pPr>
              <w:pStyle w:val="TableParagraph"/>
              <w:spacing w:line="205" w:lineRule="exact"/>
              <w:ind w:left="46" w:right="44"/>
              <w:rPr>
                <w:sz w:val="18"/>
              </w:rPr>
            </w:pPr>
            <w:r>
              <w:rPr>
                <w:sz w:val="18"/>
              </w:rPr>
              <w:t>1,494</w:t>
            </w:r>
          </w:p>
        </w:tc>
        <w:tc>
          <w:tcPr>
            <w:tcW w:w="1155" w:type="dxa"/>
          </w:tcPr>
          <w:p>
            <w:pPr>
              <w:pStyle w:val="TableParagraph"/>
              <w:spacing w:line="205" w:lineRule="exact"/>
              <w:ind w:left="46" w:right="44"/>
              <w:rPr>
                <w:sz w:val="18"/>
              </w:rPr>
            </w:pPr>
            <w:r>
              <w:rPr>
                <w:sz w:val="18"/>
              </w:rPr>
              <w:t>1,097</w:t>
            </w:r>
          </w:p>
        </w:tc>
        <w:tc>
          <w:tcPr>
            <w:tcW w:w="1155" w:type="dxa"/>
          </w:tcPr>
          <w:p>
            <w:pPr>
              <w:pStyle w:val="TableParagraph"/>
              <w:spacing w:line="205" w:lineRule="exact"/>
              <w:ind w:left="46" w:right="44"/>
              <w:rPr>
                <w:sz w:val="18"/>
              </w:rPr>
            </w:pPr>
            <w:r>
              <w:rPr>
                <w:sz w:val="18"/>
              </w:rPr>
              <w:t>1,526</w:t>
            </w:r>
          </w:p>
        </w:tc>
        <w:tc>
          <w:tcPr>
            <w:tcW w:w="1147" w:type="dxa"/>
            <w:tcBorders>
              <w:right w:val="single" w:sz="13" w:space="0" w:color="000000"/>
            </w:tcBorders>
          </w:tcPr>
          <w:p>
            <w:pPr>
              <w:pStyle w:val="TableParagraph"/>
              <w:spacing w:line="205" w:lineRule="exact"/>
              <w:ind w:left="45" w:right="27"/>
              <w:rPr>
                <w:sz w:val="18"/>
              </w:rPr>
            </w:pPr>
            <w:r>
              <w:rPr>
                <w:sz w:val="18"/>
              </w:rPr>
              <w:t>1,299</w:t>
            </w:r>
          </w:p>
        </w:tc>
      </w:tr>
      <w:tr>
        <w:trPr>
          <w:trHeight w:val="230" w:hRule="exact"/>
        </w:trPr>
        <w:tc>
          <w:tcPr>
            <w:tcW w:w="3745" w:type="dxa"/>
          </w:tcPr>
          <w:p>
            <w:pPr>
              <w:pStyle w:val="TableParagraph"/>
              <w:spacing w:line="205" w:lineRule="exact"/>
              <w:ind w:left="32"/>
              <w:jc w:val="left"/>
              <w:rPr>
                <w:sz w:val="18"/>
              </w:rPr>
            </w:pPr>
            <w:r>
              <w:rPr>
                <w:sz w:val="18"/>
              </w:rPr>
              <w:t>Other non current financial liabilities</w:t>
            </w:r>
          </w:p>
        </w:tc>
        <w:tc>
          <w:tcPr>
            <w:tcW w:w="1155" w:type="dxa"/>
          </w:tcPr>
          <w:p>
            <w:pPr>
              <w:pStyle w:val="TableParagraph"/>
              <w:spacing w:line="205" w:lineRule="exact"/>
              <w:ind w:left="47" w:right="44"/>
              <w:rPr>
                <w:sz w:val="18"/>
              </w:rPr>
            </w:pPr>
            <w:r>
              <w:rPr>
                <w:sz w:val="18"/>
              </w:rPr>
              <w:t>51</w:t>
            </w:r>
          </w:p>
        </w:tc>
        <w:tc>
          <w:tcPr>
            <w:tcW w:w="1155" w:type="dxa"/>
          </w:tcPr>
          <w:p>
            <w:pPr/>
          </w:p>
        </w:tc>
        <w:tc>
          <w:tcPr>
            <w:tcW w:w="1155" w:type="dxa"/>
          </w:tcPr>
          <w:p>
            <w:pPr/>
          </w:p>
        </w:tc>
        <w:tc>
          <w:tcPr>
            <w:tcW w:w="1147" w:type="dxa"/>
            <w:tcBorders>
              <w:right w:val="single" w:sz="13" w:space="0" w:color="000000"/>
            </w:tcBorders>
          </w:tcPr>
          <w:p>
            <w:pPr/>
          </w:p>
        </w:tc>
      </w:tr>
      <w:tr>
        <w:trPr>
          <w:trHeight w:val="230" w:hRule="exact"/>
        </w:trPr>
        <w:tc>
          <w:tcPr>
            <w:tcW w:w="3745" w:type="dxa"/>
          </w:tcPr>
          <w:p>
            <w:pPr>
              <w:pStyle w:val="TableParagraph"/>
              <w:spacing w:line="205" w:lineRule="exact"/>
              <w:ind w:left="32"/>
              <w:jc w:val="left"/>
              <w:rPr>
                <w:sz w:val="18"/>
              </w:rPr>
            </w:pPr>
            <w:r>
              <w:rPr>
                <w:sz w:val="18"/>
              </w:rPr>
              <w:t>Subsidies and grants = long=term portion (*)</w:t>
            </w:r>
          </w:p>
        </w:tc>
        <w:tc>
          <w:tcPr>
            <w:tcW w:w="1155" w:type="dxa"/>
          </w:tcPr>
          <w:p>
            <w:pPr>
              <w:pStyle w:val="TableParagraph"/>
              <w:spacing w:line="205" w:lineRule="exact"/>
              <w:ind w:left="47" w:right="44"/>
              <w:rPr>
                <w:sz w:val="18"/>
              </w:rPr>
            </w:pPr>
            <w:r>
              <w:rPr>
                <w:sz w:val="18"/>
              </w:rPr>
              <w:t>23</w:t>
            </w:r>
          </w:p>
        </w:tc>
        <w:tc>
          <w:tcPr>
            <w:tcW w:w="1155" w:type="dxa"/>
          </w:tcPr>
          <w:p>
            <w:pPr>
              <w:pStyle w:val="TableParagraph"/>
              <w:spacing w:line="205" w:lineRule="exact"/>
              <w:ind w:left="47" w:right="44"/>
              <w:rPr>
                <w:sz w:val="18"/>
              </w:rPr>
            </w:pPr>
            <w:r>
              <w:rPr>
                <w:sz w:val="18"/>
              </w:rPr>
              <w:t>19</w:t>
            </w:r>
          </w:p>
        </w:tc>
        <w:tc>
          <w:tcPr>
            <w:tcW w:w="1155" w:type="dxa"/>
          </w:tcPr>
          <w:p>
            <w:pPr>
              <w:pStyle w:val="TableParagraph"/>
              <w:spacing w:line="205" w:lineRule="exact"/>
              <w:ind w:left="47" w:right="44"/>
              <w:rPr>
                <w:sz w:val="18"/>
              </w:rPr>
            </w:pPr>
            <w:r>
              <w:rPr>
                <w:sz w:val="18"/>
              </w:rPr>
              <w:t>25</w:t>
            </w:r>
          </w:p>
        </w:tc>
        <w:tc>
          <w:tcPr>
            <w:tcW w:w="1147" w:type="dxa"/>
            <w:tcBorders>
              <w:right w:val="single" w:sz="13" w:space="0" w:color="000000"/>
            </w:tcBorders>
          </w:tcPr>
          <w:p>
            <w:pPr>
              <w:pStyle w:val="TableParagraph"/>
              <w:spacing w:line="205" w:lineRule="exact"/>
              <w:ind w:left="26"/>
              <w:rPr>
                <w:sz w:val="18"/>
              </w:rPr>
            </w:pPr>
            <w:r>
              <w:rPr>
                <w:w w:val="101"/>
                <w:sz w:val="18"/>
              </w:rPr>
              <w:t>7</w:t>
            </w:r>
          </w:p>
        </w:tc>
      </w:tr>
      <w:tr>
        <w:trPr>
          <w:trHeight w:val="230" w:hRule="exact"/>
        </w:trPr>
        <w:tc>
          <w:tcPr>
            <w:tcW w:w="3745" w:type="dxa"/>
          </w:tcPr>
          <w:p>
            <w:pPr>
              <w:pStyle w:val="TableParagraph"/>
              <w:spacing w:line="205" w:lineRule="exact"/>
              <w:ind w:left="32"/>
              <w:jc w:val="left"/>
              <w:rPr>
                <w:sz w:val="18"/>
              </w:rPr>
            </w:pPr>
            <w:r>
              <w:rPr>
                <w:sz w:val="18"/>
              </w:rPr>
              <w:t>Deferred tax liabilities</w:t>
            </w:r>
          </w:p>
        </w:tc>
        <w:tc>
          <w:tcPr>
            <w:tcW w:w="1155" w:type="dxa"/>
          </w:tcPr>
          <w:p>
            <w:pPr>
              <w:pStyle w:val="TableParagraph"/>
              <w:spacing w:line="205" w:lineRule="exact"/>
              <w:ind w:left="47" w:right="44"/>
              <w:rPr>
                <w:sz w:val="18"/>
              </w:rPr>
            </w:pPr>
            <w:r>
              <w:rPr>
                <w:sz w:val="18"/>
              </w:rPr>
              <w:t>24</w:t>
            </w:r>
          </w:p>
        </w:tc>
        <w:tc>
          <w:tcPr>
            <w:tcW w:w="1155" w:type="dxa"/>
          </w:tcPr>
          <w:p>
            <w:pPr>
              <w:pStyle w:val="TableParagraph"/>
              <w:spacing w:line="205" w:lineRule="exact"/>
              <w:ind w:left="47" w:right="44"/>
              <w:rPr>
                <w:sz w:val="18"/>
              </w:rPr>
            </w:pPr>
            <w:r>
              <w:rPr>
                <w:sz w:val="18"/>
              </w:rPr>
              <w:t>22</w:t>
            </w:r>
          </w:p>
        </w:tc>
        <w:tc>
          <w:tcPr>
            <w:tcW w:w="1155" w:type="dxa"/>
          </w:tcPr>
          <w:p>
            <w:pPr>
              <w:pStyle w:val="TableParagraph"/>
              <w:spacing w:line="205" w:lineRule="exact"/>
              <w:ind w:left="47" w:right="44"/>
              <w:rPr>
                <w:sz w:val="18"/>
              </w:rPr>
            </w:pPr>
            <w:r>
              <w:rPr>
                <w:sz w:val="18"/>
              </w:rPr>
              <w:t>25</w:t>
            </w:r>
          </w:p>
        </w:tc>
        <w:tc>
          <w:tcPr>
            <w:tcW w:w="1147" w:type="dxa"/>
            <w:tcBorders>
              <w:right w:val="single" w:sz="13" w:space="0" w:color="000000"/>
            </w:tcBorders>
          </w:tcPr>
          <w:p>
            <w:pPr>
              <w:pStyle w:val="TableParagraph"/>
              <w:spacing w:line="205" w:lineRule="exact"/>
              <w:ind w:left="46" w:right="27"/>
              <w:rPr>
                <w:sz w:val="18"/>
              </w:rPr>
            </w:pPr>
            <w:r>
              <w:rPr>
                <w:sz w:val="18"/>
              </w:rPr>
              <w:t>16</w:t>
            </w:r>
          </w:p>
        </w:tc>
      </w:tr>
      <w:tr>
        <w:trPr>
          <w:trHeight w:val="239" w:hRule="exact"/>
        </w:trPr>
        <w:tc>
          <w:tcPr>
            <w:tcW w:w="3745" w:type="dxa"/>
            <w:tcBorders>
              <w:bottom w:val="single" w:sz="13" w:space="0" w:color="000000"/>
            </w:tcBorders>
          </w:tcPr>
          <w:p>
            <w:pPr>
              <w:pStyle w:val="TableParagraph"/>
              <w:spacing w:line="205" w:lineRule="exact"/>
              <w:ind w:left="32"/>
              <w:jc w:val="left"/>
              <w:rPr>
                <w:b/>
                <w:sz w:val="18"/>
              </w:rPr>
            </w:pPr>
            <w:r>
              <w:rPr>
                <w:b/>
                <w:sz w:val="18"/>
              </w:rPr>
              <w:t>Non3current liabilities</w:t>
            </w:r>
          </w:p>
        </w:tc>
        <w:tc>
          <w:tcPr>
            <w:tcW w:w="1155" w:type="dxa"/>
            <w:tcBorders>
              <w:bottom w:val="single" w:sz="13" w:space="0" w:color="000000"/>
            </w:tcBorders>
          </w:tcPr>
          <w:p>
            <w:pPr>
              <w:pStyle w:val="TableParagraph"/>
              <w:spacing w:line="205" w:lineRule="exact"/>
              <w:ind w:left="47" w:right="44"/>
              <w:rPr>
                <w:b/>
                <w:sz w:val="18"/>
              </w:rPr>
            </w:pPr>
            <w:r>
              <w:rPr>
                <w:b/>
                <w:sz w:val="18"/>
              </w:rPr>
              <w:t>2,586</w:t>
            </w:r>
          </w:p>
        </w:tc>
        <w:tc>
          <w:tcPr>
            <w:tcW w:w="1155" w:type="dxa"/>
            <w:tcBorders>
              <w:bottom w:val="single" w:sz="13" w:space="0" w:color="000000"/>
            </w:tcBorders>
          </w:tcPr>
          <w:p>
            <w:pPr>
              <w:pStyle w:val="TableParagraph"/>
              <w:spacing w:line="205" w:lineRule="exact"/>
              <w:ind w:left="47" w:right="44"/>
              <w:rPr>
                <w:b/>
                <w:sz w:val="18"/>
              </w:rPr>
            </w:pPr>
            <w:r>
              <w:rPr>
                <w:b/>
                <w:sz w:val="18"/>
              </w:rPr>
              <w:t>1,944</w:t>
            </w:r>
          </w:p>
        </w:tc>
        <w:tc>
          <w:tcPr>
            <w:tcW w:w="1155" w:type="dxa"/>
            <w:tcBorders>
              <w:bottom w:val="single" w:sz="13" w:space="0" w:color="000000"/>
            </w:tcBorders>
          </w:tcPr>
          <w:p>
            <w:pPr>
              <w:pStyle w:val="TableParagraph"/>
              <w:spacing w:line="205" w:lineRule="exact"/>
              <w:ind w:left="47" w:right="44"/>
              <w:rPr>
                <w:b/>
                <w:sz w:val="18"/>
              </w:rPr>
            </w:pPr>
            <w:r>
              <w:rPr>
                <w:b/>
                <w:sz w:val="18"/>
              </w:rPr>
              <w:t>2,325</w:t>
            </w:r>
          </w:p>
        </w:tc>
        <w:tc>
          <w:tcPr>
            <w:tcW w:w="1147" w:type="dxa"/>
            <w:tcBorders>
              <w:bottom w:val="single" w:sz="13" w:space="0" w:color="000000"/>
              <w:right w:val="single" w:sz="13" w:space="0" w:color="000000"/>
            </w:tcBorders>
          </w:tcPr>
          <w:p>
            <w:pPr>
              <w:pStyle w:val="TableParagraph"/>
              <w:spacing w:line="205" w:lineRule="exact"/>
              <w:ind w:left="47" w:right="27"/>
              <w:rPr>
                <w:b/>
                <w:sz w:val="18"/>
              </w:rPr>
            </w:pPr>
            <w:r>
              <w:rPr>
                <w:b/>
                <w:sz w:val="18"/>
              </w:rPr>
              <w:t>2,087</w:t>
            </w:r>
          </w:p>
        </w:tc>
      </w:tr>
      <w:tr>
        <w:trPr>
          <w:trHeight w:val="239" w:hRule="exact"/>
        </w:trPr>
        <w:tc>
          <w:tcPr>
            <w:tcW w:w="3745" w:type="dxa"/>
            <w:tcBorders>
              <w:top w:val="single" w:sz="13" w:space="0" w:color="000000"/>
            </w:tcBorders>
          </w:tcPr>
          <w:p>
            <w:pPr>
              <w:pStyle w:val="TableParagraph"/>
              <w:spacing w:line="205" w:lineRule="exact"/>
              <w:ind w:left="32"/>
              <w:jc w:val="left"/>
              <w:rPr>
                <w:sz w:val="18"/>
              </w:rPr>
            </w:pPr>
            <w:r>
              <w:rPr>
                <w:sz w:val="18"/>
              </w:rPr>
              <w:t>Accounts and notes payable</w:t>
            </w:r>
          </w:p>
        </w:tc>
        <w:tc>
          <w:tcPr>
            <w:tcW w:w="1155" w:type="dxa"/>
            <w:tcBorders>
              <w:top w:val="single" w:sz="13" w:space="0" w:color="000000"/>
            </w:tcBorders>
          </w:tcPr>
          <w:p>
            <w:pPr>
              <w:pStyle w:val="TableParagraph"/>
              <w:spacing w:line="205" w:lineRule="exact"/>
              <w:ind w:left="46" w:right="44"/>
              <w:rPr>
                <w:sz w:val="18"/>
              </w:rPr>
            </w:pPr>
            <w:r>
              <w:rPr>
                <w:sz w:val="18"/>
              </w:rPr>
              <w:t>2,340</w:t>
            </w:r>
          </w:p>
        </w:tc>
        <w:tc>
          <w:tcPr>
            <w:tcW w:w="1155" w:type="dxa"/>
            <w:tcBorders>
              <w:top w:val="single" w:sz="13" w:space="0" w:color="000000"/>
            </w:tcBorders>
          </w:tcPr>
          <w:p>
            <w:pPr>
              <w:pStyle w:val="TableParagraph"/>
              <w:spacing w:line="205" w:lineRule="exact"/>
              <w:ind w:left="46" w:right="44"/>
              <w:rPr>
                <w:sz w:val="18"/>
              </w:rPr>
            </w:pPr>
            <w:r>
              <w:rPr>
                <w:sz w:val="18"/>
              </w:rPr>
              <w:t>1,987</w:t>
            </w:r>
          </w:p>
        </w:tc>
        <w:tc>
          <w:tcPr>
            <w:tcW w:w="1155" w:type="dxa"/>
            <w:tcBorders>
              <w:top w:val="single" w:sz="13" w:space="0" w:color="000000"/>
            </w:tcBorders>
          </w:tcPr>
          <w:p>
            <w:pPr>
              <w:pStyle w:val="TableParagraph"/>
              <w:spacing w:line="205" w:lineRule="exact"/>
              <w:ind w:left="46" w:right="44"/>
              <w:rPr>
                <w:sz w:val="18"/>
              </w:rPr>
            </w:pPr>
            <w:r>
              <w:rPr>
                <w:sz w:val="18"/>
              </w:rPr>
              <w:t>1,648</w:t>
            </w:r>
          </w:p>
        </w:tc>
        <w:tc>
          <w:tcPr>
            <w:tcW w:w="1147" w:type="dxa"/>
            <w:tcBorders>
              <w:top w:val="single" w:sz="13" w:space="0" w:color="000000"/>
              <w:right w:val="single" w:sz="13" w:space="0" w:color="000000"/>
            </w:tcBorders>
          </w:tcPr>
          <w:p>
            <w:pPr>
              <w:pStyle w:val="TableParagraph"/>
              <w:spacing w:line="205" w:lineRule="exact"/>
              <w:ind w:left="45" w:right="27"/>
              <w:rPr>
                <w:sz w:val="18"/>
              </w:rPr>
            </w:pPr>
            <w:r>
              <w:rPr>
                <w:sz w:val="18"/>
              </w:rPr>
              <w:t>1,454</w:t>
            </w:r>
          </w:p>
        </w:tc>
      </w:tr>
      <w:tr>
        <w:trPr>
          <w:trHeight w:val="230" w:hRule="exact"/>
        </w:trPr>
        <w:tc>
          <w:tcPr>
            <w:tcW w:w="3745" w:type="dxa"/>
          </w:tcPr>
          <w:p>
            <w:pPr>
              <w:pStyle w:val="TableParagraph"/>
              <w:spacing w:line="205" w:lineRule="exact"/>
              <w:ind w:left="32"/>
              <w:jc w:val="left"/>
              <w:rPr>
                <w:sz w:val="18"/>
              </w:rPr>
            </w:pPr>
            <w:r>
              <w:rPr>
                <w:sz w:val="18"/>
              </w:rPr>
              <w:t>Provisions = current portion</w:t>
            </w:r>
          </w:p>
        </w:tc>
        <w:tc>
          <w:tcPr>
            <w:tcW w:w="1155" w:type="dxa"/>
          </w:tcPr>
          <w:p>
            <w:pPr>
              <w:pStyle w:val="TableParagraph"/>
              <w:spacing w:line="205" w:lineRule="exact"/>
              <w:ind w:left="43" w:right="44"/>
              <w:rPr>
                <w:sz w:val="18"/>
              </w:rPr>
            </w:pPr>
            <w:r>
              <w:rPr>
                <w:sz w:val="18"/>
              </w:rPr>
              <w:t>262</w:t>
            </w:r>
          </w:p>
        </w:tc>
        <w:tc>
          <w:tcPr>
            <w:tcW w:w="1155" w:type="dxa"/>
          </w:tcPr>
          <w:p>
            <w:pPr>
              <w:pStyle w:val="TableParagraph"/>
              <w:spacing w:line="205" w:lineRule="exact"/>
              <w:ind w:left="43" w:right="44"/>
              <w:rPr>
                <w:sz w:val="18"/>
              </w:rPr>
            </w:pPr>
            <w:r>
              <w:rPr>
                <w:sz w:val="18"/>
              </w:rPr>
              <w:t>377</w:t>
            </w:r>
          </w:p>
        </w:tc>
        <w:tc>
          <w:tcPr>
            <w:tcW w:w="1155" w:type="dxa"/>
          </w:tcPr>
          <w:p>
            <w:pPr>
              <w:pStyle w:val="TableParagraph"/>
              <w:spacing w:line="205" w:lineRule="exact"/>
              <w:ind w:left="43" w:right="44"/>
              <w:rPr>
                <w:sz w:val="18"/>
              </w:rPr>
            </w:pPr>
            <w:r>
              <w:rPr>
                <w:sz w:val="18"/>
              </w:rPr>
              <w:t>364</w:t>
            </w:r>
          </w:p>
        </w:tc>
        <w:tc>
          <w:tcPr>
            <w:tcW w:w="1147" w:type="dxa"/>
            <w:tcBorders>
              <w:right w:val="single" w:sz="13" w:space="0" w:color="000000"/>
            </w:tcBorders>
          </w:tcPr>
          <w:p>
            <w:pPr>
              <w:pStyle w:val="TableParagraph"/>
              <w:spacing w:line="205" w:lineRule="exact"/>
              <w:ind w:left="39" w:right="27"/>
              <w:rPr>
                <w:sz w:val="18"/>
              </w:rPr>
            </w:pPr>
            <w:r>
              <w:rPr>
                <w:sz w:val="18"/>
              </w:rPr>
              <w:t>462</w:t>
            </w:r>
          </w:p>
        </w:tc>
      </w:tr>
      <w:tr>
        <w:trPr>
          <w:trHeight w:val="230" w:hRule="exact"/>
        </w:trPr>
        <w:tc>
          <w:tcPr>
            <w:tcW w:w="3745" w:type="dxa"/>
          </w:tcPr>
          <w:p>
            <w:pPr>
              <w:pStyle w:val="TableParagraph"/>
              <w:spacing w:line="205" w:lineRule="exact"/>
              <w:ind w:left="32"/>
              <w:jc w:val="left"/>
              <w:rPr>
                <w:sz w:val="18"/>
              </w:rPr>
            </w:pPr>
            <w:r>
              <w:rPr>
                <w:sz w:val="18"/>
              </w:rPr>
              <w:t>Subsidies and grants = current portion</w:t>
            </w:r>
          </w:p>
        </w:tc>
        <w:tc>
          <w:tcPr>
            <w:tcW w:w="1155" w:type="dxa"/>
          </w:tcPr>
          <w:p>
            <w:pPr>
              <w:pStyle w:val="TableParagraph"/>
              <w:spacing w:line="205" w:lineRule="exact"/>
              <w:ind w:left="9"/>
              <w:rPr>
                <w:sz w:val="18"/>
              </w:rPr>
            </w:pPr>
            <w:r>
              <w:rPr>
                <w:w w:val="101"/>
                <w:sz w:val="18"/>
              </w:rPr>
              <w:t>9</w:t>
            </w:r>
          </w:p>
        </w:tc>
        <w:tc>
          <w:tcPr>
            <w:tcW w:w="1155" w:type="dxa"/>
          </w:tcPr>
          <w:p>
            <w:pPr>
              <w:pStyle w:val="TableParagraph"/>
              <w:spacing w:line="205" w:lineRule="exact"/>
              <w:ind w:left="9"/>
              <w:rPr>
                <w:sz w:val="18"/>
              </w:rPr>
            </w:pPr>
            <w:r>
              <w:rPr>
                <w:w w:val="101"/>
                <w:sz w:val="18"/>
              </w:rPr>
              <w:t>9</w:t>
            </w:r>
          </w:p>
        </w:tc>
        <w:tc>
          <w:tcPr>
            <w:tcW w:w="1155" w:type="dxa"/>
          </w:tcPr>
          <w:p>
            <w:pPr>
              <w:pStyle w:val="TableParagraph"/>
              <w:spacing w:line="205" w:lineRule="exact"/>
              <w:ind w:left="47" w:right="44"/>
              <w:rPr>
                <w:sz w:val="18"/>
              </w:rPr>
            </w:pPr>
            <w:r>
              <w:rPr>
                <w:sz w:val="18"/>
              </w:rPr>
              <w:t>13</w:t>
            </w:r>
          </w:p>
        </w:tc>
        <w:tc>
          <w:tcPr>
            <w:tcW w:w="1147" w:type="dxa"/>
            <w:tcBorders>
              <w:right w:val="single" w:sz="13" w:space="0" w:color="000000"/>
            </w:tcBorders>
          </w:tcPr>
          <w:p>
            <w:pPr>
              <w:pStyle w:val="TableParagraph"/>
              <w:spacing w:line="205" w:lineRule="exact"/>
              <w:ind w:left="26"/>
              <w:rPr>
                <w:sz w:val="18"/>
              </w:rPr>
            </w:pPr>
            <w:r>
              <w:rPr>
                <w:w w:val="101"/>
                <w:sz w:val="18"/>
              </w:rPr>
              <w:t>5</w:t>
            </w:r>
          </w:p>
        </w:tc>
      </w:tr>
      <w:tr>
        <w:trPr>
          <w:trHeight w:val="230" w:hRule="exact"/>
        </w:trPr>
        <w:tc>
          <w:tcPr>
            <w:tcW w:w="3745" w:type="dxa"/>
          </w:tcPr>
          <w:p>
            <w:pPr>
              <w:pStyle w:val="TableParagraph"/>
              <w:spacing w:line="205" w:lineRule="exact"/>
              <w:ind w:left="32"/>
              <w:jc w:val="left"/>
              <w:rPr>
                <w:sz w:val="18"/>
              </w:rPr>
            </w:pPr>
            <w:r>
              <w:rPr>
                <w:sz w:val="18"/>
              </w:rPr>
              <w:t>Taxes payable</w:t>
            </w:r>
          </w:p>
        </w:tc>
        <w:tc>
          <w:tcPr>
            <w:tcW w:w="1155" w:type="dxa"/>
          </w:tcPr>
          <w:p>
            <w:pPr>
              <w:pStyle w:val="TableParagraph"/>
              <w:spacing w:line="205" w:lineRule="exact"/>
              <w:ind w:left="47" w:right="44"/>
              <w:rPr>
                <w:sz w:val="18"/>
              </w:rPr>
            </w:pPr>
            <w:r>
              <w:rPr>
                <w:sz w:val="18"/>
              </w:rPr>
              <w:t>59</w:t>
            </w:r>
          </w:p>
        </w:tc>
        <w:tc>
          <w:tcPr>
            <w:tcW w:w="1155" w:type="dxa"/>
          </w:tcPr>
          <w:p>
            <w:pPr>
              <w:pStyle w:val="TableParagraph"/>
              <w:spacing w:line="205" w:lineRule="exact"/>
              <w:ind w:left="47" w:right="44"/>
              <w:rPr>
                <w:sz w:val="18"/>
              </w:rPr>
            </w:pPr>
            <w:r>
              <w:rPr>
                <w:sz w:val="18"/>
              </w:rPr>
              <w:t>53</w:t>
            </w:r>
          </w:p>
        </w:tc>
        <w:tc>
          <w:tcPr>
            <w:tcW w:w="1155" w:type="dxa"/>
          </w:tcPr>
          <w:p>
            <w:pPr>
              <w:pStyle w:val="TableParagraph"/>
              <w:spacing w:line="205" w:lineRule="exact"/>
              <w:ind w:left="47" w:right="44"/>
              <w:rPr>
                <w:sz w:val="18"/>
              </w:rPr>
            </w:pPr>
            <w:r>
              <w:rPr>
                <w:sz w:val="18"/>
              </w:rPr>
              <w:t>18</w:t>
            </w:r>
          </w:p>
        </w:tc>
        <w:tc>
          <w:tcPr>
            <w:tcW w:w="1147" w:type="dxa"/>
            <w:tcBorders>
              <w:right w:val="single" w:sz="13" w:space="0" w:color="000000"/>
            </w:tcBorders>
          </w:tcPr>
          <w:p>
            <w:pPr>
              <w:pStyle w:val="TableParagraph"/>
              <w:spacing w:line="205" w:lineRule="exact"/>
              <w:ind w:left="46" w:right="27"/>
              <w:rPr>
                <w:sz w:val="18"/>
              </w:rPr>
            </w:pPr>
            <w:r>
              <w:rPr>
                <w:sz w:val="18"/>
              </w:rPr>
              <w:t>50</w:t>
            </w:r>
          </w:p>
        </w:tc>
      </w:tr>
      <w:tr>
        <w:trPr>
          <w:trHeight w:val="230" w:hRule="exact"/>
        </w:trPr>
        <w:tc>
          <w:tcPr>
            <w:tcW w:w="3745" w:type="dxa"/>
          </w:tcPr>
          <w:p>
            <w:pPr>
              <w:pStyle w:val="TableParagraph"/>
              <w:spacing w:line="205" w:lineRule="exact"/>
              <w:ind w:left="32"/>
              <w:jc w:val="left"/>
              <w:rPr>
                <w:sz w:val="18"/>
              </w:rPr>
            </w:pPr>
            <w:r>
              <w:rPr>
                <w:sz w:val="18"/>
              </w:rPr>
              <w:t>Other current liabilities</w:t>
            </w:r>
          </w:p>
        </w:tc>
        <w:tc>
          <w:tcPr>
            <w:tcW w:w="1155" w:type="dxa"/>
          </w:tcPr>
          <w:p>
            <w:pPr>
              <w:pStyle w:val="TableParagraph"/>
              <w:spacing w:line="205" w:lineRule="exact"/>
              <w:ind w:left="43" w:right="44"/>
              <w:rPr>
                <w:sz w:val="18"/>
              </w:rPr>
            </w:pPr>
            <w:r>
              <w:rPr>
                <w:sz w:val="18"/>
              </w:rPr>
              <w:t>824</w:t>
            </w:r>
          </w:p>
        </w:tc>
        <w:tc>
          <w:tcPr>
            <w:tcW w:w="1155" w:type="dxa"/>
          </w:tcPr>
          <w:p>
            <w:pPr>
              <w:pStyle w:val="TableParagraph"/>
              <w:spacing w:line="205" w:lineRule="exact"/>
              <w:ind w:left="43" w:right="44"/>
              <w:rPr>
                <w:sz w:val="18"/>
              </w:rPr>
            </w:pPr>
            <w:r>
              <w:rPr>
                <w:sz w:val="18"/>
              </w:rPr>
              <w:t>703</w:t>
            </w:r>
          </w:p>
        </w:tc>
        <w:tc>
          <w:tcPr>
            <w:tcW w:w="1155" w:type="dxa"/>
          </w:tcPr>
          <w:p>
            <w:pPr>
              <w:pStyle w:val="TableParagraph"/>
              <w:spacing w:line="205" w:lineRule="exact"/>
              <w:ind w:left="43" w:right="44"/>
              <w:rPr>
                <w:sz w:val="18"/>
              </w:rPr>
            </w:pPr>
            <w:r>
              <w:rPr>
                <w:sz w:val="18"/>
              </w:rPr>
              <w:t>715</w:t>
            </w:r>
          </w:p>
        </w:tc>
        <w:tc>
          <w:tcPr>
            <w:tcW w:w="1147" w:type="dxa"/>
            <w:tcBorders>
              <w:right w:val="single" w:sz="13" w:space="0" w:color="000000"/>
            </w:tcBorders>
          </w:tcPr>
          <w:p>
            <w:pPr>
              <w:pStyle w:val="TableParagraph"/>
              <w:spacing w:line="205" w:lineRule="exact"/>
              <w:ind w:left="39" w:right="27"/>
              <w:rPr>
                <w:sz w:val="18"/>
              </w:rPr>
            </w:pPr>
            <w:r>
              <w:rPr>
                <w:sz w:val="18"/>
              </w:rPr>
              <w:t>698</w:t>
            </w:r>
          </w:p>
        </w:tc>
      </w:tr>
      <w:tr>
        <w:trPr>
          <w:trHeight w:val="230" w:hRule="exact"/>
        </w:trPr>
        <w:tc>
          <w:tcPr>
            <w:tcW w:w="3745" w:type="dxa"/>
          </w:tcPr>
          <w:p>
            <w:pPr>
              <w:pStyle w:val="TableParagraph"/>
              <w:spacing w:line="205" w:lineRule="exact"/>
              <w:ind w:left="32"/>
              <w:jc w:val="left"/>
              <w:rPr>
                <w:sz w:val="18"/>
              </w:rPr>
            </w:pPr>
            <w:r>
              <w:rPr>
                <w:sz w:val="18"/>
              </w:rPr>
              <w:t>Current portion of long=term debt</w:t>
            </w:r>
          </w:p>
        </w:tc>
        <w:tc>
          <w:tcPr>
            <w:tcW w:w="1155" w:type="dxa"/>
          </w:tcPr>
          <w:p>
            <w:pPr>
              <w:pStyle w:val="TableParagraph"/>
              <w:spacing w:line="205" w:lineRule="exact"/>
              <w:ind w:left="43" w:right="44"/>
              <w:rPr>
                <w:sz w:val="18"/>
              </w:rPr>
            </w:pPr>
            <w:r>
              <w:rPr>
                <w:sz w:val="18"/>
              </w:rPr>
              <w:t>307</w:t>
            </w:r>
          </w:p>
        </w:tc>
        <w:tc>
          <w:tcPr>
            <w:tcW w:w="1155" w:type="dxa"/>
          </w:tcPr>
          <w:p>
            <w:pPr>
              <w:pStyle w:val="TableParagraph"/>
              <w:spacing w:line="205" w:lineRule="exact"/>
              <w:ind w:left="43" w:right="44"/>
              <w:rPr>
                <w:sz w:val="18"/>
              </w:rPr>
            </w:pPr>
            <w:r>
              <w:rPr>
                <w:sz w:val="18"/>
              </w:rPr>
              <w:t>505</w:t>
            </w:r>
          </w:p>
        </w:tc>
        <w:tc>
          <w:tcPr>
            <w:tcW w:w="1155" w:type="dxa"/>
          </w:tcPr>
          <w:p>
            <w:pPr>
              <w:pStyle w:val="TableParagraph"/>
              <w:spacing w:line="205" w:lineRule="exact"/>
              <w:ind w:left="47" w:right="44"/>
              <w:rPr>
                <w:sz w:val="18"/>
              </w:rPr>
            </w:pPr>
            <w:r>
              <w:rPr>
                <w:sz w:val="18"/>
              </w:rPr>
              <w:t>40</w:t>
            </w:r>
          </w:p>
        </w:tc>
        <w:tc>
          <w:tcPr>
            <w:tcW w:w="1147" w:type="dxa"/>
            <w:tcBorders>
              <w:right w:val="single" w:sz="13" w:space="0" w:color="000000"/>
            </w:tcBorders>
          </w:tcPr>
          <w:p>
            <w:pPr>
              <w:pStyle w:val="TableParagraph"/>
              <w:spacing w:line="205" w:lineRule="exact"/>
              <w:ind w:left="46" w:right="27"/>
              <w:rPr>
                <w:sz w:val="18"/>
              </w:rPr>
            </w:pPr>
            <w:r>
              <w:rPr>
                <w:sz w:val="18"/>
              </w:rPr>
              <w:t>26</w:t>
            </w:r>
          </w:p>
        </w:tc>
      </w:tr>
      <w:tr>
        <w:trPr>
          <w:trHeight w:val="230" w:hRule="exact"/>
        </w:trPr>
        <w:tc>
          <w:tcPr>
            <w:tcW w:w="3745" w:type="dxa"/>
          </w:tcPr>
          <w:p>
            <w:pPr>
              <w:pStyle w:val="TableParagraph"/>
              <w:spacing w:line="205" w:lineRule="exact"/>
              <w:ind w:left="32"/>
              <w:jc w:val="left"/>
              <w:rPr>
                <w:sz w:val="18"/>
              </w:rPr>
            </w:pPr>
            <w:r>
              <w:rPr>
                <w:sz w:val="18"/>
              </w:rPr>
              <w:t>Other current financial liabilities</w:t>
            </w:r>
          </w:p>
        </w:tc>
        <w:tc>
          <w:tcPr>
            <w:tcW w:w="1155" w:type="dxa"/>
          </w:tcPr>
          <w:p>
            <w:pPr>
              <w:pStyle w:val="TableParagraph"/>
              <w:spacing w:line="205" w:lineRule="exact"/>
              <w:ind w:left="47" w:right="44"/>
              <w:rPr>
                <w:sz w:val="18"/>
              </w:rPr>
            </w:pPr>
            <w:r>
              <w:rPr>
                <w:sz w:val="18"/>
              </w:rPr>
              <w:t>20</w:t>
            </w:r>
          </w:p>
        </w:tc>
        <w:tc>
          <w:tcPr>
            <w:tcW w:w="1155" w:type="dxa"/>
          </w:tcPr>
          <w:p>
            <w:pPr>
              <w:pStyle w:val="TableParagraph"/>
              <w:spacing w:line="205" w:lineRule="exact"/>
              <w:ind w:left="47" w:right="44"/>
              <w:rPr>
                <w:sz w:val="18"/>
              </w:rPr>
            </w:pPr>
            <w:r>
              <w:rPr>
                <w:sz w:val="18"/>
              </w:rPr>
              <w:t>15</w:t>
            </w:r>
          </w:p>
        </w:tc>
        <w:tc>
          <w:tcPr>
            <w:tcW w:w="1155" w:type="dxa"/>
          </w:tcPr>
          <w:p>
            <w:pPr>
              <w:pStyle w:val="TableParagraph"/>
              <w:spacing w:line="205" w:lineRule="exact"/>
              <w:ind w:left="9"/>
              <w:rPr>
                <w:sz w:val="18"/>
              </w:rPr>
            </w:pPr>
            <w:r>
              <w:rPr>
                <w:w w:val="101"/>
                <w:sz w:val="18"/>
              </w:rPr>
              <w:t>5</w:t>
            </w:r>
          </w:p>
        </w:tc>
        <w:tc>
          <w:tcPr>
            <w:tcW w:w="1147" w:type="dxa"/>
            <w:tcBorders>
              <w:right w:val="single" w:sz="13" w:space="0" w:color="000000"/>
            </w:tcBorders>
          </w:tcPr>
          <w:p>
            <w:pPr>
              <w:pStyle w:val="TableParagraph"/>
              <w:spacing w:line="205" w:lineRule="exact"/>
              <w:ind w:left="46" w:right="27"/>
              <w:rPr>
                <w:sz w:val="18"/>
              </w:rPr>
            </w:pPr>
            <w:r>
              <w:rPr>
                <w:sz w:val="18"/>
              </w:rPr>
              <w:t>38</w:t>
            </w:r>
          </w:p>
        </w:tc>
      </w:tr>
      <w:tr>
        <w:trPr>
          <w:trHeight w:val="230" w:hRule="exact"/>
        </w:trPr>
        <w:tc>
          <w:tcPr>
            <w:tcW w:w="3745" w:type="dxa"/>
          </w:tcPr>
          <w:p>
            <w:pPr>
              <w:pStyle w:val="TableParagraph"/>
              <w:spacing w:line="205" w:lineRule="exact"/>
              <w:ind w:left="32"/>
              <w:jc w:val="left"/>
              <w:rPr>
                <w:sz w:val="18"/>
              </w:rPr>
            </w:pPr>
            <w:r>
              <w:rPr>
                <w:sz w:val="18"/>
              </w:rPr>
              <w:t>Short=term debt</w:t>
            </w:r>
          </w:p>
        </w:tc>
        <w:tc>
          <w:tcPr>
            <w:tcW w:w="1155" w:type="dxa"/>
          </w:tcPr>
          <w:p>
            <w:pPr>
              <w:pStyle w:val="TableParagraph"/>
              <w:spacing w:line="205" w:lineRule="exact"/>
              <w:ind w:left="47" w:right="44"/>
              <w:rPr>
                <w:sz w:val="18"/>
              </w:rPr>
            </w:pPr>
            <w:r>
              <w:rPr>
                <w:sz w:val="18"/>
              </w:rPr>
              <w:t>75</w:t>
            </w:r>
          </w:p>
        </w:tc>
        <w:tc>
          <w:tcPr>
            <w:tcW w:w="1155" w:type="dxa"/>
          </w:tcPr>
          <w:p>
            <w:pPr>
              <w:pStyle w:val="TableParagraph"/>
              <w:spacing w:line="205" w:lineRule="exact"/>
              <w:ind w:left="47" w:right="44"/>
              <w:rPr>
                <w:sz w:val="18"/>
              </w:rPr>
            </w:pPr>
            <w:r>
              <w:rPr>
                <w:sz w:val="18"/>
              </w:rPr>
              <w:t>77</w:t>
            </w:r>
          </w:p>
        </w:tc>
        <w:tc>
          <w:tcPr>
            <w:tcW w:w="1155" w:type="dxa"/>
          </w:tcPr>
          <w:p>
            <w:pPr>
              <w:pStyle w:val="TableParagraph"/>
              <w:spacing w:line="205" w:lineRule="exact"/>
              <w:ind w:left="47" w:right="44"/>
              <w:rPr>
                <w:sz w:val="18"/>
              </w:rPr>
            </w:pPr>
            <w:r>
              <w:rPr>
                <w:sz w:val="18"/>
              </w:rPr>
              <w:t>73</w:t>
            </w:r>
          </w:p>
        </w:tc>
        <w:tc>
          <w:tcPr>
            <w:tcW w:w="1147" w:type="dxa"/>
            <w:tcBorders>
              <w:right w:val="single" w:sz="13" w:space="0" w:color="000000"/>
            </w:tcBorders>
          </w:tcPr>
          <w:p>
            <w:pPr>
              <w:pStyle w:val="TableParagraph"/>
              <w:spacing w:line="205" w:lineRule="exact"/>
              <w:ind w:left="39" w:right="27"/>
              <w:rPr>
                <w:sz w:val="18"/>
              </w:rPr>
            </w:pPr>
            <w:r>
              <w:rPr>
                <w:sz w:val="18"/>
              </w:rPr>
              <w:t>166</w:t>
            </w:r>
          </w:p>
        </w:tc>
      </w:tr>
      <w:tr>
        <w:trPr>
          <w:trHeight w:val="239" w:hRule="exact"/>
        </w:trPr>
        <w:tc>
          <w:tcPr>
            <w:tcW w:w="3745" w:type="dxa"/>
            <w:tcBorders>
              <w:bottom w:val="single" w:sz="13" w:space="0" w:color="000000"/>
            </w:tcBorders>
          </w:tcPr>
          <w:p>
            <w:pPr>
              <w:pStyle w:val="TableParagraph"/>
              <w:spacing w:line="205" w:lineRule="exact"/>
              <w:ind w:left="32"/>
              <w:jc w:val="left"/>
              <w:rPr>
                <w:b/>
                <w:sz w:val="18"/>
              </w:rPr>
            </w:pPr>
            <w:r>
              <w:rPr>
                <w:b/>
                <w:sz w:val="18"/>
              </w:rPr>
              <w:t>Current liabilities</w:t>
            </w:r>
          </w:p>
        </w:tc>
        <w:tc>
          <w:tcPr>
            <w:tcW w:w="1155" w:type="dxa"/>
            <w:tcBorders>
              <w:bottom w:val="single" w:sz="13" w:space="0" w:color="000000"/>
            </w:tcBorders>
          </w:tcPr>
          <w:p>
            <w:pPr>
              <w:pStyle w:val="TableParagraph"/>
              <w:spacing w:line="205" w:lineRule="exact"/>
              <w:ind w:left="47" w:right="44"/>
              <w:rPr>
                <w:b/>
                <w:sz w:val="18"/>
              </w:rPr>
            </w:pPr>
            <w:r>
              <w:rPr>
                <w:b/>
                <w:sz w:val="18"/>
              </w:rPr>
              <w:t>3,896</w:t>
            </w:r>
          </w:p>
        </w:tc>
        <w:tc>
          <w:tcPr>
            <w:tcW w:w="1155" w:type="dxa"/>
            <w:tcBorders>
              <w:bottom w:val="single" w:sz="13" w:space="0" w:color="000000"/>
            </w:tcBorders>
          </w:tcPr>
          <w:p>
            <w:pPr>
              <w:pStyle w:val="TableParagraph"/>
              <w:spacing w:line="205" w:lineRule="exact"/>
              <w:ind w:left="47" w:right="44"/>
              <w:rPr>
                <w:b/>
                <w:sz w:val="18"/>
              </w:rPr>
            </w:pPr>
            <w:r>
              <w:rPr>
                <w:b/>
                <w:sz w:val="18"/>
              </w:rPr>
              <w:t>3,726</w:t>
            </w:r>
          </w:p>
        </w:tc>
        <w:tc>
          <w:tcPr>
            <w:tcW w:w="1155" w:type="dxa"/>
            <w:tcBorders>
              <w:bottom w:val="single" w:sz="13" w:space="0" w:color="000000"/>
            </w:tcBorders>
          </w:tcPr>
          <w:p>
            <w:pPr>
              <w:pStyle w:val="TableParagraph"/>
              <w:spacing w:line="205" w:lineRule="exact"/>
              <w:ind w:left="47" w:right="44"/>
              <w:rPr>
                <w:b/>
                <w:sz w:val="18"/>
              </w:rPr>
            </w:pPr>
            <w:r>
              <w:rPr>
                <w:b/>
                <w:sz w:val="18"/>
              </w:rPr>
              <w:t>2,876</w:t>
            </w:r>
          </w:p>
        </w:tc>
        <w:tc>
          <w:tcPr>
            <w:tcW w:w="1147" w:type="dxa"/>
            <w:tcBorders>
              <w:bottom w:val="single" w:sz="13" w:space="0" w:color="000000"/>
              <w:right w:val="single" w:sz="13" w:space="0" w:color="000000"/>
            </w:tcBorders>
          </w:tcPr>
          <w:p>
            <w:pPr>
              <w:pStyle w:val="TableParagraph"/>
              <w:spacing w:line="205" w:lineRule="exact"/>
              <w:ind w:left="47" w:right="27"/>
              <w:rPr>
                <w:b/>
                <w:sz w:val="18"/>
              </w:rPr>
            </w:pPr>
            <w:r>
              <w:rPr>
                <w:b/>
                <w:sz w:val="18"/>
              </w:rPr>
              <w:t>2,899</w:t>
            </w:r>
          </w:p>
        </w:tc>
      </w:tr>
      <w:tr>
        <w:trPr>
          <w:trHeight w:val="247" w:hRule="exact"/>
        </w:trPr>
        <w:tc>
          <w:tcPr>
            <w:tcW w:w="3745" w:type="dxa"/>
            <w:tcBorders>
              <w:top w:val="single" w:sz="13" w:space="0" w:color="000000"/>
              <w:bottom w:val="single" w:sz="13" w:space="0" w:color="000000"/>
            </w:tcBorders>
          </w:tcPr>
          <w:p>
            <w:pPr>
              <w:pStyle w:val="TableParagraph"/>
              <w:spacing w:line="205" w:lineRule="exact"/>
              <w:ind w:left="32"/>
              <w:jc w:val="left"/>
              <w:rPr>
                <w:b/>
                <w:sz w:val="18"/>
              </w:rPr>
            </w:pPr>
            <w:r>
              <w:rPr>
                <w:b/>
                <w:sz w:val="18"/>
              </w:rPr>
              <w:t>TOTAL LIABILITIES AND EQUITY</w:t>
            </w:r>
          </w:p>
        </w:tc>
        <w:tc>
          <w:tcPr>
            <w:tcW w:w="1155" w:type="dxa"/>
            <w:tcBorders>
              <w:top w:val="single" w:sz="13" w:space="0" w:color="000000"/>
              <w:bottom w:val="single" w:sz="13" w:space="0" w:color="000000"/>
            </w:tcBorders>
          </w:tcPr>
          <w:p>
            <w:pPr>
              <w:pStyle w:val="TableParagraph"/>
              <w:spacing w:line="205" w:lineRule="exact"/>
              <w:ind w:left="47" w:right="44"/>
              <w:rPr>
                <w:b/>
                <w:sz w:val="18"/>
              </w:rPr>
            </w:pPr>
            <w:r>
              <w:rPr>
                <w:b/>
                <w:sz w:val="18"/>
              </w:rPr>
              <w:t>8,562</w:t>
            </w:r>
          </w:p>
        </w:tc>
        <w:tc>
          <w:tcPr>
            <w:tcW w:w="1155" w:type="dxa"/>
            <w:tcBorders>
              <w:top w:val="single" w:sz="13" w:space="0" w:color="000000"/>
              <w:bottom w:val="single" w:sz="13" w:space="0" w:color="000000"/>
            </w:tcBorders>
          </w:tcPr>
          <w:p>
            <w:pPr>
              <w:pStyle w:val="TableParagraph"/>
              <w:spacing w:line="205" w:lineRule="exact"/>
              <w:ind w:left="47" w:right="44"/>
              <w:rPr>
                <w:b/>
                <w:sz w:val="18"/>
              </w:rPr>
            </w:pPr>
            <w:r>
              <w:rPr>
                <w:b/>
                <w:sz w:val="18"/>
              </w:rPr>
              <w:t>7,440</w:t>
            </w:r>
          </w:p>
        </w:tc>
        <w:tc>
          <w:tcPr>
            <w:tcW w:w="1155" w:type="dxa"/>
            <w:tcBorders>
              <w:top w:val="single" w:sz="13" w:space="0" w:color="000000"/>
              <w:bottom w:val="single" w:sz="13" w:space="0" w:color="000000"/>
            </w:tcBorders>
          </w:tcPr>
          <w:p>
            <w:pPr>
              <w:pStyle w:val="TableParagraph"/>
              <w:spacing w:line="205" w:lineRule="exact"/>
              <w:ind w:left="47" w:right="44"/>
              <w:rPr>
                <w:b/>
                <w:sz w:val="18"/>
              </w:rPr>
            </w:pPr>
            <w:r>
              <w:rPr>
                <w:b/>
                <w:sz w:val="18"/>
              </w:rPr>
              <w:t>6,485</w:t>
            </w:r>
          </w:p>
        </w:tc>
        <w:tc>
          <w:tcPr>
            <w:tcW w:w="1147" w:type="dxa"/>
            <w:tcBorders>
              <w:top w:val="single" w:sz="13" w:space="0" w:color="000000"/>
              <w:bottom w:val="single" w:sz="13" w:space="0" w:color="000000"/>
            </w:tcBorders>
          </w:tcPr>
          <w:p>
            <w:pPr>
              <w:pStyle w:val="TableParagraph"/>
              <w:spacing w:line="205" w:lineRule="exact"/>
              <w:ind w:left="46" w:right="35"/>
              <w:rPr>
                <w:b/>
                <w:sz w:val="18"/>
              </w:rPr>
            </w:pPr>
            <w:r>
              <w:rPr>
                <w:b/>
                <w:sz w:val="18"/>
              </w:rPr>
              <w:t>6,348</w:t>
            </w:r>
          </w:p>
        </w:tc>
      </w:tr>
    </w:tbl>
    <w:p>
      <w:pPr>
        <w:pStyle w:val="BodyText"/>
        <w:spacing w:before="6" w:after="1"/>
        <w:rPr>
          <w:b/>
          <w:sz w:val="18"/>
        </w:rPr>
      </w:pPr>
    </w:p>
    <w:tbl>
      <w:tblPr>
        <w:tblW w:w="0" w:type="auto"/>
        <w:jc w:val="left"/>
        <w:tblInd w:w="110" w:type="dxa"/>
        <w:tblBorders>
          <w:top w:val="single" w:sz="13" w:space="0" w:color="000000"/>
          <w:left w:val="single" w:sz="13" w:space="0" w:color="000000"/>
          <w:bottom w:val="single" w:sz="13" w:space="0" w:color="000000"/>
          <w:right w:val="single" w:sz="13" w:space="0" w:color="000000"/>
          <w:insideH w:val="single" w:sz="13" w:space="0" w:color="000000"/>
          <w:insideV w:val="single" w:sz="13" w:space="0" w:color="000000"/>
        </w:tblBorders>
        <w:tblLayout w:type="fixed"/>
        <w:tblCellMar>
          <w:top w:w="0" w:type="dxa"/>
          <w:left w:w="0" w:type="dxa"/>
          <w:bottom w:w="0" w:type="dxa"/>
          <w:right w:w="0" w:type="dxa"/>
        </w:tblCellMar>
        <w:tblLook w:val="01E0"/>
      </w:tblPr>
      <w:tblGrid>
        <w:gridCol w:w="3745"/>
        <w:gridCol w:w="1155"/>
        <w:gridCol w:w="1155"/>
        <w:gridCol w:w="1155"/>
        <w:gridCol w:w="1155"/>
      </w:tblGrid>
      <w:tr>
        <w:trPr>
          <w:trHeight w:val="247" w:hRule="exact"/>
        </w:trPr>
        <w:tc>
          <w:tcPr>
            <w:tcW w:w="3745" w:type="dxa"/>
            <w:tcBorders>
              <w:left w:val="single" w:sz="7" w:space="0" w:color="000000"/>
              <w:right w:val="single" w:sz="7" w:space="0" w:color="000000"/>
            </w:tcBorders>
          </w:tcPr>
          <w:p>
            <w:pPr>
              <w:pStyle w:val="TableParagraph"/>
              <w:spacing w:line="205" w:lineRule="exact"/>
              <w:ind w:left="32"/>
              <w:jc w:val="left"/>
              <w:rPr>
                <w:b/>
                <w:sz w:val="18"/>
              </w:rPr>
            </w:pPr>
            <w:r>
              <w:rPr>
                <w:b/>
                <w:sz w:val="18"/>
              </w:rPr>
              <w:t>Net Assets</w:t>
            </w:r>
          </w:p>
        </w:tc>
        <w:tc>
          <w:tcPr>
            <w:tcW w:w="1155" w:type="dxa"/>
            <w:tcBorders>
              <w:left w:val="single" w:sz="7" w:space="0" w:color="000000"/>
              <w:right w:val="single" w:sz="7" w:space="0" w:color="000000"/>
            </w:tcBorders>
          </w:tcPr>
          <w:p>
            <w:pPr>
              <w:pStyle w:val="TableParagraph"/>
              <w:spacing w:line="205" w:lineRule="exact"/>
              <w:ind w:left="362"/>
              <w:jc w:val="left"/>
              <w:rPr>
                <w:b/>
                <w:sz w:val="18"/>
              </w:rPr>
            </w:pPr>
            <w:r>
              <w:rPr>
                <w:b/>
                <w:sz w:val="18"/>
              </w:rPr>
              <w:t>2,080</w:t>
            </w:r>
          </w:p>
        </w:tc>
        <w:tc>
          <w:tcPr>
            <w:tcW w:w="1155" w:type="dxa"/>
            <w:tcBorders>
              <w:left w:val="single" w:sz="7" w:space="0" w:color="000000"/>
              <w:right w:val="single" w:sz="7" w:space="0" w:color="000000"/>
            </w:tcBorders>
          </w:tcPr>
          <w:p>
            <w:pPr>
              <w:pStyle w:val="TableParagraph"/>
              <w:spacing w:line="205" w:lineRule="exact"/>
              <w:ind w:left="362"/>
              <w:jc w:val="left"/>
              <w:rPr>
                <w:b/>
                <w:sz w:val="18"/>
              </w:rPr>
            </w:pPr>
            <w:r>
              <w:rPr>
                <w:b/>
                <w:sz w:val="18"/>
              </w:rPr>
              <w:t>1,770</w:t>
            </w:r>
          </w:p>
        </w:tc>
        <w:tc>
          <w:tcPr>
            <w:tcW w:w="1155" w:type="dxa"/>
            <w:tcBorders>
              <w:left w:val="single" w:sz="7" w:space="0" w:color="000000"/>
              <w:right w:val="single" w:sz="7" w:space="0" w:color="000000"/>
            </w:tcBorders>
          </w:tcPr>
          <w:p>
            <w:pPr>
              <w:pStyle w:val="TableParagraph"/>
              <w:spacing w:line="205" w:lineRule="exact"/>
              <w:ind w:left="362"/>
              <w:jc w:val="left"/>
              <w:rPr>
                <w:b/>
                <w:sz w:val="18"/>
              </w:rPr>
            </w:pPr>
            <w:r>
              <w:rPr>
                <w:b/>
                <w:sz w:val="18"/>
              </w:rPr>
              <w:t>1,284</w:t>
            </w:r>
          </w:p>
        </w:tc>
        <w:tc>
          <w:tcPr>
            <w:tcW w:w="1155" w:type="dxa"/>
            <w:tcBorders>
              <w:left w:val="single" w:sz="7" w:space="0" w:color="000000"/>
              <w:right w:val="single" w:sz="7" w:space="0" w:color="000000"/>
            </w:tcBorders>
          </w:tcPr>
          <w:p>
            <w:pPr>
              <w:pStyle w:val="TableParagraph"/>
              <w:spacing w:line="205" w:lineRule="exact"/>
              <w:ind w:left="362"/>
              <w:jc w:val="left"/>
              <w:rPr>
                <w:b/>
                <w:sz w:val="18"/>
              </w:rPr>
            </w:pPr>
            <w:r>
              <w:rPr>
                <w:b/>
                <w:sz w:val="18"/>
              </w:rPr>
              <w:t>1,362</w:t>
            </w:r>
          </w:p>
        </w:tc>
      </w:tr>
    </w:tbl>
    <w:p>
      <w:pPr>
        <w:spacing w:after="0" w:line="205" w:lineRule="exact"/>
        <w:jc w:val="left"/>
        <w:rPr>
          <w:sz w:val="18"/>
        </w:rPr>
        <w:sectPr>
          <w:headerReference w:type="default" r:id="rId189"/>
          <w:footerReference w:type="default" r:id="rId190"/>
          <w:pgSz w:w="11910" w:h="16840"/>
          <w:pgMar w:header="755" w:footer="724" w:top="960" w:bottom="920" w:left="1600" w:right="1580"/>
        </w:sectPr>
      </w:pPr>
    </w:p>
    <w:p>
      <w:pPr>
        <w:pStyle w:val="BodyText"/>
        <w:rPr>
          <w:b/>
          <w:sz w:val="20"/>
        </w:rPr>
      </w:pPr>
    </w:p>
    <w:p>
      <w:pPr>
        <w:pStyle w:val="BodyText"/>
        <w:spacing w:before="10"/>
        <w:rPr>
          <w:b/>
          <w:sz w:val="18"/>
        </w:rPr>
      </w:pPr>
    </w:p>
    <w:p>
      <w:pPr>
        <w:pStyle w:val="Heading2"/>
        <w:jc w:val="left"/>
      </w:pPr>
      <w:r>
        <w:rPr/>
        <w:t>Estado de resultados.</w:t>
      </w:r>
    </w:p>
    <w:p>
      <w:pPr>
        <w:pStyle w:val="BodyText"/>
        <w:spacing w:before="5"/>
        <w:rPr>
          <w:b/>
          <w:sz w:val="21"/>
        </w:rPr>
      </w:pPr>
    </w:p>
    <w:tbl>
      <w:tblPr>
        <w:tblW w:w="0" w:type="auto"/>
        <w:jc w:val="left"/>
        <w:tblInd w:w="11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4562"/>
        <w:gridCol w:w="911"/>
        <w:gridCol w:w="919"/>
        <w:gridCol w:w="919"/>
        <w:gridCol w:w="919"/>
      </w:tblGrid>
      <w:tr>
        <w:trPr>
          <w:trHeight w:val="243" w:hRule="exact"/>
        </w:trPr>
        <w:tc>
          <w:tcPr>
            <w:tcW w:w="8230" w:type="dxa"/>
            <w:gridSpan w:val="5"/>
          </w:tcPr>
          <w:p>
            <w:pPr>
              <w:pStyle w:val="TableParagraph"/>
              <w:spacing w:line="216" w:lineRule="exact"/>
              <w:ind w:left="2601"/>
              <w:jc w:val="left"/>
              <w:rPr>
                <w:b/>
                <w:sz w:val="19"/>
              </w:rPr>
            </w:pPr>
            <w:r>
              <w:rPr>
                <w:b/>
                <w:sz w:val="19"/>
              </w:rPr>
              <w:t>A. Consolidated statements of Income</w:t>
            </w:r>
          </w:p>
        </w:tc>
      </w:tr>
      <w:tr>
        <w:trPr>
          <w:trHeight w:val="252" w:hRule="exact"/>
        </w:trPr>
        <w:tc>
          <w:tcPr>
            <w:tcW w:w="4562" w:type="dxa"/>
            <w:tcBorders>
              <w:bottom w:val="single" w:sz="14" w:space="0" w:color="000000"/>
            </w:tcBorders>
          </w:tcPr>
          <w:p>
            <w:pPr>
              <w:pStyle w:val="TableParagraph"/>
              <w:spacing w:line="216" w:lineRule="exact"/>
              <w:ind w:left="34"/>
              <w:jc w:val="left"/>
              <w:rPr>
                <w:sz w:val="19"/>
              </w:rPr>
            </w:pPr>
            <w:r>
              <w:rPr>
                <w:sz w:val="19"/>
              </w:rPr>
              <w:t>(In millions of Euros)</w:t>
            </w:r>
          </w:p>
        </w:tc>
        <w:tc>
          <w:tcPr>
            <w:tcW w:w="911" w:type="dxa"/>
            <w:tcBorders>
              <w:bottom w:val="single" w:sz="14" w:space="0" w:color="000000"/>
            </w:tcBorders>
          </w:tcPr>
          <w:p>
            <w:pPr>
              <w:pStyle w:val="TableParagraph"/>
              <w:spacing w:line="216" w:lineRule="exact"/>
              <w:ind w:left="260"/>
              <w:jc w:val="left"/>
              <w:rPr>
                <w:b/>
                <w:sz w:val="19"/>
              </w:rPr>
            </w:pPr>
            <w:r>
              <w:rPr>
                <w:b/>
                <w:sz w:val="19"/>
              </w:rPr>
              <w:t>2011</w:t>
            </w:r>
          </w:p>
        </w:tc>
        <w:tc>
          <w:tcPr>
            <w:tcW w:w="919" w:type="dxa"/>
            <w:tcBorders>
              <w:bottom w:val="single" w:sz="14" w:space="0" w:color="000000"/>
            </w:tcBorders>
          </w:tcPr>
          <w:p>
            <w:pPr>
              <w:pStyle w:val="TableParagraph"/>
              <w:spacing w:line="216" w:lineRule="exact"/>
              <w:ind w:left="221" w:right="198"/>
              <w:rPr>
                <w:b/>
                <w:sz w:val="19"/>
              </w:rPr>
            </w:pPr>
            <w:r>
              <w:rPr>
                <w:b/>
                <w:sz w:val="19"/>
              </w:rPr>
              <w:t>2010</w:t>
            </w:r>
          </w:p>
        </w:tc>
        <w:tc>
          <w:tcPr>
            <w:tcW w:w="919" w:type="dxa"/>
            <w:tcBorders>
              <w:bottom w:val="single" w:sz="14" w:space="0" w:color="000000"/>
            </w:tcBorders>
          </w:tcPr>
          <w:p>
            <w:pPr>
              <w:pStyle w:val="TableParagraph"/>
              <w:spacing w:line="216" w:lineRule="exact"/>
              <w:ind w:left="221" w:right="198"/>
              <w:rPr>
                <w:b/>
                <w:sz w:val="19"/>
              </w:rPr>
            </w:pPr>
            <w:r>
              <w:rPr>
                <w:b/>
                <w:sz w:val="19"/>
              </w:rPr>
              <w:t>2009</w:t>
            </w:r>
          </w:p>
        </w:tc>
        <w:tc>
          <w:tcPr>
            <w:tcW w:w="919" w:type="dxa"/>
            <w:tcBorders>
              <w:bottom w:val="single" w:sz="14" w:space="0" w:color="000000"/>
            </w:tcBorders>
          </w:tcPr>
          <w:p>
            <w:pPr>
              <w:pStyle w:val="TableParagraph"/>
              <w:spacing w:line="216" w:lineRule="exact"/>
              <w:ind w:left="221" w:right="198"/>
              <w:rPr>
                <w:b/>
                <w:sz w:val="19"/>
              </w:rPr>
            </w:pPr>
            <w:r>
              <w:rPr>
                <w:b/>
                <w:sz w:val="19"/>
              </w:rPr>
              <w:t>2008</w:t>
            </w:r>
          </w:p>
        </w:tc>
      </w:tr>
      <w:tr>
        <w:trPr>
          <w:trHeight w:val="252" w:hRule="exact"/>
        </w:trPr>
        <w:tc>
          <w:tcPr>
            <w:tcW w:w="4562" w:type="dxa"/>
            <w:tcBorders>
              <w:top w:val="single" w:sz="14" w:space="0" w:color="000000"/>
            </w:tcBorders>
            <w:shd w:val="clear" w:color="auto" w:fill="D9D9D9"/>
          </w:tcPr>
          <w:p>
            <w:pPr>
              <w:pStyle w:val="TableParagraph"/>
              <w:spacing w:line="216" w:lineRule="exact"/>
              <w:ind w:left="34"/>
              <w:jc w:val="left"/>
              <w:rPr>
                <w:b/>
                <w:sz w:val="19"/>
              </w:rPr>
            </w:pPr>
            <w:r>
              <w:rPr>
                <w:b/>
                <w:sz w:val="19"/>
              </w:rPr>
              <w:t>Continuing operations</w:t>
            </w:r>
          </w:p>
        </w:tc>
        <w:tc>
          <w:tcPr>
            <w:tcW w:w="911" w:type="dxa"/>
            <w:tcBorders>
              <w:top w:val="single" w:sz="14" w:space="0" w:color="000000"/>
              <w:right w:val="single" w:sz="14" w:space="0" w:color="000000"/>
            </w:tcBorders>
          </w:tcPr>
          <w:p>
            <w:pPr/>
          </w:p>
        </w:tc>
        <w:tc>
          <w:tcPr>
            <w:tcW w:w="919" w:type="dxa"/>
            <w:tcBorders>
              <w:top w:val="single" w:sz="14" w:space="0" w:color="000000"/>
              <w:left w:val="single" w:sz="14" w:space="0" w:color="000000"/>
              <w:right w:val="single" w:sz="14" w:space="0" w:color="000000"/>
            </w:tcBorders>
          </w:tcPr>
          <w:p>
            <w:pPr/>
          </w:p>
        </w:tc>
        <w:tc>
          <w:tcPr>
            <w:tcW w:w="919" w:type="dxa"/>
            <w:tcBorders>
              <w:top w:val="single" w:sz="14" w:space="0" w:color="000000"/>
              <w:left w:val="single" w:sz="14" w:space="0" w:color="000000"/>
              <w:right w:val="single" w:sz="14" w:space="0" w:color="000000"/>
            </w:tcBorders>
          </w:tcPr>
          <w:p>
            <w:pPr/>
          </w:p>
        </w:tc>
        <w:tc>
          <w:tcPr>
            <w:tcW w:w="919" w:type="dxa"/>
            <w:tcBorders>
              <w:top w:val="single" w:sz="14" w:space="0" w:color="000000"/>
              <w:left w:val="single" w:sz="14" w:space="0" w:color="000000"/>
              <w:right w:val="single" w:sz="14" w:space="0" w:color="000000"/>
            </w:tcBorders>
          </w:tcPr>
          <w:p>
            <w:pP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NET SALES</w:t>
            </w:r>
          </w:p>
        </w:tc>
        <w:tc>
          <w:tcPr>
            <w:tcW w:w="911" w:type="dxa"/>
            <w:tcBorders>
              <w:right w:val="single" w:sz="14" w:space="0" w:color="000000"/>
            </w:tcBorders>
          </w:tcPr>
          <w:p>
            <w:pPr>
              <w:pStyle w:val="TableParagraph"/>
              <w:spacing w:line="216" w:lineRule="exact"/>
              <w:ind w:left="190"/>
              <w:jc w:val="left"/>
              <w:rPr>
                <w:b/>
                <w:sz w:val="19"/>
              </w:rPr>
            </w:pPr>
            <w:r>
              <w:rPr>
                <w:b/>
                <w:sz w:val="19"/>
              </w:rPr>
              <w:t>10,868</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9,632</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7,499</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8,677</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Cost of Sales</w:t>
            </w:r>
          </w:p>
        </w:tc>
        <w:tc>
          <w:tcPr>
            <w:tcW w:w="911" w:type="dxa"/>
            <w:tcBorders>
              <w:right w:val="single" w:sz="14" w:space="0" w:color="000000"/>
            </w:tcBorders>
          </w:tcPr>
          <w:p>
            <w:pPr>
              <w:pStyle w:val="TableParagraph"/>
              <w:spacing w:line="216" w:lineRule="exact"/>
              <w:ind w:left="208"/>
              <w:jc w:val="left"/>
              <w:rPr>
                <w:sz w:val="19"/>
              </w:rPr>
            </w:pPr>
            <w:r>
              <w:rPr>
                <w:sz w:val="19"/>
              </w:rPr>
              <w:t>H9,025</w:t>
            </w:r>
          </w:p>
        </w:tc>
        <w:tc>
          <w:tcPr>
            <w:tcW w:w="919" w:type="dxa"/>
            <w:tcBorders>
              <w:left w:val="single" w:sz="14" w:space="0" w:color="000000"/>
              <w:right w:val="single" w:sz="14" w:space="0" w:color="000000"/>
            </w:tcBorders>
          </w:tcPr>
          <w:p>
            <w:pPr>
              <w:pStyle w:val="TableParagraph"/>
              <w:spacing w:line="216" w:lineRule="exact"/>
              <w:ind w:left="159" w:right="133"/>
              <w:rPr>
                <w:sz w:val="19"/>
              </w:rPr>
            </w:pPr>
            <w:r>
              <w:rPr>
                <w:sz w:val="19"/>
              </w:rPr>
              <w:t>H7,897</w:t>
            </w:r>
          </w:p>
        </w:tc>
        <w:tc>
          <w:tcPr>
            <w:tcW w:w="919" w:type="dxa"/>
            <w:tcBorders>
              <w:left w:val="single" w:sz="14" w:space="0" w:color="000000"/>
              <w:right w:val="single" w:sz="14" w:space="0" w:color="000000"/>
            </w:tcBorders>
          </w:tcPr>
          <w:p>
            <w:pPr>
              <w:pStyle w:val="TableParagraph"/>
              <w:spacing w:line="216" w:lineRule="exact"/>
              <w:ind w:left="159" w:right="133"/>
              <w:rPr>
                <w:sz w:val="19"/>
              </w:rPr>
            </w:pPr>
            <w:r>
              <w:rPr>
                <w:sz w:val="19"/>
              </w:rPr>
              <w:t>H6,361</w:t>
            </w:r>
          </w:p>
        </w:tc>
        <w:tc>
          <w:tcPr>
            <w:tcW w:w="919" w:type="dxa"/>
            <w:tcBorders>
              <w:left w:val="single" w:sz="14" w:space="0" w:color="000000"/>
              <w:right w:val="single" w:sz="14" w:space="0" w:color="000000"/>
            </w:tcBorders>
          </w:tcPr>
          <w:p>
            <w:pPr>
              <w:pStyle w:val="TableParagraph"/>
              <w:spacing w:line="216" w:lineRule="exact"/>
              <w:ind w:left="159" w:right="133"/>
              <w:rPr>
                <w:sz w:val="19"/>
              </w:rPr>
            </w:pPr>
            <w:r>
              <w:rPr>
                <w:sz w:val="19"/>
              </w:rPr>
              <w:t>H7,350</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GROSS MARGIN</w:t>
            </w:r>
          </w:p>
        </w:tc>
        <w:tc>
          <w:tcPr>
            <w:tcW w:w="911" w:type="dxa"/>
            <w:tcBorders>
              <w:right w:val="single" w:sz="14" w:space="0" w:color="000000"/>
            </w:tcBorders>
          </w:tcPr>
          <w:p>
            <w:pPr>
              <w:pStyle w:val="TableParagraph"/>
              <w:spacing w:line="216" w:lineRule="exact"/>
              <w:ind w:left="225"/>
              <w:jc w:val="left"/>
              <w:rPr>
                <w:b/>
                <w:sz w:val="19"/>
              </w:rPr>
            </w:pPr>
            <w:r>
              <w:rPr>
                <w:b/>
                <w:sz w:val="19"/>
              </w:rPr>
              <w:t>1,843</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1,735</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1,138</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1,327</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 of the net sales</w:t>
            </w:r>
          </w:p>
        </w:tc>
        <w:tc>
          <w:tcPr>
            <w:tcW w:w="911" w:type="dxa"/>
            <w:tcBorders>
              <w:right w:val="single" w:sz="14" w:space="0" w:color="000000"/>
            </w:tcBorders>
          </w:tcPr>
          <w:p>
            <w:pPr>
              <w:pStyle w:val="TableParagraph"/>
              <w:spacing w:line="216" w:lineRule="exact"/>
              <w:ind w:left="208"/>
              <w:jc w:val="left"/>
              <w:rPr>
                <w:sz w:val="19"/>
              </w:rPr>
            </w:pPr>
            <w:r>
              <w:rPr>
                <w:sz w:val="19"/>
              </w:rPr>
              <w:t>17.0%</w:t>
            </w:r>
          </w:p>
        </w:tc>
        <w:tc>
          <w:tcPr>
            <w:tcW w:w="919" w:type="dxa"/>
            <w:tcBorders>
              <w:left w:val="single" w:sz="14" w:space="0" w:color="000000"/>
              <w:right w:val="single" w:sz="14" w:space="0" w:color="000000"/>
            </w:tcBorders>
          </w:tcPr>
          <w:p>
            <w:pPr>
              <w:pStyle w:val="TableParagraph"/>
              <w:spacing w:line="216" w:lineRule="exact"/>
              <w:ind w:left="141" w:right="133"/>
              <w:rPr>
                <w:sz w:val="19"/>
              </w:rPr>
            </w:pPr>
            <w:r>
              <w:rPr>
                <w:sz w:val="19"/>
              </w:rPr>
              <w:t>18.0%</w:t>
            </w:r>
          </w:p>
        </w:tc>
        <w:tc>
          <w:tcPr>
            <w:tcW w:w="919" w:type="dxa"/>
            <w:tcBorders>
              <w:left w:val="single" w:sz="14" w:space="0" w:color="000000"/>
              <w:right w:val="single" w:sz="14" w:space="0" w:color="000000"/>
            </w:tcBorders>
          </w:tcPr>
          <w:p>
            <w:pPr>
              <w:pStyle w:val="TableParagraph"/>
              <w:spacing w:line="216" w:lineRule="exact"/>
              <w:ind w:left="141" w:right="133"/>
              <w:rPr>
                <w:sz w:val="19"/>
              </w:rPr>
            </w:pPr>
            <w:r>
              <w:rPr>
                <w:sz w:val="19"/>
              </w:rPr>
              <w:t>15.2%</w:t>
            </w:r>
          </w:p>
        </w:tc>
        <w:tc>
          <w:tcPr>
            <w:tcW w:w="919" w:type="dxa"/>
            <w:tcBorders>
              <w:left w:val="single" w:sz="14" w:space="0" w:color="000000"/>
              <w:right w:val="single" w:sz="14" w:space="0" w:color="000000"/>
            </w:tcBorders>
          </w:tcPr>
          <w:p>
            <w:pPr>
              <w:pStyle w:val="TableParagraph"/>
              <w:spacing w:line="216" w:lineRule="exact"/>
              <w:ind w:left="141" w:right="133"/>
              <w:rPr>
                <w:sz w:val="19"/>
              </w:rPr>
            </w:pPr>
            <w:r>
              <w:rPr>
                <w:sz w:val="19"/>
              </w:rPr>
              <w:t>15.3%</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Research And Development expenditure, net</w:t>
            </w:r>
          </w:p>
        </w:tc>
        <w:tc>
          <w:tcPr>
            <w:tcW w:w="911" w:type="dxa"/>
            <w:tcBorders>
              <w:right w:val="single" w:sz="14" w:space="0" w:color="000000"/>
            </w:tcBorders>
          </w:tcPr>
          <w:p>
            <w:pPr>
              <w:pStyle w:val="TableParagraph"/>
              <w:spacing w:line="216" w:lineRule="exact"/>
              <w:ind w:left="277"/>
              <w:jc w:val="left"/>
              <w:rPr>
                <w:sz w:val="19"/>
              </w:rPr>
            </w:pPr>
            <w:r>
              <w:rPr>
                <w:w w:val="95"/>
                <w:sz w:val="19"/>
              </w:rPr>
              <w:t>H561</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H537</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H473</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H501</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Selling Expenses</w:t>
            </w:r>
          </w:p>
        </w:tc>
        <w:tc>
          <w:tcPr>
            <w:tcW w:w="911" w:type="dxa"/>
            <w:tcBorders>
              <w:right w:val="single" w:sz="14" w:space="0" w:color="000000"/>
            </w:tcBorders>
          </w:tcPr>
          <w:p>
            <w:pPr>
              <w:pStyle w:val="TableParagraph"/>
              <w:spacing w:line="216" w:lineRule="exact"/>
              <w:ind w:left="277"/>
              <w:jc w:val="left"/>
              <w:rPr>
                <w:sz w:val="19"/>
              </w:rPr>
            </w:pPr>
            <w:r>
              <w:rPr>
                <w:w w:val="95"/>
                <w:sz w:val="19"/>
              </w:rPr>
              <w:t>H181</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H171</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H156</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H177</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Administrative expenses</w:t>
            </w:r>
          </w:p>
        </w:tc>
        <w:tc>
          <w:tcPr>
            <w:tcW w:w="911" w:type="dxa"/>
            <w:tcBorders>
              <w:right w:val="single" w:sz="14" w:space="0" w:color="000000"/>
            </w:tcBorders>
          </w:tcPr>
          <w:p>
            <w:pPr>
              <w:pStyle w:val="TableParagraph"/>
              <w:spacing w:line="216" w:lineRule="exact"/>
              <w:ind w:left="277"/>
              <w:jc w:val="left"/>
              <w:rPr>
                <w:sz w:val="19"/>
              </w:rPr>
            </w:pPr>
            <w:r>
              <w:rPr>
                <w:w w:val="95"/>
                <w:sz w:val="19"/>
              </w:rPr>
              <w:t>H397</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H410</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H376</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H419</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OPERATING MARGIN</w:t>
            </w:r>
          </w:p>
        </w:tc>
        <w:tc>
          <w:tcPr>
            <w:tcW w:w="911" w:type="dxa"/>
            <w:tcBorders>
              <w:right w:val="single" w:sz="14" w:space="0" w:color="000000"/>
            </w:tcBorders>
          </w:tcPr>
          <w:p>
            <w:pPr>
              <w:pStyle w:val="TableParagraph"/>
              <w:spacing w:line="216" w:lineRule="exact"/>
              <w:ind w:left="312"/>
              <w:jc w:val="left"/>
              <w:rPr>
                <w:b/>
                <w:sz w:val="19"/>
              </w:rPr>
            </w:pPr>
            <w:r>
              <w:rPr>
                <w:b/>
                <w:sz w:val="19"/>
              </w:rPr>
              <w:t>704</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617</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133</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230</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 of net sales</w:t>
            </w:r>
          </w:p>
        </w:tc>
        <w:tc>
          <w:tcPr>
            <w:tcW w:w="911" w:type="dxa"/>
            <w:tcBorders>
              <w:right w:val="single" w:sz="14" w:space="0" w:color="000000"/>
            </w:tcBorders>
          </w:tcPr>
          <w:p>
            <w:pPr>
              <w:pStyle w:val="TableParagraph"/>
              <w:spacing w:line="216" w:lineRule="exact"/>
              <w:ind w:left="260"/>
              <w:jc w:val="left"/>
              <w:rPr>
                <w:sz w:val="19"/>
              </w:rPr>
            </w:pPr>
            <w:r>
              <w:rPr>
                <w:sz w:val="19"/>
              </w:rPr>
              <w:t>6.5%</w:t>
            </w:r>
          </w:p>
        </w:tc>
        <w:tc>
          <w:tcPr>
            <w:tcW w:w="919" w:type="dxa"/>
            <w:tcBorders>
              <w:left w:val="single" w:sz="14" w:space="0" w:color="000000"/>
              <w:right w:val="single" w:sz="14" w:space="0" w:color="000000"/>
            </w:tcBorders>
          </w:tcPr>
          <w:p>
            <w:pPr>
              <w:pStyle w:val="TableParagraph"/>
              <w:spacing w:line="216" w:lineRule="exact"/>
              <w:ind w:left="148" w:right="133"/>
              <w:rPr>
                <w:sz w:val="19"/>
              </w:rPr>
            </w:pPr>
            <w:r>
              <w:rPr>
                <w:sz w:val="19"/>
              </w:rPr>
              <w:t>6.4%</w:t>
            </w:r>
          </w:p>
        </w:tc>
        <w:tc>
          <w:tcPr>
            <w:tcW w:w="919" w:type="dxa"/>
            <w:tcBorders>
              <w:left w:val="single" w:sz="14" w:space="0" w:color="000000"/>
              <w:right w:val="single" w:sz="14" w:space="0" w:color="000000"/>
            </w:tcBorders>
          </w:tcPr>
          <w:p>
            <w:pPr>
              <w:pStyle w:val="TableParagraph"/>
              <w:spacing w:line="216" w:lineRule="exact"/>
              <w:ind w:left="148" w:right="133"/>
              <w:rPr>
                <w:sz w:val="19"/>
              </w:rPr>
            </w:pPr>
            <w:r>
              <w:rPr>
                <w:sz w:val="19"/>
              </w:rPr>
              <w:t>1.8%</w:t>
            </w:r>
          </w:p>
        </w:tc>
        <w:tc>
          <w:tcPr>
            <w:tcW w:w="919" w:type="dxa"/>
            <w:tcBorders>
              <w:left w:val="single" w:sz="14" w:space="0" w:color="000000"/>
              <w:right w:val="single" w:sz="14" w:space="0" w:color="000000"/>
            </w:tcBorders>
          </w:tcPr>
          <w:p>
            <w:pPr>
              <w:pStyle w:val="TableParagraph"/>
              <w:spacing w:line="216" w:lineRule="exact"/>
              <w:ind w:left="148" w:right="133"/>
              <w:rPr>
                <w:sz w:val="19"/>
              </w:rPr>
            </w:pPr>
            <w:r>
              <w:rPr>
                <w:sz w:val="19"/>
              </w:rPr>
              <w:t>2.7%</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Other income and expenses</w:t>
            </w:r>
          </w:p>
        </w:tc>
        <w:tc>
          <w:tcPr>
            <w:tcW w:w="911" w:type="dxa"/>
            <w:tcBorders>
              <w:right w:val="single" w:sz="14" w:space="0" w:color="000000"/>
            </w:tcBorders>
          </w:tcPr>
          <w:p>
            <w:pPr>
              <w:pStyle w:val="TableParagraph"/>
              <w:spacing w:line="216" w:lineRule="exact"/>
              <w:ind w:left="10"/>
              <w:rPr>
                <w:sz w:val="19"/>
              </w:rPr>
            </w:pPr>
            <w:r>
              <w:rPr>
                <w:w w:val="100"/>
                <w:sz w:val="19"/>
              </w:rPr>
              <w:t>0</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H27</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H49</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H282</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OPERATING INCOME (LOSS)</w:t>
            </w:r>
          </w:p>
        </w:tc>
        <w:tc>
          <w:tcPr>
            <w:tcW w:w="911" w:type="dxa"/>
            <w:tcBorders>
              <w:right w:val="single" w:sz="14" w:space="0" w:color="000000"/>
            </w:tcBorders>
          </w:tcPr>
          <w:p>
            <w:pPr>
              <w:pStyle w:val="TableParagraph"/>
              <w:spacing w:line="216" w:lineRule="exact"/>
              <w:ind w:left="312"/>
              <w:jc w:val="left"/>
              <w:rPr>
                <w:b/>
                <w:sz w:val="19"/>
              </w:rPr>
            </w:pPr>
            <w:r>
              <w:rPr>
                <w:b/>
                <w:sz w:val="19"/>
              </w:rPr>
              <w:t>704</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590</w:t>
            </w:r>
          </w:p>
        </w:tc>
        <w:tc>
          <w:tcPr>
            <w:tcW w:w="919" w:type="dxa"/>
            <w:tcBorders>
              <w:left w:val="single" w:sz="14" w:space="0" w:color="000000"/>
              <w:right w:val="single" w:sz="14" w:space="0" w:color="000000"/>
            </w:tcBorders>
          </w:tcPr>
          <w:p>
            <w:pPr>
              <w:pStyle w:val="TableParagraph"/>
              <w:spacing w:line="216" w:lineRule="exact"/>
              <w:ind w:left="136" w:right="133"/>
              <w:rPr>
                <w:b/>
                <w:sz w:val="19"/>
              </w:rPr>
            </w:pPr>
            <w:r>
              <w:rPr>
                <w:b/>
                <w:sz w:val="19"/>
              </w:rPr>
              <w:t>84</w:t>
            </w:r>
          </w:p>
        </w:tc>
        <w:tc>
          <w:tcPr>
            <w:tcW w:w="919" w:type="dxa"/>
            <w:tcBorders>
              <w:left w:val="single" w:sz="14" w:space="0" w:color="000000"/>
              <w:right w:val="single" w:sz="14" w:space="0" w:color="000000"/>
            </w:tcBorders>
          </w:tcPr>
          <w:p>
            <w:pPr>
              <w:pStyle w:val="TableParagraph"/>
              <w:spacing w:line="216" w:lineRule="exact"/>
              <w:ind w:left="159" w:right="132"/>
              <w:rPr>
                <w:b/>
                <w:sz w:val="19"/>
              </w:rPr>
            </w:pPr>
            <w:r>
              <w:rPr>
                <w:b/>
                <w:w w:val="95"/>
                <w:sz w:val="19"/>
              </w:rPr>
              <w:t>V52</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Interest Expense</w:t>
            </w:r>
          </w:p>
        </w:tc>
        <w:tc>
          <w:tcPr>
            <w:tcW w:w="911" w:type="dxa"/>
            <w:tcBorders>
              <w:right w:val="single" w:sz="14" w:space="0" w:color="000000"/>
            </w:tcBorders>
          </w:tcPr>
          <w:p>
            <w:pPr>
              <w:pStyle w:val="TableParagraph"/>
              <w:spacing w:line="216" w:lineRule="exact"/>
              <w:ind w:left="159" w:right="132"/>
              <w:rPr>
                <w:sz w:val="19"/>
              </w:rPr>
            </w:pPr>
            <w:r>
              <w:rPr>
                <w:w w:val="90"/>
                <w:sz w:val="19"/>
              </w:rPr>
              <w:t>H90</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H83</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H69</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H68</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Interest Income</w:t>
            </w:r>
          </w:p>
        </w:tc>
        <w:tc>
          <w:tcPr>
            <w:tcW w:w="911" w:type="dxa"/>
            <w:tcBorders>
              <w:right w:val="single" w:sz="14" w:space="0" w:color="000000"/>
            </w:tcBorders>
          </w:tcPr>
          <w:p>
            <w:pPr>
              <w:pStyle w:val="TableParagraph"/>
              <w:spacing w:line="216" w:lineRule="exact"/>
              <w:ind w:left="136" w:right="133"/>
              <w:rPr>
                <w:sz w:val="19"/>
              </w:rPr>
            </w:pPr>
            <w:r>
              <w:rPr>
                <w:sz w:val="19"/>
              </w:rPr>
              <w:t>19</w:t>
            </w:r>
          </w:p>
        </w:tc>
        <w:tc>
          <w:tcPr>
            <w:tcW w:w="919" w:type="dxa"/>
            <w:tcBorders>
              <w:left w:val="single" w:sz="14" w:space="0" w:color="000000"/>
              <w:right w:val="single" w:sz="14" w:space="0" w:color="000000"/>
            </w:tcBorders>
          </w:tcPr>
          <w:p>
            <w:pPr>
              <w:pStyle w:val="TableParagraph"/>
              <w:spacing w:line="216" w:lineRule="exact"/>
              <w:ind w:left="136" w:right="133"/>
              <w:rPr>
                <w:sz w:val="19"/>
              </w:rPr>
            </w:pPr>
            <w:r>
              <w:rPr>
                <w:sz w:val="19"/>
              </w:rPr>
              <w:t>16</w:t>
            </w:r>
          </w:p>
        </w:tc>
        <w:tc>
          <w:tcPr>
            <w:tcW w:w="919" w:type="dxa"/>
            <w:tcBorders>
              <w:left w:val="single" w:sz="14" w:space="0" w:color="000000"/>
              <w:right w:val="single" w:sz="14" w:space="0" w:color="000000"/>
            </w:tcBorders>
          </w:tcPr>
          <w:p>
            <w:pPr>
              <w:pStyle w:val="TableParagraph"/>
              <w:spacing w:line="216" w:lineRule="exact"/>
              <w:ind w:left="10"/>
              <w:rPr>
                <w:sz w:val="19"/>
              </w:rPr>
            </w:pPr>
            <w:r>
              <w:rPr>
                <w:w w:val="100"/>
                <w:sz w:val="19"/>
              </w:rPr>
              <w:t>9</w:t>
            </w:r>
          </w:p>
        </w:tc>
        <w:tc>
          <w:tcPr>
            <w:tcW w:w="919" w:type="dxa"/>
            <w:tcBorders>
              <w:left w:val="single" w:sz="14" w:space="0" w:color="000000"/>
              <w:right w:val="single" w:sz="14" w:space="0" w:color="000000"/>
            </w:tcBorders>
          </w:tcPr>
          <w:p>
            <w:pPr>
              <w:pStyle w:val="TableParagraph"/>
              <w:spacing w:line="216" w:lineRule="exact"/>
              <w:ind w:left="136" w:right="133"/>
              <w:rPr>
                <w:sz w:val="19"/>
              </w:rPr>
            </w:pPr>
            <w:r>
              <w:rPr>
                <w:sz w:val="19"/>
              </w:rPr>
              <w:t>23</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Other financial income and expenses</w:t>
            </w:r>
          </w:p>
        </w:tc>
        <w:tc>
          <w:tcPr>
            <w:tcW w:w="911" w:type="dxa"/>
            <w:tcBorders>
              <w:right w:val="single" w:sz="14" w:space="0" w:color="000000"/>
            </w:tcBorders>
          </w:tcPr>
          <w:p>
            <w:pPr>
              <w:pStyle w:val="TableParagraph"/>
              <w:spacing w:line="216" w:lineRule="exact"/>
              <w:ind w:left="159" w:right="132"/>
              <w:rPr>
                <w:sz w:val="19"/>
              </w:rPr>
            </w:pPr>
            <w:r>
              <w:rPr>
                <w:w w:val="90"/>
                <w:sz w:val="19"/>
              </w:rPr>
              <w:t>H35</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H32</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H57</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H59</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Share in net earnings (losses) of associates</w:t>
            </w:r>
          </w:p>
        </w:tc>
        <w:tc>
          <w:tcPr>
            <w:tcW w:w="911" w:type="dxa"/>
            <w:tcBorders>
              <w:right w:val="single" w:sz="14" w:space="0" w:color="000000"/>
            </w:tcBorders>
          </w:tcPr>
          <w:p>
            <w:pPr>
              <w:pStyle w:val="TableParagraph"/>
              <w:spacing w:line="216" w:lineRule="exact"/>
              <w:ind w:left="10"/>
              <w:rPr>
                <w:sz w:val="19"/>
              </w:rPr>
            </w:pPr>
            <w:r>
              <w:rPr>
                <w:w w:val="100"/>
                <w:sz w:val="19"/>
              </w:rPr>
              <w:t>2</w:t>
            </w:r>
          </w:p>
        </w:tc>
        <w:tc>
          <w:tcPr>
            <w:tcW w:w="919" w:type="dxa"/>
            <w:tcBorders>
              <w:left w:val="single" w:sz="14" w:space="0" w:color="000000"/>
              <w:right w:val="single" w:sz="14" w:space="0" w:color="000000"/>
            </w:tcBorders>
          </w:tcPr>
          <w:p>
            <w:pPr>
              <w:pStyle w:val="TableParagraph"/>
              <w:spacing w:line="216" w:lineRule="exact"/>
              <w:ind w:left="159" w:right="125"/>
              <w:rPr>
                <w:sz w:val="19"/>
              </w:rPr>
            </w:pPr>
            <w:r>
              <w:rPr>
                <w:w w:val="85"/>
                <w:sz w:val="19"/>
              </w:rPr>
              <w:t>H1</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H34</w:t>
            </w:r>
          </w:p>
        </w:tc>
        <w:tc>
          <w:tcPr>
            <w:tcW w:w="919" w:type="dxa"/>
            <w:tcBorders>
              <w:left w:val="single" w:sz="14" w:space="0" w:color="000000"/>
              <w:right w:val="single" w:sz="14" w:space="0" w:color="000000"/>
            </w:tcBorders>
          </w:tcPr>
          <w:p>
            <w:pPr>
              <w:pStyle w:val="TableParagraph"/>
              <w:spacing w:line="216" w:lineRule="exact"/>
              <w:ind w:left="10"/>
              <w:rPr>
                <w:sz w:val="19"/>
              </w:rPr>
            </w:pPr>
            <w:r>
              <w:rPr>
                <w:w w:val="100"/>
                <w:sz w:val="19"/>
              </w:rPr>
              <w:t>9</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INCOME (LOSS) BEFORE INCOME TAXES</w:t>
            </w:r>
          </w:p>
        </w:tc>
        <w:tc>
          <w:tcPr>
            <w:tcW w:w="911" w:type="dxa"/>
            <w:tcBorders>
              <w:right w:val="single" w:sz="14" w:space="0" w:color="000000"/>
            </w:tcBorders>
          </w:tcPr>
          <w:p>
            <w:pPr>
              <w:pStyle w:val="TableParagraph"/>
              <w:spacing w:line="216" w:lineRule="exact"/>
              <w:ind w:left="312"/>
              <w:jc w:val="left"/>
              <w:rPr>
                <w:b/>
                <w:sz w:val="19"/>
              </w:rPr>
            </w:pPr>
            <w:r>
              <w:rPr>
                <w:b/>
                <w:sz w:val="19"/>
              </w:rPr>
              <w:t>600</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490</w:t>
            </w:r>
          </w:p>
        </w:tc>
        <w:tc>
          <w:tcPr>
            <w:tcW w:w="919" w:type="dxa"/>
            <w:tcBorders>
              <w:left w:val="single" w:sz="14" w:space="0" w:color="000000"/>
              <w:right w:val="single" w:sz="14" w:space="0" w:color="000000"/>
            </w:tcBorders>
          </w:tcPr>
          <w:p>
            <w:pPr>
              <w:pStyle w:val="TableParagraph"/>
              <w:spacing w:line="216" w:lineRule="exact"/>
              <w:ind w:left="159" w:right="132"/>
              <w:rPr>
                <w:b/>
                <w:sz w:val="19"/>
              </w:rPr>
            </w:pPr>
            <w:r>
              <w:rPr>
                <w:b/>
                <w:w w:val="95"/>
                <w:sz w:val="19"/>
              </w:rPr>
              <w:t>V67</w:t>
            </w:r>
          </w:p>
        </w:tc>
        <w:tc>
          <w:tcPr>
            <w:tcW w:w="919" w:type="dxa"/>
            <w:tcBorders>
              <w:left w:val="single" w:sz="14" w:space="0" w:color="000000"/>
              <w:right w:val="single" w:sz="14" w:space="0" w:color="000000"/>
            </w:tcBorders>
          </w:tcPr>
          <w:p>
            <w:pPr>
              <w:pStyle w:val="TableParagraph"/>
              <w:spacing w:line="216" w:lineRule="exact"/>
              <w:ind w:left="153" w:right="133"/>
              <w:rPr>
                <w:b/>
                <w:sz w:val="19"/>
              </w:rPr>
            </w:pPr>
            <w:r>
              <w:rPr>
                <w:b/>
                <w:w w:val="95"/>
                <w:sz w:val="19"/>
              </w:rPr>
              <w:t>V147</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Income taxes</w:t>
            </w:r>
          </w:p>
        </w:tc>
        <w:tc>
          <w:tcPr>
            <w:tcW w:w="911" w:type="dxa"/>
            <w:tcBorders>
              <w:right w:val="single" w:sz="14" w:space="0" w:color="000000"/>
            </w:tcBorders>
          </w:tcPr>
          <w:p>
            <w:pPr>
              <w:pStyle w:val="TableParagraph"/>
              <w:spacing w:line="216" w:lineRule="exact"/>
              <w:ind w:left="277"/>
              <w:jc w:val="left"/>
              <w:rPr>
                <w:sz w:val="19"/>
              </w:rPr>
            </w:pPr>
            <w:r>
              <w:rPr>
                <w:w w:val="95"/>
                <w:sz w:val="19"/>
              </w:rPr>
              <w:t>H148</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H104</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H79</w:t>
            </w:r>
          </w:p>
        </w:tc>
        <w:tc>
          <w:tcPr>
            <w:tcW w:w="919" w:type="dxa"/>
            <w:tcBorders>
              <w:left w:val="single" w:sz="14" w:space="0" w:color="000000"/>
              <w:right w:val="single" w:sz="14" w:space="0" w:color="000000"/>
            </w:tcBorders>
          </w:tcPr>
          <w:p>
            <w:pPr>
              <w:pStyle w:val="TableParagraph"/>
              <w:spacing w:line="216" w:lineRule="exact"/>
              <w:ind w:left="159" w:right="132"/>
              <w:rPr>
                <w:sz w:val="19"/>
              </w:rPr>
            </w:pPr>
            <w:r>
              <w:rPr>
                <w:w w:val="90"/>
                <w:sz w:val="19"/>
              </w:rPr>
              <w:t>H51</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INCOME (LOSS) FROM CONTINUING OPERATIONS</w:t>
            </w:r>
          </w:p>
        </w:tc>
        <w:tc>
          <w:tcPr>
            <w:tcW w:w="911" w:type="dxa"/>
            <w:tcBorders>
              <w:right w:val="single" w:sz="14" w:space="0" w:color="000000"/>
            </w:tcBorders>
          </w:tcPr>
          <w:p>
            <w:pPr>
              <w:pStyle w:val="TableParagraph"/>
              <w:spacing w:line="216" w:lineRule="exact"/>
              <w:ind w:left="312"/>
              <w:jc w:val="left"/>
              <w:rPr>
                <w:b/>
                <w:sz w:val="19"/>
              </w:rPr>
            </w:pPr>
            <w:r>
              <w:rPr>
                <w:b/>
                <w:sz w:val="19"/>
              </w:rPr>
              <w:t>452</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386</w:t>
            </w:r>
          </w:p>
        </w:tc>
        <w:tc>
          <w:tcPr>
            <w:tcW w:w="919" w:type="dxa"/>
            <w:tcBorders>
              <w:left w:val="single" w:sz="14" w:space="0" w:color="000000"/>
              <w:right w:val="single" w:sz="14" w:space="0" w:color="000000"/>
            </w:tcBorders>
          </w:tcPr>
          <w:p>
            <w:pPr>
              <w:pStyle w:val="TableParagraph"/>
              <w:spacing w:line="216" w:lineRule="exact"/>
              <w:ind w:left="153" w:right="133"/>
              <w:rPr>
                <w:b/>
                <w:sz w:val="19"/>
              </w:rPr>
            </w:pPr>
            <w:r>
              <w:rPr>
                <w:b/>
                <w:w w:val="95"/>
                <w:sz w:val="19"/>
              </w:rPr>
              <w:t>V146</w:t>
            </w:r>
          </w:p>
        </w:tc>
        <w:tc>
          <w:tcPr>
            <w:tcW w:w="919" w:type="dxa"/>
            <w:tcBorders>
              <w:left w:val="single" w:sz="14" w:space="0" w:color="000000"/>
              <w:right w:val="single" w:sz="14" w:space="0" w:color="000000"/>
            </w:tcBorders>
          </w:tcPr>
          <w:p>
            <w:pPr>
              <w:pStyle w:val="TableParagraph"/>
              <w:spacing w:line="216" w:lineRule="exact"/>
              <w:ind w:left="153" w:right="133"/>
              <w:rPr>
                <w:b/>
                <w:sz w:val="19"/>
              </w:rPr>
            </w:pPr>
            <w:r>
              <w:rPr>
                <w:b/>
                <w:w w:val="95"/>
                <w:sz w:val="19"/>
              </w:rPr>
              <w:t>V198</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Discontinued operations</w:t>
            </w:r>
          </w:p>
        </w:tc>
        <w:tc>
          <w:tcPr>
            <w:tcW w:w="911" w:type="dxa"/>
            <w:tcBorders>
              <w:right w:val="single" w:sz="14" w:space="0" w:color="000000"/>
            </w:tcBorders>
          </w:tcPr>
          <w:p>
            <w:pPr/>
          </w:p>
        </w:tc>
        <w:tc>
          <w:tcPr>
            <w:tcW w:w="919" w:type="dxa"/>
            <w:tcBorders>
              <w:left w:val="single" w:sz="14" w:space="0" w:color="000000"/>
              <w:right w:val="single" w:sz="14" w:space="0" w:color="000000"/>
            </w:tcBorders>
          </w:tcPr>
          <w:p>
            <w:pPr/>
          </w:p>
        </w:tc>
        <w:tc>
          <w:tcPr>
            <w:tcW w:w="919" w:type="dxa"/>
            <w:tcBorders>
              <w:left w:val="single" w:sz="14" w:space="0" w:color="000000"/>
              <w:right w:val="single" w:sz="14" w:space="0" w:color="000000"/>
            </w:tcBorders>
          </w:tcPr>
          <w:p>
            <w:pPr/>
          </w:p>
        </w:tc>
        <w:tc>
          <w:tcPr>
            <w:tcW w:w="919" w:type="dxa"/>
            <w:tcBorders>
              <w:left w:val="single" w:sz="14" w:space="0" w:color="000000"/>
              <w:right w:val="single" w:sz="14" w:space="0" w:color="000000"/>
            </w:tcBorders>
          </w:tcPr>
          <w:p>
            <w:pP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Income (loss) from discontinued operation net of tax</w:t>
            </w:r>
          </w:p>
        </w:tc>
        <w:tc>
          <w:tcPr>
            <w:tcW w:w="911" w:type="dxa"/>
            <w:tcBorders>
              <w:right w:val="single" w:sz="14" w:space="0" w:color="000000"/>
            </w:tcBorders>
          </w:tcPr>
          <w:p>
            <w:pPr>
              <w:pStyle w:val="TableParagraph"/>
              <w:spacing w:line="216" w:lineRule="exact"/>
              <w:ind w:left="159" w:right="125"/>
              <w:rPr>
                <w:sz w:val="19"/>
              </w:rPr>
            </w:pPr>
            <w:r>
              <w:rPr>
                <w:w w:val="85"/>
                <w:sz w:val="19"/>
              </w:rPr>
              <w:t>H1</w:t>
            </w:r>
          </w:p>
        </w:tc>
        <w:tc>
          <w:tcPr>
            <w:tcW w:w="919" w:type="dxa"/>
            <w:tcBorders>
              <w:left w:val="single" w:sz="14" w:space="0" w:color="000000"/>
              <w:right w:val="single" w:sz="14" w:space="0" w:color="000000"/>
            </w:tcBorders>
          </w:tcPr>
          <w:p>
            <w:pPr>
              <w:pStyle w:val="TableParagraph"/>
              <w:spacing w:line="216" w:lineRule="exact"/>
              <w:ind w:left="159" w:right="125"/>
              <w:rPr>
                <w:sz w:val="19"/>
              </w:rPr>
            </w:pPr>
            <w:r>
              <w:rPr>
                <w:w w:val="85"/>
                <w:sz w:val="19"/>
              </w:rPr>
              <w:t>H2</w:t>
            </w:r>
          </w:p>
        </w:tc>
        <w:tc>
          <w:tcPr>
            <w:tcW w:w="919" w:type="dxa"/>
            <w:tcBorders>
              <w:left w:val="single" w:sz="14" w:space="0" w:color="000000"/>
              <w:right w:val="single" w:sz="14" w:space="0" w:color="000000"/>
            </w:tcBorders>
          </w:tcPr>
          <w:p>
            <w:pPr>
              <w:pStyle w:val="TableParagraph"/>
              <w:spacing w:line="216" w:lineRule="exact"/>
              <w:ind w:left="6"/>
              <w:rPr>
                <w:sz w:val="19"/>
              </w:rPr>
            </w:pPr>
            <w:r>
              <w:rPr>
                <w:w w:val="49"/>
                <w:sz w:val="19"/>
              </w:rPr>
              <w:t>H</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sz w:val="19"/>
              </w:rPr>
              <w:t>(*)</w:t>
            </w:r>
          </w:p>
        </w:tc>
      </w:tr>
      <w:tr>
        <w:trPr>
          <w:trHeight w:val="243" w:hRule="exact"/>
        </w:trPr>
        <w:tc>
          <w:tcPr>
            <w:tcW w:w="4562" w:type="dxa"/>
            <w:shd w:val="clear" w:color="auto" w:fill="D9D9D9"/>
          </w:tcPr>
          <w:p>
            <w:pPr>
              <w:pStyle w:val="TableParagraph"/>
              <w:spacing w:line="216" w:lineRule="exact"/>
              <w:ind w:left="34"/>
              <w:jc w:val="left"/>
              <w:rPr>
                <w:b/>
                <w:sz w:val="19"/>
              </w:rPr>
            </w:pPr>
            <w:r>
              <w:rPr>
                <w:b/>
                <w:sz w:val="19"/>
              </w:rPr>
              <w:t>NET INCOME (LOSS) FOR THE YEAR</w:t>
            </w:r>
          </w:p>
        </w:tc>
        <w:tc>
          <w:tcPr>
            <w:tcW w:w="911" w:type="dxa"/>
            <w:tcBorders>
              <w:right w:val="single" w:sz="14" w:space="0" w:color="000000"/>
            </w:tcBorders>
          </w:tcPr>
          <w:p>
            <w:pPr>
              <w:pStyle w:val="TableParagraph"/>
              <w:spacing w:line="216" w:lineRule="exact"/>
              <w:ind w:left="312"/>
              <w:jc w:val="left"/>
              <w:rPr>
                <w:b/>
                <w:sz w:val="19"/>
              </w:rPr>
            </w:pPr>
            <w:r>
              <w:rPr>
                <w:b/>
                <w:sz w:val="19"/>
              </w:rPr>
              <w:t>451</w:t>
            </w:r>
          </w:p>
        </w:tc>
        <w:tc>
          <w:tcPr>
            <w:tcW w:w="919" w:type="dxa"/>
            <w:tcBorders>
              <w:left w:val="single" w:sz="14" w:space="0" w:color="000000"/>
              <w:right w:val="single" w:sz="14" w:space="0" w:color="000000"/>
            </w:tcBorders>
          </w:tcPr>
          <w:p>
            <w:pPr>
              <w:pStyle w:val="TableParagraph"/>
              <w:spacing w:line="216" w:lineRule="exact"/>
              <w:ind w:left="159" w:right="129"/>
              <w:rPr>
                <w:b/>
                <w:sz w:val="19"/>
              </w:rPr>
            </w:pPr>
            <w:r>
              <w:rPr>
                <w:b/>
                <w:sz w:val="19"/>
              </w:rPr>
              <w:t>384</w:t>
            </w:r>
          </w:p>
        </w:tc>
        <w:tc>
          <w:tcPr>
            <w:tcW w:w="919" w:type="dxa"/>
            <w:tcBorders>
              <w:left w:val="single" w:sz="14" w:space="0" w:color="000000"/>
              <w:right w:val="single" w:sz="14" w:space="0" w:color="000000"/>
            </w:tcBorders>
          </w:tcPr>
          <w:p>
            <w:pPr>
              <w:pStyle w:val="TableParagraph"/>
              <w:spacing w:line="216" w:lineRule="exact"/>
              <w:ind w:left="153" w:right="133"/>
              <w:rPr>
                <w:b/>
                <w:sz w:val="19"/>
              </w:rPr>
            </w:pPr>
            <w:r>
              <w:rPr>
                <w:b/>
                <w:w w:val="95"/>
                <w:sz w:val="19"/>
              </w:rPr>
              <w:t>V146</w:t>
            </w:r>
          </w:p>
        </w:tc>
        <w:tc>
          <w:tcPr>
            <w:tcW w:w="919" w:type="dxa"/>
            <w:tcBorders>
              <w:left w:val="single" w:sz="14" w:space="0" w:color="000000"/>
              <w:right w:val="single" w:sz="14" w:space="0" w:color="000000"/>
            </w:tcBorders>
          </w:tcPr>
          <w:p>
            <w:pPr>
              <w:pStyle w:val="TableParagraph"/>
              <w:spacing w:line="216" w:lineRule="exact"/>
              <w:ind w:left="153" w:right="133"/>
              <w:rPr>
                <w:b/>
                <w:sz w:val="19"/>
              </w:rPr>
            </w:pPr>
            <w:r>
              <w:rPr>
                <w:b/>
                <w:w w:val="95"/>
                <w:sz w:val="19"/>
              </w:rPr>
              <w:t>V199</w:t>
            </w:r>
          </w:p>
        </w:tc>
      </w:tr>
      <w:tr>
        <w:trPr>
          <w:trHeight w:val="243" w:hRule="exact"/>
        </w:trPr>
        <w:tc>
          <w:tcPr>
            <w:tcW w:w="4562" w:type="dxa"/>
            <w:shd w:val="clear" w:color="auto" w:fill="D9D9D9"/>
          </w:tcPr>
          <w:p>
            <w:pPr>
              <w:pStyle w:val="TableParagraph"/>
              <w:spacing w:line="216" w:lineRule="exact"/>
              <w:ind w:left="34"/>
              <w:jc w:val="left"/>
              <w:rPr>
                <w:sz w:val="19"/>
              </w:rPr>
            </w:pPr>
            <w:r>
              <w:rPr>
                <w:sz w:val="19"/>
              </w:rPr>
              <w:t>Attribuable to:</w:t>
            </w:r>
          </w:p>
        </w:tc>
        <w:tc>
          <w:tcPr>
            <w:tcW w:w="911" w:type="dxa"/>
            <w:tcBorders>
              <w:right w:val="single" w:sz="14" w:space="0" w:color="000000"/>
            </w:tcBorders>
          </w:tcPr>
          <w:p>
            <w:pPr/>
          </w:p>
        </w:tc>
        <w:tc>
          <w:tcPr>
            <w:tcW w:w="919" w:type="dxa"/>
            <w:tcBorders>
              <w:left w:val="single" w:sz="14" w:space="0" w:color="000000"/>
              <w:right w:val="single" w:sz="14" w:space="0" w:color="000000"/>
            </w:tcBorders>
          </w:tcPr>
          <w:p>
            <w:pPr/>
          </w:p>
        </w:tc>
        <w:tc>
          <w:tcPr>
            <w:tcW w:w="919" w:type="dxa"/>
            <w:tcBorders>
              <w:left w:val="single" w:sz="14" w:space="0" w:color="000000"/>
              <w:right w:val="single" w:sz="14" w:space="0" w:color="000000"/>
            </w:tcBorders>
          </w:tcPr>
          <w:p>
            <w:pPr/>
          </w:p>
        </w:tc>
        <w:tc>
          <w:tcPr>
            <w:tcW w:w="919" w:type="dxa"/>
            <w:tcBorders>
              <w:left w:val="single" w:sz="14" w:space="0" w:color="000000"/>
              <w:right w:val="single" w:sz="14" w:space="0" w:color="000000"/>
            </w:tcBorders>
          </w:tcPr>
          <w:p>
            <w:pPr/>
          </w:p>
        </w:tc>
      </w:tr>
      <w:tr>
        <w:trPr>
          <w:trHeight w:val="243" w:hRule="exact"/>
        </w:trPr>
        <w:tc>
          <w:tcPr>
            <w:tcW w:w="4562" w:type="dxa"/>
            <w:shd w:val="clear" w:color="auto" w:fill="D9D9D9"/>
          </w:tcPr>
          <w:p>
            <w:pPr>
              <w:pStyle w:val="TableParagraph"/>
              <w:spacing w:line="216" w:lineRule="exact"/>
              <w:ind w:left="242"/>
              <w:jc w:val="left"/>
              <w:rPr>
                <w:sz w:val="19"/>
              </w:rPr>
            </w:pPr>
            <w:r>
              <w:rPr>
                <w:sz w:val="19"/>
              </w:rPr>
              <w:t>* Owners of the company</w:t>
            </w:r>
          </w:p>
        </w:tc>
        <w:tc>
          <w:tcPr>
            <w:tcW w:w="911" w:type="dxa"/>
            <w:tcBorders>
              <w:right w:val="single" w:sz="14" w:space="0" w:color="000000"/>
            </w:tcBorders>
          </w:tcPr>
          <w:p>
            <w:pPr>
              <w:pStyle w:val="TableParagraph"/>
              <w:spacing w:line="216" w:lineRule="exact"/>
              <w:ind w:left="312"/>
              <w:jc w:val="left"/>
              <w:rPr>
                <w:sz w:val="19"/>
              </w:rPr>
            </w:pPr>
            <w:r>
              <w:rPr>
                <w:sz w:val="19"/>
              </w:rPr>
              <w:t>427</w:t>
            </w:r>
          </w:p>
        </w:tc>
        <w:tc>
          <w:tcPr>
            <w:tcW w:w="919" w:type="dxa"/>
            <w:tcBorders>
              <w:left w:val="single" w:sz="14" w:space="0" w:color="000000"/>
              <w:right w:val="single" w:sz="14" w:space="0" w:color="000000"/>
            </w:tcBorders>
          </w:tcPr>
          <w:p>
            <w:pPr>
              <w:pStyle w:val="TableParagraph"/>
              <w:spacing w:line="216" w:lineRule="exact"/>
              <w:ind w:left="159" w:right="129"/>
              <w:rPr>
                <w:sz w:val="19"/>
              </w:rPr>
            </w:pPr>
            <w:r>
              <w:rPr>
                <w:sz w:val="19"/>
              </w:rPr>
              <w:t>365</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H153</w:t>
            </w:r>
          </w:p>
        </w:tc>
        <w:tc>
          <w:tcPr>
            <w:tcW w:w="919" w:type="dxa"/>
            <w:tcBorders>
              <w:left w:val="single" w:sz="14" w:space="0" w:color="000000"/>
              <w:right w:val="single" w:sz="14" w:space="0" w:color="000000"/>
            </w:tcBorders>
          </w:tcPr>
          <w:p>
            <w:pPr>
              <w:pStyle w:val="TableParagraph"/>
              <w:spacing w:line="216" w:lineRule="exact"/>
              <w:ind w:left="153" w:right="133"/>
              <w:rPr>
                <w:sz w:val="19"/>
              </w:rPr>
            </w:pPr>
            <w:r>
              <w:rPr>
                <w:w w:val="95"/>
                <w:sz w:val="19"/>
              </w:rPr>
              <w:t>H207</w:t>
            </w:r>
          </w:p>
        </w:tc>
      </w:tr>
      <w:tr>
        <w:trPr>
          <w:trHeight w:val="243" w:hRule="exact"/>
        </w:trPr>
        <w:tc>
          <w:tcPr>
            <w:tcW w:w="4562" w:type="dxa"/>
            <w:shd w:val="clear" w:color="auto" w:fill="D9D9D9"/>
          </w:tcPr>
          <w:p>
            <w:pPr>
              <w:pStyle w:val="TableParagraph"/>
              <w:spacing w:line="216" w:lineRule="exact"/>
              <w:ind w:left="242"/>
              <w:jc w:val="left"/>
              <w:rPr>
                <w:sz w:val="19"/>
              </w:rPr>
            </w:pPr>
            <w:r>
              <w:rPr>
                <w:sz w:val="19"/>
              </w:rPr>
              <w:t>* Minority interests</w:t>
            </w:r>
          </w:p>
        </w:tc>
        <w:tc>
          <w:tcPr>
            <w:tcW w:w="911" w:type="dxa"/>
            <w:tcBorders>
              <w:right w:val="single" w:sz="14" w:space="0" w:color="000000"/>
            </w:tcBorders>
          </w:tcPr>
          <w:p>
            <w:pPr>
              <w:pStyle w:val="TableParagraph"/>
              <w:spacing w:line="216" w:lineRule="exact"/>
              <w:ind w:left="136" w:right="133"/>
              <w:rPr>
                <w:sz w:val="19"/>
              </w:rPr>
            </w:pPr>
            <w:r>
              <w:rPr>
                <w:sz w:val="19"/>
              </w:rPr>
              <w:t>24</w:t>
            </w:r>
          </w:p>
        </w:tc>
        <w:tc>
          <w:tcPr>
            <w:tcW w:w="919" w:type="dxa"/>
            <w:tcBorders>
              <w:left w:val="single" w:sz="14" w:space="0" w:color="000000"/>
              <w:right w:val="single" w:sz="14" w:space="0" w:color="000000"/>
            </w:tcBorders>
          </w:tcPr>
          <w:p>
            <w:pPr>
              <w:pStyle w:val="TableParagraph"/>
              <w:spacing w:line="216" w:lineRule="exact"/>
              <w:ind w:left="136" w:right="133"/>
              <w:rPr>
                <w:sz w:val="19"/>
              </w:rPr>
            </w:pPr>
            <w:r>
              <w:rPr>
                <w:sz w:val="19"/>
              </w:rPr>
              <w:t>19</w:t>
            </w:r>
          </w:p>
        </w:tc>
        <w:tc>
          <w:tcPr>
            <w:tcW w:w="919" w:type="dxa"/>
            <w:tcBorders>
              <w:left w:val="single" w:sz="14" w:space="0" w:color="000000"/>
              <w:right w:val="single" w:sz="14" w:space="0" w:color="000000"/>
            </w:tcBorders>
          </w:tcPr>
          <w:p>
            <w:pPr>
              <w:pStyle w:val="TableParagraph"/>
              <w:spacing w:line="216" w:lineRule="exact"/>
              <w:ind w:left="10"/>
              <w:rPr>
                <w:sz w:val="19"/>
              </w:rPr>
            </w:pPr>
            <w:r>
              <w:rPr>
                <w:w w:val="100"/>
                <w:sz w:val="19"/>
              </w:rPr>
              <w:t>7</w:t>
            </w:r>
          </w:p>
        </w:tc>
        <w:tc>
          <w:tcPr>
            <w:tcW w:w="919" w:type="dxa"/>
            <w:tcBorders>
              <w:left w:val="single" w:sz="14" w:space="0" w:color="000000"/>
              <w:right w:val="single" w:sz="14" w:space="0" w:color="000000"/>
            </w:tcBorders>
          </w:tcPr>
          <w:p>
            <w:pPr>
              <w:pStyle w:val="TableParagraph"/>
              <w:spacing w:line="216" w:lineRule="exact"/>
              <w:ind w:left="10"/>
              <w:rPr>
                <w:sz w:val="19"/>
              </w:rPr>
            </w:pPr>
            <w:r>
              <w:rPr>
                <w:w w:val="100"/>
                <w:sz w:val="19"/>
              </w:rPr>
              <w:t>8</w:t>
            </w:r>
          </w:p>
        </w:tc>
      </w:tr>
      <w:tr>
        <w:trPr>
          <w:trHeight w:val="252" w:hRule="exact"/>
        </w:trPr>
        <w:tc>
          <w:tcPr>
            <w:tcW w:w="4562" w:type="dxa"/>
            <w:tcBorders>
              <w:bottom w:val="single" w:sz="14" w:space="0" w:color="000000"/>
            </w:tcBorders>
            <w:shd w:val="clear" w:color="auto" w:fill="D9D9D9"/>
          </w:tcPr>
          <w:p>
            <w:pPr>
              <w:pStyle w:val="TableParagraph"/>
              <w:spacing w:line="216" w:lineRule="exact"/>
              <w:ind w:left="34"/>
              <w:jc w:val="left"/>
              <w:rPr>
                <w:b/>
                <w:sz w:val="19"/>
              </w:rPr>
            </w:pPr>
            <w:r>
              <w:rPr>
                <w:b/>
                <w:sz w:val="19"/>
              </w:rPr>
              <w:t>Earnings (loss) per share:</w:t>
            </w:r>
          </w:p>
        </w:tc>
        <w:tc>
          <w:tcPr>
            <w:tcW w:w="911" w:type="dxa"/>
            <w:tcBorders>
              <w:bottom w:val="single" w:sz="14" w:space="0" w:color="000000"/>
              <w:right w:val="single" w:sz="14" w:space="0" w:color="000000"/>
            </w:tcBorders>
          </w:tcPr>
          <w:p>
            <w:pPr/>
          </w:p>
        </w:tc>
        <w:tc>
          <w:tcPr>
            <w:tcW w:w="919" w:type="dxa"/>
            <w:tcBorders>
              <w:left w:val="single" w:sz="14" w:space="0" w:color="000000"/>
              <w:bottom w:val="single" w:sz="14" w:space="0" w:color="000000"/>
              <w:right w:val="single" w:sz="14" w:space="0" w:color="000000"/>
            </w:tcBorders>
          </w:tcPr>
          <w:p>
            <w:pPr/>
          </w:p>
        </w:tc>
        <w:tc>
          <w:tcPr>
            <w:tcW w:w="919" w:type="dxa"/>
            <w:tcBorders>
              <w:left w:val="single" w:sz="14" w:space="0" w:color="000000"/>
              <w:bottom w:val="single" w:sz="14" w:space="0" w:color="000000"/>
              <w:right w:val="single" w:sz="14" w:space="0" w:color="000000"/>
            </w:tcBorders>
          </w:tcPr>
          <w:p>
            <w:pPr/>
          </w:p>
        </w:tc>
        <w:tc>
          <w:tcPr>
            <w:tcW w:w="919" w:type="dxa"/>
            <w:tcBorders>
              <w:left w:val="single" w:sz="14" w:space="0" w:color="000000"/>
              <w:bottom w:val="single" w:sz="14" w:space="0" w:color="000000"/>
              <w:right w:val="single" w:sz="14" w:space="0" w:color="000000"/>
            </w:tcBorders>
          </w:tcPr>
          <w:p>
            <w:pPr/>
          </w:p>
        </w:tc>
      </w:tr>
      <w:tr>
        <w:trPr>
          <w:trHeight w:val="252" w:hRule="exact"/>
        </w:trPr>
        <w:tc>
          <w:tcPr>
            <w:tcW w:w="4562" w:type="dxa"/>
            <w:tcBorders>
              <w:top w:val="single" w:sz="14" w:space="0" w:color="000000"/>
            </w:tcBorders>
            <w:shd w:val="clear" w:color="auto" w:fill="D9D9D9"/>
          </w:tcPr>
          <w:p>
            <w:pPr>
              <w:pStyle w:val="TableParagraph"/>
              <w:spacing w:line="216" w:lineRule="exact"/>
              <w:ind w:left="242"/>
              <w:jc w:val="left"/>
              <w:rPr>
                <w:sz w:val="19"/>
              </w:rPr>
            </w:pPr>
            <w:r>
              <w:rPr>
                <w:sz w:val="19"/>
              </w:rPr>
              <w:t>* Basic earnings (loss) per share (in euros)</w:t>
            </w:r>
          </w:p>
        </w:tc>
        <w:tc>
          <w:tcPr>
            <w:tcW w:w="911" w:type="dxa"/>
            <w:tcBorders>
              <w:top w:val="single" w:sz="14" w:space="0" w:color="000000"/>
              <w:right w:val="single" w:sz="14" w:space="0" w:color="000000"/>
            </w:tcBorders>
          </w:tcPr>
          <w:p>
            <w:pPr>
              <w:pStyle w:val="TableParagraph"/>
              <w:spacing w:line="216" w:lineRule="exact"/>
              <w:ind w:left="277"/>
              <w:jc w:val="left"/>
              <w:rPr>
                <w:sz w:val="19"/>
              </w:rPr>
            </w:pPr>
            <w:r>
              <w:rPr>
                <w:sz w:val="19"/>
              </w:rPr>
              <w:t>5.68</w:t>
            </w:r>
          </w:p>
        </w:tc>
        <w:tc>
          <w:tcPr>
            <w:tcW w:w="919" w:type="dxa"/>
            <w:tcBorders>
              <w:top w:val="single" w:sz="14" w:space="0" w:color="000000"/>
              <w:left w:val="single" w:sz="14" w:space="0" w:color="000000"/>
              <w:right w:val="single" w:sz="14" w:space="0" w:color="000000"/>
            </w:tcBorders>
          </w:tcPr>
          <w:p>
            <w:pPr>
              <w:pStyle w:val="TableParagraph"/>
              <w:spacing w:line="216" w:lineRule="exact"/>
              <w:ind w:left="142" w:right="133"/>
              <w:rPr>
                <w:sz w:val="19"/>
              </w:rPr>
            </w:pPr>
            <w:r>
              <w:rPr>
                <w:sz w:val="19"/>
              </w:rPr>
              <w:t>4.86</w:t>
            </w:r>
          </w:p>
        </w:tc>
        <w:tc>
          <w:tcPr>
            <w:tcW w:w="919" w:type="dxa"/>
            <w:tcBorders>
              <w:top w:val="single" w:sz="14" w:space="0" w:color="000000"/>
              <w:left w:val="single" w:sz="14" w:space="0" w:color="000000"/>
              <w:right w:val="single" w:sz="14" w:space="0" w:color="000000"/>
            </w:tcBorders>
          </w:tcPr>
          <w:p>
            <w:pPr>
              <w:pStyle w:val="TableParagraph"/>
              <w:spacing w:line="216" w:lineRule="exact"/>
              <w:ind w:left="159" w:right="126"/>
              <w:rPr>
                <w:sz w:val="19"/>
              </w:rPr>
            </w:pPr>
            <w:r>
              <w:rPr>
                <w:w w:val="95"/>
                <w:sz w:val="19"/>
              </w:rPr>
              <w:t>H2.04</w:t>
            </w:r>
          </w:p>
        </w:tc>
        <w:tc>
          <w:tcPr>
            <w:tcW w:w="919" w:type="dxa"/>
            <w:tcBorders>
              <w:top w:val="single" w:sz="14" w:space="0" w:color="000000"/>
              <w:left w:val="single" w:sz="14" w:space="0" w:color="000000"/>
              <w:right w:val="single" w:sz="14" w:space="0" w:color="000000"/>
            </w:tcBorders>
          </w:tcPr>
          <w:p>
            <w:pPr>
              <w:pStyle w:val="TableParagraph"/>
              <w:spacing w:line="216" w:lineRule="exact"/>
              <w:ind w:left="159" w:right="126"/>
              <w:rPr>
                <w:sz w:val="19"/>
              </w:rPr>
            </w:pPr>
            <w:r>
              <w:rPr>
                <w:w w:val="95"/>
                <w:sz w:val="19"/>
              </w:rPr>
              <w:t>H2.73</w:t>
            </w:r>
          </w:p>
        </w:tc>
      </w:tr>
      <w:tr>
        <w:trPr>
          <w:trHeight w:val="252" w:hRule="exact"/>
        </w:trPr>
        <w:tc>
          <w:tcPr>
            <w:tcW w:w="4562" w:type="dxa"/>
            <w:tcBorders>
              <w:bottom w:val="single" w:sz="14" w:space="0" w:color="000000"/>
            </w:tcBorders>
            <w:shd w:val="clear" w:color="auto" w:fill="D9D9D9"/>
          </w:tcPr>
          <w:p>
            <w:pPr>
              <w:pStyle w:val="TableParagraph"/>
              <w:spacing w:line="216" w:lineRule="exact"/>
              <w:ind w:left="242"/>
              <w:jc w:val="left"/>
              <w:rPr>
                <w:sz w:val="19"/>
              </w:rPr>
            </w:pPr>
            <w:r>
              <w:rPr>
                <w:sz w:val="19"/>
              </w:rPr>
              <w:t>* Diluted earnings (loss) per share (in euros)</w:t>
            </w:r>
          </w:p>
        </w:tc>
        <w:tc>
          <w:tcPr>
            <w:tcW w:w="911" w:type="dxa"/>
            <w:tcBorders>
              <w:bottom w:val="single" w:sz="14" w:space="0" w:color="000000"/>
              <w:right w:val="single" w:sz="14" w:space="0" w:color="000000"/>
            </w:tcBorders>
          </w:tcPr>
          <w:p>
            <w:pPr>
              <w:pStyle w:val="TableParagraph"/>
              <w:spacing w:line="216" w:lineRule="exact"/>
              <w:ind w:left="277"/>
              <w:jc w:val="left"/>
              <w:rPr>
                <w:sz w:val="19"/>
              </w:rPr>
            </w:pPr>
            <w:r>
              <w:rPr>
                <w:sz w:val="19"/>
              </w:rPr>
              <w:t>5.67</w:t>
            </w:r>
          </w:p>
        </w:tc>
        <w:tc>
          <w:tcPr>
            <w:tcW w:w="919" w:type="dxa"/>
            <w:tcBorders>
              <w:left w:val="single" w:sz="14" w:space="0" w:color="000000"/>
              <w:bottom w:val="single" w:sz="14" w:space="0" w:color="000000"/>
              <w:right w:val="single" w:sz="14" w:space="0" w:color="000000"/>
            </w:tcBorders>
          </w:tcPr>
          <w:p>
            <w:pPr>
              <w:pStyle w:val="TableParagraph"/>
              <w:spacing w:line="216" w:lineRule="exact"/>
              <w:ind w:left="142" w:right="133"/>
              <w:rPr>
                <w:sz w:val="19"/>
              </w:rPr>
            </w:pPr>
            <w:r>
              <w:rPr>
                <w:sz w:val="19"/>
              </w:rPr>
              <w:t>4.86</w:t>
            </w:r>
          </w:p>
        </w:tc>
        <w:tc>
          <w:tcPr>
            <w:tcW w:w="919" w:type="dxa"/>
            <w:tcBorders>
              <w:left w:val="single" w:sz="14" w:space="0" w:color="000000"/>
              <w:bottom w:val="single" w:sz="14" w:space="0" w:color="000000"/>
              <w:right w:val="single" w:sz="14" w:space="0" w:color="000000"/>
            </w:tcBorders>
          </w:tcPr>
          <w:p>
            <w:pPr>
              <w:pStyle w:val="TableParagraph"/>
              <w:spacing w:line="216" w:lineRule="exact"/>
              <w:ind w:left="159" w:right="126"/>
              <w:rPr>
                <w:sz w:val="19"/>
              </w:rPr>
            </w:pPr>
            <w:r>
              <w:rPr>
                <w:w w:val="95"/>
                <w:sz w:val="19"/>
              </w:rPr>
              <w:t>H2.04</w:t>
            </w:r>
          </w:p>
        </w:tc>
        <w:tc>
          <w:tcPr>
            <w:tcW w:w="919" w:type="dxa"/>
            <w:tcBorders>
              <w:left w:val="single" w:sz="14" w:space="0" w:color="000000"/>
              <w:bottom w:val="single" w:sz="14" w:space="0" w:color="000000"/>
              <w:right w:val="single" w:sz="14" w:space="0" w:color="000000"/>
            </w:tcBorders>
          </w:tcPr>
          <w:p>
            <w:pPr>
              <w:pStyle w:val="TableParagraph"/>
              <w:spacing w:line="216" w:lineRule="exact"/>
              <w:ind w:left="159" w:right="126"/>
              <w:rPr>
                <w:sz w:val="19"/>
              </w:rPr>
            </w:pPr>
            <w:r>
              <w:rPr>
                <w:w w:val="95"/>
                <w:sz w:val="19"/>
              </w:rPr>
              <w:t>H2.73</w:t>
            </w:r>
          </w:p>
        </w:tc>
      </w:tr>
      <w:tr>
        <w:trPr>
          <w:trHeight w:val="252" w:hRule="exact"/>
        </w:trPr>
        <w:tc>
          <w:tcPr>
            <w:tcW w:w="4562" w:type="dxa"/>
            <w:tcBorders>
              <w:top w:val="single" w:sz="14" w:space="0" w:color="000000"/>
            </w:tcBorders>
            <w:shd w:val="clear" w:color="auto" w:fill="D9D9D9"/>
          </w:tcPr>
          <w:p>
            <w:pPr>
              <w:pStyle w:val="TableParagraph"/>
              <w:spacing w:line="216" w:lineRule="exact"/>
              <w:ind w:left="242"/>
              <w:jc w:val="left"/>
              <w:rPr>
                <w:b/>
                <w:sz w:val="19"/>
              </w:rPr>
            </w:pPr>
            <w:r>
              <w:rPr>
                <w:b/>
                <w:sz w:val="19"/>
              </w:rPr>
              <w:t>Earnings (loss) per share from continuing operations:</w:t>
            </w:r>
          </w:p>
        </w:tc>
        <w:tc>
          <w:tcPr>
            <w:tcW w:w="911" w:type="dxa"/>
            <w:tcBorders>
              <w:top w:val="single" w:sz="14" w:space="0" w:color="000000"/>
            </w:tcBorders>
          </w:tcPr>
          <w:p>
            <w:pPr/>
          </w:p>
        </w:tc>
        <w:tc>
          <w:tcPr>
            <w:tcW w:w="919" w:type="dxa"/>
            <w:tcBorders>
              <w:top w:val="single" w:sz="14" w:space="0" w:color="000000"/>
            </w:tcBorders>
          </w:tcPr>
          <w:p>
            <w:pPr/>
          </w:p>
        </w:tc>
        <w:tc>
          <w:tcPr>
            <w:tcW w:w="919" w:type="dxa"/>
            <w:tcBorders>
              <w:top w:val="single" w:sz="14" w:space="0" w:color="000000"/>
            </w:tcBorders>
          </w:tcPr>
          <w:p>
            <w:pPr/>
          </w:p>
        </w:tc>
        <w:tc>
          <w:tcPr>
            <w:tcW w:w="919" w:type="dxa"/>
            <w:tcBorders>
              <w:top w:val="single" w:sz="14" w:space="0" w:color="000000"/>
            </w:tcBorders>
          </w:tcPr>
          <w:p>
            <w:pPr/>
          </w:p>
        </w:tc>
      </w:tr>
      <w:tr>
        <w:trPr>
          <w:trHeight w:val="243" w:hRule="exact"/>
        </w:trPr>
        <w:tc>
          <w:tcPr>
            <w:tcW w:w="4562" w:type="dxa"/>
            <w:shd w:val="clear" w:color="auto" w:fill="D9D9D9"/>
          </w:tcPr>
          <w:p>
            <w:pPr>
              <w:pStyle w:val="TableParagraph"/>
              <w:spacing w:line="216" w:lineRule="exact"/>
              <w:ind w:left="242"/>
              <w:jc w:val="left"/>
              <w:rPr>
                <w:sz w:val="19"/>
              </w:rPr>
            </w:pPr>
            <w:r>
              <w:rPr>
                <w:sz w:val="19"/>
              </w:rPr>
              <w:t>* Basic earnings (loss) per share (in euros)</w:t>
            </w:r>
          </w:p>
        </w:tc>
        <w:tc>
          <w:tcPr>
            <w:tcW w:w="911" w:type="dxa"/>
          </w:tcPr>
          <w:p>
            <w:pPr>
              <w:pStyle w:val="TableParagraph"/>
              <w:spacing w:line="216" w:lineRule="exact"/>
              <w:ind w:left="310" w:right="302"/>
              <w:rPr>
                <w:sz w:val="19"/>
              </w:rPr>
            </w:pPr>
            <w:r>
              <w:rPr>
                <w:sz w:val="19"/>
              </w:rPr>
              <w:t>5.7</w:t>
            </w:r>
          </w:p>
        </w:tc>
        <w:tc>
          <w:tcPr>
            <w:tcW w:w="919" w:type="dxa"/>
          </w:tcPr>
          <w:p>
            <w:pPr>
              <w:pStyle w:val="TableParagraph"/>
              <w:spacing w:line="216" w:lineRule="exact"/>
              <w:ind w:left="207" w:right="198"/>
              <w:rPr>
                <w:sz w:val="19"/>
              </w:rPr>
            </w:pPr>
            <w:r>
              <w:rPr>
                <w:sz w:val="19"/>
              </w:rPr>
              <w:t>4.89</w:t>
            </w:r>
          </w:p>
        </w:tc>
        <w:tc>
          <w:tcPr>
            <w:tcW w:w="919" w:type="dxa"/>
          </w:tcPr>
          <w:p>
            <w:pPr>
              <w:pStyle w:val="TableParagraph"/>
              <w:spacing w:line="216" w:lineRule="exact"/>
              <w:ind w:left="231" w:right="198"/>
              <w:rPr>
                <w:sz w:val="19"/>
              </w:rPr>
            </w:pPr>
            <w:r>
              <w:rPr>
                <w:w w:val="95"/>
                <w:sz w:val="19"/>
              </w:rPr>
              <w:t>H2.04</w:t>
            </w:r>
          </w:p>
        </w:tc>
        <w:tc>
          <w:tcPr>
            <w:tcW w:w="919" w:type="dxa"/>
          </w:tcPr>
          <w:p>
            <w:pPr>
              <w:pStyle w:val="TableParagraph"/>
              <w:spacing w:line="216" w:lineRule="exact"/>
              <w:ind w:left="231" w:right="198"/>
              <w:rPr>
                <w:sz w:val="19"/>
              </w:rPr>
            </w:pPr>
            <w:r>
              <w:rPr>
                <w:w w:val="95"/>
                <w:sz w:val="19"/>
              </w:rPr>
              <w:t>H2.73</w:t>
            </w:r>
          </w:p>
        </w:tc>
      </w:tr>
      <w:tr>
        <w:trPr>
          <w:trHeight w:val="243" w:hRule="exact"/>
        </w:trPr>
        <w:tc>
          <w:tcPr>
            <w:tcW w:w="4562" w:type="dxa"/>
            <w:shd w:val="clear" w:color="auto" w:fill="D9D9D9"/>
          </w:tcPr>
          <w:p>
            <w:pPr>
              <w:pStyle w:val="TableParagraph"/>
              <w:spacing w:line="216" w:lineRule="exact"/>
              <w:ind w:left="242"/>
              <w:jc w:val="left"/>
              <w:rPr>
                <w:sz w:val="19"/>
              </w:rPr>
            </w:pPr>
            <w:r>
              <w:rPr>
                <w:sz w:val="19"/>
              </w:rPr>
              <w:t>* Diluted earnings (loss) per share (in euros)</w:t>
            </w:r>
          </w:p>
        </w:tc>
        <w:tc>
          <w:tcPr>
            <w:tcW w:w="911" w:type="dxa"/>
          </w:tcPr>
          <w:p>
            <w:pPr>
              <w:pStyle w:val="TableParagraph"/>
              <w:spacing w:line="216" w:lineRule="exact"/>
              <w:ind w:left="277"/>
              <w:jc w:val="left"/>
              <w:rPr>
                <w:sz w:val="19"/>
              </w:rPr>
            </w:pPr>
            <w:r>
              <w:rPr>
                <w:sz w:val="19"/>
              </w:rPr>
              <w:t>5.69</w:t>
            </w:r>
          </w:p>
        </w:tc>
        <w:tc>
          <w:tcPr>
            <w:tcW w:w="919" w:type="dxa"/>
          </w:tcPr>
          <w:p>
            <w:pPr>
              <w:pStyle w:val="TableParagraph"/>
              <w:spacing w:line="216" w:lineRule="exact"/>
              <w:ind w:left="207" w:right="198"/>
              <w:rPr>
                <w:sz w:val="19"/>
              </w:rPr>
            </w:pPr>
            <w:r>
              <w:rPr>
                <w:sz w:val="19"/>
              </w:rPr>
              <w:t>4.89</w:t>
            </w:r>
          </w:p>
        </w:tc>
        <w:tc>
          <w:tcPr>
            <w:tcW w:w="919" w:type="dxa"/>
          </w:tcPr>
          <w:p>
            <w:pPr>
              <w:pStyle w:val="TableParagraph"/>
              <w:spacing w:line="216" w:lineRule="exact"/>
              <w:ind w:left="231" w:right="198"/>
              <w:rPr>
                <w:sz w:val="19"/>
              </w:rPr>
            </w:pPr>
            <w:r>
              <w:rPr>
                <w:w w:val="95"/>
                <w:sz w:val="19"/>
              </w:rPr>
              <w:t>H2.04</w:t>
            </w:r>
          </w:p>
        </w:tc>
        <w:tc>
          <w:tcPr>
            <w:tcW w:w="919" w:type="dxa"/>
          </w:tcPr>
          <w:p>
            <w:pPr>
              <w:pStyle w:val="TableParagraph"/>
              <w:spacing w:line="216" w:lineRule="exact"/>
              <w:ind w:left="231" w:right="198"/>
              <w:rPr>
                <w:sz w:val="19"/>
              </w:rPr>
            </w:pPr>
            <w:r>
              <w:rPr>
                <w:w w:val="95"/>
                <w:sz w:val="19"/>
              </w:rPr>
              <w:t>H2.73</w:t>
            </w:r>
          </w:p>
        </w:tc>
      </w:tr>
    </w:tbl>
    <w:p>
      <w:pPr>
        <w:spacing w:after="0" w:line="216" w:lineRule="exact"/>
        <w:rPr>
          <w:sz w:val="19"/>
        </w:rPr>
        <w:sectPr>
          <w:footerReference w:type="default" r:id="rId191"/>
          <w:pgSz w:w="11910" w:h="16840"/>
          <w:pgMar w:footer="724" w:header="755" w:top="960" w:bottom="920" w:left="1600" w:right="1580"/>
          <w:pgNumType w:start="82"/>
        </w:sectPr>
      </w:pPr>
    </w:p>
    <w:p>
      <w:pPr>
        <w:pStyle w:val="BodyText"/>
        <w:rPr>
          <w:b/>
          <w:sz w:val="20"/>
        </w:rPr>
      </w:pPr>
    </w:p>
    <w:p>
      <w:pPr>
        <w:pStyle w:val="BodyText"/>
        <w:spacing w:before="10"/>
        <w:rPr>
          <w:b/>
          <w:sz w:val="18"/>
        </w:rPr>
      </w:pPr>
    </w:p>
    <w:p>
      <w:pPr>
        <w:spacing w:before="0"/>
        <w:ind w:left="110" w:right="0" w:firstLine="0"/>
        <w:jc w:val="left"/>
        <w:rPr>
          <w:b/>
          <w:sz w:val="24"/>
        </w:rPr>
      </w:pPr>
      <w:r>
        <w:rPr/>
        <w:pict>
          <v:group style="position:absolute;margin-left:376.243469pt;margin-top:38.709549pt;width:125.95pt;height:493.15pt;mso-position-horizontal-relative:page;mso-position-vertical-relative:paragraph;z-index:-240880" coordorigin="7525,774" coordsize="2519,9863">
            <v:line style="position:absolute" from="7534,784" to="7534,1087" stroked="true" strokeweight=".94691pt" strokecolor="#ffffff"/>
            <v:rect style="position:absolute;left:7544;top:784;width:2500;height:9853" filled="true" fillcolor="#ffffff" stroked="false">
              <v:fill type="solid"/>
            </v:rect>
            <w10:wrap type="none"/>
          </v:group>
        </w:pict>
      </w:r>
      <w:r>
        <w:rPr>
          <w:b/>
          <w:sz w:val="24"/>
        </w:rPr>
        <w:t>Estado de flujos de efectivo</w:t>
      </w:r>
    </w:p>
    <w:p>
      <w:pPr>
        <w:pStyle w:val="BodyText"/>
        <w:rPr>
          <w:b/>
          <w:sz w:val="21"/>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14"/>
        <w:gridCol w:w="644"/>
        <w:gridCol w:w="644"/>
        <w:gridCol w:w="606"/>
        <w:gridCol w:w="597"/>
      </w:tblGrid>
      <w:tr>
        <w:trPr>
          <w:trHeight w:val="266" w:hRule="exact"/>
        </w:trPr>
        <w:tc>
          <w:tcPr>
            <w:tcW w:w="8304" w:type="dxa"/>
            <w:gridSpan w:val="5"/>
            <w:shd w:val="clear" w:color="auto" w:fill="808080"/>
          </w:tcPr>
          <w:p>
            <w:pPr>
              <w:pStyle w:val="TableParagraph"/>
              <w:spacing w:line="237" w:lineRule="exact"/>
              <w:ind w:left="2310"/>
              <w:jc w:val="left"/>
              <w:rPr>
                <w:b/>
                <w:sz w:val="21"/>
              </w:rPr>
            </w:pPr>
            <w:r>
              <w:rPr>
                <w:b/>
                <w:color w:val="FFFFFF"/>
                <w:sz w:val="21"/>
              </w:rPr>
              <w:t>D. Consolidated statementas of cash flows</w:t>
            </w:r>
          </w:p>
        </w:tc>
      </w:tr>
      <w:tr>
        <w:trPr>
          <w:trHeight w:val="275" w:hRule="exact"/>
        </w:trPr>
        <w:tc>
          <w:tcPr>
            <w:tcW w:w="5814" w:type="dxa"/>
            <w:tcBorders>
              <w:bottom w:val="single" w:sz="15" w:space="0" w:color="000000"/>
            </w:tcBorders>
          </w:tcPr>
          <w:p>
            <w:pPr>
              <w:pStyle w:val="TableParagraph"/>
              <w:spacing w:line="237" w:lineRule="exact"/>
              <w:ind w:left="37"/>
              <w:jc w:val="left"/>
              <w:rPr>
                <w:b/>
                <w:sz w:val="21"/>
              </w:rPr>
            </w:pPr>
            <w:r>
              <w:rPr>
                <w:b/>
                <w:sz w:val="21"/>
              </w:rPr>
              <w:t>(In millions of euros)</w:t>
            </w:r>
          </w:p>
        </w:tc>
        <w:tc>
          <w:tcPr>
            <w:tcW w:w="644" w:type="dxa"/>
            <w:tcBorders>
              <w:bottom w:val="single" w:sz="15" w:space="0" w:color="000000"/>
            </w:tcBorders>
          </w:tcPr>
          <w:p>
            <w:pPr>
              <w:pStyle w:val="TableParagraph"/>
              <w:spacing w:line="237" w:lineRule="exact"/>
              <w:ind w:left="41" w:right="50"/>
              <w:rPr>
                <w:b/>
                <w:sz w:val="21"/>
              </w:rPr>
            </w:pPr>
            <w:r>
              <w:rPr>
                <w:b/>
                <w:sz w:val="21"/>
              </w:rPr>
              <w:t>2011</w:t>
            </w:r>
          </w:p>
        </w:tc>
        <w:tc>
          <w:tcPr>
            <w:tcW w:w="644" w:type="dxa"/>
            <w:tcBorders>
              <w:bottom w:val="single" w:sz="15" w:space="0" w:color="000000"/>
            </w:tcBorders>
          </w:tcPr>
          <w:p>
            <w:pPr>
              <w:pStyle w:val="TableParagraph"/>
              <w:spacing w:line="237" w:lineRule="exact"/>
              <w:ind w:left="41" w:right="50"/>
              <w:rPr>
                <w:b/>
                <w:sz w:val="21"/>
              </w:rPr>
            </w:pPr>
            <w:r>
              <w:rPr>
                <w:b/>
                <w:sz w:val="21"/>
              </w:rPr>
              <w:t>2010</w:t>
            </w:r>
          </w:p>
        </w:tc>
        <w:tc>
          <w:tcPr>
            <w:tcW w:w="606" w:type="dxa"/>
            <w:tcBorders>
              <w:bottom w:val="single" w:sz="15" w:space="0" w:color="000000"/>
            </w:tcBorders>
          </w:tcPr>
          <w:p>
            <w:pPr>
              <w:pStyle w:val="TableParagraph"/>
              <w:spacing w:line="237" w:lineRule="exact"/>
              <w:ind w:right="85"/>
              <w:jc w:val="right"/>
              <w:rPr>
                <w:b/>
                <w:sz w:val="21"/>
              </w:rPr>
            </w:pPr>
            <w:r>
              <w:rPr>
                <w:b/>
                <w:w w:val="95"/>
                <w:sz w:val="21"/>
              </w:rPr>
              <w:t>2009</w:t>
            </w:r>
          </w:p>
        </w:tc>
        <w:tc>
          <w:tcPr>
            <w:tcW w:w="597" w:type="dxa"/>
            <w:tcBorders>
              <w:bottom w:val="single" w:sz="15" w:space="0" w:color="000000"/>
            </w:tcBorders>
          </w:tcPr>
          <w:p>
            <w:pPr>
              <w:pStyle w:val="TableParagraph"/>
              <w:spacing w:line="237" w:lineRule="exact"/>
              <w:ind w:left="55" w:right="55"/>
              <w:rPr>
                <w:b/>
                <w:sz w:val="21"/>
              </w:rPr>
            </w:pPr>
            <w:r>
              <w:rPr>
                <w:b/>
                <w:sz w:val="21"/>
              </w:rPr>
              <w:t>2008</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CASH FLOWS FROM OPERATING ACTIVITIES</w:t>
            </w:r>
          </w:p>
        </w:tc>
        <w:tc>
          <w:tcPr>
            <w:tcW w:w="644" w:type="dxa"/>
            <w:tcBorders>
              <w:top w:val="single" w:sz="15" w:space="0" w:color="000000"/>
              <w:bottom w:val="single" w:sz="15" w:space="0" w:color="000000"/>
            </w:tcBorders>
          </w:tcPr>
          <w:p>
            <w:pPr/>
          </w:p>
        </w:tc>
        <w:tc>
          <w:tcPr>
            <w:tcW w:w="644" w:type="dxa"/>
            <w:tcBorders>
              <w:top w:val="single" w:sz="15" w:space="0" w:color="000000"/>
              <w:bottom w:val="single" w:sz="15" w:space="0" w:color="000000"/>
            </w:tcBorders>
          </w:tcPr>
          <w:p>
            <w:pPr/>
          </w:p>
        </w:tc>
        <w:tc>
          <w:tcPr>
            <w:tcW w:w="606" w:type="dxa"/>
            <w:tcBorders>
              <w:top w:val="single" w:sz="15" w:space="0" w:color="000000"/>
              <w:bottom w:val="single" w:sz="15" w:space="0" w:color="000000"/>
            </w:tcBorders>
          </w:tcPr>
          <w:p>
            <w:pPr/>
          </w:p>
        </w:tc>
        <w:tc>
          <w:tcPr>
            <w:tcW w:w="597" w:type="dxa"/>
            <w:tcBorders>
              <w:top w:val="single" w:sz="15" w:space="0" w:color="000000"/>
              <w:bottom w:val="single" w:sz="15" w:space="0" w:color="000000"/>
              <w:right w:val="single" w:sz="15" w:space="0" w:color="000000"/>
            </w:tcBorders>
          </w:tcPr>
          <w:p>
            <w:pPr/>
          </w:p>
        </w:tc>
      </w:tr>
      <w:tr>
        <w:trPr>
          <w:trHeight w:val="275" w:hRule="exact"/>
        </w:trPr>
        <w:tc>
          <w:tcPr>
            <w:tcW w:w="5814" w:type="dxa"/>
            <w:tcBorders>
              <w:top w:val="single" w:sz="15" w:space="0" w:color="000000"/>
            </w:tcBorders>
          </w:tcPr>
          <w:p>
            <w:pPr>
              <w:pStyle w:val="TableParagraph"/>
              <w:spacing w:line="237" w:lineRule="exact"/>
              <w:ind w:left="37"/>
              <w:jc w:val="left"/>
              <w:rPr>
                <w:sz w:val="21"/>
              </w:rPr>
            </w:pPr>
            <w:r>
              <w:rPr>
                <w:sz w:val="21"/>
              </w:rPr>
              <w:t>Net income (loss) for the year</w:t>
            </w:r>
          </w:p>
        </w:tc>
        <w:tc>
          <w:tcPr>
            <w:tcW w:w="644" w:type="dxa"/>
            <w:tcBorders>
              <w:top w:val="single" w:sz="15" w:space="0" w:color="000000"/>
            </w:tcBorders>
          </w:tcPr>
          <w:p>
            <w:pPr>
              <w:pStyle w:val="TableParagraph"/>
              <w:spacing w:line="237" w:lineRule="exact"/>
              <w:ind w:left="48" w:right="50"/>
              <w:rPr>
                <w:sz w:val="21"/>
              </w:rPr>
            </w:pPr>
            <w:r>
              <w:rPr>
                <w:sz w:val="21"/>
              </w:rPr>
              <w:t>451</w:t>
            </w:r>
          </w:p>
        </w:tc>
        <w:tc>
          <w:tcPr>
            <w:tcW w:w="644" w:type="dxa"/>
            <w:tcBorders>
              <w:top w:val="single" w:sz="15" w:space="0" w:color="000000"/>
            </w:tcBorders>
          </w:tcPr>
          <w:p>
            <w:pPr>
              <w:pStyle w:val="TableParagraph"/>
              <w:spacing w:line="237" w:lineRule="exact"/>
              <w:ind w:left="48" w:right="50"/>
              <w:rPr>
                <w:sz w:val="21"/>
              </w:rPr>
            </w:pPr>
            <w:r>
              <w:rPr>
                <w:sz w:val="21"/>
              </w:rPr>
              <w:t>384</w:t>
            </w:r>
          </w:p>
        </w:tc>
        <w:tc>
          <w:tcPr>
            <w:tcW w:w="606" w:type="dxa"/>
            <w:tcBorders>
              <w:top w:val="single" w:sz="15" w:space="0" w:color="000000"/>
            </w:tcBorders>
          </w:tcPr>
          <w:p>
            <w:pPr>
              <w:pStyle w:val="TableParagraph"/>
              <w:spacing w:line="237" w:lineRule="exact"/>
              <w:ind w:right="108"/>
              <w:jc w:val="right"/>
              <w:rPr>
                <w:sz w:val="21"/>
              </w:rPr>
            </w:pPr>
            <w:r>
              <w:rPr>
                <w:w w:val="85"/>
                <w:sz w:val="21"/>
              </w:rPr>
              <w:t>B146</w:t>
            </w:r>
          </w:p>
        </w:tc>
        <w:tc>
          <w:tcPr>
            <w:tcW w:w="597" w:type="dxa"/>
            <w:tcBorders>
              <w:top w:val="single" w:sz="15" w:space="0" w:color="000000"/>
              <w:right w:val="single" w:sz="15" w:space="0" w:color="000000"/>
            </w:tcBorders>
          </w:tcPr>
          <w:p>
            <w:pPr>
              <w:pStyle w:val="TableParagraph"/>
              <w:spacing w:line="237" w:lineRule="exact"/>
              <w:ind w:left="48" w:right="45"/>
              <w:rPr>
                <w:sz w:val="21"/>
              </w:rPr>
            </w:pPr>
            <w:r>
              <w:rPr>
                <w:sz w:val="21"/>
              </w:rPr>
              <w:t>B199</w:t>
            </w:r>
          </w:p>
        </w:tc>
      </w:tr>
      <w:tr>
        <w:trPr>
          <w:trHeight w:val="266" w:hRule="exact"/>
        </w:trPr>
        <w:tc>
          <w:tcPr>
            <w:tcW w:w="5814" w:type="dxa"/>
          </w:tcPr>
          <w:p>
            <w:pPr>
              <w:pStyle w:val="TableParagraph"/>
              <w:spacing w:line="237" w:lineRule="exact"/>
              <w:ind w:left="37"/>
              <w:jc w:val="left"/>
              <w:rPr>
                <w:sz w:val="21"/>
              </w:rPr>
            </w:pPr>
            <w:r>
              <w:rPr>
                <w:sz w:val="21"/>
              </w:rPr>
              <w:t>Equity in net earnings (losses) of associates</w:t>
            </w:r>
          </w:p>
        </w:tc>
        <w:tc>
          <w:tcPr>
            <w:tcW w:w="644" w:type="dxa"/>
          </w:tcPr>
          <w:p>
            <w:pPr>
              <w:pStyle w:val="TableParagraph"/>
              <w:spacing w:line="237" w:lineRule="exact"/>
              <w:ind w:left="50" w:right="50"/>
              <w:rPr>
                <w:sz w:val="21"/>
              </w:rPr>
            </w:pPr>
            <w:r>
              <w:rPr>
                <w:w w:val="85"/>
                <w:sz w:val="21"/>
              </w:rPr>
              <w:t>B2</w:t>
            </w:r>
          </w:p>
        </w:tc>
        <w:tc>
          <w:tcPr>
            <w:tcW w:w="644" w:type="dxa"/>
          </w:tcPr>
          <w:p>
            <w:pPr>
              <w:pStyle w:val="TableParagraph"/>
              <w:spacing w:line="237" w:lineRule="exact"/>
              <w:ind w:left="11"/>
              <w:rPr>
                <w:sz w:val="21"/>
              </w:rPr>
            </w:pPr>
            <w:r>
              <w:rPr>
                <w:w w:val="99"/>
                <w:sz w:val="21"/>
              </w:rPr>
              <w:t>1</w:t>
            </w:r>
          </w:p>
        </w:tc>
        <w:tc>
          <w:tcPr>
            <w:tcW w:w="606" w:type="dxa"/>
          </w:tcPr>
          <w:p>
            <w:pPr>
              <w:pStyle w:val="TableParagraph"/>
              <w:spacing w:line="237" w:lineRule="exact"/>
              <w:ind w:left="189"/>
              <w:jc w:val="left"/>
              <w:rPr>
                <w:sz w:val="21"/>
              </w:rPr>
            </w:pPr>
            <w:r>
              <w:rPr>
                <w:sz w:val="21"/>
              </w:rPr>
              <w:t>34</w:t>
            </w:r>
          </w:p>
        </w:tc>
        <w:tc>
          <w:tcPr>
            <w:tcW w:w="597" w:type="dxa"/>
            <w:tcBorders>
              <w:right w:val="single" w:sz="15" w:space="0" w:color="000000"/>
            </w:tcBorders>
          </w:tcPr>
          <w:p>
            <w:pPr>
              <w:pStyle w:val="TableParagraph"/>
              <w:spacing w:line="237" w:lineRule="exact"/>
              <w:ind w:left="48" w:right="30"/>
              <w:rPr>
                <w:sz w:val="21"/>
              </w:rPr>
            </w:pPr>
            <w:r>
              <w:rPr>
                <w:w w:val="85"/>
                <w:sz w:val="21"/>
              </w:rPr>
              <w:t>B9</w:t>
            </w:r>
          </w:p>
        </w:tc>
      </w:tr>
      <w:tr>
        <w:trPr>
          <w:trHeight w:val="266" w:hRule="exact"/>
        </w:trPr>
        <w:tc>
          <w:tcPr>
            <w:tcW w:w="5814" w:type="dxa"/>
          </w:tcPr>
          <w:p>
            <w:pPr>
              <w:pStyle w:val="TableParagraph"/>
              <w:spacing w:line="237" w:lineRule="exact"/>
              <w:ind w:left="37"/>
              <w:jc w:val="left"/>
              <w:rPr>
                <w:sz w:val="21"/>
              </w:rPr>
            </w:pPr>
            <w:r>
              <w:rPr>
                <w:sz w:val="21"/>
              </w:rPr>
              <w:t>Net dividends received from associates</w:t>
            </w:r>
          </w:p>
        </w:tc>
        <w:tc>
          <w:tcPr>
            <w:tcW w:w="644" w:type="dxa"/>
          </w:tcPr>
          <w:p>
            <w:pPr>
              <w:pStyle w:val="TableParagraph"/>
              <w:spacing w:line="237" w:lineRule="exact"/>
              <w:ind w:left="11"/>
              <w:rPr>
                <w:sz w:val="21"/>
              </w:rPr>
            </w:pPr>
            <w:r>
              <w:rPr>
                <w:w w:val="99"/>
                <w:sz w:val="21"/>
              </w:rPr>
              <w:t>0</w:t>
            </w:r>
          </w:p>
        </w:tc>
        <w:tc>
          <w:tcPr>
            <w:tcW w:w="644" w:type="dxa"/>
          </w:tcPr>
          <w:p>
            <w:pPr>
              <w:pStyle w:val="TableParagraph"/>
              <w:spacing w:line="237" w:lineRule="exact"/>
              <w:ind w:left="11"/>
              <w:rPr>
                <w:sz w:val="21"/>
              </w:rPr>
            </w:pPr>
            <w:r>
              <w:rPr>
                <w:w w:val="99"/>
                <w:sz w:val="21"/>
              </w:rPr>
              <w:t>4</w:t>
            </w:r>
          </w:p>
        </w:tc>
        <w:tc>
          <w:tcPr>
            <w:tcW w:w="606" w:type="dxa"/>
          </w:tcPr>
          <w:p>
            <w:pPr>
              <w:pStyle w:val="TableParagraph"/>
              <w:spacing w:line="237" w:lineRule="exact"/>
              <w:ind w:left="11"/>
              <w:rPr>
                <w:sz w:val="21"/>
              </w:rPr>
            </w:pPr>
            <w:r>
              <w:rPr>
                <w:w w:val="99"/>
                <w:sz w:val="21"/>
              </w:rPr>
              <w:t>2</w:t>
            </w:r>
          </w:p>
        </w:tc>
        <w:tc>
          <w:tcPr>
            <w:tcW w:w="597" w:type="dxa"/>
            <w:tcBorders>
              <w:right w:val="single" w:sz="15" w:space="0" w:color="000000"/>
            </w:tcBorders>
          </w:tcPr>
          <w:p>
            <w:pPr>
              <w:pStyle w:val="TableParagraph"/>
              <w:spacing w:line="237" w:lineRule="exact"/>
              <w:ind w:left="30"/>
              <w:rPr>
                <w:sz w:val="21"/>
              </w:rPr>
            </w:pPr>
            <w:r>
              <w:rPr>
                <w:w w:val="99"/>
                <w:sz w:val="21"/>
              </w:rPr>
              <w:t>3</w:t>
            </w:r>
          </w:p>
        </w:tc>
      </w:tr>
      <w:tr>
        <w:trPr>
          <w:trHeight w:val="266" w:hRule="exact"/>
        </w:trPr>
        <w:tc>
          <w:tcPr>
            <w:tcW w:w="5814" w:type="dxa"/>
          </w:tcPr>
          <w:p>
            <w:pPr>
              <w:pStyle w:val="TableParagraph"/>
              <w:spacing w:line="237" w:lineRule="exact"/>
              <w:ind w:left="37"/>
              <w:jc w:val="left"/>
              <w:rPr>
                <w:sz w:val="21"/>
              </w:rPr>
            </w:pPr>
            <w:r>
              <w:rPr>
                <w:sz w:val="21"/>
              </w:rPr>
              <w:t>Expenses (income) with no cash effect</w:t>
            </w:r>
          </w:p>
        </w:tc>
        <w:tc>
          <w:tcPr>
            <w:tcW w:w="644" w:type="dxa"/>
          </w:tcPr>
          <w:p>
            <w:pPr>
              <w:pStyle w:val="TableParagraph"/>
              <w:spacing w:line="237" w:lineRule="exact"/>
              <w:ind w:left="48" w:right="50"/>
              <w:rPr>
                <w:sz w:val="21"/>
              </w:rPr>
            </w:pPr>
            <w:r>
              <w:rPr>
                <w:sz w:val="21"/>
              </w:rPr>
              <w:t>429</w:t>
            </w:r>
          </w:p>
        </w:tc>
        <w:tc>
          <w:tcPr>
            <w:tcW w:w="644" w:type="dxa"/>
          </w:tcPr>
          <w:p>
            <w:pPr>
              <w:pStyle w:val="TableParagraph"/>
              <w:spacing w:line="237" w:lineRule="exact"/>
              <w:ind w:left="48" w:right="50"/>
              <w:rPr>
                <w:sz w:val="21"/>
              </w:rPr>
            </w:pPr>
            <w:r>
              <w:rPr>
                <w:sz w:val="21"/>
              </w:rPr>
              <w:t>524</w:t>
            </w:r>
          </w:p>
        </w:tc>
        <w:tc>
          <w:tcPr>
            <w:tcW w:w="606" w:type="dxa"/>
          </w:tcPr>
          <w:p>
            <w:pPr>
              <w:pStyle w:val="TableParagraph"/>
              <w:spacing w:line="237" w:lineRule="exact"/>
              <w:ind w:right="134"/>
              <w:jc w:val="right"/>
              <w:rPr>
                <w:sz w:val="21"/>
              </w:rPr>
            </w:pPr>
            <w:r>
              <w:rPr>
                <w:w w:val="95"/>
                <w:sz w:val="21"/>
              </w:rPr>
              <w:t>445</w:t>
            </w:r>
          </w:p>
        </w:tc>
        <w:tc>
          <w:tcPr>
            <w:tcW w:w="597" w:type="dxa"/>
            <w:tcBorders>
              <w:right w:val="single" w:sz="15" w:space="0" w:color="000000"/>
            </w:tcBorders>
          </w:tcPr>
          <w:p>
            <w:pPr>
              <w:pStyle w:val="TableParagraph"/>
              <w:spacing w:line="237" w:lineRule="exact"/>
              <w:ind w:left="48" w:right="34"/>
              <w:rPr>
                <w:sz w:val="21"/>
              </w:rPr>
            </w:pPr>
            <w:r>
              <w:rPr>
                <w:sz w:val="21"/>
              </w:rPr>
              <w:t>732</w:t>
            </w:r>
          </w:p>
        </w:tc>
      </w:tr>
      <w:tr>
        <w:trPr>
          <w:trHeight w:val="266" w:hRule="exact"/>
        </w:trPr>
        <w:tc>
          <w:tcPr>
            <w:tcW w:w="5814" w:type="dxa"/>
          </w:tcPr>
          <w:p>
            <w:pPr>
              <w:pStyle w:val="TableParagraph"/>
              <w:spacing w:line="237" w:lineRule="exact"/>
              <w:ind w:left="37"/>
              <w:jc w:val="left"/>
              <w:rPr>
                <w:sz w:val="21"/>
              </w:rPr>
            </w:pPr>
            <w:r>
              <w:rPr>
                <w:sz w:val="21"/>
              </w:rPr>
              <w:t>Cost of net debt</w:t>
            </w:r>
          </w:p>
        </w:tc>
        <w:tc>
          <w:tcPr>
            <w:tcW w:w="644" w:type="dxa"/>
          </w:tcPr>
          <w:p>
            <w:pPr>
              <w:pStyle w:val="TableParagraph"/>
              <w:spacing w:line="237" w:lineRule="exact"/>
              <w:ind w:left="53" w:right="50"/>
              <w:rPr>
                <w:sz w:val="21"/>
              </w:rPr>
            </w:pPr>
            <w:r>
              <w:rPr>
                <w:sz w:val="21"/>
              </w:rPr>
              <w:t>71</w:t>
            </w:r>
          </w:p>
        </w:tc>
        <w:tc>
          <w:tcPr>
            <w:tcW w:w="644" w:type="dxa"/>
          </w:tcPr>
          <w:p>
            <w:pPr>
              <w:pStyle w:val="TableParagraph"/>
              <w:spacing w:line="237" w:lineRule="exact"/>
              <w:ind w:left="53" w:right="50"/>
              <w:rPr>
                <w:sz w:val="21"/>
              </w:rPr>
            </w:pPr>
            <w:r>
              <w:rPr>
                <w:sz w:val="21"/>
              </w:rPr>
              <w:t>67</w:t>
            </w:r>
          </w:p>
        </w:tc>
        <w:tc>
          <w:tcPr>
            <w:tcW w:w="606" w:type="dxa"/>
          </w:tcPr>
          <w:p>
            <w:pPr>
              <w:pStyle w:val="TableParagraph"/>
              <w:spacing w:line="237" w:lineRule="exact"/>
              <w:ind w:left="189"/>
              <w:jc w:val="left"/>
              <w:rPr>
                <w:sz w:val="21"/>
              </w:rPr>
            </w:pPr>
            <w:r>
              <w:rPr>
                <w:sz w:val="21"/>
              </w:rPr>
              <w:t>60</w:t>
            </w:r>
          </w:p>
        </w:tc>
        <w:tc>
          <w:tcPr>
            <w:tcW w:w="597" w:type="dxa"/>
            <w:tcBorders>
              <w:right w:val="single" w:sz="15" w:space="0" w:color="000000"/>
            </w:tcBorders>
          </w:tcPr>
          <w:p>
            <w:pPr>
              <w:pStyle w:val="TableParagraph"/>
              <w:spacing w:line="237" w:lineRule="exact"/>
              <w:ind w:left="48" w:right="26"/>
              <w:rPr>
                <w:sz w:val="21"/>
              </w:rPr>
            </w:pPr>
            <w:r>
              <w:rPr>
                <w:sz w:val="21"/>
              </w:rPr>
              <w:t>45</w:t>
            </w:r>
          </w:p>
        </w:tc>
      </w:tr>
      <w:tr>
        <w:trPr>
          <w:trHeight w:val="275" w:hRule="exact"/>
        </w:trPr>
        <w:tc>
          <w:tcPr>
            <w:tcW w:w="5814" w:type="dxa"/>
            <w:tcBorders>
              <w:bottom w:val="single" w:sz="15" w:space="0" w:color="000000"/>
            </w:tcBorders>
          </w:tcPr>
          <w:p>
            <w:pPr>
              <w:pStyle w:val="TableParagraph"/>
              <w:spacing w:line="237" w:lineRule="exact"/>
              <w:ind w:left="37"/>
              <w:jc w:val="left"/>
              <w:rPr>
                <w:sz w:val="21"/>
              </w:rPr>
            </w:pPr>
            <w:r>
              <w:rPr>
                <w:sz w:val="21"/>
              </w:rPr>
              <w:t>Income taxes (current and deferred)</w:t>
            </w:r>
          </w:p>
        </w:tc>
        <w:tc>
          <w:tcPr>
            <w:tcW w:w="644" w:type="dxa"/>
            <w:tcBorders>
              <w:bottom w:val="single" w:sz="15" w:space="0" w:color="000000"/>
            </w:tcBorders>
          </w:tcPr>
          <w:p>
            <w:pPr>
              <w:pStyle w:val="TableParagraph"/>
              <w:spacing w:line="237" w:lineRule="exact"/>
              <w:ind w:left="48" w:right="50"/>
              <w:rPr>
                <w:sz w:val="21"/>
              </w:rPr>
            </w:pPr>
            <w:r>
              <w:rPr>
                <w:sz w:val="21"/>
              </w:rPr>
              <w:t>148</w:t>
            </w:r>
          </w:p>
        </w:tc>
        <w:tc>
          <w:tcPr>
            <w:tcW w:w="644" w:type="dxa"/>
            <w:tcBorders>
              <w:bottom w:val="single" w:sz="15" w:space="0" w:color="000000"/>
            </w:tcBorders>
          </w:tcPr>
          <w:p>
            <w:pPr>
              <w:pStyle w:val="TableParagraph"/>
              <w:spacing w:line="237" w:lineRule="exact"/>
              <w:ind w:left="48" w:right="50"/>
              <w:rPr>
                <w:sz w:val="21"/>
              </w:rPr>
            </w:pPr>
            <w:r>
              <w:rPr>
                <w:sz w:val="21"/>
              </w:rPr>
              <w:t>104</w:t>
            </w:r>
          </w:p>
        </w:tc>
        <w:tc>
          <w:tcPr>
            <w:tcW w:w="606" w:type="dxa"/>
            <w:tcBorders>
              <w:bottom w:val="single" w:sz="15" w:space="0" w:color="000000"/>
            </w:tcBorders>
          </w:tcPr>
          <w:p>
            <w:pPr>
              <w:pStyle w:val="TableParagraph"/>
              <w:spacing w:line="237" w:lineRule="exact"/>
              <w:ind w:left="189"/>
              <w:jc w:val="left"/>
              <w:rPr>
                <w:sz w:val="21"/>
              </w:rPr>
            </w:pPr>
            <w:r>
              <w:rPr>
                <w:sz w:val="21"/>
              </w:rPr>
              <w:t>79</w:t>
            </w:r>
          </w:p>
        </w:tc>
        <w:tc>
          <w:tcPr>
            <w:tcW w:w="597" w:type="dxa"/>
            <w:tcBorders>
              <w:bottom w:val="single" w:sz="15" w:space="0" w:color="000000"/>
              <w:right w:val="single" w:sz="15" w:space="0" w:color="000000"/>
            </w:tcBorders>
          </w:tcPr>
          <w:p>
            <w:pPr>
              <w:pStyle w:val="TableParagraph"/>
              <w:spacing w:line="237" w:lineRule="exact"/>
              <w:ind w:left="48" w:right="26"/>
              <w:rPr>
                <w:sz w:val="21"/>
              </w:rPr>
            </w:pPr>
            <w:r>
              <w:rPr>
                <w:sz w:val="21"/>
              </w:rPr>
              <w:t>51</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Gross operating cash flows</w:t>
            </w:r>
          </w:p>
        </w:tc>
        <w:tc>
          <w:tcPr>
            <w:tcW w:w="644" w:type="dxa"/>
            <w:tcBorders>
              <w:top w:val="single" w:sz="15" w:space="0" w:color="000000"/>
              <w:bottom w:val="single" w:sz="15" w:space="0" w:color="000000"/>
            </w:tcBorders>
          </w:tcPr>
          <w:p>
            <w:pPr>
              <w:pStyle w:val="TableParagraph"/>
              <w:spacing w:line="237" w:lineRule="exact"/>
              <w:ind w:left="54" w:right="50"/>
              <w:rPr>
                <w:b/>
                <w:sz w:val="21"/>
              </w:rPr>
            </w:pPr>
            <w:r>
              <w:rPr>
                <w:b/>
                <w:sz w:val="21"/>
              </w:rPr>
              <w:t>1,097</w:t>
            </w:r>
          </w:p>
        </w:tc>
        <w:tc>
          <w:tcPr>
            <w:tcW w:w="644" w:type="dxa"/>
            <w:tcBorders>
              <w:top w:val="single" w:sz="15" w:space="0" w:color="000000"/>
              <w:bottom w:val="single" w:sz="15" w:space="0" w:color="000000"/>
            </w:tcBorders>
          </w:tcPr>
          <w:p>
            <w:pPr>
              <w:pStyle w:val="TableParagraph"/>
              <w:spacing w:line="237" w:lineRule="exact"/>
              <w:ind w:left="54" w:right="50"/>
              <w:rPr>
                <w:b/>
                <w:sz w:val="21"/>
              </w:rPr>
            </w:pPr>
            <w:r>
              <w:rPr>
                <w:b/>
                <w:sz w:val="21"/>
              </w:rPr>
              <w:t>1,084</w:t>
            </w:r>
          </w:p>
        </w:tc>
        <w:tc>
          <w:tcPr>
            <w:tcW w:w="606" w:type="dxa"/>
            <w:tcBorders>
              <w:top w:val="single" w:sz="15" w:space="0" w:color="000000"/>
              <w:bottom w:val="single" w:sz="15" w:space="0" w:color="000000"/>
            </w:tcBorders>
          </w:tcPr>
          <w:p>
            <w:pPr>
              <w:pStyle w:val="TableParagraph"/>
              <w:spacing w:line="237" w:lineRule="exact"/>
              <w:ind w:right="134"/>
              <w:jc w:val="right"/>
              <w:rPr>
                <w:b/>
                <w:sz w:val="21"/>
              </w:rPr>
            </w:pPr>
            <w:r>
              <w:rPr>
                <w:b/>
                <w:w w:val="95"/>
                <w:sz w:val="21"/>
              </w:rPr>
              <w:t>474</w:t>
            </w:r>
          </w:p>
        </w:tc>
        <w:tc>
          <w:tcPr>
            <w:tcW w:w="597" w:type="dxa"/>
            <w:tcBorders>
              <w:top w:val="single" w:sz="15" w:space="0" w:color="000000"/>
              <w:bottom w:val="single" w:sz="15" w:space="0" w:color="000000"/>
              <w:right w:val="single" w:sz="15" w:space="0" w:color="000000"/>
            </w:tcBorders>
          </w:tcPr>
          <w:p>
            <w:pPr>
              <w:pStyle w:val="TableParagraph"/>
              <w:spacing w:line="237" w:lineRule="exact"/>
              <w:ind w:left="48" w:right="34"/>
              <w:rPr>
                <w:b/>
                <w:sz w:val="21"/>
              </w:rPr>
            </w:pPr>
            <w:r>
              <w:rPr>
                <w:b/>
                <w:sz w:val="21"/>
              </w:rPr>
              <w:t>623</w:t>
            </w:r>
          </w:p>
        </w:tc>
      </w:tr>
      <w:tr>
        <w:trPr>
          <w:trHeight w:val="275" w:hRule="exact"/>
        </w:trPr>
        <w:tc>
          <w:tcPr>
            <w:tcW w:w="5814" w:type="dxa"/>
            <w:tcBorders>
              <w:top w:val="single" w:sz="15" w:space="0" w:color="000000"/>
            </w:tcBorders>
          </w:tcPr>
          <w:p>
            <w:pPr>
              <w:pStyle w:val="TableParagraph"/>
              <w:spacing w:line="237" w:lineRule="exact"/>
              <w:ind w:left="37"/>
              <w:jc w:val="left"/>
              <w:rPr>
                <w:sz w:val="21"/>
              </w:rPr>
            </w:pPr>
            <w:r>
              <w:rPr>
                <w:sz w:val="21"/>
              </w:rPr>
              <w:t>Income taxes paid</w:t>
            </w:r>
          </w:p>
        </w:tc>
        <w:tc>
          <w:tcPr>
            <w:tcW w:w="644" w:type="dxa"/>
            <w:tcBorders>
              <w:top w:val="single" w:sz="15" w:space="0" w:color="000000"/>
            </w:tcBorders>
          </w:tcPr>
          <w:p>
            <w:pPr>
              <w:pStyle w:val="TableParagraph"/>
              <w:spacing w:line="237" w:lineRule="exact"/>
              <w:ind w:left="37" w:right="50"/>
              <w:rPr>
                <w:sz w:val="21"/>
              </w:rPr>
            </w:pPr>
            <w:r>
              <w:rPr>
                <w:sz w:val="21"/>
              </w:rPr>
              <w:t>B169</w:t>
            </w:r>
          </w:p>
        </w:tc>
        <w:tc>
          <w:tcPr>
            <w:tcW w:w="644" w:type="dxa"/>
            <w:tcBorders>
              <w:top w:val="single" w:sz="15" w:space="0" w:color="000000"/>
            </w:tcBorders>
          </w:tcPr>
          <w:p>
            <w:pPr>
              <w:pStyle w:val="TableParagraph"/>
              <w:spacing w:line="237" w:lineRule="exact"/>
              <w:ind w:left="37" w:right="50"/>
              <w:rPr>
                <w:sz w:val="21"/>
              </w:rPr>
            </w:pPr>
            <w:r>
              <w:rPr>
                <w:sz w:val="21"/>
              </w:rPr>
              <w:t>B118</w:t>
            </w:r>
          </w:p>
        </w:tc>
        <w:tc>
          <w:tcPr>
            <w:tcW w:w="606" w:type="dxa"/>
            <w:tcBorders>
              <w:top w:val="single" w:sz="15" w:space="0" w:color="000000"/>
            </w:tcBorders>
          </w:tcPr>
          <w:p>
            <w:pPr>
              <w:pStyle w:val="TableParagraph"/>
              <w:spacing w:line="237" w:lineRule="exact"/>
              <w:ind w:right="157"/>
              <w:jc w:val="right"/>
              <w:rPr>
                <w:sz w:val="21"/>
              </w:rPr>
            </w:pPr>
            <w:r>
              <w:rPr>
                <w:w w:val="85"/>
                <w:sz w:val="21"/>
              </w:rPr>
              <w:t>B89</w:t>
            </w:r>
          </w:p>
        </w:tc>
        <w:tc>
          <w:tcPr>
            <w:tcW w:w="597" w:type="dxa"/>
            <w:tcBorders>
              <w:top w:val="single" w:sz="15" w:space="0" w:color="000000"/>
              <w:right w:val="single" w:sz="15" w:space="0" w:color="000000"/>
            </w:tcBorders>
          </w:tcPr>
          <w:p>
            <w:pPr>
              <w:pStyle w:val="TableParagraph"/>
              <w:spacing w:line="237" w:lineRule="exact"/>
              <w:ind w:left="48" w:right="38"/>
              <w:rPr>
                <w:sz w:val="21"/>
              </w:rPr>
            </w:pPr>
            <w:r>
              <w:rPr>
                <w:w w:val="95"/>
                <w:sz w:val="21"/>
              </w:rPr>
              <w:t>B71</w:t>
            </w:r>
          </w:p>
        </w:tc>
      </w:tr>
      <w:tr>
        <w:trPr>
          <w:trHeight w:val="266" w:hRule="exact"/>
        </w:trPr>
        <w:tc>
          <w:tcPr>
            <w:tcW w:w="5814" w:type="dxa"/>
          </w:tcPr>
          <w:p>
            <w:pPr>
              <w:pStyle w:val="TableParagraph"/>
              <w:spacing w:line="237" w:lineRule="exact"/>
              <w:ind w:left="37"/>
              <w:jc w:val="left"/>
              <w:rPr>
                <w:sz w:val="21"/>
              </w:rPr>
            </w:pPr>
            <w:r>
              <w:rPr>
                <w:sz w:val="21"/>
              </w:rPr>
              <w:t>Changes in working capital</w:t>
            </w:r>
          </w:p>
        </w:tc>
        <w:tc>
          <w:tcPr>
            <w:tcW w:w="644" w:type="dxa"/>
          </w:tcPr>
          <w:p>
            <w:pPr>
              <w:pStyle w:val="TableParagraph"/>
              <w:spacing w:line="237" w:lineRule="exact"/>
              <w:ind w:left="44" w:right="50"/>
              <w:rPr>
                <w:sz w:val="21"/>
              </w:rPr>
            </w:pPr>
            <w:r>
              <w:rPr>
                <w:w w:val="95"/>
                <w:sz w:val="21"/>
              </w:rPr>
              <w:t>B29</w:t>
            </w:r>
          </w:p>
        </w:tc>
        <w:tc>
          <w:tcPr>
            <w:tcW w:w="644" w:type="dxa"/>
          </w:tcPr>
          <w:p>
            <w:pPr>
              <w:pStyle w:val="TableParagraph"/>
              <w:spacing w:line="237" w:lineRule="exact"/>
              <w:ind w:left="53" w:right="50"/>
              <w:rPr>
                <w:sz w:val="21"/>
              </w:rPr>
            </w:pPr>
            <w:r>
              <w:rPr>
                <w:sz w:val="21"/>
              </w:rPr>
              <w:t>31</w:t>
            </w:r>
          </w:p>
        </w:tc>
        <w:tc>
          <w:tcPr>
            <w:tcW w:w="606" w:type="dxa"/>
          </w:tcPr>
          <w:p>
            <w:pPr>
              <w:pStyle w:val="TableParagraph"/>
              <w:spacing w:line="237" w:lineRule="exact"/>
              <w:ind w:right="134"/>
              <w:jc w:val="right"/>
              <w:rPr>
                <w:sz w:val="21"/>
              </w:rPr>
            </w:pPr>
            <w:r>
              <w:rPr>
                <w:w w:val="95"/>
                <w:sz w:val="21"/>
              </w:rPr>
              <w:t>214</w:t>
            </w:r>
          </w:p>
        </w:tc>
        <w:tc>
          <w:tcPr>
            <w:tcW w:w="597" w:type="dxa"/>
            <w:tcBorders>
              <w:right w:val="single" w:sz="15" w:space="0" w:color="000000"/>
            </w:tcBorders>
          </w:tcPr>
          <w:p>
            <w:pPr>
              <w:pStyle w:val="TableParagraph"/>
              <w:spacing w:line="237" w:lineRule="exact"/>
              <w:ind w:left="48" w:right="34"/>
              <w:rPr>
                <w:sz w:val="21"/>
              </w:rPr>
            </w:pPr>
            <w:r>
              <w:rPr>
                <w:sz w:val="21"/>
              </w:rPr>
              <w:t>179</w:t>
            </w:r>
          </w:p>
        </w:tc>
      </w:tr>
      <w:tr>
        <w:trPr>
          <w:trHeight w:val="275" w:hRule="exact"/>
        </w:trPr>
        <w:tc>
          <w:tcPr>
            <w:tcW w:w="5814" w:type="dxa"/>
            <w:tcBorders>
              <w:bottom w:val="single" w:sz="15" w:space="0" w:color="000000"/>
            </w:tcBorders>
          </w:tcPr>
          <w:p>
            <w:pPr>
              <w:pStyle w:val="TableParagraph"/>
              <w:spacing w:line="237" w:lineRule="exact"/>
              <w:ind w:left="37"/>
              <w:jc w:val="left"/>
              <w:rPr>
                <w:b/>
                <w:sz w:val="21"/>
              </w:rPr>
            </w:pPr>
            <w:r>
              <w:rPr>
                <w:b/>
                <w:sz w:val="21"/>
              </w:rPr>
              <w:t>Net cash provided by operating activities</w:t>
            </w:r>
          </w:p>
        </w:tc>
        <w:tc>
          <w:tcPr>
            <w:tcW w:w="644" w:type="dxa"/>
            <w:tcBorders>
              <w:bottom w:val="single" w:sz="15" w:space="0" w:color="000000"/>
            </w:tcBorders>
          </w:tcPr>
          <w:p>
            <w:pPr>
              <w:pStyle w:val="TableParagraph"/>
              <w:spacing w:line="237" w:lineRule="exact"/>
              <w:ind w:left="48" w:right="50"/>
              <w:rPr>
                <w:b/>
                <w:sz w:val="21"/>
              </w:rPr>
            </w:pPr>
            <w:r>
              <w:rPr>
                <w:b/>
                <w:sz w:val="21"/>
              </w:rPr>
              <w:t>899</w:t>
            </w:r>
          </w:p>
        </w:tc>
        <w:tc>
          <w:tcPr>
            <w:tcW w:w="644" w:type="dxa"/>
            <w:tcBorders>
              <w:bottom w:val="single" w:sz="15" w:space="0" w:color="000000"/>
            </w:tcBorders>
          </w:tcPr>
          <w:p>
            <w:pPr>
              <w:pStyle w:val="TableParagraph"/>
              <w:spacing w:line="237" w:lineRule="exact"/>
              <w:ind w:left="48" w:right="50"/>
              <w:rPr>
                <w:b/>
                <w:sz w:val="21"/>
              </w:rPr>
            </w:pPr>
            <w:r>
              <w:rPr>
                <w:b/>
                <w:sz w:val="21"/>
              </w:rPr>
              <w:t>997</w:t>
            </w:r>
          </w:p>
        </w:tc>
        <w:tc>
          <w:tcPr>
            <w:tcW w:w="606" w:type="dxa"/>
            <w:tcBorders>
              <w:bottom w:val="single" w:sz="15" w:space="0" w:color="000000"/>
            </w:tcBorders>
          </w:tcPr>
          <w:p>
            <w:pPr>
              <w:pStyle w:val="TableParagraph"/>
              <w:spacing w:line="237" w:lineRule="exact"/>
              <w:ind w:right="134"/>
              <w:jc w:val="right"/>
              <w:rPr>
                <w:b/>
                <w:sz w:val="21"/>
              </w:rPr>
            </w:pPr>
            <w:r>
              <w:rPr>
                <w:b/>
                <w:w w:val="95"/>
                <w:sz w:val="21"/>
              </w:rPr>
              <w:t>599</w:t>
            </w:r>
          </w:p>
        </w:tc>
        <w:tc>
          <w:tcPr>
            <w:tcW w:w="597" w:type="dxa"/>
            <w:tcBorders>
              <w:bottom w:val="single" w:sz="15" w:space="0" w:color="000000"/>
              <w:right w:val="single" w:sz="15" w:space="0" w:color="000000"/>
            </w:tcBorders>
          </w:tcPr>
          <w:p>
            <w:pPr>
              <w:pStyle w:val="TableParagraph"/>
              <w:spacing w:line="237" w:lineRule="exact"/>
              <w:ind w:left="48" w:right="34"/>
              <w:rPr>
                <w:b/>
                <w:sz w:val="21"/>
              </w:rPr>
            </w:pPr>
            <w:r>
              <w:rPr>
                <w:b/>
                <w:sz w:val="21"/>
              </w:rPr>
              <w:t>731</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CASH FLOWS FROM INVESTING ACTIVITIES</w:t>
            </w:r>
          </w:p>
        </w:tc>
        <w:tc>
          <w:tcPr>
            <w:tcW w:w="644" w:type="dxa"/>
            <w:tcBorders>
              <w:top w:val="single" w:sz="15" w:space="0" w:color="000000"/>
              <w:bottom w:val="single" w:sz="15" w:space="0" w:color="000000"/>
            </w:tcBorders>
          </w:tcPr>
          <w:p>
            <w:pPr/>
          </w:p>
        </w:tc>
        <w:tc>
          <w:tcPr>
            <w:tcW w:w="644" w:type="dxa"/>
            <w:tcBorders>
              <w:top w:val="single" w:sz="15" w:space="0" w:color="000000"/>
              <w:bottom w:val="single" w:sz="15" w:space="0" w:color="000000"/>
            </w:tcBorders>
          </w:tcPr>
          <w:p>
            <w:pPr/>
          </w:p>
        </w:tc>
        <w:tc>
          <w:tcPr>
            <w:tcW w:w="606" w:type="dxa"/>
            <w:tcBorders>
              <w:top w:val="single" w:sz="15" w:space="0" w:color="000000"/>
              <w:bottom w:val="single" w:sz="15" w:space="0" w:color="000000"/>
            </w:tcBorders>
          </w:tcPr>
          <w:p>
            <w:pPr/>
          </w:p>
        </w:tc>
        <w:tc>
          <w:tcPr>
            <w:tcW w:w="597" w:type="dxa"/>
            <w:tcBorders>
              <w:top w:val="single" w:sz="15" w:space="0" w:color="000000"/>
              <w:bottom w:val="single" w:sz="15" w:space="0" w:color="000000"/>
              <w:right w:val="single" w:sz="15" w:space="0" w:color="000000"/>
            </w:tcBorders>
          </w:tcPr>
          <w:p>
            <w:pPr/>
          </w:p>
        </w:tc>
      </w:tr>
      <w:tr>
        <w:trPr>
          <w:trHeight w:val="275" w:hRule="exact"/>
        </w:trPr>
        <w:tc>
          <w:tcPr>
            <w:tcW w:w="5814" w:type="dxa"/>
            <w:tcBorders>
              <w:top w:val="single" w:sz="15" w:space="0" w:color="000000"/>
            </w:tcBorders>
          </w:tcPr>
          <w:p>
            <w:pPr>
              <w:pStyle w:val="TableParagraph"/>
              <w:spacing w:line="237" w:lineRule="exact"/>
              <w:ind w:left="37"/>
              <w:jc w:val="left"/>
              <w:rPr>
                <w:sz w:val="21"/>
              </w:rPr>
            </w:pPr>
            <w:r>
              <w:rPr>
                <w:sz w:val="21"/>
              </w:rPr>
              <w:t>Outflows relating to acquisitions of intangible assets</w:t>
            </w:r>
          </w:p>
        </w:tc>
        <w:tc>
          <w:tcPr>
            <w:tcW w:w="644" w:type="dxa"/>
            <w:tcBorders>
              <w:top w:val="single" w:sz="15" w:space="0" w:color="000000"/>
            </w:tcBorders>
          </w:tcPr>
          <w:p>
            <w:pPr>
              <w:pStyle w:val="TableParagraph"/>
              <w:spacing w:line="237" w:lineRule="exact"/>
              <w:ind w:left="37" w:right="50"/>
              <w:rPr>
                <w:sz w:val="21"/>
              </w:rPr>
            </w:pPr>
            <w:r>
              <w:rPr>
                <w:sz w:val="21"/>
              </w:rPr>
              <w:t>B193</w:t>
            </w:r>
          </w:p>
        </w:tc>
        <w:tc>
          <w:tcPr>
            <w:tcW w:w="644" w:type="dxa"/>
            <w:tcBorders>
              <w:top w:val="single" w:sz="15" w:space="0" w:color="000000"/>
            </w:tcBorders>
          </w:tcPr>
          <w:p>
            <w:pPr>
              <w:pStyle w:val="TableParagraph"/>
              <w:spacing w:line="237" w:lineRule="exact"/>
              <w:ind w:left="37" w:right="50"/>
              <w:rPr>
                <w:sz w:val="21"/>
              </w:rPr>
            </w:pPr>
            <w:r>
              <w:rPr>
                <w:sz w:val="21"/>
              </w:rPr>
              <w:t>B153</w:t>
            </w:r>
          </w:p>
        </w:tc>
        <w:tc>
          <w:tcPr>
            <w:tcW w:w="606" w:type="dxa"/>
            <w:tcBorders>
              <w:top w:val="single" w:sz="15" w:space="0" w:color="000000"/>
            </w:tcBorders>
          </w:tcPr>
          <w:p>
            <w:pPr>
              <w:pStyle w:val="TableParagraph"/>
              <w:spacing w:line="237" w:lineRule="exact"/>
              <w:ind w:right="108"/>
              <w:jc w:val="right"/>
              <w:rPr>
                <w:sz w:val="21"/>
              </w:rPr>
            </w:pPr>
            <w:r>
              <w:rPr>
                <w:w w:val="85"/>
                <w:sz w:val="21"/>
              </w:rPr>
              <w:t>B150</w:t>
            </w:r>
          </w:p>
        </w:tc>
        <w:tc>
          <w:tcPr>
            <w:tcW w:w="597" w:type="dxa"/>
            <w:tcBorders>
              <w:top w:val="single" w:sz="15" w:space="0" w:color="000000"/>
              <w:right w:val="single" w:sz="15" w:space="0" w:color="000000"/>
            </w:tcBorders>
          </w:tcPr>
          <w:p>
            <w:pPr>
              <w:pStyle w:val="TableParagraph"/>
              <w:spacing w:line="237" w:lineRule="exact"/>
              <w:ind w:left="48" w:right="45"/>
              <w:rPr>
                <w:sz w:val="21"/>
              </w:rPr>
            </w:pPr>
            <w:r>
              <w:rPr>
                <w:sz w:val="21"/>
              </w:rPr>
              <w:t>B160</w:t>
            </w:r>
          </w:p>
        </w:tc>
      </w:tr>
      <w:tr>
        <w:trPr>
          <w:trHeight w:val="266" w:hRule="exact"/>
        </w:trPr>
        <w:tc>
          <w:tcPr>
            <w:tcW w:w="5814" w:type="dxa"/>
          </w:tcPr>
          <w:p>
            <w:pPr>
              <w:pStyle w:val="TableParagraph"/>
              <w:spacing w:line="237" w:lineRule="exact"/>
              <w:ind w:left="37"/>
              <w:jc w:val="left"/>
              <w:rPr>
                <w:sz w:val="21"/>
              </w:rPr>
            </w:pPr>
            <w:r>
              <w:rPr>
                <w:sz w:val="21"/>
              </w:rPr>
              <w:t>Outflows relating to acquisitions of property, plant and equipment</w:t>
            </w:r>
          </w:p>
        </w:tc>
        <w:tc>
          <w:tcPr>
            <w:tcW w:w="644" w:type="dxa"/>
          </w:tcPr>
          <w:p>
            <w:pPr>
              <w:pStyle w:val="TableParagraph"/>
              <w:spacing w:line="237" w:lineRule="exact"/>
              <w:ind w:left="37" w:right="50"/>
              <w:rPr>
                <w:sz w:val="21"/>
              </w:rPr>
            </w:pPr>
            <w:r>
              <w:rPr>
                <w:sz w:val="21"/>
              </w:rPr>
              <w:t>B490</w:t>
            </w:r>
          </w:p>
        </w:tc>
        <w:tc>
          <w:tcPr>
            <w:tcW w:w="644" w:type="dxa"/>
          </w:tcPr>
          <w:p>
            <w:pPr>
              <w:pStyle w:val="TableParagraph"/>
              <w:spacing w:line="237" w:lineRule="exact"/>
              <w:ind w:left="37" w:right="50"/>
              <w:rPr>
                <w:sz w:val="21"/>
              </w:rPr>
            </w:pPr>
            <w:r>
              <w:rPr>
                <w:sz w:val="21"/>
              </w:rPr>
              <w:t>B323</w:t>
            </w:r>
          </w:p>
        </w:tc>
        <w:tc>
          <w:tcPr>
            <w:tcW w:w="606" w:type="dxa"/>
          </w:tcPr>
          <w:p>
            <w:pPr>
              <w:pStyle w:val="TableParagraph"/>
              <w:spacing w:line="237" w:lineRule="exact"/>
              <w:ind w:right="108"/>
              <w:jc w:val="right"/>
              <w:rPr>
                <w:sz w:val="21"/>
              </w:rPr>
            </w:pPr>
            <w:r>
              <w:rPr>
                <w:w w:val="85"/>
                <w:sz w:val="21"/>
              </w:rPr>
              <w:t>B304</w:t>
            </w:r>
          </w:p>
        </w:tc>
        <w:tc>
          <w:tcPr>
            <w:tcW w:w="597" w:type="dxa"/>
            <w:tcBorders>
              <w:right w:val="single" w:sz="15" w:space="0" w:color="000000"/>
            </w:tcBorders>
          </w:tcPr>
          <w:p>
            <w:pPr>
              <w:pStyle w:val="TableParagraph"/>
              <w:spacing w:line="237" w:lineRule="exact"/>
              <w:ind w:left="48" w:right="45"/>
              <w:rPr>
                <w:sz w:val="21"/>
              </w:rPr>
            </w:pPr>
            <w:r>
              <w:rPr>
                <w:sz w:val="21"/>
              </w:rPr>
              <w:t>B468</w:t>
            </w:r>
          </w:p>
        </w:tc>
      </w:tr>
      <w:tr>
        <w:trPr>
          <w:trHeight w:val="266" w:hRule="exact"/>
        </w:trPr>
        <w:tc>
          <w:tcPr>
            <w:tcW w:w="5814" w:type="dxa"/>
          </w:tcPr>
          <w:p>
            <w:pPr>
              <w:pStyle w:val="TableParagraph"/>
              <w:spacing w:line="237" w:lineRule="exact"/>
              <w:ind w:left="37"/>
              <w:jc w:val="left"/>
              <w:rPr>
                <w:sz w:val="21"/>
              </w:rPr>
            </w:pPr>
            <w:r>
              <w:rPr>
                <w:sz w:val="21"/>
              </w:rPr>
              <w:t>Inflows relating to disposals of property, plant and equipment</w:t>
            </w:r>
          </w:p>
        </w:tc>
        <w:tc>
          <w:tcPr>
            <w:tcW w:w="644" w:type="dxa"/>
          </w:tcPr>
          <w:p>
            <w:pPr>
              <w:pStyle w:val="TableParagraph"/>
              <w:spacing w:line="237" w:lineRule="exact"/>
              <w:ind w:left="53" w:right="50"/>
              <w:rPr>
                <w:sz w:val="21"/>
              </w:rPr>
            </w:pPr>
            <w:r>
              <w:rPr>
                <w:sz w:val="21"/>
              </w:rPr>
              <w:t>17</w:t>
            </w:r>
          </w:p>
        </w:tc>
        <w:tc>
          <w:tcPr>
            <w:tcW w:w="644" w:type="dxa"/>
          </w:tcPr>
          <w:p>
            <w:pPr>
              <w:pStyle w:val="TableParagraph"/>
              <w:spacing w:line="237" w:lineRule="exact"/>
              <w:ind w:left="53" w:right="50"/>
              <w:rPr>
                <w:sz w:val="21"/>
              </w:rPr>
            </w:pPr>
            <w:r>
              <w:rPr>
                <w:sz w:val="21"/>
              </w:rPr>
              <w:t>12</w:t>
            </w:r>
          </w:p>
        </w:tc>
        <w:tc>
          <w:tcPr>
            <w:tcW w:w="606" w:type="dxa"/>
          </w:tcPr>
          <w:p>
            <w:pPr>
              <w:pStyle w:val="TableParagraph"/>
              <w:spacing w:line="237" w:lineRule="exact"/>
              <w:ind w:left="189"/>
              <w:jc w:val="left"/>
              <w:rPr>
                <w:sz w:val="21"/>
              </w:rPr>
            </w:pPr>
            <w:r>
              <w:rPr>
                <w:sz w:val="21"/>
              </w:rPr>
              <w:t>10</w:t>
            </w:r>
          </w:p>
        </w:tc>
        <w:tc>
          <w:tcPr>
            <w:tcW w:w="597" w:type="dxa"/>
            <w:tcBorders>
              <w:right w:val="single" w:sz="15" w:space="0" w:color="000000"/>
            </w:tcBorders>
          </w:tcPr>
          <w:p>
            <w:pPr>
              <w:pStyle w:val="TableParagraph"/>
              <w:spacing w:line="237" w:lineRule="exact"/>
              <w:ind w:left="48" w:right="26"/>
              <w:rPr>
                <w:sz w:val="21"/>
              </w:rPr>
            </w:pPr>
            <w:r>
              <w:rPr>
                <w:sz w:val="21"/>
              </w:rPr>
              <w:t>15</w:t>
            </w:r>
          </w:p>
        </w:tc>
      </w:tr>
      <w:tr>
        <w:trPr>
          <w:trHeight w:val="266" w:hRule="exact"/>
        </w:trPr>
        <w:tc>
          <w:tcPr>
            <w:tcW w:w="5814" w:type="dxa"/>
          </w:tcPr>
          <w:p>
            <w:pPr>
              <w:pStyle w:val="TableParagraph"/>
              <w:spacing w:line="237" w:lineRule="exact"/>
              <w:ind w:left="37"/>
              <w:jc w:val="left"/>
              <w:rPr>
                <w:sz w:val="21"/>
              </w:rPr>
            </w:pPr>
            <w:r>
              <w:rPr>
                <w:sz w:val="21"/>
              </w:rPr>
              <w:t>Net change in nonBcurrent financial assets</w:t>
            </w:r>
          </w:p>
        </w:tc>
        <w:tc>
          <w:tcPr>
            <w:tcW w:w="644" w:type="dxa"/>
          </w:tcPr>
          <w:p>
            <w:pPr>
              <w:pStyle w:val="TableParagraph"/>
              <w:spacing w:line="237" w:lineRule="exact"/>
              <w:ind w:left="53" w:right="50"/>
              <w:rPr>
                <w:sz w:val="21"/>
              </w:rPr>
            </w:pPr>
            <w:r>
              <w:rPr>
                <w:sz w:val="21"/>
              </w:rPr>
              <w:t>17</w:t>
            </w:r>
          </w:p>
        </w:tc>
        <w:tc>
          <w:tcPr>
            <w:tcW w:w="644" w:type="dxa"/>
          </w:tcPr>
          <w:p>
            <w:pPr>
              <w:pStyle w:val="TableParagraph"/>
              <w:spacing w:line="237" w:lineRule="exact"/>
              <w:ind w:left="44" w:right="50"/>
              <w:rPr>
                <w:sz w:val="21"/>
              </w:rPr>
            </w:pPr>
            <w:r>
              <w:rPr>
                <w:w w:val="95"/>
                <w:sz w:val="21"/>
              </w:rPr>
              <w:t>B26</w:t>
            </w:r>
          </w:p>
        </w:tc>
        <w:tc>
          <w:tcPr>
            <w:tcW w:w="606" w:type="dxa"/>
          </w:tcPr>
          <w:p>
            <w:pPr>
              <w:pStyle w:val="TableParagraph"/>
              <w:spacing w:line="237" w:lineRule="exact"/>
              <w:ind w:right="157"/>
              <w:jc w:val="right"/>
              <w:rPr>
                <w:sz w:val="21"/>
              </w:rPr>
            </w:pPr>
            <w:r>
              <w:rPr>
                <w:w w:val="80"/>
                <w:sz w:val="21"/>
              </w:rPr>
              <w:t>B43</w:t>
            </w:r>
          </w:p>
        </w:tc>
        <w:tc>
          <w:tcPr>
            <w:tcW w:w="597" w:type="dxa"/>
            <w:tcBorders>
              <w:right w:val="single" w:sz="15" w:space="0" w:color="000000"/>
            </w:tcBorders>
          </w:tcPr>
          <w:p>
            <w:pPr>
              <w:pStyle w:val="TableParagraph"/>
              <w:spacing w:line="237" w:lineRule="exact"/>
              <w:ind w:left="48" w:right="38"/>
              <w:rPr>
                <w:sz w:val="21"/>
              </w:rPr>
            </w:pPr>
            <w:r>
              <w:rPr>
                <w:w w:val="95"/>
                <w:sz w:val="21"/>
              </w:rPr>
              <w:t>B10</w:t>
            </w:r>
          </w:p>
        </w:tc>
      </w:tr>
      <w:tr>
        <w:trPr>
          <w:trHeight w:val="266" w:hRule="exact"/>
        </w:trPr>
        <w:tc>
          <w:tcPr>
            <w:tcW w:w="5814" w:type="dxa"/>
          </w:tcPr>
          <w:p>
            <w:pPr>
              <w:pStyle w:val="TableParagraph"/>
              <w:spacing w:line="237" w:lineRule="exact"/>
              <w:ind w:left="37"/>
              <w:jc w:val="left"/>
              <w:rPr>
                <w:sz w:val="21"/>
              </w:rPr>
            </w:pPr>
            <w:r>
              <w:rPr>
                <w:sz w:val="21"/>
              </w:rPr>
              <w:t>Impact of changes in scope of consolidation</w:t>
            </w:r>
          </w:p>
        </w:tc>
        <w:tc>
          <w:tcPr>
            <w:tcW w:w="644" w:type="dxa"/>
          </w:tcPr>
          <w:p>
            <w:pPr>
              <w:pStyle w:val="TableParagraph"/>
              <w:spacing w:line="237" w:lineRule="exact"/>
              <w:ind w:left="37" w:right="50"/>
              <w:rPr>
                <w:sz w:val="21"/>
              </w:rPr>
            </w:pPr>
            <w:r>
              <w:rPr>
                <w:sz w:val="21"/>
              </w:rPr>
              <w:t>B269</w:t>
            </w:r>
          </w:p>
        </w:tc>
        <w:tc>
          <w:tcPr>
            <w:tcW w:w="644" w:type="dxa"/>
          </w:tcPr>
          <w:p>
            <w:pPr>
              <w:pStyle w:val="TableParagraph"/>
              <w:spacing w:line="237" w:lineRule="exact"/>
              <w:ind w:left="53" w:right="50"/>
              <w:rPr>
                <w:sz w:val="21"/>
              </w:rPr>
            </w:pPr>
            <w:r>
              <w:rPr>
                <w:sz w:val="21"/>
              </w:rPr>
              <w:t>22</w:t>
            </w:r>
          </w:p>
        </w:tc>
        <w:tc>
          <w:tcPr>
            <w:tcW w:w="606" w:type="dxa"/>
          </w:tcPr>
          <w:p>
            <w:pPr>
              <w:pStyle w:val="TableParagraph"/>
              <w:spacing w:line="237" w:lineRule="exact"/>
              <w:ind w:right="157"/>
              <w:jc w:val="right"/>
              <w:rPr>
                <w:sz w:val="21"/>
              </w:rPr>
            </w:pPr>
            <w:r>
              <w:rPr>
                <w:w w:val="80"/>
                <w:sz w:val="21"/>
              </w:rPr>
              <w:t>B10</w:t>
            </w:r>
          </w:p>
        </w:tc>
        <w:tc>
          <w:tcPr>
            <w:tcW w:w="597" w:type="dxa"/>
            <w:tcBorders>
              <w:right w:val="single" w:sz="15" w:space="0" w:color="000000"/>
            </w:tcBorders>
          </w:tcPr>
          <w:p>
            <w:pPr>
              <w:pStyle w:val="TableParagraph"/>
              <w:spacing w:line="237" w:lineRule="exact"/>
              <w:ind w:left="48" w:right="26"/>
              <w:rPr>
                <w:sz w:val="21"/>
              </w:rPr>
            </w:pPr>
            <w:r>
              <w:rPr>
                <w:sz w:val="21"/>
              </w:rPr>
              <w:t>52</w:t>
            </w:r>
          </w:p>
        </w:tc>
      </w:tr>
      <w:tr>
        <w:trPr>
          <w:trHeight w:val="275" w:hRule="exact"/>
        </w:trPr>
        <w:tc>
          <w:tcPr>
            <w:tcW w:w="5814" w:type="dxa"/>
            <w:tcBorders>
              <w:bottom w:val="single" w:sz="15" w:space="0" w:color="000000"/>
            </w:tcBorders>
          </w:tcPr>
          <w:p>
            <w:pPr>
              <w:pStyle w:val="TableParagraph"/>
              <w:spacing w:line="237" w:lineRule="exact"/>
              <w:ind w:left="37"/>
              <w:jc w:val="left"/>
              <w:rPr>
                <w:b/>
                <w:sz w:val="21"/>
              </w:rPr>
            </w:pPr>
            <w:r>
              <w:rPr>
                <w:b/>
                <w:sz w:val="21"/>
              </w:rPr>
              <w:t>Net cash from (used in) investing activities</w:t>
            </w:r>
          </w:p>
        </w:tc>
        <w:tc>
          <w:tcPr>
            <w:tcW w:w="644" w:type="dxa"/>
            <w:tcBorders>
              <w:bottom w:val="single" w:sz="15" w:space="0" w:color="000000"/>
            </w:tcBorders>
          </w:tcPr>
          <w:p>
            <w:pPr>
              <w:pStyle w:val="TableParagraph"/>
              <w:spacing w:line="237" w:lineRule="exact"/>
              <w:ind w:left="37" w:right="50"/>
              <w:rPr>
                <w:b/>
                <w:sz w:val="21"/>
              </w:rPr>
            </w:pPr>
            <w:r>
              <w:rPr>
                <w:b/>
                <w:sz w:val="21"/>
              </w:rPr>
              <w:t>[918</w:t>
            </w:r>
          </w:p>
        </w:tc>
        <w:tc>
          <w:tcPr>
            <w:tcW w:w="644" w:type="dxa"/>
            <w:tcBorders>
              <w:bottom w:val="single" w:sz="15" w:space="0" w:color="000000"/>
            </w:tcBorders>
          </w:tcPr>
          <w:p>
            <w:pPr>
              <w:pStyle w:val="TableParagraph"/>
              <w:spacing w:line="237" w:lineRule="exact"/>
              <w:ind w:left="37" w:right="50"/>
              <w:rPr>
                <w:b/>
                <w:sz w:val="21"/>
              </w:rPr>
            </w:pPr>
            <w:r>
              <w:rPr>
                <w:b/>
                <w:sz w:val="21"/>
              </w:rPr>
              <w:t>[468</w:t>
            </w:r>
          </w:p>
        </w:tc>
        <w:tc>
          <w:tcPr>
            <w:tcW w:w="606" w:type="dxa"/>
            <w:tcBorders>
              <w:bottom w:val="single" w:sz="15" w:space="0" w:color="000000"/>
            </w:tcBorders>
          </w:tcPr>
          <w:p>
            <w:pPr>
              <w:pStyle w:val="TableParagraph"/>
              <w:spacing w:line="237" w:lineRule="exact"/>
              <w:ind w:right="108"/>
              <w:jc w:val="right"/>
              <w:rPr>
                <w:b/>
                <w:sz w:val="21"/>
              </w:rPr>
            </w:pPr>
            <w:r>
              <w:rPr>
                <w:b/>
                <w:w w:val="95"/>
                <w:sz w:val="21"/>
              </w:rPr>
              <w:t>[497</w:t>
            </w:r>
          </w:p>
        </w:tc>
        <w:tc>
          <w:tcPr>
            <w:tcW w:w="597" w:type="dxa"/>
            <w:tcBorders>
              <w:bottom w:val="single" w:sz="15" w:space="0" w:color="000000"/>
              <w:right w:val="single" w:sz="15" w:space="0" w:color="000000"/>
            </w:tcBorders>
          </w:tcPr>
          <w:p>
            <w:pPr>
              <w:pStyle w:val="TableParagraph"/>
              <w:spacing w:line="237" w:lineRule="exact"/>
              <w:ind w:left="48" w:right="45"/>
              <w:rPr>
                <w:b/>
                <w:sz w:val="21"/>
              </w:rPr>
            </w:pPr>
            <w:r>
              <w:rPr>
                <w:b/>
                <w:sz w:val="21"/>
              </w:rPr>
              <w:t>[571</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CASH FLOWS FROM FINANCING ACTIVITIES</w:t>
            </w:r>
          </w:p>
        </w:tc>
        <w:tc>
          <w:tcPr>
            <w:tcW w:w="644" w:type="dxa"/>
            <w:tcBorders>
              <w:top w:val="single" w:sz="15" w:space="0" w:color="000000"/>
              <w:bottom w:val="single" w:sz="15" w:space="0" w:color="000000"/>
            </w:tcBorders>
          </w:tcPr>
          <w:p>
            <w:pPr/>
          </w:p>
        </w:tc>
        <w:tc>
          <w:tcPr>
            <w:tcW w:w="644" w:type="dxa"/>
            <w:tcBorders>
              <w:top w:val="single" w:sz="15" w:space="0" w:color="000000"/>
              <w:bottom w:val="single" w:sz="15" w:space="0" w:color="000000"/>
            </w:tcBorders>
          </w:tcPr>
          <w:p>
            <w:pPr/>
          </w:p>
        </w:tc>
        <w:tc>
          <w:tcPr>
            <w:tcW w:w="606" w:type="dxa"/>
            <w:tcBorders>
              <w:top w:val="single" w:sz="15" w:space="0" w:color="000000"/>
              <w:bottom w:val="single" w:sz="15" w:space="0" w:color="000000"/>
            </w:tcBorders>
          </w:tcPr>
          <w:p>
            <w:pPr/>
          </w:p>
        </w:tc>
        <w:tc>
          <w:tcPr>
            <w:tcW w:w="597" w:type="dxa"/>
            <w:tcBorders>
              <w:top w:val="single" w:sz="15" w:space="0" w:color="000000"/>
              <w:bottom w:val="single" w:sz="15" w:space="0" w:color="000000"/>
              <w:right w:val="single" w:sz="15" w:space="0" w:color="000000"/>
            </w:tcBorders>
          </w:tcPr>
          <w:p>
            <w:pPr/>
          </w:p>
        </w:tc>
      </w:tr>
      <w:tr>
        <w:trPr>
          <w:trHeight w:val="275" w:hRule="exact"/>
        </w:trPr>
        <w:tc>
          <w:tcPr>
            <w:tcW w:w="5814" w:type="dxa"/>
            <w:tcBorders>
              <w:top w:val="single" w:sz="15" w:space="0" w:color="000000"/>
            </w:tcBorders>
          </w:tcPr>
          <w:p>
            <w:pPr>
              <w:pStyle w:val="TableParagraph"/>
              <w:spacing w:line="237" w:lineRule="exact"/>
              <w:ind w:left="37"/>
              <w:jc w:val="left"/>
              <w:rPr>
                <w:sz w:val="21"/>
              </w:rPr>
            </w:pPr>
            <w:r>
              <w:rPr>
                <w:sz w:val="21"/>
              </w:rPr>
              <w:t>Dividends paid to owners of the company</w:t>
            </w:r>
          </w:p>
        </w:tc>
        <w:tc>
          <w:tcPr>
            <w:tcW w:w="644" w:type="dxa"/>
            <w:tcBorders>
              <w:top w:val="single" w:sz="15" w:space="0" w:color="000000"/>
            </w:tcBorders>
          </w:tcPr>
          <w:p>
            <w:pPr>
              <w:pStyle w:val="TableParagraph"/>
              <w:spacing w:line="237" w:lineRule="exact"/>
              <w:ind w:left="44" w:right="50"/>
              <w:rPr>
                <w:sz w:val="21"/>
              </w:rPr>
            </w:pPr>
            <w:r>
              <w:rPr>
                <w:w w:val="95"/>
                <w:sz w:val="21"/>
              </w:rPr>
              <w:t>B91</w:t>
            </w:r>
          </w:p>
        </w:tc>
        <w:tc>
          <w:tcPr>
            <w:tcW w:w="644" w:type="dxa"/>
            <w:tcBorders>
              <w:top w:val="single" w:sz="15" w:space="0" w:color="000000"/>
            </w:tcBorders>
          </w:tcPr>
          <w:p>
            <w:pPr>
              <w:pStyle w:val="TableParagraph"/>
              <w:spacing w:line="237" w:lineRule="exact"/>
              <w:ind w:left="7"/>
              <w:rPr>
                <w:sz w:val="21"/>
              </w:rPr>
            </w:pPr>
            <w:r>
              <w:rPr>
                <w:w w:val="56"/>
                <w:sz w:val="21"/>
              </w:rPr>
              <w:t>B</w:t>
            </w:r>
          </w:p>
        </w:tc>
        <w:tc>
          <w:tcPr>
            <w:tcW w:w="606" w:type="dxa"/>
            <w:tcBorders>
              <w:top w:val="single" w:sz="15" w:space="0" w:color="000000"/>
            </w:tcBorders>
          </w:tcPr>
          <w:p>
            <w:pPr>
              <w:pStyle w:val="TableParagraph"/>
              <w:spacing w:line="237" w:lineRule="exact"/>
              <w:ind w:left="7"/>
              <w:rPr>
                <w:sz w:val="21"/>
              </w:rPr>
            </w:pPr>
            <w:r>
              <w:rPr>
                <w:w w:val="56"/>
                <w:sz w:val="21"/>
              </w:rPr>
              <w:t>B</w:t>
            </w:r>
          </w:p>
        </w:tc>
        <w:tc>
          <w:tcPr>
            <w:tcW w:w="597" w:type="dxa"/>
            <w:tcBorders>
              <w:top w:val="single" w:sz="15" w:space="0" w:color="000000"/>
              <w:right w:val="single" w:sz="15" w:space="0" w:color="000000"/>
            </w:tcBorders>
          </w:tcPr>
          <w:p>
            <w:pPr>
              <w:pStyle w:val="TableParagraph"/>
              <w:spacing w:line="237" w:lineRule="exact"/>
              <w:ind w:left="48" w:right="38"/>
              <w:rPr>
                <w:sz w:val="21"/>
              </w:rPr>
            </w:pPr>
            <w:r>
              <w:rPr>
                <w:w w:val="95"/>
                <w:sz w:val="21"/>
              </w:rPr>
              <w:t>B92</w:t>
            </w:r>
          </w:p>
        </w:tc>
      </w:tr>
      <w:tr>
        <w:trPr>
          <w:trHeight w:val="266" w:hRule="exact"/>
        </w:trPr>
        <w:tc>
          <w:tcPr>
            <w:tcW w:w="5814" w:type="dxa"/>
          </w:tcPr>
          <w:p>
            <w:pPr>
              <w:pStyle w:val="TableParagraph"/>
              <w:spacing w:line="237" w:lineRule="exact"/>
              <w:ind w:left="37"/>
              <w:jc w:val="left"/>
              <w:rPr>
                <w:sz w:val="21"/>
              </w:rPr>
            </w:pPr>
            <w:r>
              <w:rPr>
                <w:sz w:val="21"/>
              </w:rPr>
              <w:t>Dividends paid to minority interest in consolidated subsidiaries</w:t>
            </w:r>
          </w:p>
        </w:tc>
        <w:tc>
          <w:tcPr>
            <w:tcW w:w="644" w:type="dxa"/>
          </w:tcPr>
          <w:p>
            <w:pPr>
              <w:pStyle w:val="TableParagraph"/>
              <w:spacing w:line="237" w:lineRule="exact"/>
              <w:ind w:left="44" w:right="50"/>
              <w:rPr>
                <w:sz w:val="21"/>
              </w:rPr>
            </w:pPr>
            <w:r>
              <w:rPr>
                <w:w w:val="95"/>
                <w:sz w:val="21"/>
              </w:rPr>
              <w:t>B19</w:t>
            </w:r>
          </w:p>
        </w:tc>
        <w:tc>
          <w:tcPr>
            <w:tcW w:w="644" w:type="dxa"/>
          </w:tcPr>
          <w:p>
            <w:pPr>
              <w:pStyle w:val="TableParagraph"/>
              <w:spacing w:line="237" w:lineRule="exact"/>
              <w:ind w:left="44" w:right="50"/>
              <w:rPr>
                <w:sz w:val="21"/>
              </w:rPr>
            </w:pPr>
            <w:r>
              <w:rPr>
                <w:w w:val="95"/>
                <w:sz w:val="21"/>
              </w:rPr>
              <w:t>B13</w:t>
            </w:r>
          </w:p>
        </w:tc>
        <w:tc>
          <w:tcPr>
            <w:tcW w:w="606" w:type="dxa"/>
          </w:tcPr>
          <w:p>
            <w:pPr>
              <w:pStyle w:val="TableParagraph"/>
              <w:spacing w:line="237" w:lineRule="exact"/>
              <w:ind w:left="179" w:right="179"/>
              <w:rPr>
                <w:sz w:val="21"/>
              </w:rPr>
            </w:pPr>
            <w:r>
              <w:rPr>
                <w:w w:val="85"/>
                <w:sz w:val="21"/>
              </w:rPr>
              <w:t>B7</w:t>
            </w:r>
          </w:p>
        </w:tc>
        <w:tc>
          <w:tcPr>
            <w:tcW w:w="597" w:type="dxa"/>
            <w:tcBorders>
              <w:right w:val="single" w:sz="15" w:space="0" w:color="000000"/>
            </w:tcBorders>
          </w:tcPr>
          <w:p>
            <w:pPr>
              <w:pStyle w:val="TableParagraph"/>
              <w:spacing w:line="237" w:lineRule="exact"/>
              <w:ind w:left="48" w:right="30"/>
              <w:rPr>
                <w:sz w:val="21"/>
              </w:rPr>
            </w:pPr>
            <w:r>
              <w:rPr>
                <w:w w:val="85"/>
                <w:sz w:val="21"/>
              </w:rPr>
              <w:t>B7</w:t>
            </w:r>
          </w:p>
        </w:tc>
      </w:tr>
      <w:tr>
        <w:trPr>
          <w:trHeight w:val="266" w:hRule="exact"/>
        </w:trPr>
        <w:tc>
          <w:tcPr>
            <w:tcW w:w="5814" w:type="dxa"/>
          </w:tcPr>
          <w:p>
            <w:pPr>
              <w:pStyle w:val="TableParagraph"/>
              <w:spacing w:line="237" w:lineRule="exact"/>
              <w:ind w:left="37"/>
              <w:jc w:val="left"/>
              <w:rPr>
                <w:sz w:val="21"/>
              </w:rPr>
            </w:pPr>
            <w:r>
              <w:rPr>
                <w:sz w:val="21"/>
              </w:rPr>
              <w:t>Issuance of share capital</w:t>
            </w:r>
          </w:p>
        </w:tc>
        <w:tc>
          <w:tcPr>
            <w:tcW w:w="644" w:type="dxa"/>
          </w:tcPr>
          <w:p>
            <w:pPr>
              <w:pStyle w:val="TableParagraph"/>
              <w:spacing w:line="237" w:lineRule="exact"/>
              <w:ind w:left="53" w:right="50"/>
              <w:rPr>
                <w:sz w:val="21"/>
              </w:rPr>
            </w:pPr>
            <w:r>
              <w:rPr>
                <w:sz w:val="21"/>
              </w:rPr>
              <w:t>22</w:t>
            </w:r>
          </w:p>
        </w:tc>
        <w:tc>
          <w:tcPr>
            <w:tcW w:w="644" w:type="dxa"/>
          </w:tcPr>
          <w:p>
            <w:pPr>
              <w:pStyle w:val="TableParagraph"/>
              <w:spacing w:line="237" w:lineRule="exact"/>
              <w:ind w:left="11"/>
              <w:rPr>
                <w:sz w:val="21"/>
              </w:rPr>
            </w:pPr>
            <w:r>
              <w:rPr>
                <w:w w:val="99"/>
                <w:sz w:val="21"/>
              </w:rPr>
              <w:t>8</w:t>
            </w:r>
          </w:p>
        </w:tc>
        <w:tc>
          <w:tcPr>
            <w:tcW w:w="606" w:type="dxa"/>
          </w:tcPr>
          <w:p>
            <w:pPr>
              <w:pStyle w:val="TableParagraph"/>
              <w:spacing w:line="237" w:lineRule="exact"/>
              <w:ind w:left="7"/>
              <w:rPr>
                <w:sz w:val="21"/>
              </w:rPr>
            </w:pPr>
            <w:r>
              <w:rPr>
                <w:w w:val="56"/>
                <w:sz w:val="21"/>
              </w:rPr>
              <w:t>B</w:t>
            </w:r>
          </w:p>
        </w:tc>
        <w:tc>
          <w:tcPr>
            <w:tcW w:w="597" w:type="dxa"/>
            <w:tcBorders>
              <w:right w:val="single" w:sz="15" w:space="0" w:color="000000"/>
            </w:tcBorders>
          </w:tcPr>
          <w:p>
            <w:pPr>
              <w:pStyle w:val="TableParagraph"/>
              <w:spacing w:line="237" w:lineRule="exact"/>
              <w:ind w:left="48" w:right="26"/>
              <w:rPr>
                <w:sz w:val="21"/>
              </w:rPr>
            </w:pPr>
            <w:r>
              <w:rPr>
                <w:sz w:val="21"/>
              </w:rPr>
              <w:t>27</w:t>
            </w:r>
          </w:p>
        </w:tc>
      </w:tr>
      <w:tr>
        <w:trPr>
          <w:trHeight w:val="266" w:hRule="exact"/>
        </w:trPr>
        <w:tc>
          <w:tcPr>
            <w:tcW w:w="5814" w:type="dxa"/>
          </w:tcPr>
          <w:p>
            <w:pPr>
              <w:pStyle w:val="TableParagraph"/>
              <w:spacing w:line="237" w:lineRule="exact"/>
              <w:ind w:left="37"/>
              <w:jc w:val="left"/>
              <w:rPr>
                <w:sz w:val="21"/>
              </w:rPr>
            </w:pPr>
            <w:r>
              <w:rPr>
                <w:sz w:val="21"/>
              </w:rPr>
              <w:t>Sale (purchase) of treasury stock</w:t>
            </w:r>
          </w:p>
        </w:tc>
        <w:tc>
          <w:tcPr>
            <w:tcW w:w="644" w:type="dxa"/>
          </w:tcPr>
          <w:p>
            <w:pPr>
              <w:pStyle w:val="TableParagraph"/>
              <w:spacing w:line="237" w:lineRule="exact"/>
              <w:ind w:left="44" w:right="50"/>
              <w:rPr>
                <w:sz w:val="21"/>
              </w:rPr>
            </w:pPr>
            <w:r>
              <w:rPr>
                <w:w w:val="95"/>
                <w:sz w:val="21"/>
              </w:rPr>
              <w:t>B18</w:t>
            </w:r>
          </w:p>
        </w:tc>
        <w:tc>
          <w:tcPr>
            <w:tcW w:w="644" w:type="dxa"/>
          </w:tcPr>
          <w:p>
            <w:pPr>
              <w:pStyle w:val="TableParagraph"/>
              <w:spacing w:line="237" w:lineRule="exact"/>
              <w:ind w:left="44" w:right="50"/>
              <w:rPr>
                <w:sz w:val="21"/>
              </w:rPr>
            </w:pPr>
            <w:r>
              <w:rPr>
                <w:w w:val="95"/>
                <w:sz w:val="21"/>
              </w:rPr>
              <w:t>B36</w:t>
            </w:r>
          </w:p>
        </w:tc>
        <w:tc>
          <w:tcPr>
            <w:tcW w:w="606" w:type="dxa"/>
          </w:tcPr>
          <w:p>
            <w:pPr>
              <w:pStyle w:val="TableParagraph"/>
              <w:spacing w:line="237" w:lineRule="exact"/>
              <w:ind w:left="11"/>
              <w:rPr>
                <w:sz w:val="21"/>
              </w:rPr>
            </w:pPr>
            <w:r>
              <w:rPr>
                <w:w w:val="99"/>
                <w:sz w:val="21"/>
              </w:rPr>
              <w:t>1</w:t>
            </w:r>
          </w:p>
        </w:tc>
        <w:tc>
          <w:tcPr>
            <w:tcW w:w="597" w:type="dxa"/>
            <w:tcBorders>
              <w:right w:val="single" w:sz="15" w:space="0" w:color="000000"/>
            </w:tcBorders>
          </w:tcPr>
          <w:p>
            <w:pPr>
              <w:pStyle w:val="TableParagraph"/>
              <w:spacing w:line="237" w:lineRule="exact"/>
              <w:ind w:left="30"/>
              <w:rPr>
                <w:sz w:val="21"/>
              </w:rPr>
            </w:pPr>
            <w:r>
              <w:rPr>
                <w:w w:val="99"/>
                <w:sz w:val="21"/>
              </w:rPr>
              <w:t>3</w:t>
            </w:r>
          </w:p>
        </w:tc>
      </w:tr>
      <w:tr>
        <w:trPr>
          <w:trHeight w:val="266" w:hRule="exact"/>
        </w:trPr>
        <w:tc>
          <w:tcPr>
            <w:tcW w:w="5814" w:type="dxa"/>
          </w:tcPr>
          <w:p>
            <w:pPr>
              <w:pStyle w:val="TableParagraph"/>
              <w:spacing w:line="237" w:lineRule="exact"/>
              <w:ind w:left="37"/>
              <w:jc w:val="left"/>
              <w:rPr>
                <w:sz w:val="21"/>
              </w:rPr>
            </w:pPr>
            <w:r>
              <w:rPr>
                <w:sz w:val="21"/>
              </w:rPr>
              <w:t>Issuance of longBterm debt</w:t>
            </w:r>
          </w:p>
        </w:tc>
        <w:tc>
          <w:tcPr>
            <w:tcW w:w="644" w:type="dxa"/>
          </w:tcPr>
          <w:p>
            <w:pPr>
              <w:pStyle w:val="TableParagraph"/>
              <w:spacing w:line="237" w:lineRule="exact"/>
              <w:ind w:left="48" w:right="50"/>
              <w:rPr>
                <w:sz w:val="21"/>
              </w:rPr>
            </w:pPr>
            <w:r>
              <w:rPr>
                <w:sz w:val="21"/>
              </w:rPr>
              <w:t>843</w:t>
            </w:r>
          </w:p>
        </w:tc>
        <w:tc>
          <w:tcPr>
            <w:tcW w:w="644" w:type="dxa"/>
          </w:tcPr>
          <w:p>
            <w:pPr>
              <w:pStyle w:val="TableParagraph"/>
              <w:spacing w:line="237" w:lineRule="exact"/>
              <w:ind w:left="53" w:right="50"/>
              <w:rPr>
                <w:sz w:val="21"/>
              </w:rPr>
            </w:pPr>
            <w:r>
              <w:rPr>
                <w:sz w:val="21"/>
              </w:rPr>
              <w:t>28</w:t>
            </w:r>
          </w:p>
        </w:tc>
        <w:tc>
          <w:tcPr>
            <w:tcW w:w="606" w:type="dxa"/>
          </w:tcPr>
          <w:p>
            <w:pPr>
              <w:pStyle w:val="TableParagraph"/>
              <w:spacing w:line="237" w:lineRule="exact"/>
              <w:ind w:left="11"/>
              <w:rPr>
                <w:sz w:val="21"/>
              </w:rPr>
            </w:pPr>
            <w:r>
              <w:rPr>
                <w:w w:val="99"/>
                <w:sz w:val="21"/>
              </w:rPr>
              <w:t>8</w:t>
            </w:r>
          </w:p>
        </w:tc>
        <w:tc>
          <w:tcPr>
            <w:tcW w:w="597" w:type="dxa"/>
            <w:tcBorders>
              <w:right w:val="single" w:sz="15" w:space="0" w:color="000000"/>
            </w:tcBorders>
          </w:tcPr>
          <w:p>
            <w:pPr>
              <w:pStyle w:val="TableParagraph"/>
              <w:spacing w:line="237" w:lineRule="exact"/>
              <w:ind w:left="48" w:right="38"/>
              <w:rPr>
                <w:sz w:val="21"/>
              </w:rPr>
            </w:pPr>
            <w:r>
              <w:rPr>
                <w:w w:val="95"/>
                <w:sz w:val="21"/>
              </w:rPr>
              <w:t>B39</w:t>
            </w:r>
          </w:p>
        </w:tc>
      </w:tr>
      <w:tr>
        <w:trPr>
          <w:trHeight w:val="266" w:hRule="exact"/>
        </w:trPr>
        <w:tc>
          <w:tcPr>
            <w:tcW w:w="5814" w:type="dxa"/>
          </w:tcPr>
          <w:p>
            <w:pPr>
              <w:pStyle w:val="TableParagraph"/>
              <w:spacing w:line="237" w:lineRule="exact"/>
              <w:ind w:left="37"/>
              <w:jc w:val="left"/>
              <w:rPr>
                <w:sz w:val="21"/>
              </w:rPr>
            </w:pPr>
            <w:r>
              <w:rPr>
                <w:sz w:val="21"/>
              </w:rPr>
              <w:t>Interest paid</w:t>
            </w:r>
          </w:p>
        </w:tc>
        <w:tc>
          <w:tcPr>
            <w:tcW w:w="644" w:type="dxa"/>
          </w:tcPr>
          <w:p>
            <w:pPr>
              <w:pStyle w:val="TableParagraph"/>
              <w:spacing w:line="237" w:lineRule="exact"/>
              <w:ind w:left="44" w:right="50"/>
              <w:rPr>
                <w:sz w:val="21"/>
              </w:rPr>
            </w:pPr>
            <w:r>
              <w:rPr>
                <w:w w:val="95"/>
                <w:sz w:val="21"/>
              </w:rPr>
              <w:t>B74</w:t>
            </w:r>
          </w:p>
        </w:tc>
        <w:tc>
          <w:tcPr>
            <w:tcW w:w="644" w:type="dxa"/>
          </w:tcPr>
          <w:p>
            <w:pPr>
              <w:pStyle w:val="TableParagraph"/>
              <w:spacing w:line="237" w:lineRule="exact"/>
              <w:ind w:left="44" w:right="50"/>
              <w:rPr>
                <w:sz w:val="21"/>
              </w:rPr>
            </w:pPr>
            <w:r>
              <w:rPr>
                <w:w w:val="95"/>
                <w:sz w:val="21"/>
              </w:rPr>
              <w:t>B65</w:t>
            </w:r>
          </w:p>
        </w:tc>
        <w:tc>
          <w:tcPr>
            <w:tcW w:w="606" w:type="dxa"/>
          </w:tcPr>
          <w:p>
            <w:pPr>
              <w:pStyle w:val="TableParagraph"/>
              <w:spacing w:line="237" w:lineRule="exact"/>
              <w:ind w:right="134"/>
              <w:jc w:val="right"/>
              <w:rPr>
                <w:sz w:val="21"/>
              </w:rPr>
            </w:pPr>
            <w:r>
              <w:rPr>
                <w:w w:val="95"/>
                <w:sz w:val="21"/>
              </w:rPr>
              <w:t>228</w:t>
            </w:r>
          </w:p>
        </w:tc>
        <w:tc>
          <w:tcPr>
            <w:tcW w:w="597" w:type="dxa"/>
            <w:tcBorders>
              <w:right w:val="single" w:sz="15" w:space="0" w:color="000000"/>
            </w:tcBorders>
          </w:tcPr>
          <w:p>
            <w:pPr>
              <w:pStyle w:val="TableParagraph"/>
              <w:spacing w:line="237" w:lineRule="exact"/>
              <w:ind w:left="30"/>
              <w:rPr>
                <w:sz w:val="21"/>
              </w:rPr>
            </w:pPr>
            <w:r>
              <w:rPr>
                <w:w w:val="99"/>
                <w:sz w:val="21"/>
              </w:rPr>
              <w:t>8</w:t>
            </w:r>
          </w:p>
        </w:tc>
      </w:tr>
      <w:tr>
        <w:trPr>
          <w:trHeight w:val="266" w:hRule="exact"/>
        </w:trPr>
        <w:tc>
          <w:tcPr>
            <w:tcW w:w="5814" w:type="dxa"/>
          </w:tcPr>
          <w:p>
            <w:pPr>
              <w:pStyle w:val="TableParagraph"/>
              <w:spacing w:line="237" w:lineRule="exact"/>
              <w:ind w:left="37"/>
              <w:jc w:val="left"/>
              <w:rPr>
                <w:sz w:val="21"/>
              </w:rPr>
            </w:pPr>
            <w:r>
              <w:rPr>
                <w:sz w:val="21"/>
              </w:rPr>
              <w:t>Interest received</w:t>
            </w:r>
          </w:p>
        </w:tc>
        <w:tc>
          <w:tcPr>
            <w:tcW w:w="644" w:type="dxa"/>
          </w:tcPr>
          <w:p>
            <w:pPr>
              <w:pStyle w:val="TableParagraph"/>
              <w:spacing w:line="237" w:lineRule="exact"/>
              <w:ind w:left="53" w:right="50"/>
              <w:rPr>
                <w:sz w:val="21"/>
              </w:rPr>
            </w:pPr>
            <w:r>
              <w:rPr>
                <w:sz w:val="21"/>
              </w:rPr>
              <w:t>17</w:t>
            </w:r>
          </w:p>
        </w:tc>
        <w:tc>
          <w:tcPr>
            <w:tcW w:w="644" w:type="dxa"/>
          </w:tcPr>
          <w:p>
            <w:pPr>
              <w:pStyle w:val="TableParagraph"/>
              <w:spacing w:line="237" w:lineRule="exact"/>
              <w:ind w:left="53" w:right="50"/>
              <w:rPr>
                <w:sz w:val="21"/>
              </w:rPr>
            </w:pPr>
            <w:r>
              <w:rPr>
                <w:sz w:val="21"/>
              </w:rPr>
              <w:t>13</w:t>
            </w:r>
          </w:p>
        </w:tc>
        <w:tc>
          <w:tcPr>
            <w:tcW w:w="606" w:type="dxa"/>
          </w:tcPr>
          <w:p>
            <w:pPr>
              <w:pStyle w:val="TableParagraph"/>
              <w:spacing w:line="237" w:lineRule="exact"/>
              <w:ind w:right="157"/>
              <w:jc w:val="right"/>
              <w:rPr>
                <w:sz w:val="21"/>
              </w:rPr>
            </w:pPr>
            <w:r>
              <w:rPr>
                <w:w w:val="80"/>
                <w:sz w:val="21"/>
              </w:rPr>
              <w:t>B52</w:t>
            </w:r>
          </w:p>
        </w:tc>
        <w:tc>
          <w:tcPr>
            <w:tcW w:w="597" w:type="dxa"/>
            <w:tcBorders>
              <w:right w:val="single" w:sz="15" w:space="0" w:color="000000"/>
            </w:tcBorders>
          </w:tcPr>
          <w:p>
            <w:pPr>
              <w:pStyle w:val="TableParagraph"/>
              <w:spacing w:line="237" w:lineRule="exact"/>
              <w:ind w:left="48" w:right="38"/>
              <w:rPr>
                <w:sz w:val="21"/>
              </w:rPr>
            </w:pPr>
            <w:r>
              <w:rPr>
                <w:w w:val="95"/>
                <w:sz w:val="21"/>
              </w:rPr>
              <w:t>B51</w:t>
            </w:r>
          </w:p>
        </w:tc>
      </w:tr>
      <w:tr>
        <w:trPr>
          <w:trHeight w:val="266" w:hRule="exact"/>
        </w:trPr>
        <w:tc>
          <w:tcPr>
            <w:tcW w:w="5814" w:type="dxa"/>
          </w:tcPr>
          <w:p>
            <w:pPr>
              <w:pStyle w:val="TableParagraph"/>
              <w:spacing w:line="237" w:lineRule="exact"/>
              <w:ind w:left="37"/>
              <w:jc w:val="left"/>
              <w:rPr>
                <w:sz w:val="21"/>
              </w:rPr>
            </w:pPr>
            <w:r>
              <w:rPr>
                <w:sz w:val="21"/>
              </w:rPr>
              <w:t>Repayments of longBterm debt</w:t>
            </w:r>
          </w:p>
        </w:tc>
        <w:tc>
          <w:tcPr>
            <w:tcW w:w="644" w:type="dxa"/>
          </w:tcPr>
          <w:p>
            <w:pPr>
              <w:pStyle w:val="TableParagraph"/>
              <w:spacing w:line="237" w:lineRule="exact"/>
              <w:ind w:left="37" w:right="50"/>
              <w:rPr>
                <w:sz w:val="21"/>
              </w:rPr>
            </w:pPr>
            <w:r>
              <w:rPr>
                <w:sz w:val="21"/>
              </w:rPr>
              <w:t>B681</w:t>
            </w:r>
          </w:p>
        </w:tc>
        <w:tc>
          <w:tcPr>
            <w:tcW w:w="644" w:type="dxa"/>
          </w:tcPr>
          <w:p>
            <w:pPr>
              <w:pStyle w:val="TableParagraph"/>
              <w:spacing w:line="237" w:lineRule="exact"/>
              <w:ind w:left="44" w:right="50"/>
              <w:rPr>
                <w:sz w:val="21"/>
              </w:rPr>
            </w:pPr>
            <w:r>
              <w:rPr>
                <w:w w:val="95"/>
                <w:sz w:val="21"/>
              </w:rPr>
              <w:t>B11</w:t>
            </w:r>
          </w:p>
        </w:tc>
        <w:tc>
          <w:tcPr>
            <w:tcW w:w="606" w:type="dxa"/>
          </w:tcPr>
          <w:p>
            <w:pPr>
              <w:pStyle w:val="TableParagraph"/>
              <w:spacing w:line="237" w:lineRule="exact"/>
              <w:ind w:left="11"/>
              <w:rPr>
                <w:sz w:val="21"/>
              </w:rPr>
            </w:pPr>
            <w:r>
              <w:rPr>
                <w:w w:val="99"/>
                <w:sz w:val="21"/>
              </w:rPr>
              <w:t>4</w:t>
            </w:r>
          </w:p>
        </w:tc>
        <w:tc>
          <w:tcPr>
            <w:tcW w:w="597" w:type="dxa"/>
            <w:tcBorders>
              <w:right w:val="single" w:sz="15" w:space="0" w:color="000000"/>
            </w:tcBorders>
          </w:tcPr>
          <w:p>
            <w:pPr>
              <w:pStyle w:val="TableParagraph"/>
              <w:spacing w:line="237" w:lineRule="exact"/>
              <w:ind w:left="48" w:right="26"/>
              <w:rPr>
                <w:sz w:val="21"/>
              </w:rPr>
            </w:pPr>
            <w:r>
              <w:rPr>
                <w:sz w:val="21"/>
              </w:rPr>
              <w:t>17</w:t>
            </w:r>
          </w:p>
        </w:tc>
      </w:tr>
      <w:tr>
        <w:trPr>
          <w:trHeight w:val="266" w:hRule="exact"/>
        </w:trPr>
        <w:tc>
          <w:tcPr>
            <w:tcW w:w="5814" w:type="dxa"/>
          </w:tcPr>
          <w:p>
            <w:pPr>
              <w:pStyle w:val="TableParagraph"/>
              <w:spacing w:line="237" w:lineRule="exact"/>
              <w:ind w:left="37"/>
              <w:jc w:val="left"/>
              <w:rPr>
                <w:sz w:val="21"/>
              </w:rPr>
            </w:pPr>
            <w:r>
              <w:rPr>
                <w:sz w:val="21"/>
              </w:rPr>
              <w:t>Acquisition of nonBcontrolling interests</w:t>
            </w:r>
          </w:p>
        </w:tc>
        <w:tc>
          <w:tcPr>
            <w:tcW w:w="644" w:type="dxa"/>
          </w:tcPr>
          <w:p>
            <w:pPr>
              <w:pStyle w:val="TableParagraph"/>
              <w:spacing w:line="237" w:lineRule="exact"/>
              <w:ind w:left="11"/>
              <w:rPr>
                <w:sz w:val="21"/>
              </w:rPr>
            </w:pPr>
            <w:r>
              <w:rPr>
                <w:w w:val="99"/>
                <w:sz w:val="21"/>
              </w:rPr>
              <w:t>0</w:t>
            </w:r>
          </w:p>
        </w:tc>
        <w:tc>
          <w:tcPr>
            <w:tcW w:w="644" w:type="dxa"/>
          </w:tcPr>
          <w:p>
            <w:pPr>
              <w:pStyle w:val="TableParagraph"/>
              <w:spacing w:line="237" w:lineRule="exact"/>
              <w:ind w:left="50" w:right="50"/>
              <w:rPr>
                <w:sz w:val="21"/>
              </w:rPr>
            </w:pPr>
            <w:r>
              <w:rPr>
                <w:w w:val="85"/>
                <w:sz w:val="21"/>
              </w:rPr>
              <w:t>B8</w:t>
            </w:r>
          </w:p>
        </w:tc>
        <w:tc>
          <w:tcPr>
            <w:tcW w:w="606" w:type="dxa"/>
          </w:tcPr>
          <w:p>
            <w:pPr>
              <w:pStyle w:val="TableParagraph"/>
              <w:spacing w:line="237" w:lineRule="exact"/>
              <w:ind w:left="179" w:right="179"/>
              <w:rPr>
                <w:sz w:val="21"/>
              </w:rPr>
            </w:pPr>
            <w:r>
              <w:rPr>
                <w:w w:val="85"/>
                <w:sz w:val="21"/>
              </w:rPr>
              <w:t>B6</w:t>
            </w:r>
          </w:p>
        </w:tc>
        <w:tc>
          <w:tcPr>
            <w:tcW w:w="597" w:type="dxa"/>
            <w:tcBorders>
              <w:right w:val="single" w:sz="15" w:space="0" w:color="000000"/>
            </w:tcBorders>
          </w:tcPr>
          <w:p>
            <w:pPr>
              <w:pStyle w:val="TableParagraph"/>
              <w:spacing w:line="237" w:lineRule="exact"/>
              <w:ind w:left="48" w:right="30"/>
              <w:rPr>
                <w:sz w:val="21"/>
              </w:rPr>
            </w:pPr>
            <w:r>
              <w:rPr>
                <w:w w:val="85"/>
                <w:sz w:val="21"/>
              </w:rPr>
              <w:t>B9</w:t>
            </w:r>
          </w:p>
        </w:tc>
      </w:tr>
      <w:tr>
        <w:trPr>
          <w:trHeight w:val="275" w:hRule="exact"/>
        </w:trPr>
        <w:tc>
          <w:tcPr>
            <w:tcW w:w="5814" w:type="dxa"/>
            <w:tcBorders>
              <w:bottom w:val="single" w:sz="15" w:space="0" w:color="000000"/>
            </w:tcBorders>
          </w:tcPr>
          <w:p>
            <w:pPr>
              <w:pStyle w:val="TableParagraph"/>
              <w:spacing w:line="237" w:lineRule="exact"/>
              <w:ind w:left="37"/>
              <w:jc w:val="left"/>
              <w:rPr>
                <w:b/>
                <w:sz w:val="21"/>
              </w:rPr>
            </w:pPr>
            <w:r>
              <w:rPr>
                <w:b/>
                <w:sz w:val="21"/>
              </w:rPr>
              <w:t>Net cash from (used in) financing activities</w:t>
            </w:r>
          </w:p>
        </w:tc>
        <w:tc>
          <w:tcPr>
            <w:tcW w:w="644" w:type="dxa"/>
            <w:tcBorders>
              <w:bottom w:val="single" w:sz="15" w:space="0" w:color="000000"/>
            </w:tcBorders>
          </w:tcPr>
          <w:p>
            <w:pPr>
              <w:pStyle w:val="TableParagraph"/>
              <w:spacing w:line="237" w:lineRule="exact"/>
              <w:ind w:left="50" w:right="50"/>
              <w:rPr>
                <w:b/>
                <w:sz w:val="21"/>
              </w:rPr>
            </w:pPr>
            <w:r>
              <w:rPr>
                <w:b/>
                <w:sz w:val="21"/>
              </w:rPr>
              <w:t>[1</w:t>
            </w:r>
          </w:p>
        </w:tc>
        <w:tc>
          <w:tcPr>
            <w:tcW w:w="644" w:type="dxa"/>
            <w:tcBorders>
              <w:bottom w:val="single" w:sz="15" w:space="0" w:color="000000"/>
            </w:tcBorders>
          </w:tcPr>
          <w:p>
            <w:pPr>
              <w:pStyle w:val="TableParagraph"/>
              <w:spacing w:line="237" w:lineRule="exact"/>
              <w:ind w:left="44" w:right="50"/>
              <w:rPr>
                <w:b/>
                <w:sz w:val="21"/>
              </w:rPr>
            </w:pPr>
            <w:r>
              <w:rPr>
                <w:b/>
                <w:sz w:val="21"/>
              </w:rPr>
              <w:t>[84</w:t>
            </w:r>
          </w:p>
        </w:tc>
        <w:tc>
          <w:tcPr>
            <w:tcW w:w="606" w:type="dxa"/>
            <w:tcBorders>
              <w:bottom w:val="single" w:sz="15" w:space="0" w:color="000000"/>
            </w:tcBorders>
          </w:tcPr>
          <w:p>
            <w:pPr>
              <w:pStyle w:val="TableParagraph"/>
              <w:spacing w:line="237" w:lineRule="exact"/>
              <w:ind w:right="134"/>
              <w:jc w:val="right"/>
              <w:rPr>
                <w:b/>
                <w:sz w:val="21"/>
              </w:rPr>
            </w:pPr>
            <w:r>
              <w:rPr>
                <w:b/>
                <w:w w:val="95"/>
                <w:sz w:val="21"/>
              </w:rPr>
              <w:t>176</w:t>
            </w:r>
          </w:p>
        </w:tc>
        <w:tc>
          <w:tcPr>
            <w:tcW w:w="597" w:type="dxa"/>
            <w:tcBorders>
              <w:bottom w:val="single" w:sz="15" w:space="0" w:color="000000"/>
              <w:right w:val="single" w:sz="15" w:space="0" w:color="000000"/>
            </w:tcBorders>
          </w:tcPr>
          <w:p>
            <w:pPr>
              <w:pStyle w:val="TableParagraph"/>
              <w:spacing w:line="237" w:lineRule="exact"/>
              <w:ind w:left="48" w:right="45"/>
              <w:rPr>
                <w:b/>
                <w:sz w:val="21"/>
              </w:rPr>
            </w:pPr>
            <w:r>
              <w:rPr>
                <w:b/>
                <w:sz w:val="21"/>
              </w:rPr>
              <w:t>[143</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Effect of exchange rate changes on cash</w:t>
            </w:r>
          </w:p>
        </w:tc>
        <w:tc>
          <w:tcPr>
            <w:tcW w:w="644" w:type="dxa"/>
            <w:tcBorders>
              <w:top w:val="single" w:sz="15" w:space="0" w:color="000000"/>
              <w:bottom w:val="single" w:sz="15" w:space="0" w:color="000000"/>
            </w:tcBorders>
          </w:tcPr>
          <w:p>
            <w:pPr>
              <w:pStyle w:val="TableParagraph"/>
              <w:spacing w:line="237" w:lineRule="exact"/>
              <w:ind w:left="11"/>
              <w:rPr>
                <w:b/>
                <w:sz w:val="21"/>
              </w:rPr>
            </w:pPr>
            <w:r>
              <w:rPr>
                <w:b/>
                <w:w w:val="99"/>
                <w:sz w:val="21"/>
              </w:rPr>
              <w:t>1</w:t>
            </w:r>
          </w:p>
        </w:tc>
        <w:tc>
          <w:tcPr>
            <w:tcW w:w="644" w:type="dxa"/>
            <w:tcBorders>
              <w:top w:val="single" w:sz="15" w:space="0" w:color="000000"/>
              <w:bottom w:val="single" w:sz="15" w:space="0" w:color="000000"/>
            </w:tcBorders>
          </w:tcPr>
          <w:p>
            <w:pPr>
              <w:pStyle w:val="TableParagraph"/>
              <w:spacing w:line="237" w:lineRule="exact"/>
              <w:ind w:left="11"/>
              <w:rPr>
                <w:b/>
                <w:sz w:val="21"/>
              </w:rPr>
            </w:pPr>
            <w:r>
              <w:rPr>
                <w:b/>
                <w:w w:val="99"/>
                <w:sz w:val="21"/>
              </w:rPr>
              <w:t>7</w:t>
            </w:r>
          </w:p>
        </w:tc>
        <w:tc>
          <w:tcPr>
            <w:tcW w:w="606" w:type="dxa"/>
            <w:tcBorders>
              <w:top w:val="single" w:sz="15" w:space="0" w:color="000000"/>
              <w:bottom w:val="single" w:sz="15" w:space="0" w:color="000000"/>
            </w:tcBorders>
          </w:tcPr>
          <w:p>
            <w:pPr>
              <w:pStyle w:val="TableParagraph"/>
              <w:spacing w:line="237" w:lineRule="exact"/>
              <w:ind w:left="189"/>
              <w:jc w:val="left"/>
              <w:rPr>
                <w:b/>
                <w:sz w:val="21"/>
              </w:rPr>
            </w:pPr>
            <w:r>
              <w:rPr>
                <w:b/>
                <w:sz w:val="21"/>
              </w:rPr>
              <w:t>14</w:t>
            </w:r>
          </w:p>
        </w:tc>
        <w:tc>
          <w:tcPr>
            <w:tcW w:w="597" w:type="dxa"/>
            <w:tcBorders>
              <w:top w:val="single" w:sz="15" w:space="0" w:color="000000"/>
              <w:bottom w:val="single" w:sz="15" w:space="0" w:color="000000"/>
              <w:right w:val="single" w:sz="15" w:space="0" w:color="000000"/>
            </w:tcBorders>
          </w:tcPr>
          <w:p>
            <w:pPr>
              <w:pStyle w:val="TableParagraph"/>
              <w:spacing w:line="237" w:lineRule="exact"/>
              <w:ind w:left="48" w:right="38"/>
              <w:rPr>
                <w:b/>
                <w:sz w:val="21"/>
              </w:rPr>
            </w:pPr>
            <w:r>
              <w:rPr>
                <w:b/>
                <w:sz w:val="21"/>
              </w:rPr>
              <w:t>[33</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NET CHANGE IN CASH AND CASH EQUIVALENTS</w:t>
            </w:r>
          </w:p>
        </w:tc>
        <w:tc>
          <w:tcPr>
            <w:tcW w:w="644" w:type="dxa"/>
            <w:tcBorders>
              <w:top w:val="single" w:sz="15" w:space="0" w:color="000000"/>
              <w:bottom w:val="single" w:sz="15" w:space="0" w:color="000000"/>
            </w:tcBorders>
          </w:tcPr>
          <w:p>
            <w:pPr>
              <w:pStyle w:val="TableParagraph"/>
              <w:spacing w:line="237" w:lineRule="exact"/>
              <w:ind w:left="44" w:right="50"/>
              <w:rPr>
                <w:b/>
                <w:sz w:val="21"/>
              </w:rPr>
            </w:pPr>
            <w:r>
              <w:rPr>
                <w:b/>
                <w:sz w:val="21"/>
              </w:rPr>
              <w:t>[19</w:t>
            </w:r>
          </w:p>
        </w:tc>
        <w:tc>
          <w:tcPr>
            <w:tcW w:w="644" w:type="dxa"/>
            <w:tcBorders>
              <w:top w:val="single" w:sz="15" w:space="0" w:color="000000"/>
              <w:bottom w:val="single" w:sz="15" w:space="0" w:color="000000"/>
            </w:tcBorders>
          </w:tcPr>
          <w:p>
            <w:pPr>
              <w:pStyle w:val="TableParagraph"/>
              <w:spacing w:line="237" w:lineRule="exact"/>
              <w:ind w:left="48" w:right="50"/>
              <w:rPr>
                <w:b/>
                <w:sz w:val="21"/>
              </w:rPr>
            </w:pPr>
            <w:r>
              <w:rPr>
                <w:b/>
                <w:sz w:val="21"/>
              </w:rPr>
              <w:t>452</w:t>
            </w:r>
          </w:p>
        </w:tc>
        <w:tc>
          <w:tcPr>
            <w:tcW w:w="606" w:type="dxa"/>
            <w:tcBorders>
              <w:top w:val="single" w:sz="15" w:space="0" w:color="000000"/>
              <w:bottom w:val="single" w:sz="15" w:space="0" w:color="000000"/>
            </w:tcBorders>
          </w:tcPr>
          <w:p>
            <w:pPr>
              <w:pStyle w:val="TableParagraph"/>
              <w:spacing w:line="237" w:lineRule="exact"/>
              <w:ind w:right="134"/>
              <w:jc w:val="right"/>
              <w:rPr>
                <w:b/>
                <w:sz w:val="21"/>
              </w:rPr>
            </w:pPr>
            <w:r>
              <w:rPr>
                <w:b/>
                <w:w w:val="95"/>
                <w:sz w:val="21"/>
              </w:rPr>
              <w:t>292</w:t>
            </w:r>
          </w:p>
        </w:tc>
        <w:tc>
          <w:tcPr>
            <w:tcW w:w="597" w:type="dxa"/>
            <w:tcBorders>
              <w:top w:val="single" w:sz="15" w:space="0" w:color="000000"/>
              <w:bottom w:val="single" w:sz="15" w:space="0" w:color="000000"/>
              <w:right w:val="single" w:sz="15" w:space="0" w:color="000000"/>
            </w:tcBorders>
          </w:tcPr>
          <w:p>
            <w:pPr>
              <w:pStyle w:val="TableParagraph"/>
              <w:spacing w:line="237" w:lineRule="exact"/>
              <w:ind w:left="48" w:right="38"/>
              <w:rPr>
                <w:b/>
                <w:sz w:val="21"/>
              </w:rPr>
            </w:pPr>
            <w:r>
              <w:rPr>
                <w:b/>
                <w:sz w:val="21"/>
              </w:rPr>
              <w:t>[16</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Net cash and cash equivalents at beginning of period</w:t>
            </w:r>
          </w:p>
        </w:tc>
        <w:tc>
          <w:tcPr>
            <w:tcW w:w="644" w:type="dxa"/>
            <w:tcBorders>
              <w:top w:val="single" w:sz="15" w:space="0" w:color="000000"/>
              <w:bottom w:val="single" w:sz="15" w:space="0" w:color="000000"/>
            </w:tcBorders>
          </w:tcPr>
          <w:p>
            <w:pPr>
              <w:pStyle w:val="TableParagraph"/>
              <w:spacing w:line="237" w:lineRule="exact"/>
              <w:ind w:left="54" w:right="50"/>
              <w:rPr>
                <w:b/>
                <w:sz w:val="21"/>
              </w:rPr>
            </w:pPr>
            <w:r>
              <w:rPr>
                <w:b/>
                <w:sz w:val="21"/>
              </w:rPr>
              <w:t>1,239</w:t>
            </w:r>
          </w:p>
        </w:tc>
        <w:tc>
          <w:tcPr>
            <w:tcW w:w="644" w:type="dxa"/>
            <w:tcBorders>
              <w:top w:val="single" w:sz="15" w:space="0" w:color="000000"/>
              <w:bottom w:val="single" w:sz="15" w:space="0" w:color="000000"/>
            </w:tcBorders>
          </w:tcPr>
          <w:p>
            <w:pPr>
              <w:pStyle w:val="TableParagraph"/>
              <w:spacing w:line="237" w:lineRule="exact"/>
              <w:ind w:left="48" w:right="50"/>
              <w:rPr>
                <w:b/>
                <w:sz w:val="21"/>
              </w:rPr>
            </w:pPr>
            <w:r>
              <w:rPr>
                <w:b/>
                <w:sz w:val="21"/>
              </w:rPr>
              <w:t>787</w:t>
            </w:r>
          </w:p>
        </w:tc>
        <w:tc>
          <w:tcPr>
            <w:tcW w:w="606" w:type="dxa"/>
            <w:tcBorders>
              <w:top w:val="single" w:sz="15" w:space="0" w:color="000000"/>
              <w:bottom w:val="single" w:sz="15" w:space="0" w:color="000000"/>
            </w:tcBorders>
          </w:tcPr>
          <w:p>
            <w:pPr>
              <w:pStyle w:val="TableParagraph"/>
              <w:spacing w:line="237" w:lineRule="exact"/>
              <w:ind w:right="134"/>
              <w:jc w:val="right"/>
              <w:rPr>
                <w:b/>
                <w:sz w:val="21"/>
              </w:rPr>
            </w:pPr>
            <w:r>
              <w:rPr>
                <w:b/>
                <w:w w:val="95"/>
                <w:sz w:val="21"/>
              </w:rPr>
              <w:t>495</w:t>
            </w:r>
          </w:p>
        </w:tc>
        <w:tc>
          <w:tcPr>
            <w:tcW w:w="597" w:type="dxa"/>
            <w:tcBorders>
              <w:top w:val="single" w:sz="15" w:space="0" w:color="000000"/>
              <w:bottom w:val="single" w:sz="15" w:space="0" w:color="000000"/>
              <w:right w:val="single" w:sz="15" w:space="0" w:color="000000"/>
            </w:tcBorders>
          </w:tcPr>
          <w:p>
            <w:pPr>
              <w:pStyle w:val="TableParagraph"/>
              <w:spacing w:line="237" w:lineRule="exact"/>
              <w:ind w:left="48" w:right="34"/>
              <w:rPr>
                <w:b/>
                <w:sz w:val="21"/>
              </w:rPr>
            </w:pPr>
            <w:r>
              <w:rPr>
                <w:b/>
                <w:sz w:val="21"/>
              </w:rPr>
              <w:t>511</w:t>
            </w:r>
          </w:p>
        </w:tc>
      </w:tr>
      <w:tr>
        <w:trPr>
          <w:trHeight w:val="285" w:hRule="exact"/>
        </w:trPr>
        <w:tc>
          <w:tcPr>
            <w:tcW w:w="5814" w:type="dxa"/>
            <w:tcBorders>
              <w:top w:val="single" w:sz="15" w:space="0" w:color="000000"/>
              <w:bottom w:val="single" w:sz="15" w:space="0" w:color="000000"/>
            </w:tcBorders>
          </w:tcPr>
          <w:p>
            <w:pPr>
              <w:pStyle w:val="TableParagraph"/>
              <w:spacing w:line="237" w:lineRule="exact"/>
              <w:ind w:left="37"/>
              <w:jc w:val="left"/>
              <w:rPr>
                <w:b/>
                <w:sz w:val="21"/>
              </w:rPr>
            </w:pPr>
            <w:r>
              <w:rPr>
                <w:b/>
                <w:sz w:val="21"/>
              </w:rPr>
              <w:t>Net cash and cash equivalents at end of period</w:t>
            </w:r>
          </w:p>
        </w:tc>
        <w:tc>
          <w:tcPr>
            <w:tcW w:w="644" w:type="dxa"/>
            <w:tcBorders>
              <w:top w:val="single" w:sz="15" w:space="0" w:color="000000"/>
              <w:bottom w:val="single" w:sz="15" w:space="0" w:color="000000"/>
            </w:tcBorders>
          </w:tcPr>
          <w:p>
            <w:pPr>
              <w:pStyle w:val="TableParagraph"/>
              <w:spacing w:line="237" w:lineRule="exact"/>
              <w:ind w:left="54" w:right="50"/>
              <w:rPr>
                <w:b/>
                <w:sz w:val="21"/>
              </w:rPr>
            </w:pPr>
            <w:r>
              <w:rPr>
                <w:b/>
                <w:sz w:val="21"/>
              </w:rPr>
              <w:t>1,220</w:t>
            </w:r>
          </w:p>
        </w:tc>
        <w:tc>
          <w:tcPr>
            <w:tcW w:w="644" w:type="dxa"/>
            <w:tcBorders>
              <w:top w:val="single" w:sz="15" w:space="0" w:color="000000"/>
              <w:bottom w:val="single" w:sz="15" w:space="0" w:color="000000"/>
            </w:tcBorders>
          </w:tcPr>
          <w:p>
            <w:pPr>
              <w:pStyle w:val="TableParagraph"/>
              <w:spacing w:line="237" w:lineRule="exact"/>
              <w:ind w:left="54" w:right="50"/>
              <w:rPr>
                <w:b/>
                <w:sz w:val="21"/>
              </w:rPr>
            </w:pPr>
            <w:r>
              <w:rPr>
                <w:b/>
                <w:sz w:val="21"/>
              </w:rPr>
              <w:t>1,239</w:t>
            </w:r>
          </w:p>
        </w:tc>
        <w:tc>
          <w:tcPr>
            <w:tcW w:w="606" w:type="dxa"/>
            <w:tcBorders>
              <w:top w:val="single" w:sz="15" w:space="0" w:color="000000"/>
              <w:bottom w:val="single" w:sz="15" w:space="0" w:color="000000"/>
            </w:tcBorders>
          </w:tcPr>
          <w:p>
            <w:pPr>
              <w:pStyle w:val="TableParagraph"/>
              <w:spacing w:line="237" w:lineRule="exact"/>
              <w:ind w:right="134"/>
              <w:jc w:val="right"/>
              <w:rPr>
                <w:b/>
                <w:sz w:val="21"/>
              </w:rPr>
            </w:pPr>
            <w:r>
              <w:rPr>
                <w:b/>
                <w:w w:val="95"/>
                <w:sz w:val="21"/>
              </w:rPr>
              <w:t>787</w:t>
            </w:r>
          </w:p>
        </w:tc>
        <w:tc>
          <w:tcPr>
            <w:tcW w:w="597" w:type="dxa"/>
            <w:tcBorders>
              <w:top w:val="single" w:sz="15" w:space="0" w:color="000000"/>
              <w:bottom w:val="single" w:sz="15" w:space="0" w:color="000000"/>
              <w:right w:val="single" w:sz="15" w:space="0" w:color="000000"/>
            </w:tcBorders>
          </w:tcPr>
          <w:p>
            <w:pPr>
              <w:pStyle w:val="TableParagraph"/>
              <w:spacing w:line="237" w:lineRule="exact"/>
              <w:ind w:left="48" w:right="34"/>
              <w:rPr>
                <w:b/>
                <w:sz w:val="21"/>
              </w:rPr>
            </w:pPr>
            <w:r>
              <w:rPr>
                <w:b/>
                <w:sz w:val="21"/>
              </w:rPr>
              <w:t>495</w:t>
            </w:r>
          </w:p>
        </w:tc>
      </w:tr>
      <w:tr>
        <w:trPr>
          <w:trHeight w:val="275" w:hRule="exact"/>
        </w:trPr>
        <w:tc>
          <w:tcPr>
            <w:tcW w:w="5814" w:type="dxa"/>
            <w:tcBorders>
              <w:top w:val="single" w:sz="15" w:space="0" w:color="000000"/>
            </w:tcBorders>
          </w:tcPr>
          <w:p>
            <w:pPr>
              <w:pStyle w:val="TableParagraph"/>
              <w:spacing w:line="237" w:lineRule="exact"/>
              <w:ind w:left="37"/>
              <w:jc w:val="left"/>
              <w:rPr>
                <w:sz w:val="21"/>
              </w:rPr>
            </w:pPr>
            <w:r>
              <w:rPr>
                <w:sz w:val="21"/>
              </w:rPr>
              <w:t>O/w: * Cash and cash equivalents</w:t>
            </w:r>
          </w:p>
        </w:tc>
        <w:tc>
          <w:tcPr>
            <w:tcW w:w="644" w:type="dxa"/>
            <w:tcBorders>
              <w:top w:val="single" w:sz="15" w:space="0" w:color="000000"/>
            </w:tcBorders>
          </w:tcPr>
          <w:p>
            <w:pPr>
              <w:pStyle w:val="TableParagraph"/>
              <w:spacing w:line="237" w:lineRule="exact"/>
              <w:ind w:left="52" w:right="50"/>
              <w:rPr>
                <w:sz w:val="21"/>
              </w:rPr>
            </w:pPr>
            <w:r>
              <w:rPr>
                <w:sz w:val="21"/>
              </w:rPr>
              <w:t>1,295</w:t>
            </w:r>
          </w:p>
        </w:tc>
        <w:tc>
          <w:tcPr>
            <w:tcW w:w="644" w:type="dxa"/>
            <w:tcBorders>
              <w:top w:val="single" w:sz="15" w:space="0" w:color="000000"/>
            </w:tcBorders>
          </w:tcPr>
          <w:p>
            <w:pPr>
              <w:pStyle w:val="TableParagraph"/>
              <w:spacing w:line="237" w:lineRule="exact"/>
              <w:ind w:left="52" w:right="50"/>
              <w:rPr>
                <w:sz w:val="21"/>
              </w:rPr>
            </w:pPr>
            <w:r>
              <w:rPr>
                <w:sz w:val="21"/>
              </w:rPr>
              <w:t>1,316</w:t>
            </w:r>
          </w:p>
        </w:tc>
        <w:tc>
          <w:tcPr>
            <w:tcW w:w="606" w:type="dxa"/>
            <w:tcBorders>
              <w:top w:val="single" w:sz="15" w:space="0" w:color="000000"/>
            </w:tcBorders>
          </w:tcPr>
          <w:p>
            <w:pPr>
              <w:pStyle w:val="TableParagraph"/>
              <w:spacing w:line="237" w:lineRule="exact"/>
              <w:ind w:right="134"/>
              <w:jc w:val="right"/>
              <w:rPr>
                <w:sz w:val="21"/>
              </w:rPr>
            </w:pPr>
            <w:r>
              <w:rPr>
                <w:w w:val="95"/>
                <w:sz w:val="21"/>
              </w:rPr>
              <w:t>860</w:t>
            </w:r>
          </w:p>
        </w:tc>
        <w:tc>
          <w:tcPr>
            <w:tcW w:w="597" w:type="dxa"/>
            <w:tcBorders>
              <w:top w:val="single" w:sz="15" w:space="0" w:color="000000"/>
              <w:right w:val="single" w:sz="15" w:space="0" w:color="000000"/>
            </w:tcBorders>
          </w:tcPr>
          <w:p>
            <w:pPr>
              <w:pStyle w:val="TableParagraph"/>
              <w:spacing w:line="237" w:lineRule="exact"/>
              <w:ind w:left="48" w:right="34"/>
              <w:rPr>
                <w:sz w:val="21"/>
              </w:rPr>
            </w:pPr>
            <w:r>
              <w:rPr>
                <w:sz w:val="21"/>
              </w:rPr>
              <w:t>661</w:t>
            </w:r>
          </w:p>
        </w:tc>
      </w:tr>
      <w:tr>
        <w:trPr>
          <w:trHeight w:val="275" w:hRule="exact"/>
        </w:trPr>
        <w:tc>
          <w:tcPr>
            <w:tcW w:w="5814" w:type="dxa"/>
            <w:tcBorders>
              <w:bottom w:val="single" w:sz="15" w:space="0" w:color="000000"/>
            </w:tcBorders>
          </w:tcPr>
          <w:p>
            <w:pPr>
              <w:pStyle w:val="TableParagraph"/>
              <w:spacing w:line="237" w:lineRule="exact"/>
              <w:ind w:left="946"/>
              <w:jc w:val="left"/>
              <w:rPr>
                <w:sz w:val="21"/>
              </w:rPr>
            </w:pPr>
            <w:r>
              <w:rPr>
                <w:sz w:val="21"/>
              </w:rPr>
              <w:t>* ShortBterm debt</w:t>
            </w:r>
          </w:p>
        </w:tc>
        <w:tc>
          <w:tcPr>
            <w:tcW w:w="644" w:type="dxa"/>
            <w:tcBorders>
              <w:bottom w:val="single" w:sz="15" w:space="0" w:color="000000"/>
            </w:tcBorders>
          </w:tcPr>
          <w:p>
            <w:pPr>
              <w:pStyle w:val="TableParagraph"/>
              <w:spacing w:line="237" w:lineRule="exact"/>
              <w:ind w:left="44" w:right="50"/>
              <w:rPr>
                <w:sz w:val="21"/>
              </w:rPr>
            </w:pPr>
            <w:r>
              <w:rPr>
                <w:w w:val="95"/>
                <w:sz w:val="21"/>
              </w:rPr>
              <w:t>B75</w:t>
            </w:r>
          </w:p>
        </w:tc>
        <w:tc>
          <w:tcPr>
            <w:tcW w:w="644" w:type="dxa"/>
            <w:tcBorders>
              <w:bottom w:val="single" w:sz="15" w:space="0" w:color="000000"/>
            </w:tcBorders>
          </w:tcPr>
          <w:p>
            <w:pPr>
              <w:pStyle w:val="TableParagraph"/>
              <w:spacing w:line="237" w:lineRule="exact"/>
              <w:ind w:left="44" w:right="50"/>
              <w:rPr>
                <w:sz w:val="21"/>
              </w:rPr>
            </w:pPr>
            <w:r>
              <w:rPr>
                <w:w w:val="95"/>
                <w:sz w:val="21"/>
              </w:rPr>
              <w:t>B77</w:t>
            </w:r>
          </w:p>
        </w:tc>
        <w:tc>
          <w:tcPr>
            <w:tcW w:w="606" w:type="dxa"/>
            <w:tcBorders>
              <w:bottom w:val="single" w:sz="15" w:space="0" w:color="000000"/>
            </w:tcBorders>
          </w:tcPr>
          <w:p>
            <w:pPr>
              <w:pStyle w:val="TableParagraph"/>
              <w:spacing w:line="237" w:lineRule="exact"/>
              <w:ind w:right="157"/>
              <w:jc w:val="right"/>
              <w:rPr>
                <w:sz w:val="21"/>
              </w:rPr>
            </w:pPr>
            <w:r>
              <w:rPr>
                <w:w w:val="80"/>
                <w:sz w:val="21"/>
              </w:rPr>
              <w:t>B73</w:t>
            </w:r>
          </w:p>
        </w:tc>
        <w:tc>
          <w:tcPr>
            <w:tcW w:w="597" w:type="dxa"/>
            <w:tcBorders>
              <w:bottom w:val="single" w:sz="15" w:space="0" w:color="000000"/>
              <w:right w:val="single" w:sz="15" w:space="0" w:color="000000"/>
            </w:tcBorders>
          </w:tcPr>
          <w:p>
            <w:pPr>
              <w:pStyle w:val="TableParagraph"/>
              <w:spacing w:line="237" w:lineRule="exact"/>
              <w:ind w:left="48" w:right="45"/>
              <w:rPr>
                <w:sz w:val="21"/>
              </w:rPr>
            </w:pPr>
            <w:r>
              <w:rPr>
                <w:sz w:val="21"/>
              </w:rPr>
              <w:t>B166</w:t>
            </w:r>
          </w:p>
        </w:tc>
      </w:tr>
    </w:tbl>
    <w:p>
      <w:pPr>
        <w:spacing w:after="0" w:line="237" w:lineRule="exact"/>
        <w:rPr>
          <w:sz w:val="21"/>
        </w:rPr>
        <w:sectPr>
          <w:pgSz w:w="11910" w:h="16840"/>
          <w:pgMar w:header="755" w:footer="724" w:top="960" w:bottom="920" w:left="1600" w:right="1580"/>
        </w:sectPr>
      </w:pPr>
    </w:p>
    <w:p>
      <w:pPr>
        <w:pStyle w:val="BodyText"/>
        <w:rPr>
          <w:b/>
          <w:sz w:val="20"/>
        </w:rPr>
      </w:pPr>
    </w:p>
    <w:p>
      <w:pPr>
        <w:pStyle w:val="BodyText"/>
        <w:spacing w:before="3"/>
        <w:rPr>
          <w:b/>
          <w:sz w:val="19"/>
        </w:rPr>
      </w:pPr>
    </w:p>
    <w:p>
      <w:pPr>
        <w:pStyle w:val="Heading2"/>
        <w:numPr>
          <w:ilvl w:val="1"/>
          <w:numId w:val="25"/>
        </w:numPr>
        <w:tabs>
          <w:tab w:pos="687" w:val="left" w:leader="none"/>
        </w:tabs>
        <w:spacing w:line="240" w:lineRule="auto" w:before="0" w:after="0"/>
        <w:ind w:left="686" w:right="0" w:hanging="576"/>
        <w:jc w:val="both"/>
      </w:pPr>
      <w:bookmarkStart w:name="_TOC_250015" w:id="52"/>
      <w:bookmarkEnd w:id="52"/>
      <w:r>
        <w:rPr/>
        <w:t>Representaciones Esquemáticas</w:t>
      </w:r>
    </w:p>
    <w:p>
      <w:pPr>
        <w:pStyle w:val="BodyText"/>
        <w:spacing w:before="7"/>
        <w:rPr>
          <w:b/>
          <w:sz w:val="20"/>
        </w:rPr>
      </w:pPr>
    </w:p>
    <w:p>
      <w:pPr>
        <w:pStyle w:val="Heading2"/>
        <w:numPr>
          <w:ilvl w:val="2"/>
          <w:numId w:val="25"/>
        </w:numPr>
        <w:tabs>
          <w:tab w:pos="831" w:val="left" w:leader="none"/>
        </w:tabs>
        <w:spacing w:line="240" w:lineRule="auto" w:before="0" w:after="0"/>
        <w:ind w:left="830" w:right="0" w:hanging="720"/>
        <w:jc w:val="both"/>
      </w:pPr>
      <w:r>
        <w:rPr/>
        <w:drawing>
          <wp:anchor distT="0" distB="0" distL="0" distR="0" allowOverlap="1" layoutInCell="1" locked="0" behindDoc="0" simplePos="0" relativeHeight="4096">
            <wp:simplePos x="0" y="0"/>
            <wp:positionH relativeFrom="page">
              <wp:posOffset>1087551</wp:posOffset>
            </wp:positionH>
            <wp:positionV relativeFrom="paragraph">
              <wp:posOffset>207306</wp:posOffset>
            </wp:positionV>
            <wp:extent cx="4892041" cy="3874770"/>
            <wp:effectExtent l="0" t="0" r="0" b="0"/>
            <wp:wrapTopAndBottom/>
            <wp:docPr id="21" name="image154.jpeg" descr=""/>
            <wp:cNvGraphicFramePr>
              <a:graphicFrameLocks noChangeAspect="1"/>
            </wp:cNvGraphicFramePr>
            <a:graphic>
              <a:graphicData uri="http://schemas.openxmlformats.org/drawingml/2006/picture">
                <pic:pic>
                  <pic:nvPicPr>
                    <pic:cNvPr id="22" name="image154.jpeg"/>
                    <pic:cNvPicPr/>
                  </pic:nvPicPr>
                  <pic:blipFill>
                    <a:blip r:embed="rId192" cstate="print"/>
                    <a:stretch>
                      <a:fillRect/>
                    </a:stretch>
                  </pic:blipFill>
                  <pic:spPr>
                    <a:xfrm>
                      <a:off x="0" y="0"/>
                      <a:ext cx="4892041" cy="3874770"/>
                    </a:xfrm>
                    <a:prstGeom prst="rect">
                      <a:avLst/>
                    </a:prstGeom>
                  </pic:spPr>
                </pic:pic>
              </a:graphicData>
            </a:graphic>
          </wp:anchor>
        </w:drawing>
      </w:r>
      <w:bookmarkStart w:name="_TOC_250014" w:id="53"/>
      <w:r>
        <w:rPr/>
        <w:t>Balance</w:t>
      </w:r>
      <w:r>
        <w:rPr>
          <w:spacing w:val="-6"/>
        </w:rPr>
        <w:t> </w:t>
      </w:r>
      <w:bookmarkEnd w:id="53"/>
      <w:r>
        <w:rPr/>
        <w:t>general</w:t>
      </w:r>
    </w:p>
    <w:p>
      <w:pPr>
        <w:pStyle w:val="BodyText"/>
        <w:rPr>
          <w:b/>
        </w:rPr>
      </w:pPr>
    </w:p>
    <w:p>
      <w:pPr>
        <w:pStyle w:val="BodyText"/>
        <w:spacing w:before="9"/>
        <w:rPr>
          <w:b/>
          <w:sz w:val="31"/>
        </w:rPr>
      </w:pPr>
    </w:p>
    <w:p>
      <w:pPr>
        <w:pStyle w:val="BodyText"/>
        <w:spacing w:line="276" w:lineRule="auto"/>
        <w:ind w:left="110" w:right="108"/>
        <w:jc w:val="both"/>
      </w:pPr>
      <w:r>
        <w:rPr/>
        <w:t>El activo circulante se vio impactado debido principalmente a las cuentas por cobrar; exponen un incremento con respecto a 2010 a causa del incremento en las ventas y la adquisición de Niles representando 61 millones de euros adicionales en las cuentas por cobrar. Los inventarios indican un incremento de 1,95% vs 2010 debido a la inclusión de Niles en la consolidación financiera. Las cajas y bancos muestran una variación de -2.9% vs 2010, debido principalmente a la reducción de fondos en el mercado de dinero por un valor total de 735 millones de euros en 2011.</w:t>
      </w:r>
    </w:p>
    <w:p>
      <w:pPr>
        <w:pStyle w:val="BodyText"/>
        <w:spacing w:line="276" w:lineRule="auto" w:before="202"/>
        <w:ind w:left="110" w:right="108"/>
        <w:jc w:val="both"/>
      </w:pPr>
      <w:r>
        <w:rPr/>
        <w:t>El activo fijo se vio incrementado de 2010 a 2011 debido principalmente a la adquisición de Niles, Valeo Pyeong Hwa y Valeo Pyeong International, los activos intangibles como las patentes y licencias se vieron también incrementados.</w:t>
      </w:r>
    </w:p>
    <w:p>
      <w:pPr>
        <w:pStyle w:val="BodyText"/>
        <w:spacing w:line="276" w:lineRule="auto" w:before="202"/>
        <w:ind w:left="110" w:right="108"/>
        <w:jc w:val="both"/>
      </w:pPr>
      <w:r>
        <w:rPr/>
        <w:t>El pasivo a corto plazo se vio reducido de 2010 a 2011, mientras que el pasivo  a largo plazo aumento de 4% incluyendo en 2011 los bonos a 8 años emitidos desde 2005 por un valor total de 400 millones de euros y a 7 años por 500 millones de</w:t>
      </w:r>
      <w:r>
        <w:rPr>
          <w:spacing w:val="-1"/>
        </w:rPr>
        <w:t> </w:t>
      </w:r>
      <w:r>
        <w:rPr/>
        <w:t>euros.</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9"/>
        <w:rPr>
          <w:sz w:val="19"/>
        </w:rPr>
      </w:pPr>
    </w:p>
    <w:tbl>
      <w:tblPr>
        <w:tblW w:w="0" w:type="auto"/>
        <w:jc w:val="left"/>
        <w:tblInd w:w="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8"/>
        <w:gridCol w:w="1110"/>
        <w:gridCol w:w="2625"/>
        <w:gridCol w:w="1080"/>
      </w:tblGrid>
      <w:tr>
        <w:trPr>
          <w:trHeight w:val="307" w:hRule="exact"/>
        </w:trPr>
        <w:tc>
          <w:tcPr>
            <w:tcW w:w="7433" w:type="dxa"/>
            <w:gridSpan w:val="4"/>
            <w:tcBorders>
              <w:bottom w:val="single" w:sz="12" w:space="0" w:color="000000"/>
              <w:right w:val="single" w:sz="12" w:space="0" w:color="000000"/>
            </w:tcBorders>
            <w:shd w:val="clear" w:color="auto" w:fill="4F81BD"/>
          </w:tcPr>
          <w:p>
            <w:pPr>
              <w:pStyle w:val="TableParagraph"/>
              <w:spacing w:line="290" w:lineRule="exact"/>
              <w:ind w:left="3377" w:right="3377"/>
              <w:rPr>
                <w:rFonts w:ascii="Verdana"/>
                <w:b/>
                <w:sz w:val="24"/>
              </w:rPr>
            </w:pPr>
            <w:r>
              <w:rPr>
                <w:rFonts w:ascii="Verdana"/>
                <w:b/>
                <w:w w:val="90"/>
                <w:sz w:val="24"/>
              </w:rPr>
              <w:t>2010</w:t>
            </w:r>
          </w:p>
        </w:tc>
      </w:tr>
      <w:tr>
        <w:trPr>
          <w:trHeight w:val="688" w:hRule="exact"/>
        </w:trPr>
        <w:tc>
          <w:tcPr>
            <w:tcW w:w="2618" w:type="dxa"/>
            <w:tcBorders>
              <w:top w:val="single" w:sz="12" w:space="0" w:color="000000"/>
              <w:bottom w:val="nil"/>
              <w:right w:val="single" w:sz="12" w:space="0" w:color="000000"/>
            </w:tcBorders>
            <w:shd w:val="clear" w:color="auto" w:fill="92D050"/>
          </w:tcPr>
          <w:p>
            <w:pPr/>
          </w:p>
        </w:tc>
        <w:tc>
          <w:tcPr>
            <w:tcW w:w="1110" w:type="dxa"/>
            <w:tcBorders>
              <w:top w:val="single" w:sz="12" w:space="0" w:color="000000"/>
              <w:left w:val="single" w:sz="12" w:space="0" w:color="000000"/>
              <w:bottom w:val="nil"/>
              <w:right w:val="single" w:sz="12" w:space="0" w:color="000000"/>
            </w:tcBorders>
            <w:shd w:val="clear" w:color="auto" w:fill="92D050"/>
          </w:tcPr>
          <w:p>
            <w:pPr/>
          </w:p>
        </w:tc>
        <w:tc>
          <w:tcPr>
            <w:tcW w:w="2625" w:type="dxa"/>
            <w:vMerge w:val="restart"/>
            <w:tcBorders>
              <w:top w:val="single" w:sz="12" w:space="0" w:color="000000"/>
              <w:left w:val="single" w:sz="12" w:space="0" w:color="000000"/>
              <w:right w:val="single" w:sz="12" w:space="0" w:color="000000"/>
            </w:tcBorders>
            <w:shd w:val="clear" w:color="auto" w:fill="DBEEF3"/>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9"/>
                <w:w w:val="90"/>
                <w:sz w:val="24"/>
              </w:rPr>
              <w:t> </w:t>
            </w:r>
            <w:r>
              <w:rPr>
                <w:rFonts w:ascii="Verdana"/>
                <w:b/>
                <w:w w:val="90"/>
                <w:sz w:val="24"/>
              </w:rPr>
              <w:t>A</w:t>
            </w:r>
            <w:r>
              <w:rPr>
                <w:rFonts w:ascii="Verdana"/>
                <w:b/>
                <w:spacing w:val="-45"/>
                <w:w w:val="90"/>
                <w:sz w:val="24"/>
              </w:rPr>
              <w:t> </w:t>
            </w:r>
            <w:r>
              <w:rPr>
                <w:rFonts w:ascii="Verdana"/>
                <w:b/>
                <w:spacing w:val="-4"/>
                <w:w w:val="90"/>
                <w:sz w:val="24"/>
              </w:rPr>
              <w:t>CORTO </w:t>
            </w:r>
            <w:r>
              <w:rPr>
                <w:rFonts w:ascii="Verdana"/>
                <w:b/>
                <w:w w:val="95"/>
                <w:sz w:val="24"/>
              </w:rPr>
              <w:t>PLAZO</w:t>
            </w: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line="369" w:lineRule="auto" w:before="149"/>
              <w:ind w:left="165" w:right="523"/>
              <w:jc w:val="left"/>
              <w:rPr>
                <w:rFonts w:ascii="Verdana"/>
                <w:sz w:val="16"/>
              </w:rPr>
            </w:pPr>
            <w:r>
              <w:rPr>
                <w:rFonts w:ascii="Verdana"/>
                <w:sz w:val="16"/>
              </w:rPr>
              <w:t>Cuentas por pagar Otros</w:t>
            </w:r>
          </w:p>
        </w:tc>
        <w:tc>
          <w:tcPr>
            <w:tcW w:w="1080" w:type="dxa"/>
            <w:tcBorders>
              <w:top w:val="single" w:sz="12" w:space="0" w:color="000000"/>
              <w:left w:val="single" w:sz="12" w:space="0" w:color="000000"/>
              <w:bottom w:val="nil"/>
              <w:right w:val="single" w:sz="12" w:space="0" w:color="000000"/>
            </w:tcBorders>
            <w:shd w:val="clear" w:color="auto" w:fill="DBEEF3"/>
          </w:tcPr>
          <w:p>
            <w:pPr>
              <w:pStyle w:val="TableParagraph"/>
              <w:spacing w:before="134"/>
              <w:ind w:left="119"/>
              <w:jc w:val="left"/>
              <w:rPr>
                <w:rFonts w:ascii="Verdana"/>
                <w:b/>
                <w:sz w:val="24"/>
              </w:rPr>
            </w:pPr>
            <w:r>
              <w:rPr>
                <w:rFonts w:ascii="Verdana"/>
                <w:b/>
                <w:w w:val="80"/>
                <w:sz w:val="24"/>
              </w:rPr>
              <w:t>50.00%</w:t>
            </w:r>
          </w:p>
        </w:tc>
      </w:tr>
      <w:tr>
        <w:trPr>
          <w:trHeight w:val="826" w:hRule="exact"/>
        </w:trPr>
        <w:tc>
          <w:tcPr>
            <w:tcW w:w="2618" w:type="dxa"/>
            <w:tcBorders>
              <w:top w:val="nil"/>
              <w:bottom w:val="nil"/>
              <w:right w:val="single" w:sz="12" w:space="0" w:color="000000"/>
            </w:tcBorders>
            <w:shd w:val="clear" w:color="auto" w:fill="92D050"/>
          </w:tcPr>
          <w:p>
            <w:pPr>
              <w:pStyle w:val="TableParagraph"/>
              <w:spacing w:before="210"/>
              <w:ind w:left="135"/>
              <w:jc w:val="left"/>
              <w:rPr>
                <w:rFonts w:ascii="Verdana"/>
                <w:b/>
                <w:sz w:val="24"/>
              </w:rPr>
            </w:pPr>
            <w:r>
              <w:rPr>
                <w:rFonts w:ascii="Verdana"/>
                <w:b/>
                <w:spacing w:val="2"/>
                <w:w w:val="101"/>
                <w:sz w:val="24"/>
              </w:rPr>
              <w:t>A</w:t>
            </w:r>
            <w:r>
              <w:rPr>
                <w:rFonts w:ascii="Verdana"/>
                <w:b/>
                <w:spacing w:val="-7"/>
                <w:w w:val="101"/>
                <w:sz w:val="24"/>
              </w:rPr>
              <w:t>C</w:t>
            </w:r>
            <w:r>
              <w:rPr>
                <w:rFonts w:ascii="Verdana"/>
                <w:b/>
                <w:spacing w:val="3"/>
                <w:w w:val="61"/>
                <w:sz w:val="24"/>
              </w:rPr>
              <w:t>T</w:t>
            </w:r>
            <w:r>
              <w:rPr>
                <w:rFonts w:ascii="Verdana"/>
                <w:b/>
                <w:spacing w:val="-8"/>
                <w:w w:val="51"/>
                <w:sz w:val="24"/>
              </w:rPr>
              <w:t>I</w:t>
            </w:r>
            <w:r>
              <w:rPr>
                <w:rFonts w:ascii="Verdana"/>
                <w:b/>
                <w:spacing w:val="-3"/>
                <w:w w:val="91"/>
                <w:sz w:val="24"/>
              </w:rPr>
              <w:t>V</w:t>
            </w:r>
            <w:r>
              <w:rPr>
                <w:rFonts w:ascii="Verdana"/>
                <w:b/>
                <w:w w:val="98"/>
                <w:sz w:val="24"/>
              </w:rPr>
              <w:t>O</w:t>
            </w:r>
            <w:r>
              <w:rPr>
                <w:rFonts w:ascii="Verdana"/>
                <w:b/>
                <w:spacing w:val="-29"/>
                <w:sz w:val="24"/>
              </w:rPr>
              <w:t> </w:t>
            </w:r>
            <w:r>
              <w:rPr>
                <w:rFonts w:ascii="Verdana"/>
                <w:b/>
                <w:spacing w:val="-7"/>
                <w:w w:val="107"/>
                <w:sz w:val="24"/>
              </w:rPr>
              <w:t>C</w:t>
            </w:r>
            <w:r>
              <w:rPr>
                <w:rFonts w:ascii="Verdana"/>
                <w:b/>
                <w:spacing w:val="-8"/>
                <w:w w:val="51"/>
                <w:sz w:val="24"/>
              </w:rPr>
              <w:t>I</w:t>
            </w:r>
            <w:r>
              <w:rPr>
                <w:rFonts w:ascii="Verdana"/>
                <w:b/>
                <w:spacing w:val="-5"/>
                <w:w w:val="74"/>
                <w:sz w:val="24"/>
              </w:rPr>
              <w:t>R</w:t>
            </w:r>
            <w:r>
              <w:rPr>
                <w:rFonts w:ascii="Verdana"/>
                <w:b/>
                <w:spacing w:val="-7"/>
                <w:w w:val="107"/>
                <w:sz w:val="24"/>
              </w:rPr>
              <w:t>C</w:t>
            </w:r>
            <w:r>
              <w:rPr>
                <w:rFonts w:ascii="Verdana"/>
                <w:b/>
                <w:spacing w:val="-4"/>
                <w:w w:val="78"/>
                <w:sz w:val="24"/>
              </w:rPr>
              <w:t>U</w:t>
            </w:r>
            <w:r>
              <w:rPr>
                <w:rFonts w:ascii="Verdana"/>
                <w:b/>
                <w:spacing w:val="-1"/>
                <w:w w:val="69"/>
                <w:sz w:val="24"/>
              </w:rPr>
              <w:t>L</w:t>
            </w:r>
            <w:r>
              <w:rPr>
                <w:rFonts w:ascii="Verdana"/>
                <w:b/>
                <w:spacing w:val="2"/>
                <w:w w:val="82"/>
                <w:sz w:val="24"/>
              </w:rPr>
              <w:t>AN</w:t>
            </w:r>
            <w:r>
              <w:rPr>
                <w:rFonts w:ascii="Verdana"/>
                <w:b/>
                <w:spacing w:val="3"/>
                <w:w w:val="82"/>
                <w:sz w:val="24"/>
              </w:rPr>
              <w:t>T</w:t>
            </w:r>
            <w:r>
              <w:rPr>
                <w:rFonts w:ascii="Verdana"/>
                <w:b/>
                <w:w w:val="76"/>
                <w:sz w:val="24"/>
              </w:rPr>
              <w:t>E</w:t>
            </w:r>
          </w:p>
        </w:tc>
        <w:tc>
          <w:tcPr>
            <w:tcW w:w="1110" w:type="dxa"/>
            <w:tcBorders>
              <w:top w:val="nil"/>
              <w:left w:val="single" w:sz="12" w:space="0" w:color="000000"/>
              <w:bottom w:val="nil"/>
              <w:right w:val="single" w:sz="12" w:space="0" w:color="000000"/>
            </w:tcBorders>
            <w:shd w:val="clear" w:color="auto" w:fill="92D050"/>
          </w:tcPr>
          <w:p>
            <w:pPr>
              <w:pStyle w:val="TableParagraph"/>
              <w:spacing w:before="210"/>
              <w:ind w:right="137"/>
              <w:jc w:val="right"/>
              <w:rPr>
                <w:rFonts w:ascii="Verdana"/>
                <w:b/>
                <w:sz w:val="24"/>
              </w:rPr>
            </w:pPr>
            <w:r>
              <w:rPr>
                <w:rFonts w:ascii="Verdana"/>
                <w:b/>
                <w:w w:val="75"/>
                <w:sz w:val="24"/>
              </w:rPr>
              <w:t>49.00%</w:t>
            </w:r>
          </w:p>
        </w:tc>
        <w:tc>
          <w:tcPr>
            <w:tcW w:w="2625" w:type="dxa"/>
            <w:vMerge/>
            <w:tcBorders>
              <w:left w:val="single" w:sz="12" w:space="0" w:color="000000"/>
              <w:right w:val="single" w:sz="12" w:space="0" w:color="000000"/>
            </w:tcBorders>
            <w:shd w:val="clear" w:color="auto" w:fill="DBEEF3"/>
          </w:tcPr>
          <w:p>
            <w:pPr/>
          </w:p>
        </w:tc>
        <w:tc>
          <w:tcPr>
            <w:tcW w:w="1080" w:type="dxa"/>
            <w:tcBorders>
              <w:top w:val="nil"/>
              <w:left w:val="single" w:sz="12" w:space="0" w:color="000000"/>
              <w:bottom w:val="nil"/>
              <w:right w:val="single" w:sz="12" w:space="0" w:color="000000"/>
            </w:tcBorders>
            <w:shd w:val="clear" w:color="auto" w:fill="DBEEF3"/>
          </w:tcPr>
          <w:p>
            <w:pPr/>
          </w:p>
        </w:tc>
      </w:tr>
      <w:tr>
        <w:trPr>
          <w:trHeight w:val="563" w:hRule="exact"/>
        </w:trPr>
        <w:tc>
          <w:tcPr>
            <w:tcW w:w="2618" w:type="dxa"/>
            <w:tcBorders>
              <w:top w:val="nil"/>
              <w:bottom w:val="nil"/>
              <w:right w:val="single" w:sz="12" w:space="0" w:color="000000"/>
            </w:tcBorders>
            <w:shd w:val="clear" w:color="auto" w:fill="92D050"/>
          </w:tcPr>
          <w:p>
            <w:pPr>
              <w:pStyle w:val="TableParagraph"/>
              <w:jc w:val="left"/>
              <w:rPr>
                <w:rFonts w:ascii="Arial"/>
                <w:sz w:val="16"/>
              </w:rPr>
            </w:pPr>
          </w:p>
          <w:p>
            <w:pPr>
              <w:pStyle w:val="TableParagraph"/>
              <w:spacing w:before="121"/>
              <w:ind w:left="165"/>
              <w:jc w:val="left"/>
              <w:rPr>
                <w:rFonts w:ascii="Verdana"/>
                <w:sz w:val="16"/>
              </w:rPr>
            </w:pPr>
            <w:r>
              <w:rPr>
                <w:rFonts w:ascii="Verdana"/>
                <w:sz w:val="16"/>
              </w:rPr>
              <w:t>Cajas y bancos</w:t>
            </w:r>
          </w:p>
        </w:tc>
        <w:tc>
          <w:tcPr>
            <w:tcW w:w="1110" w:type="dxa"/>
            <w:tcBorders>
              <w:top w:val="nil"/>
              <w:left w:val="single" w:sz="12" w:space="0" w:color="000000"/>
              <w:bottom w:val="nil"/>
              <w:right w:val="single" w:sz="12" w:space="0" w:color="000000"/>
            </w:tcBorders>
            <w:shd w:val="clear" w:color="auto" w:fill="92D050"/>
          </w:tcPr>
          <w:p>
            <w:pPr>
              <w:pStyle w:val="TableParagraph"/>
              <w:jc w:val="left"/>
              <w:rPr>
                <w:rFonts w:ascii="Arial"/>
                <w:sz w:val="16"/>
              </w:rPr>
            </w:pPr>
          </w:p>
          <w:p>
            <w:pPr>
              <w:pStyle w:val="TableParagraph"/>
              <w:spacing w:before="121"/>
              <w:ind w:right="22"/>
              <w:jc w:val="right"/>
              <w:rPr>
                <w:rFonts w:ascii="Verdana"/>
                <w:sz w:val="16"/>
              </w:rPr>
            </w:pPr>
            <w:r>
              <w:rPr>
                <w:rFonts w:ascii="Verdana"/>
                <w:w w:val="85"/>
                <w:sz w:val="16"/>
              </w:rPr>
              <w:t>18.00%</w:t>
            </w:r>
          </w:p>
        </w:tc>
        <w:tc>
          <w:tcPr>
            <w:tcW w:w="2625" w:type="dxa"/>
            <w:vMerge/>
            <w:tcBorders>
              <w:left w:val="single" w:sz="12" w:space="0" w:color="000000"/>
              <w:right w:val="single" w:sz="12" w:space="0" w:color="000000"/>
            </w:tcBorders>
            <w:shd w:val="clear" w:color="auto" w:fill="DBEEF3"/>
          </w:tcPr>
          <w:p>
            <w:pPr/>
          </w:p>
        </w:tc>
        <w:tc>
          <w:tcPr>
            <w:tcW w:w="108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8" w:type="dxa"/>
            <w:tcBorders>
              <w:top w:val="nil"/>
              <w:bottom w:val="nil"/>
              <w:right w:val="single" w:sz="12" w:space="0" w:color="000000"/>
            </w:tcBorders>
            <w:shd w:val="clear" w:color="auto" w:fill="92D050"/>
          </w:tcPr>
          <w:p>
            <w:pPr>
              <w:pStyle w:val="TableParagraph"/>
              <w:spacing w:before="42"/>
              <w:ind w:left="165"/>
              <w:jc w:val="left"/>
              <w:rPr>
                <w:rFonts w:ascii="Verdana"/>
                <w:sz w:val="16"/>
              </w:rPr>
            </w:pPr>
            <w:r>
              <w:rPr>
                <w:rFonts w:ascii="Verdana"/>
                <w:sz w:val="16"/>
              </w:rPr>
              <w:t>Cuentas por cobrar</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19.00%</w:t>
            </w:r>
          </w:p>
        </w:tc>
        <w:tc>
          <w:tcPr>
            <w:tcW w:w="2625" w:type="dxa"/>
            <w:vMerge/>
            <w:tcBorders>
              <w:left w:val="single" w:sz="12" w:space="0" w:color="000000"/>
              <w:right w:val="single" w:sz="12" w:space="0" w:color="000000"/>
            </w:tcBorders>
            <w:shd w:val="clear" w:color="auto" w:fill="DBEEF3"/>
          </w:tcPr>
          <w:p>
            <w:pPr/>
          </w:p>
        </w:tc>
        <w:tc>
          <w:tcPr>
            <w:tcW w:w="108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8" w:type="dxa"/>
            <w:tcBorders>
              <w:top w:val="nil"/>
              <w:bottom w:val="nil"/>
              <w:right w:val="single" w:sz="12" w:space="0" w:color="000000"/>
            </w:tcBorders>
            <w:shd w:val="clear" w:color="auto" w:fill="92D050"/>
          </w:tcPr>
          <w:p>
            <w:pPr>
              <w:pStyle w:val="TableParagraph"/>
              <w:spacing w:before="42"/>
              <w:ind w:left="165"/>
              <w:jc w:val="left"/>
              <w:rPr>
                <w:rFonts w:ascii="Verdana"/>
                <w:sz w:val="16"/>
              </w:rPr>
            </w:pPr>
            <w:r>
              <w:rPr>
                <w:rFonts w:ascii="Verdana"/>
                <w:w w:val="95"/>
                <w:sz w:val="16"/>
              </w:rPr>
              <w:t>Inv entarios</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8.00%</w:t>
            </w:r>
          </w:p>
        </w:tc>
        <w:tc>
          <w:tcPr>
            <w:tcW w:w="2625" w:type="dxa"/>
            <w:vMerge/>
            <w:tcBorders>
              <w:left w:val="single" w:sz="12" w:space="0" w:color="000000"/>
              <w:right w:val="single" w:sz="12" w:space="0" w:color="000000"/>
            </w:tcBorders>
            <w:shd w:val="clear" w:color="auto" w:fill="DBEEF3"/>
          </w:tcPr>
          <w:p>
            <w:pPr/>
          </w:p>
        </w:tc>
        <w:tc>
          <w:tcPr>
            <w:tcW w:w="1080" w:type="dxa"/>
            <w:tcBorders>
              <w:top w:val="nil"/>
              <w:left w:val="single" w:sz="12" w:space="0" w:color="000000"/>
              <w:bottom w:val="nil"/>
              <w:right w:val="single" w:sz="12" w:space="0" w:color="000000"/>
            </w:tcBorders>
            <w:shd w:val="clear" w:color="auto" w:fill="DBEEF3"/>
          </w:tcPr>
          <w:p>
            <w:pPr>
              <w:pStyle w:val="TableParagraph"/>
              <w:spacing w:before="42"/>
              <w:ind w:right="22"/>
              <w:jc w:val="right"/>
              <w:rPr>
                <w:rFonts w:ascii="Verdana"/>
                <w:sz w:val="16"/>
              </w:rPr>
            </w:pPr>
            <w:r>
              <w:rPr>
                <w:rFonts w:ascii="Verdana"/>
                <w:w w:val="85"/>
                <w:sz w:val="16"/>
              </w:rPr>
              <w:t>27.00%</w:t>
            </w:r>
          </w:p>
        </w:tc>
      </w:tr>
      <w:tr>
        <w:trPr>
          <w:trHeight w:val="668" w:hRule="exact"/>
        </w:trPr>
        <w:tc>
          <w:tcPr>
            <w:tcW w:w="2618" w:type="dxa"/>
            <w:tcBorders>
              <w:top w:val="nil"/>
              <w:bottom w:val="single" w:sz="12" w:space="0" w:color="000000"/>
              <w:right w:val="single" w:sz="12" w:space="0" w:color="000000"/>
            </w:tcBorders>
            <w:shd w:val="clear" w:color="auto" w:fill="92D050"/>
          </w:tcPr>
          <w:p>
            <w:pPr>
              <w:pStyle w:val="TableParagraph"/>
              <w:spacing w:before="42"/>
              <w:ind w:left="165"/>
              <w:jc w:val="left"/>
              <w:rPr>
                <w:rFonts w:ascii="Verdana"/>
                <w:sz w:val="16"/>
              </w:rPr>
            </w:pPr>
            <w:r>
              <w:rPr>
                <w:rFonts w:ascii="Verdana"/>
                <w:sz w:val="16"/>
              </w:rPr>
              <w:t>Otros</w:t>
            </w:r>
          </w:p>
        </w:tc>
        <w:tc>
          <w:tcPr>
            <w:tcW w:w="1110" w:type="dxa"/>
            <w:tcBorders>
              <w:top w:val="nil"/>
              <w:left w:val="single" w:sz="12" w:space="0" w:color="000000"/>
              <w:bottom w:val="single" w:sz="12" w:space="0" w:color="000000"/>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4.00%</w:t>
            </w:r>
          </w:p>
        </w:tc>
        <w:tc>
          <w:tcPr>
            <w:tcW w:w="2625" w:type="dxa"/>
            <w:vMerge/>
            <w:tcBorders>
              <w:left w:val="single" w:sz="12" w:space="0" w:color="000000"/>
              <w:bottom w:val="single" w:sz="12" w:space="0" w:color="000000"/>
              <w:right w:val="single" w:sz="12" w:space="0" w:color="000000"/>
            </w:tcBorders>
            <w:shd w:val="clear" w:color="auto" w:fill="DBEEF3"/>
          </w:tcPr>
          <w:p>
            <w:pPr/>
          </w:p>
        </w:tc>
        <w:tc>
          <w:tcPr>
            <w:tcW w:w="1080" w:type="dxa"/>
            <w:tcBorders>
              <w:top w:val="nil"/>
              <w:left w:val="single" w:sz="12" w:space="0" w:color="000000"/>
              <w:bottom w:val="single" w:sz="12" w:space="0" w:color="000000"/>
              <w:right w:val="single" w:sz="12" w:space="0" w:color="000000"/>
            </w:tcBorders>
            <w:shd w:val="clear" w:color="auto" w:fill="DBEEF3"/>
          </w:tcPr>
          <w:p>
            <w:pPr>
              <w:pStyle w:val="TableParagraph"/>
              <w:spacing w:before="42"/>
              <w:ind w:right="22"/>
              <w:jc w:val="right"/>
              <w:rPr>
                <w:rFonts w:ascii="Verdana"/>
                <w:sz w:val="16"/>
              </w:rPr>
            </w:pPr>
            <w:r>
              <w:rPr>
                <w:rFonts w:ascii="Verdana"/>
                <w:w w:val="85"/>
                <w:sz w:val="16"/>
              </w:rPr>
              <w:t>23.00%</w:t>
            </w:r>
          </w:p>
        </w:tc>
      </w:tr>
      <w:tr>
        <w:trPr>
          <w:trHeight w:val="876" w:hRule="exact"/>
        </w:trPr>
        <w:tc>
          <w:tcPr>
            <w:tcW w:w="2618" w:type="dxa"/>
            <w:tcBorders>
              <w:top w:val="single" w:sz="12" w:space="0" w:color="000000"/>
              <w:bottom w:val="nil"/>
              <w:right w:val="single" w:sz="12" w:space="0" w:color="000000"/>
            </w:tcBorders>
            <w:shd w:val="clear" w:color="auto" w:fill="FFFF00"/>
          </w:tcPr>
          <w:p>
            <w:pPr/>
          </w:p>
        </w:tc>
        <w:tc>
          <w:tcPr>
            <w:tcW w:w="1110" w:type="dxa"/>
            <w:tcBorders>
              <w:top w:val="single" w:sz="12" w:space="0" w:color="000000"/>
              <w:left w:val="single" w:sz="12" w:space="0" w:color="000000"/>
              <w:bottom w:val="nil"/>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B6DDE8"/>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8"/>
                <w:w w:val="90"/>
                <w:sz w:val="24"/>
              </w:rPr>
              <w:t> </w:t>
            </w:r>
            <w:r>
              <w:rPr>
                <w:rFonts w:ascii="Verdana"/>
                <w:b/>
                <w:w w:val="90"/>
                <w:sz w:val="24"/>
              </w:rPr>
              <w:t>A</w:t>
            </w:r>
            <w:r>
              <w:rPr>
                <w:rFonts w:ascii="Verdana"/>
                <w:b/>
                <w:spacing w:val="-44"/>
                <w:w w:val="90"/>
                <w:sz w:val="24"/>
              </w:rPr>
              <w:t> </w:t>
            </w:r>
            <w:r>
              <w:rPr>
                <w:rFonts w:ascii="Verdana"/>
                <w:b/>
                <w:spacing w:val="-3"/>
                <w:w w:val="90"/>
                <w:sz w:val="24"/>
              </w:rPr>
              <w:t>LARGO </w:t>
            </w:r>
            <w:r>
              <w:rPr>
                <w:rFonts w:ascii="Verdana"/>
                <w:b/>
                <w:w w:val="95"/>
                <w:sz w:val="24"/>
              </w:rPr>
              <w:t>PLAZO</w:t>
            </w:r>
          </w:p>
          <w:p>
            <w:pPr>
              <w:pStyle w:val="TableParagraph"/>
              <w:jc w:val="left"/>
              <w:rPr>
                <w:rFonts w:ascii="Arial"/>
                <w:sz w:val="24"/>
              </w:rPr>
            </w:pPr>
          </w:p>
          <w:p>
            <w:pPr>
              <w:pStyle w:val="TableParagraph"/>
              <w:spacing w:before="9"/>
              <w:jc w:val="left"/>
              <w:rPr>
                <w:rFonts w:ascii="Arial"/>
                <w:sz w:val="33"/>
              </w:rPr>
            </w:pPr>
          </w:p>
          <w:p>
            <w:pPr>
              <w:pStyle w:val="TableParagraph"/>
              <w:ind w:left="165" w:right="291"/>
              <w:jc w:val="left"/>
              <w:rPr>
                <w:rFonts w:ascii="Verdana"/>
                <w:sz w:val="16"/>
              </w:rPr>
            </w:pPr>
            <w:r>
              <w:rPr>
                <w:rFonts w:ascii="Verdana"/>
                <w:w w:val="110"/>
                <w:sz w:val="16"/>
              </w:rPr>
              <w:t>Deuda a largo plazo</w:t>
            </w:r>
          </w:p>
          <w:p>
            <w:pPr>
              <w:pStyle w:val="TableParagraph"/>
              <w:spacing w:before="105"/>
              <w:ind w:left="165" w:right="291"/>
              <w:jc w:val="left"/>
              <w:rPr>
                <w:rFonts w:ascii="Verdana"/>
                <w:sz w:val="16"/>
              </w:rPr>
            </w:pPr>
            <w:r>
              <w:rPr>
                <w:rFonts w:ascii="Verdana"/>
                <w:sz w:val="16"/>
              </w:rPr>
              <w:t>Prov isiones a largo plazo</w:t>
            </w:r>
          </w:p>
        </w:tc>
        <w:tc>
          <w:tcPr>
            <w:tcW w:w="1080" w:type="dxa"/>
            <w:tcBorders>
              <w:top w:val="single" w:sz="12" w:space="0" w:color="000000"/>
              <w:left w:val="single" w:sz="12" w:space="0" w:color="000000"/>
              <w:bottom w:val="nil"/>
              <w:right w:val="single" w:sz="12" w:space="0" w:color="000000"/>
            </w:tcBorders>
            <w:shd w:val="clear" w:color="auto" w:fill="B6DDE8"/>
          </w:tcPr>
          <w:p>
            <w:pPr>
              <w:pStyle w:val="TableParagraph"/>
              <w:spacing w:before="149"/>
              <w:ind w:left="119"/>
              <w:jc w:val="left"/>
              <w:rPr>
                <w:rFonts w:ascii="Verdana"/>
                <w:b/>
                <w:sz w:val="24"/>
              </w:rPr>
            </w:pPr>
            <w:r>
              <w:rPr>
                <w:rFonts w:ascii="Verdana"/>
                <w:b/>
                <w:w w:val="80"/>
                <w:sz w:val="24"/>
              </w:rPr>
              <w:t>26.00%</w:t>
            </w:r>
          </w:p>
        </w:tc>
      </w:tr>
      <w:tr>
        <w:trPr>
          <w:trHeight w:val="660" w:hRule="exact"/>
        </w:trPr>
        <w:tc>
          <w:tcPr>
            <w:tcW w:w="2618"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tcBorders>
              <w:left w:val="single" w:sz="12" w:space="0" w:color="000000"/>
              <w:right w:val="single" w:sz="12" w:space="0" w:color="000000"/>
            </w:tcBorders>
            <w:shd w:val="clear" w:color="auto" w:fill="B6DDE8"/>
          </w:tcPr>
          <w:p>
            <w:pPr/>
          </w:p>
        </w:tc>
        <w:tc>
          <w:tcPr>
            <w:tcW w:w="1080" w:type="dxa"/>
            <w:tcBorders>
              <w:top w:val="nil"/>
              <w:left w:val="single" w:sz="12" w:space="0" w:color="000000"/>
              <w:bottom w:val="nil"/>
              <w:right w:val="single" w:sz="12" w:space="0" w:color="000000"/>
            </w:tcBorders>
            <w:shd w:val="clear" w:color="auto" w:fill="B6DDE8"/>
          </w:tcPr>
          <w:p>
            <w:pPr>
              <w:pStyle w:val="TableParagraph"/>
              <w:jc w:val="left"/>
              <w:rPr>
                <w:rFonts w:ascii="Arial"/>
                <w:sz w:val="16"/>
              </w:rPr>
            </w:pPr>
          </w:p>
          <w:p>
            <w:pPr>
              <w:pStyle w:val="TableParagraph"/>
              <w:jc w:val="left"/>
              <w:rPr>
                <w:rFonts w:ascii="Arial"/>
                <w:sz w:val="19"/>
              </w:rPr>
            </w:pPr>
          </w:p>
          <w:p>
            <w:pPr>
              <w:pStyle w:val="TableParagraph"/>
              <w:ind w:right="22"/>
              <w:jc w:val="right"/>
              <w:rPr>
                <w:rFonts w:ascii="Verdana"/>
                <w:sz w:val="16"/>
              </w:rPr>
            </w:pPr>
            <w:r>
              <w:rPr>
                <w:rFonts w:ascii="Verdana"/>
                <w:w w:val="85"/>
                <w:sz w:val="16"/>
              </w:rPr>
              <w:t>15.00%</w:t>
            </w:r>
          </w:p>
        </w:tc>
      </w:tr>
      <w:tr>
        <w:trPr>
          <w:trHeight w:val="324" w:hRule="exact"/>
        </w:trPr>
        <w:tc>
          <w:tcPr>
            <w:tcW w:w="2618" w:type="dxa"/>
            <w:tcBorders>
              <w:top w:val="nil"/>
              <w:bottom w:val="nil"/>
              <w:right w:val="single" w:sz="12" w:space="0" w:color="000000"/>
            </w:tcBorders>
            <w:shd w:val="clear" w:color="auto" w:fill="FFFF00"/>
          </w:tcPr>
          <w:p>
            <w:pPr>
              <w:pStyle w:val="TableParagraph"/>
              <w:spacing w:before="22"/>
              <w:ind w:left="584"/>
              <w:jc w:val="left"/>
              <w:rPr>
                <w:rFonts w:ascii="Verdana"/>
                <w:b/>
                <w:sz w:val="24"/>
              </w:rPr>
            </w:pPr>
            <w:r>
              <w:rPr>
                <w:rFonts w:ascii="Verdana"/>
                <w:b/>
                <w:w w:val="85"/>
                <w:sz w:val="24"/>
              </w:rPr>
              <w:t>ACTIVO FIJO</w:t>
            </w:r>
          </w:p>
        </w:tc>
        <w:tc>
          <w:tcPr>
            <w:tcW w:w="1110" w:type="dxa"/>
            <w:tcBorders>
              <w:top w:val="nil"/>
              <w:left w:val="single" w:sz="12" w:space="0" w:color="000000"/>
              <w:bottom w:val="nil"/>
              <w:right w:val="single" w:sz="12" w:space="0" w:color="000000"/>
            </w:tcBorders>
            <w:shd w:val="clear" w:color="auto" w:fill="FFFF00"/>
          </w:tcPr>
          <w:p>
            <w:pPr>
              <w:pStyle w:val="TableParagraph"/>
              <w:spacing w:before="22"/>
              <w:ind w:right="137"/>
              <w:jc w:val="right"/>
              <w:rPr>
                <w:rFonts w:ascii="Verdana"/>
                <w:b/>
                <w:sz w:val="24"/>
              </w:rPr>
            </w:pPr>
            <w:r>
              <w:rPr>
                <w:rFonts w:ascii="Verdana"/>
                <w:b/>
                <w:w w:val="75"/>
                <w:sz w:val="24"/>
              </w:rPr>
              <w:t>51.00%</w:t>
            </w:r>
          </w:p>
        </w:tc>
        <w:tc>
          <w:tcPr>
            <w:tcW w:w="2625" w:type="dxa"/>
            <w:vMerge/>
            <w:tcBorders>
              <w:left w:val="single" w:sz="12" w:space="0" w:color="000000"/>
              <w:bottom w:val="single" w:sz="12" w:space="0" w:color="000000"/>
              <w:right w:val="single" w:sz="12" w:space="0" w:color="000000"/>
            </w:tcBorders>
            <w:shd w:val="clear" w:color="auto" w:fill="B6DDE8"/>
          </w:tcPr>
          <w:p>
            <w:pPr/>
          </w:p>
        </w:tc>
        <w:tc>
          <w:tcPr>
            <w:tcW w:w="1080" w:type="dxa"/>
            <w:tcBorders>
              <w:top w:val="nil"/>
              <w:left w:val="single" w:sz="12" w:space="0" w:color="000000"/>
              <w:bottom w:val="single" w:sz="12" w:space="0" w:color="000000"/>
              <w:right w:val="single" w:sz="12" w:space="0" w:color="000000"/>
            </w:tcBorders>
            <w:shd w:val="clear" w:color="auto" w:fill="B6DDE8"/>
          </w:tcPr>
          <w:p>
            <w:pPr>
              <w:pStyle w:val="TableParagraph"/>
              <w:spacing w:before="43"/>
              <w:ind w:right="22"/>
              <w:jc w:val="right"/>
              <w:rPr>
                <w:rFonts w:ascii="Verdana"/>
                <w:sz w:val="16"/>
              </w:rPr>
            </w:pPr>
            <w:r>
              <w:rPr>
                <w:rFonts w:ascii="Verdana"/>
                <w:w w:val="85"/>
                <w:sz w:val="16"/>
              </w:rPr>
              <w:t>11.00%</w:t>
            </w:r>
          </w:p>
        </w:tc>
      </w:tr>
      <w:tr>
        <w:trPr>
          <w:trHeight w:val="501" w:hRule="exact"/>
        </w:trPr>
        <w:tc>
          <w:tcPr>
            <w:tcW w:w="2618"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F2DDDC"/>
          </w:tcPr>
          <w:p>
            <w:pPr>
              <w:pStyle w:val="TableParagraph"/>
              <w:spacing w:line="290" w:lineRule="exact"/>
              <w:ind w:left="825" w:right="291"/>
              <w:jc w:val="left"/>
              <w:rPr>
                <w:rFonts w:ascii="Verdana"/>
                <w:b/>
                <w:sz w:val="24"/>
              </w:rPr>
            </w:pPr>
            <w:r>
              <w:rPr>
                <w:rFonts w:ascii="Verdana"/>
                <w:b/>
                <w:w w:val="90"/>
                <w:sz w:val="24"/>
              </w:rPr>
              <w:t>CAPITAL</w:t>
            </w:r>
          </w:p>
          <w:p>
            <w:pPr>
              <w:pStyle w:val="TableParagraph"/>
              <w:spacing w:before="5"/>
              <w:jc w:val="left"/>
              <w:rPr>
                <w:rFonts w:ascii="Arial"/>
                <w:sz w:val="32"/>
              </w:rPr>
            </w:pPr>
          </w:p>
          <w:p>
            <w:pPr>
              <w:pStyle w:val="TableParagraph"/>
              <w:ind w:left="165" w:right="291"/>
              <w:jc w:val="left"/>
              <w:rPr>
                <w:rFonts w:ascii="Verdana"/>
                <w:sz w:val="16"/>
              </w:rPr>
            </w:pPr>
            <w:r>
              <w:rPr>
                <w:rFonts w:ascii="Verdana"/>
                <w:sz w:val="16"/>
              </w:rPr>
              <w:t>Capital social</w:t>
            </w:r>
          </w:p>
          <w:p>
            <w:pPr>
              <w:pStyle w:val="TableParagraph"/>
              <w:spacing w:before="105"/>
              <w:ind w:left="165" w:right="291"/>
              <w:jc w:val="left"/>
              <w:rPr>
                <w:rFonts w:ascii="Verdana" w:hAnsi="Verdana"/>
                <w:sz w:val="16"/>
              </w:rPr>
            </w:pPr>
            <w:r>
              <w:rPr>
                <w:rFonts w:ascii="Verdana" w:hAnsi="Verdana"/>
                <w:w w:val="90"/>
                <w:sz w:val="16"/>
              </w:rPr>
              <w:t>Interés minoritario</w:t>
            </w:r>
          </w:p>
        </w:tc>
        <w:tc>
          <w:tcPr>
            <w:tcW w:w="1080" w:type="dxa"/>
            <w:tcBorders>
              <w:top w:val="single" w:sz="12" w:space="0" w:color="000000"/>
              <w:left w:val="single" w:sz="12" w:space="0" w:color="000000"/>
              <w:bottom w:val="nil"/>
              <w:right w:val="single" w:sz="12" w:space="0" w:color="000000"/>
            </w:tcBorders>
            <w:shd w:val="clear" w:color="auto" w:fill="F2DDDC"/>
          </w:tcPr>
          <w:p>
            <w:pPr>
              <w:pStyle w:val="TableParagraph"/>
              <w:spacing w:line="290" w:lineRule="exact"/>
              <w:ind w:left="119"/>
              <w:jc w:val="left"/>
              <w:rPr>
                <w:rFonts w:ascii="Verdana"/>
                <w:b/>
                <w:sz w:val="24"/>
              </w:rPr>
            </w:pPr>
            <w:r>
              <w:rPr>
                <w:rFonts w:ascii="Verdana"/>
                <w:b/>
                <w:w w:val="80"/>
                <w:sz w:val="24"/>
              </w:rPr>
              <w:t>24.00%</w:t>
            </w:r>
          </w:p>
        </w:tc>
      </w:tr>
      <w:tr>
        <w:trPr>
          <w:trHeight w:val="436" w:hRule="exact"/>
        </w:trPr>
        <w:tc>
          <w:tcPr>
            <w:tcW w:w="2618"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tcBorders>
              <w:left w:val="single" w:sz="12" w:space="0" w:color="000000"/>
              <w:right w:val="single" w:sz="12" w:space="0" w:color="000000"/>
            </w:tcBorders>
            <w:shd w:val="clear" w:color="auto" w:fill="F2DDDC"/>
          </w:tcPr>
          <w:p>
            <w:pPr/>
          </w:p>
        </w:tc>
        <w:tc>
          <w:tcPr>
            <w:tcW w:w="1080" w:type="dxa"/>
            <w:tcBorders>
              <w:top w:val="nil"/>
              <w:left w:val="single" w:sz="12" w:space="0" w:color="000000"/>
              <w:bottom w:val="nil"/>
              <w:right w:val="single" w:sz="12" w:space="0" w:color="000000"/>
            </w:tcBorders>
            <w:shd w:val="clear" w:color="auto" w:fill="F2DDDC"/>
          </w:tcPr>
          <w:p>
            <w:pPr>
              <w:pStyle w:val="TableParagraph"/>
              <w:spacing w:before="5"/>
              <w:jc w:val="left"/>
              <w:rPr>
                <w:rFonts w:ascii="Arial"/>
                <w:sz w:val="15"/>
              </w:rPr>
            </w:pPr>
          </w:p>
          <w:p>
            <w:pPr>
              <w:pStyle w:val="TableParagraph"/>
              <w:ind w:right="22"/>
              <w:jc w:val="right"/>
              <w:rPr>
                <w:rFonts w:ascii="Verdana"/>
                <w:sz w:val="16"/>
              </w:rPr>
            </w:pPr>
            <w:r>
              <w:rPr>
                <w:rFonts w:ascii="Verdana"/>
                <w:w w:val="85"/>
                <w:sz w:val="16"/>
              </w:rPr>
              <w:t>23.00%</w:t>
            </w:r>
          </w:p>
        </w:tc>
      </w:tr>
      <w:tr>
        <w:trPr>
          <w:trHeight w:val="623" w:hRule="exact"/>
        </w:trPr>
        <w:tc>
          <w:tcPr>
            <w:tcW w:w="2618" w:type="dxa"/>
            <w:tcBorders>
              <w:top w:val="nil"/>
              <w:bottom w:val="single" w:sz="12" w:space="0" w:color="000000"/>
              <w:right w:val="single" w:sz="12" w:space="0" w:color="000000"/>
            </w:tcBorders>
            <w:shd w:val="clear" w:color="auto" w:fill="FFFF00"/>
          </w:tcPr>
          <w:p>
            <w:pPr/>
          </w:p>
        </w:tc>
        <w:tc>
          <w:tcPr>
            <w:tcW w:w="1110" w:type="dxa"/>
            <w:tcBorders>
              <w:top w:val="nil"/>
              <w:left w:val="single" w:sz="12" w:space="0" w:color="000000"/>
              <w:bottom w:val="single" w:sz="12" w:space="0" w:color="000000"/>
              <w:right w:val="single" w:sz="12" w:space="0" w:color="000000"/>
            </w:tcBorders>
            <w:shd w:val="clear" w:color="auto" w:fill="FFFF00"/>
          </w:tcPr>
          <w:p>
            <w:pPr/>
          </w:p>
        </w:tc>
        <w:tc>
          <w:tcPr>
            <w:tcW w:w="2625" w:type="dxa"/>
            <w:vMerge/>
            <w:tcBorders>
              <w:left w:val="single" w:sz="12" w:space="0" w:color="000000"/>
              <w:bottom w:val="single" w:sz="12" w:space="0" w:color="000000"/>
              <w:right w:val="single" w:sz="12" w:space="0" w:color="000000"/>
            </w:tcBorders>
            <w:shd w:val="clear" w:color="auto" w:fill="F2DDDC"/>
          </w:tcPr>
          <w:p>
            <w:pPr/>
          </w:p>
        </w:tc>
        <w:tc>
          <w:tcPr>
            <w:tcW w:w="1080" w:type="dxa"/>
            <w:tcBorders>
              <w:top w:val="nil"/>
              <w:left w:val="single" w:sz="12" w:space="0" w:color="000000"/>
              <w:bottom w:val="single" w:sz="12" w:space="0" w:color="000000"/>
              <w:right w:val="single" w:sz="12" w:space="0" w:color="000000"/>
            </w:tcBorders>
            <w:shd w:val="clear" w:color="auto" w:fill="F2DDDC"/>
          </w:tcPr>
          <w:p>
            <w:pPr>
              <w:pStyle w:val="TableParagraph"/>
              <w:spacing w:before="42"/>
              <w:ind w:right="22"/>
              <w:jc w:val="right"/>
              <w:rPr>
                <w:rFonts w:ascii="Verdana"/>
                <w:sz w:val="16"/>
              </w:rPr>
            </w:pPr>
            <w:r>
              <w:rPr>
                <w:rFonts w:ascii="Verdana"/>
                <w:w w:val="85"/>
                <w:sz w:val="16"/>
              </w:rPr>
              <w:t>1.00%</w:t>
            </w:r>
          </w:p>
        </w:tc>
      </w:tr>
      <w:tr>
        <w:trPr>
          <w:trHeight w:val="315" w:hRule="exact"/>
        </w:trPr>
        <w:tc>
          <w:tcPr>
            <w:tcW w:w="2618" w:type="dxa"/>
            <w:tcBorders>
              <w:top w:val="single" w:sz="12" w:space="0" w:color="000000"/>
              <w:bottom w:val="single" w:sz="12" w:space="0" w:color="000000"/>
              <w:right w:val="single" w:sz="12" w:space="0" w:color="000000"/>
            </w:tcBorders>
            <w:shd w:val="clear" w:color="auto" w:fill="4F81BD"/>
          </w:tcPr>
          <w:p>
            <w:pPr>
              <w:pStyle w:val="TableParagraph"/>
              <w:spacing w:line="290" w:lineRule="exact"/>
              <w:ind w:left="855"/>
              <w:jc w:val="left"/>
              <w:rPr>
                <w:rFonts w:ascii="Verdana"/>
                <w:b/>
                <w:sz w:val="24"/>
              </w:rPr>
            </w:pPr>
            <w:r>
              <w:rPr>
                <w:rFonts w:ascii="Verdana"/>
                <w:b/>
                <w:w w:val="95"/>
                <w:sz w:val="24"/>
              </w:rPr>
              <w:t>ACTIVO</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right="62"/>
              <w:jc w:val="righ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left="269"/>
              <w:jc w:val="left"/>
              <w:rPr>
                <w:rFonts w:ascii="Verdana"/>
                <w:b/>
                <w:sz w:val="24"/>
              </w:rPr>
            </w:pPr>
            <w:r>
              <w:rPr>
                <w:rFonts w:ascii="Verdana"/>
                <w:b/>
                <w:w w:val="80"/>
                <w:sz w:val="24"/>
              </w:rPr>
              <w:t>PASIVO + CAPITAL</w:t>
            </w:r>
          </w:p>
        </w:tc>
        <w:tc>
          <w:tcPr>
            <w:tcW w:w="108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left="59"/>
              <w:jc w:val="left"/>
              <w:rPr>
                <w:rFonts w:ascii="Verdana"/>
                <w:b/>
                <w:sz w:val="24"/>
              </w:rPr>
            </w:pPr>
            <w:r>
              <w:rPr>
                <w:rFonts w:ascii="Verdana"/>
                <w:b/>
                <w:w w:val="75"/>
                <w:sz w:val="24"/>
              </w:rPr>
              <w:t>100.00%</w:t>
            </w:r>
          </w:p>
        </w:tc>
      </w:tr>
    </w:tbl>
    <w:p>
      <w:pPr>
        <w:pStyle w:val="BodyText"/>
        <w:rPr>
          <w:sz w:val="20"/>
        </w:rPr>
      </w:pPr>
    </w:p>
    <w:p>
      <w:pPr>
        <w:pStyle w:val="BodyText"/>
        <w:rPr>
          <w:sz w:val="20"/>
        </w:rPr>
      </w:pPr>
    </w:p>
    <w:p>
      <w:pPr>
        <w:pStyle w:val="BodyText"/>
        <w:spacing w:before="6"/>
        <w:rPr>
          <w:sz w:val="19"/>
        </w:rPr>
      </w:pPr>
    </w:p>
    <w:p>
      <w:pPr>
        <w:pStyle w:val="BodyText"/>
        <w:spacing w:line="276" w:lineRule="auto" w:before="70"/>
        <w:ind w:left="110" w:right="108"/>
        <w:jc w:val="both"/>
      </w:pPr>
      <w:r>
        <w:rPr/>
        <w:t>El total de activos fijos se ve impactado por -5% debido principalmente al reconocimiento de la pérdida de 9 millones de euros durante el 2010 debido al activos intangibles del grupo de productos Engine Management Systems; la maquinaria, equipo y terrenos no presento ningún cambio con respecto al año anterior. El activo circulante presento un incremento de 5% con respecto al 2009 debido principalmente al aumento en los inventarios y en las cuentas por cobrar, aun cuando la rotación de cuentas por cobrar disminuyo a 56 días comparado a 61 durante el año</w:t>
      </w:r>
      <w:r>
        <w:rPr>
          <w:spacing w:val="-6"/>
        </w:rPr>
        <w:t> </w:t>
      </w:r>
      <w:r>
        <w:rPr/>
        <w:t>2009.</w:t>
      </w:r>
    </w:p>
    <w:p>
      <w:pPr>
        <w:pStyle w:val="BodyText"/>
        <w:spacing w:line="273" w:lineRule="auto" w:before="207"/>
        <w:ind w:left="110" w:right="108"/>
        <w:jc w:val="both"/>
      </w:pPr>
      <w:r>
        <w:rPr/>
        <w:t>La deuda a corto plazo se ve incrementada por un total de 4 millones de euros debido al aumento en préstamos y créditos a corto plazo. La deuda a largo plazo se vio incrementada debido a la emisión de bonos OCEANE por 463 millones de euros.</w:t>
      </w:r>
    </w:p>
    <w:p>
      <w:pPr>
        <w:pStyle w:val="BodyText"/>
        <w:spacing w:before="205"/>
        <w:ind w:left="110"/>
        <w:jc w:val="both"/>
      </w:pPr>
      <w:r>
        <w:rPr/>
        <w:t>El capital social se vio incrementado de 4% con respecto al año anterior.</w:t>
      </w:r>
    </w:p>
    <w:p>
      <w:pPr>
        <w:spacing w:after="0"/>
        <w:jc w:val="both"/>
        <w:sectPr>
          <w:pgSz w:w="11910" w:h="16840"/>
          <w:pgMar w:header="755" w:footer="724" w:top="960" w:bottom="9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2"/>
        <w:spacing w:before="69"/>
        <w:ind w:left="0" w:right="1002"/>
        <w:jc w:val="right"/>
      </w:pPr>
      <w:r>
        <w:rPr/>
        <w:pict>
          <v:shape style="position:absolute;margin-left:87.13398pt;margin-top:-369.72403pt;width:375pt;height:384.75pt;mso-position-horizontal-relative:page;mso-position-vertical-relative:paragraph;z-index:412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7"/>
                    <w:gridCol w:w="1110"/>
                    <w:gridCol w:w="2625"/>
                    <w:gridCol w:w="1110"/>
                  </w:tblGrid>
                  <w:tr>
                    <w:trPr>
                      <w:trHeight w:val="307" w:hRule="exact"/>
                    </w:trPr>
                    <w:tc>
                      <w:tcPr>
                        <w:tcW w:w="7463" w:type="dxa"/>
                        <w:gridSpan w:val="4"/>
                        <w:tcBorders>
                          <w:bottom w:val="single" w:sz="12" w:space="0" w:color="000000"/>
                          <w:right w:val="single" w:sz="12" w:space="0" w:color="000000"/>
                        </w:tcBorders>
                        <w:shd w:val="clear" w:color="auto" w:fill="4F81BD"/>
                      </w:tcPr>
                      <w:p>
                        <w:pPr>
                          <w:pStyle w:val="TableParagraph"/>
                          <w:spacing w:line="290" w:lineRule="exact"/>
                          <w:ind w:left="3392" w:right="3393"/>
                          <w:rPr>
                            <w:rFonts w:ascii="Verdana"/>
                            <w:b/>
                            <w:sz w:val="24"/>
                          </w:rPr>
                        </w:pPr>
                        <w:r>
                          <w:rPr>
                            <w:rFonts w:ascii="Verdana"/>
                            <w:b/>
                            <w:w w:val="90"/>
                            <w:sz w:val="24"/>
                          </w:rPr>
                          <w:t>2009</w:t>
                        </w:r>
                      </w:p>
                    </w:tc>
                  </w:tr>
                  <w:tr>
                    <w:trPr>
                      <w:trHeight w:val="689" w:hRule="exact"/>
                    </w:trPr>
                    <w:tc>
                      <w:tcPr>
                        <w:tcW w:w="2617" w:type="dxa"/>
                        <w:tcBorders>
                          <w:top w:val="single" w:sz="12" w:space="0" w:color="000000"/>
                          <w:bottom w:val="nil"/>
                          <w:right w:val="single" w:sz="12" w:space="0" w:color="000000"/>
                        </w:tcBorders>
                        <w:shd w:val="clear" w:color="auto" w:fill="92D050"/>
                      </w:tcPr>
                      <w:p>
                        <w:pPr/>
                      </w:p>
                    </w:tc>
                    <w:tc>
                      <w:tcPr>
                        <w:tcW w:w="1110" w:type="dxa"/>
                        <w:tcBorders>
                          <w:top w:val="single" w:sz="12" w:space="0" w:color="000000"/>
                          <w:left w:val="single" w:sz="12" w:space="0" w:color="000000"/>
                          <w:bottom w:val="nil"/>
                          <w:right w:val="single" w:sz="12" w:space="0" w:color="000000"/>
                        </w:tcBorders>
                        <w:shd w:val="clear" w:color="auto" w:fill="92D050"/>
                      </w:tcPr>
                      <w:p>
                        <w:pPr/>
                      </w:p>
                    </w:tc>
                    <w:tc>
                      <w:tcPr>
                        <w:tcW w:w="2625" w:type="dxa"/>
                        <w:vMerge w:val="restart"/>
                        <w:tcBorders>
                          <w:top w:val="single" w:sz="12" w:space="0" w:color="000000"/>
                          <w:left w:val="single" w:sz="12" w:space="0" w:color="000000"/>
                          <w:right w:val="single" w:sz="12" w:space="0" w:color="000000"/>
                        </w:tcBorders>
                        <w:shd w:val="clear" w:color="auto" w:fill="DBEEF3"/>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9"/>
                            <w:w w:val="90"/>
                            <w:sz w:val="24"/>
                          </w:rPr>
                          <w:t> </w:t>
                        </w:r>
                        <w:r>
                          <w:rPr>
                            <w:rFonts w:ascii="Verdana"/>
                            <w:b/>
                            <w:w w:val="90"/>
                            <w:sz w:val="24"/>
                          </w:rPr>
                          <w:t>A</w:t>
                        </w:r>
                        <w:r>
                          <w:rPr>
                            <w:rFonts w:ascii="Verdana"/>
                            <w:b/>
                            <w:spacing w:val="-45"/>
                            <w:w w:val="90"/>
                            <w:sz w:val="24"/>
                          </w:rPr>
                          <w:t> </w:t>
                        </w:r>
                        <w:r>
                          <w:rPr>
                            <w:rFonts w:ascii="Verdana"/>
                            <w:b/>
                            <w:spacing w:val="-4"/>
                            <w:w w:val="90"/>
                            <w:sz w:val="24"/>
                          </w:rPr>
                          <w:t>CORTO </w:t>
                        </w:r>
                        <w:r>
                          <w:rPr>
                            <w:rFonts w:ascii="Verdana"/>
                            <w:b/>
                            <w:w w:val="95"/>
                            <w:sz w:val="24"/>
                          </w:rPr>
                          <w:t>PLAZO</w:t>
                        </w: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line="369" w:lineRule="auto" w:before="149"/>
                          <w:ind w:left="165" w:right="522"/>
                          <w:jc w:val="left"/>
                          <w:rPr>
                            <w:rFonts w:ascii="Verdana"/>
                            <w:sz w:val="16"/>
                          </w:rPr>
                        </w:pPr>
                        <w:r>
                          <w:rPr>
                            <w:rFonts w:ascii="Verdana"/>
                            <w:sz w:val="16"/>
                          </w:rPr>
                          <w:t>Cuentas por pagar Otros</w:t>
                        </w:r>
                      </w:p>
                    </w:tc>
                    <w:tc>
                      <w:tcPr>
                        <w:tcW w:w="1110" w:type="dxa"/>
                        <w:tcBorders>
                          <w:top w:val="single" w:sz="12" w:space="0" w:color="000000"/>
                          <w:left w:val="single" w:sz="12" w:space="0" w:color="000000"/>
                          <w:bottom w:val="nil"/>
                          <w:right w:val="single" w:sz="12" w:space="0" w:color="000000"/>
                        </w:tcBorders>
                        <w:shd w:val="clear" w:color="auto" w:fill="DBEEF3"/>
                      </w:tcPr>
                      <w:p>
                        <w:pPr>
                          <w:pStyle w:val="TableParagraph"/>
                          <w:spacing w:before="134"/>
                          <w:ind w:left="135"/>
                          <w:jc w:val="left"/>
                          <w:rPr>
                            <w:rFonts w:ascii="Verdana"/>
                            <w:b/>
                            <w:sz w:val="24"/>
                          </w:rPr>
                        </w:pPr>
                        <w:r>
                          <w:rPr>
                            <w:rFonts w:ascii="Verdana"/>
                            <w:b/>
                            <w:w w:val="80"/>
                            <w:sz w:val="24"/>
                          </w:rPr>
                          <w:t>44.00%</w:t>
                        </w:r>
                      </w:p>
                    </w:tc>
                  </w:tr>
                  <w:tr>
                    <w:trPr>
                      <w:trHeight w:val="826" w:hRule="exact"/>
                    </w:trPr>
                    <w:tc>
                      <w:tcPr>
                        <w:tcW w:w="2617" w:type="dxa"/>
                        <w:tcBorders>
                          <w:top w:val="nil"/>
                          <w:bottom w:val="nil"/>
                          <w:right w:val="single" w:sz="12" w:space="0" w:color="000000"/>
                        </w:tcBorders>
                        <w:shd w:val="clear" w:color="auto" w:fill="92D050"/>
                      </w:tcPr>
                      <w:p>
                        <w:pPr>
                          <w:pStyle w:val="TableParagraph"/>
                          <w:spacing w:before="210"/>
                          <w:ind w:left="135" w:right="71"/>
                          <w:jc w:val="left"/>
                          <w:rPr>
                            <w:rFonts w:ascii="Verdana"/>
                            <w:b/>
                            <w:sz w:val="24"/>
                          </w:rPr>
                        </w:pPr>
                        <w:r>
                          <w:rPr>
                            <w:rFonts w:ascii="Verdana"/>
                            <w:b/>
                            <w:spacing w:val="2"/>
                            <w:w w:val="101"/>
                            <w:sz w:val="24"/>
                          </w:rPr>
                          <w:t>A</w:t>
                        </w:r>
                        <w:r>
                          <w:rPr>
                            <w:rFonts w:ascii="Verdana"/>
                            <w:b/>
                            <w:spacing w:val="-7"/>
                            <w:w w:val="101"/>
                            <w:sz w:val="24"/>
                          </w:rPr>
                          <w:t>C</w:t>
                        </w:r>
                        <w:r>
                          <w:rPr>
                            <w:rFonts w:ascii="Verdana"/>
                            <w:b/>
                            <w:spacing w:val="3"/>
                            <w:w w:val="61"/>
                            <w:sz w:val="24"/>
                          </w:rPr>
                          <w:t>T</w:t>
                        </w:r>
                        <w:r>
                          <w:rPr>
                            <w:rFonts w:ascii="Verdana"/>
                            <w:b/>
                            <w:spacing w:val="-8"/>
                            <w:w w:val="51"/>
                            <w:sz w:val="24"/>
                          </w:rPr>
                          <w:t>I</w:t>
                        </w:r>
                        <w:r>
                          <w:rPr>
                            <w:rFonts w:ascii="Verdana"/>
                            <w:b/>
                            <w:spacing w:val="-3"/>
                            <w:w w:val="91"/>
                            <w:sz w:val="24"/>
                          </w:rPr>
                          <w:t>V</w:t>
                        </w:r>
                        <w:r>
                          <w:rPr>
                            <w:rFonts w:ascii="Verdana"/>
                            <w:b/>
                            <w:w w:val="98"/>
                            <w:sz w:val="24"/>
                          </w:rPr>
                          <w:t>O</w:t>
                        </w:r>
                        <w:r>
                          <w:rPr>
                            <w:rFonts w:ascii="Verdana"/>
                            <w:b/>
                            <w:spacing w:val="-29"/>
                            <w:sz w:val="24"/>
                          </w:rPr>
                          <w:t> </w:t>
                        </w:r>
                        <w:r>
                          <w:rPr>
                            <w:rFonts w:ascii="Verdana"/>
                            <w:b/>
                            <w:spacing w:val="-7"/>
                            <w:w w:val="107"/>
                            <w:sz w:val="24"/>
                          </w:rPr>
                          <w:t>C</w:t>
                        </w:r>
                        <w:r>
                          <w:rPr>
                            <w:rFonts w:ascii="Verdana"/>
                            <w:b/>
                            <w:spacing w:val="-8"/>
                            <w:w w:val="51"/>
                            <w:sz w:val="24"/>
                          </w:rPr>
                          <w:t>I</w:t>
                        </w:r>
                        <w:r>
                          <w:rPr>
                            <w:rFonts w:ascii="Verdana"/>
                            <w:b/>
                            <w:spacing w:val="-5"/>
                            <w:w w:val="74"/>
                            <w:sz w:val="24"/>
                          </w:rPr>
                          <w:t>R</w:t>
                        </w:r>
                        <w:r>
                          <w:rPr>
                            <w:rFonts w:ascii="Verdana"/>
                            <w:b/>
                            <w:spacing w:val="-7"/>
                            <w:w w:val="107"/>
                            <w:sz w:val="24"/>
                          </w:rPr>
                          <w:t>C</w:t>
                        </w:r>
                        <w:r>
                          <w:rPr>
                            <w:rFonts w:ascii="Verdana"/>
                            <w:b/>
                            <w:spacing w:val="-4"/>
                            <w:w w:val="78"/>
                            <w:sz w:val="24"/>
                          </w:rPr>
                          <w:t>U</w:t>
                        </w:r>
                        <w:r>
                          <w:rPr>
                            <w:rFonts w:ascii="Verdana"/>
                            <w:b/>
                            <w:spacing w:val="-1"/>
                            <w:w w:val="69"/>
                            <w:sz w:val="24"/>
                          </w:rPr>
                          <w:t>L</w:t>
                        </w:r>
                        <w:r>
                          <w:rPr>
                            <w:rFonts w:ascii="Verdana"/>
                            <w:b/>
                            <w:spacing w:val="2"/>
                            <w:w w:val="82"/>
                            <w:sz w:val="24"/>
                          </w:rPr>
                          <w:t>AN</w:t>
                        </w:r>
                        <w:r>
                          <w:rPr>
                            <w:rFonts w:ascii="Verdana"/>
                            <w:b/>
                            <w:spacing w:val="3"/>
                            <w:w w:val="82"/>
                            <w:sz w:val="24"/>
                          </w:rPr>
                          <w:t>T</w:t>
                        </w:r>
                        <w:r>
                          <w:rPr>
                            <w:rFonts w:ascii="Verdana"/>
                            <w:b/>
                            <w:w w:val="76"/>
                            <w:sz w:val="24"/>
                          </w:rPr>
                          <w:t>E</w:t>
                        </w:r>
                      </w:p>
                    </w:tc>
                    <w:tc>
                      <w:tcPr>
                        <w:tcW w:w="1110" w:type="dxa"/>
                        <w:tcBorders>
                          <w:top w:val="nil"/>
                          <w:left w:val="single" w:sz="12" w:space="0" w:color="000000"/>
                          <w:bottom w:val="nil"/>
                          <w:right w:val="single" w:sz="12" w:space="0" w:color="000000"/>
                        </w:tcBorders>
                        <w:shd w:val="clear" w:color="auto" w:fill="92D050"/>
                      </w:tcPr>
                      <w:p>
                        <w:pPr>
                          <w:pStyle w:val="TableParagraph"/>
                          <w:spacing w:before="210"/>
                          <w:ind w:right="137"/>
                          <w:jc w:val="right"/>
                          <w:rPr>
                            <w:rFonts w:ascii="Verdana"/>
                            <w:b/>
                            <w:sz w:val="24"/>
                          </w:rPr>
                        </w:pPr>
                        <w:r>
                          <w:rPr>
                            <w:rFonts w:ascii="Verdana"/>
                            <w:b/>
                            <w:w w:val="75"/>
                            <w:sz w:val="24"/>
                          </w:rPr>
                          <w:t>44.00%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563" w:hRule="exact"/>
                    </w:trPr>
                    <w:tc>
                      <w:tcPr>
                        <w:tcW w:w="2617" w:type="dxa"/>
                        <w:tcBorders>
                          <w:top w:val="nil"/>
                          <w:bottom w:val="nil"/>
                          <w:right w:val="single" w:sz="12" w:space="0" w:color="000000"/>
                        </w:tcBorders>
                        <w:shd w:val="clear" w:color="auto" w:fill="92D050"/>
                      </w:tcPr>
                      <w:p>
                        <w:pPr>
                          <w:pStyle w:val="TableParagraph"/>
                          <w:jc w:val="left"/>
                          <w:rPr>
                            <w:rFonts w:ascii="Arial"/>
                            <w:sz w:val="16"/>
                          </w:rPr>
                        </w:pPr>
                      </w:p>
                      <w:p>
                        <w:pPr>
                          <w:pStyle w:val="TableParagraph"/>
                          <w:spacing w:before="121"/>
                          <w:ind w:left="165" w:right="291"/>
                          <w:jc w:val="left"/>
                          <w:rPr>
                            <w:rFonts w:ascii="Verdana"/>
                            <w:sz w:val="16"/>
                          </w:rPr>
                        </w:pPr>
                        <w:r>
                          <w:rPr>
                            <w:rFonts w:ascii="Verdana"/>
                            <w:sz w:val="16"/>
                          </w:rPr>
                          <w:t>Cajas y bancos</w:t>
                        </w:r>
                      </w:p>
                    </w:tc>
                    <w:tc>
                      <w:tcPr>
                        <w:tcW w:w="1110" w:type="dxa"/>
                        <w:tcBorders>
                          <w:top w:val="nil"/>
                          <w:left w:val="single" w:sz="12" w:space="0" w:color="000000"/>
                          <w:bottom w:val="nil"/>
                          <w:right w:val="single" w:sz="12" w:space="0" w:color="000000"/>
                        </w:tcBorders>
                        <w:shd w:val="clear" w:color="auto" w:fill="92D050"/>
                      </w:tcPr>
                      <w:p>
                        <w:pPr>
                          <w:pStyle w:val="TableParagraph"/>
                          <w:jc w:val="left"/>
                          <w:rPr>
                            <w:rFonts w:ascii="Arial"/>
                            <w:sz w:val="16"/>
                          </w:rPr>
                        </w:pPr>
                      </w:p>
                      <w:p>
                        <w:pPr>
                          <w:pStyle w:val="TableParagraph"/>
                          <w:spacing w:before="121"/>
                          <w:ind w:right="22"/>
                          <w:jc w:val="right"/>
                          <w:rPr>
                            <w:rFonts w:ascii="Verdana"/>
                            <w:sz w:val="16"/>
                          </w:rPr>
                        </w:pPr>
                        <w:r>
                          <w:rPr>
                            <w:rFonts w:ascii="Verdana"/>
                            <w:w w:val="85"/>
                            <w:sz w:val="16"/>
                          </w:rPr>
                          <w:t>13.00%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7" w:type="dxa"/>
                        <w:tcBorders>
                          <w:top w:val="nil"/>
                          <w:bottom w:val="nil"/>
                          <w:right w:val="single" w:sz="12" w:space="0" w:color="000000"/>
                        </w:tcBorders>
                        <w:shd w:val="clear" w:color="auto" w:fill="92D050"/>
                      </w:tcPr>
                      <w:p>
                        <w:pPr>
                          <w:pStyle w:val="TableParagraph"/>
                          <w:spacing w:before="42"/>
                          <w:ind w:left="165" w:right="291"/>
                          <w:jc w:val="left"/>
                          <w:rPr>
                            <w:rFonts w:ascii="Verdana"/>
                            <w:sz w:val="16"/>
                          </w:rPr>
                        </w:pPr>
                        <w:r>
                          <w:rPr>
                            <w:rFonts w:ascii="Verdana"/>
                            <w:sz w:val="16"/>
                          </w:rPr>
                          <w:t>Cuentas por cobrar</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19.00%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7" w:type="dxa"/>
                        <w:tcBorders>
                          <w:top w:val="nil"/>
                          <w:bottom w:val="nil"/>
                          <w:right w:val="single" w:sz="12" w:space="0" w:color="000000"/>
                        </w:tcBorders>
                        <w:shd w:val="clear" w:color="auto" w:fill="92D050"/>
                      </w:tcPr>
                      <w:p>
                        <w:pPr>
                          <w:pStyle w:val="TableParagraph"/>
                          <w:spacing w:before="42"/>
                          <w:ind w:left="165" w:right="291"/>
                          <w:jc w:val="left"/>
                          <w:rPr>
                            <w:rFonts w:ascii="Verdana"/>
                            <w:sz w:val="16"/>
                          </w:rPr>
                        </w:pPr>
                        <w:r>
                          <w:rPr>
                            <w:rFonts w:ascii="Verdana"/>
                            <w:w w:val="95"/>
                            <w:sz w:val="16"/>
                          </w:rPr>
                          <w:t>Inv entarios</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7.00%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Style w:val="TableParagraph"/>
                          <w:spacing w:before="42"/>
                          <w:ind w:right="22"/>
                          <w:jc w:val="right"/>
                          <w:rPr>
                            <w:rFonts w:ascii="Verdana"/>
                            <w:sz w:val="16"/>
                          </w:rPr>
                        </w:pPr>
                        <w:r>
                          <w:rPr>
                            <w:rFonts w:ascii="Verdana"/>
                            <w:w w:val="85"/>
                            <w:sz w:val="16"/>
                          </w:rPr>
                          <w:t>25.00%</w:t>
                        </w:r>
                      </w:p>
                    </w:tc>
                  </w:tr>
                  <w:tr>
                    <w:trPr>
                      <w:trHeight w:val="323" w:hRule="exact"/>
                    </w:trPr>
                    <w:tc>
                      <w:tcPr>
                        <w:tcW w:w="2617" w:type="dxa"/>
                        <w:tcBorders>
                          <w:top w:val="nil"/>
                          <w:bottom w:val="single" w:sz="12" w:space="0" w:color="000000"/>
                          <w:right w:val="single" w:sz="12" w:space="0" w:color="000000"/>
                        </w:tcBorders>
                        <w:shd w:val="clear" w:color="auto" w:fill="92D050"/>
                      </w:tcPr>
                      <w:p>
                        <w:pPr>
                          <w:pStyle w:val="TableParagraph"/>
                          <w:spacing w:before="42"/>
                          <w:ind w:left="165" w:right="291"/>
                          <w:jc w:val="left"/>
                          <w:rPr>
                            <w:rFonts w:ascii="Verdana"/>
                            <w:sz w:val="16"/>
                          </w:rPr>
                        </w:pPr>
                        <w:r>
                          <w:rPr>
                            <w:rFonts w:ascii="Verdana"/>
                            <w:sz w:val="16"/>
                          </w:rPr>
                          <w:t>Otros</w:t>
                        </w:r>
                      </w:p>
                    </w:tc>
                    <w:tc>
                      <w:tcPr>
                        <w:tcW w:w="1110" w:type="dxa"/>
                        <w:tcBorders>
                          <w:top w:val="nil"/>
                          <w:left w:val="single" w:sz="12" w:space="0" w:color="000000"/>
                          <w:bottom w:val="single" w:sz="12" w:space="0" w:color="000000"/>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5.00%</w:t>
                        </w:r>
                      </w:p>
                    </w:tc>
                    <w:tc>
                      <w:tcPr>
                        <w:tcW w:w="2625" w:type="dxa"/>
                        <w:vMerge/>
                        <w:tcBorders>
                          <w:left w:val="single" w:sz="12" w:space="0" w:color="000000"/>
                          <w:bottom w:val="single" w:sz="12" w:space="0" w:color="000000"/>
                          <w:right w:val="single" w:sz="12" w:space="0" w:color="000000"/>
                        </w:tcBorders>
                        <w:shd w:val="clear" w:color="auto" w:fill="DBEEF3"/>
                      </w:tcPr>
                      <w:p>
                        <w:pPr/>
                      </w:p>
                    </w:tc>
                    <w:tc>
                      <w:tcPr>
                        <w:tcW w:w="1110" w:type="dxa"/>
                        <w:tcBorders>
                          <w:top w:val="nil"/>
                          <w:left w:val="single" w:sz="12" w:space="0" w:color="000000"/>
                          <w:bottom w:val="single" w:sz="12" w:space="0" w:color="000000"/>
                          <w:right w:val="single" w:sz="12" w:space="0" w:color="000000"/>
                        </w:tcBorders>
                        <w:shd w:val="clear" w:color="auto" w:fill="DBEEF3"/>
                      </w:tcPr>
                      <w:p>
                        <w:pPr>
                          <w:pStyle w:val="TableParagraph"/>
                          <w:spacing w:before="42"/>
                          <w:ind w:right="22"/>
                          <w:jc w:val="right"/>
                          <w:rPr>
                            <w:rFonts w:ascii="Verdana"/>
                            <w:sz w:val="16"/>
                          </w:rPr>
                        </w:pPr>
                        <w:r>
                          <w:rPr>
                            <w:rFonts w:ascii="Verdana"/>
                            <w:w w:val="85"/>
                            <w:sz w:val="16"/>
                          </w:rPr>
                          <w:t>19.00%</w:t>
                        </w:r>
                      </w:p>
                    </w:tc>
                  </w:tr>
                  <w:tr>
                    <w:trPr>
                      <w:trHeight w:val="1183" w:hRule="exact"/>
                    </w:trPr>
                    <w:tc>
                      <w:tcPr>
                        <w:tcW w:w="2617" w:type="dxa"/>
                        <w:tcBorders>
                          <w:top w:val="single" w:sz="12" w:space="0" w:color="000000"/>
                          <w:bottom w:val="nil"/>
                          <w:right w:val="single" w:sz="12" w:space="0" w:color="000000"/>
                        </w:tcBorders>
                        <w:shd w:val="clear" w:color="auto" w:fill="FFFF00"/>
                      </w:tcPr>
                      <w:p>
                        <w:pPr/>
                      </w:p>
                    </w:tc>
                    <w:tc>
                      <w:tcPr>
                        <w:tcW w:w="1110" w:type="dxa"/>
                        <w:tcBorders>
                          <w:top w:val="single" w:sz="12" w:space="0" w:color="000000"/>
                          <w:left w:val="single" w:sz="12" w:space="0" w:color="000000"/>
                          <w:bottom w:val="nil"/>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B6DDE8"/>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8"/>
                            <w:w w:val="90"/>
                            <w:sz w:val="24"/>
                          </w:rPr>
                          <w:t> </w:t>
                        </w:r>
                        <w:r>
                          <w:rPr>
                            <w:rFonts w:ascii="Verdana"/>
                            <w:b/>
                            <w:w w:val="90"/>
                            <w:sz w:val="24"/>
                          </w:rPr>
                          <w:t>A</w:t>
                        </w:r>
                        <w:r>
                          <w:rPr>
                            <w:rFonts w:ascii="Verdana"/>
                            <w:b/>
                            <w:spacing w:val="-44"/>
                            <w:w w:val="90"/>
                            <w:sz w:val="24"/>
                          </w:rPr>
                          <w:t> </w:t>
                        </w:r>
                        <w:r>
                          <w:rPr>
                            <w:rFonts w:ascii="Verdana"/>
                            <w:b/>
                            <w:spacing w:val="-3"/>
                            <w:w w:val="90"/>
                            <w:sz w:val="24"/>
                          </w:rPr>
                          <w:t>LARGO </w:t>
                        </w:r>
                        <w:r>
                          <w:rPr>
                            <w:rFonts w:ascii="Verdana"/>
                            <w:b/>
                            <w:w w:val="95"/>
                            <w:sz w:val="24"/>
                          </w:rPr>
                          <w:t>PLAZO</w:t>
                        </w: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76"/>
                          <w:ind w:left="165" w:right="291"/>
                          <w:jc w:val="left"/>
                          <w:rPr>
                            <w:rFonts w:ascii="Verdana"/>
                            <w:sz w:val="16"/>
                          </w:rPr>
                        </w:pPr>
                        <w:r>
                          <w:rPr>
                            <w:rFonts w:ascii="Verdana"/>
                            <w:w w:val="110"/>
                            <w:sz w:val="16"/>
                          </w:rPr>
                          <w:t>Deuda a largo plazo</w:t>
                        </w:r>
                      </w:p>
                      <w:p>
                        <w:pPr>
                          <w:pStyle w:val="TableParagraph"/>
                          <w:spacing w:before="105"/>
                          <w:ind w:left="165" w:right="291"/>
                          <w:jc w:val="left"/>
                          <w:rPr>
                            <w:rFonts w:ascii="Verdana"/>
                            <w:sz w:val="16"/>
                          </w:rPr>
                        </w:pPr>
                        <w:r>
                          <w:rPr>
                            <w:rFonts w:ascii="Verdana"/>
                            <w:sz w:val="16"/>
                          </w:rPr>
                          <w:t>Prov isiones a largo plazo</w:t>
                        </w:r>
                      </w:p>
                    </w:tc>
                    <w:tc>
                      <w:tcPr>
                        <w:tcW w:w="1110" w:type="dxa"/>
                        <w:tcBorders>
                          <w:top w:val="single" w:sz="12" w:space="0" w:color="000000"/>
                          <w:left w:val="single" w:sz="12" w:space="0" w:color="000000"/>
                          <w:bottom w:val="nil"/>
                          <w:right w:val="single" w:sz="12" w:space="0" w:color="000000"/>
                        </w:tcBorders>
                        <w:shd w:val="clear" w:color="auto" w:fill="B6DDE8"/>
                      </w:tcPr>
                      <w:p>
                        <w:pPr>
                          <w:pStyle w:val="TableParagraph"/>
                          <w:spacing w:before="148"/>
                          <w:ind w:left="135"/>
                          <w:jc w:val="left"/>
                          <w:rPr>
                            <w:rFonts w:ascii="Verdana"/>
                            <w:b/>
                            <w:sz w:val="24"/>
                          </w:rPr>
                        </w:pPr>
                        <w:r>
                          <w:rPr>
                            <w:rFonts w:ascii="Verdana"/>
                            <w:b/>
                            <w:w w:val="80"/>
                            <w:sz w:val="24"/>
                          </w:rPr>
                          <w:t>36.00%</w:t>
                        </w:r>
                      </w:p>
                    </w:tc>
                  </w:tr>
                  <w:tr>
                    <w:trPr>
                      <w:trHeight w:val="1006" w:hRule="exact"/>
                    </w:trPr>
                    <w:tc>
                      <w:tcPr>
                        <w:tcW w:w="2617" w:type="dxa"/>
                        <w:tcBorders>
                          <w:top w:val="nil"/>
                          <w:bottom w:val="nil"/>
                          <w:right w:val="single" w:sz="12" w:space="0" w:color="000000"/>
                        </w:tcBorders>
                        <w:shd w:val="clear" w:color="auto" w:fill="FFFF00"/>
                      </w:tcPr>
                      <w:p>
                        <w:pPr>
                          <w:pStyle w:val="TableParagraph"/>
                          <w:jc w:val="left"/>
                          <w:rPr>
                            <w:rFonts w:ascii="Arial"/>
                            <w:sz w:val="24"/>
                          </w:rPr>
                        </w:pPr>
                      </w:p>
                      <w:p>
                        <w:pPr>
                          <w:pStyle w:val="TableParagraph"/>
                          <w:jc w:val="left"/>
                          <w:rPr>
                            <w:rFonts w:ascii="Arial"/>
                            <w:sz w:val="24"/>
                          </w:rPr>
                        </w:pPr>
                      </w:p>
                      <w:p>
                        <w:pPr>
                          <w:pStyle w:val="TableParagraph"/>
                          <w:spacing w:before="138"/>
                          <w:ind w:left="584" w:right="291"/>
                          <w:jc w:val="left"/>
                          <w:rPr>
                            <w:rFonts w:ascii="Verdana"/>
                            <w:b/>
                            <w:sz w:val="24"/>
                          </w:rPr>
                        </w:pPr>
                        <w:r>
                          <w:rPr>
                            <w:rFonts w:ascii="Verdana"/>
                            <w:b/>
                            <w:w w:val="85"/>
                            <w:sz w:val="24"/>
                          </w:rPr>
                          <w:t>ACTIVO FIJO</w:t>
                        </w:r>
                      </w:p>
                    </w:tc>
                    <w:tc>
                      <w:tcPr>
                        <w:tcW w:w="1110" w:type="dxa"/>
                        <w:tcBorders>
                          <w:top w:val="nil"/>
                          <w:left w:val="single" w:sz="12" w:space="0" w:color="000000"/>
                          <w:bottom w:val="nil"/>
                          <w:right w:val="single" w:sz="12" w:space="0" w:color="000000"/>
                        </w:tcBorders>
                        <w:shd w:val="clear" w:color="auto" w:fill="FFFF00"/>
                      </w:tcPr>
                      <w:p>
                        <w:pPr>
                          <w:pStyle w:val="TableParagraph"/>
                          <w:jc w:val="left"/>
                          <w:rPr>
                            <w:rFonts w:ascii="Arial"/>
                            <w:sz w:val="24"/>
                          </w:rPr>
                        </w:pPr>
                      </w:p>
                      <w:p>
                        <w:pPr>
                          <w:pStyle w:val="TableParagraph"/>
                          <w:jc w:val="left"/>
                          <w:rPr>
                            <w:rFonts w:ascii="Arial"/>
                            <w:sz w:val="24"/>
                          </w:rPr>
                        </w:pPr>
                      </w:p>
                      <w:p>
                        <w:pPr>
                          <w:pStyle w:val="TableParagraph"/>
                          <w:spacing w:before="138"/>
                          <w:ind w:right="137"/>
                          <w:jc w:val="right"/>
                          <w:rPr>
                            <w:rFonts w:ascii="Verdana"/>
                            <w:b/>
                            <w:sz w:val="24"/>
                          </w:rPr>
                        </w:pPr>
                        <w:r>
                          <w:rPr>
                            <w:rFonts w:ascii="Verdana"/>
                            <w:b/>
                            <w:w w:val="75"/>
                            <w:sz w:val="24"/>
                          </w:rPr>
                          <w:t>56.00%</w:t>
                        </w:r>
                      </w:p>
                    </w:tc>
                    <w:tc>
                      <w:tcPr>
                        <w:tcW w:w="2625" w:type="dxa"/>
                        <w:vMerge/>
                        <w:tcBorders>
                          <w:left w:val="single" w:sz="12" w:space="0" w:color="000000"/>
                          <w:right w:val="single" w:sz="12" w:space="0" w:color="000000"/>
                        </w:tcBorders>
                        <w:shd w:val="clear" w:color="auto" w:fill="B6DDE8"/>
                      </w:tcPr>
                      <w:p>
                        <w:pPr/>
                      </w:p>
                    </w:tc>
                    <w:tc>
                      <w:tcPr>
                        <w:tcW w:w="1110" w:type="dxa"/>
                        <w:tcBorders>
                          <w:top w:val="nil"/>
                          <w:left w:val="single" w:sz="12" w:space="0" w:color="000000"/>
                          <w:bottom w:val="nil"/>
                          <w:right w:val="single" w:sz="12" w:space="0" w:color="000000"/>
                        </w:tcBorders>
                        <w:shd w:val="clear" w:color="auto" w:fill="B6DDE8"/>
                      </w:tcPr>
                      <w:p>
                        <w:pPr>
                          <w:pStyle w:val="TableParagraph"/>
                          <w:jc w:val="left"/>
                          <w:rPr>
                            <w:rFonts w:ascii="Arial"/>
                            <w:sz w:val="16"/>
                          </w:rPr>
                        </w:pPr>
                      </w:p>
                      <w:p>
                        <w:pPr>
                          <w:pStyle w:val="TableParagraph"/>
                          <w:jc w:val="left"/>
                          <w:rPr>
                            <w:rFonts w:ascii="Arial"/>
                            <w:sz w:val="16"/>
                          </w:rPr>
                        </w:pPr>
                      </w:p>
                      <w:p>
                        <w:pPr>
                          <w:pStyle w:val="TableParagraph"/>
                          <w:jc w:val="left"/>
                          <w:rPr>
                            <w:rFonts w:ascii="Arial"/>
                            <w:sz w:val="16"/>
                          </w:rPr>
                        </w:pPr>
                      </w:p>
                      <w:p>
                        <w:pPr>
                          <w:pStyle w:val="TableParagraph"/>
                          <w:spacing w:before="9"/>
                          <w:jc w:val="left"/>
                          <w:rPr>
                            <w:rFonts w:ascii="Arial"/>
                            <w:sz w:val="13"/>
                          </w:rPr>
                        </w:pPr>
                      </w:p>
                      <w:p>
                        <w:pPr>
                          <w:pStyle w:val="TableParagraph"/>
                          <w:ind w:right="22"/>
                          <w:jc w:val="right"/>
                          <w:rPr>
                            <w:rFonts w:ascii="Verdana"/>
                            <w:sz w:val="16"/>
                          </w:rPr>
                        </w:pPr>
                        <w:r>
                          <w:rPr>
                            <w:rFonts w:ascii="Verdana"/>
                            <w:w w:val="85"/>
                            <w:sz w:val="16"/>
                          </w:rPr>
                          <w:t>24.00%</w:t>
                        </w:r>
                      </w:p>
                    </w:tc>
                  </w:tr>
                  <w:tr>
                    <w:trPr>
                      <w:trHeight w:val="601" w:hRule="exact"/>
                    </w:trPr>
                    <w:tc>
                      <w:tcPr>
                        <w:tcW w:w="2617"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tcBorders>
                          <w:left w:val="single" w:sz="12" w:space="0" w:color="000000"/>
                          <w:bottom w:val="single" w:sz="12" w:space="0" w:color="000000"/>
                          <w:right w:val="single" w:sz="12" w:space="0" w:color="000000"/>
                        </w:tcBorders>
                        <w:shd w:val="clear" w:color="auto" w:fill="B6DDE8"/>
                      </w:tcPr>
                      <w:p>
                        <w:pPr/>
                      </w:p>
                    </w:tc>
                    <w:tc>
                      <w:tcPr>
                        <w:tcW w:w="1110" w:type="dxa"/>
                        <w:tcBorders>
                          <w:top w:val="nil"/>
                          <w:left w:val="single" w:sz="12" w:space="0" w:color="000000"/>
                          <w:bottom w:val="single" w:sz="12" w:space="0" w:color="000000"/>
                          <w:right w:val="single" w:sz="12" w:space="0" w:color="000000"/>
                        </w:tcBorders>
                        <w:shd w:val="clear" w:color="auto" w:fill="B6DDE8"/>
                      </w:tcPr>
                      <w:p>
                        <w:pPr>
                          <w:pStyle w:val="TableParagraph"/>
                          <w:spacing w:before="5"/>
                          <w:ind w:right="22"/>
                          <w:jc w:val="right"/>
                          <w:rPr>
                            <w:rFonts w:ascii="Verdana"/>
                            <w:sz w:val="16"/>
                          </w:rPr>
                        </w:pPr>
                        <w:r>
                          <w:rPr>
                            <w:rFonts w:ascii="Verdana"/>
                            <w:w w:val="85"/>
                            <w:sz w:val="16"/>
                          </w:rPr>
                          <w:t>12.00%</w:t>
                        </w:r>
                      </w:p>
                    </w:tc>
                  </w:tr>
                  <w:tr>
                    <w:trPr>
                      <w:trHeight w:val="359" w:hRule="exact"/>
                    </w:trPr>
                    <w:tc>
                      <w:tcPr>
                        <w:tcW w:w="2617"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F2DDDC"/>
                      </w:tcPr>
                      <w:p>
                        <w:pPr>
                          <w:pStyle w:val="TableParagraph"/>
                          <w:spacing w:before="13"/>
                          <w:ind w:left="824" w:right="291"/>
                          <w:jc w:val="left"/>
                          <w:rPr>
                            <w:rFonts w:ascii="Verdana"/>
                            <w:b/>
                            <w:sz w:val="24"/>
                          </w:rPr>
                        </w:pPr>
                        <w:r>
                          <w:rPr>
                            <w:rFonts w:ascii="Verdana"/>
                            <w:b/>
                            <w:w w:val="90"/>
                            <w:sz w:val="24"/>
                          </w:rPr>
                          <w:t>CAPITAL</w:t>
                        </w:r>
                      </w:p>
                      <w:p>
                        <w:pPr>
                          <w:pStyle w:val="TableParagraph"/>
                          <w:spacing w:before="58"/>
                          <w:ind w:left="165" w:right="291"/>
                          <w:jc w:val="left"/>
                          <w:rPr>
                            <w:rFonts w:ascii="Verdana"/>
                            <w:sz w:val="16"/>
                          </w:rPr>
                        </w:pPr>
                        <w:r>
                          <w:rPr>
                            <w:rFonts w:ascii="Verdana"/>
                            <w:sz w:val="16"/>
                          </w:rPr>
                          <w:t>Capital social</w:t>
                        </w:r>
                      </w:p>
                      <w:p>
                        <w:pPr>
                          <w:pStyle w:val="TableParagraph"/>
                          <w:spacing w:before="106"/>
                          <w:ind w:left="165" w:right="291"/>
                          <w:jc w:val="left"/>
                          <w:rPr>
                            <w:rFonts w:ascii="Verdana" w:hAnsi="Verdana"/>
                            <w:sz w:val="16"/>
                          </w:rPr>
                        </w:pPr>
                        <w:r>
                          <w:rPr>
                            <w:rFonts w:ascii="Verdana" w:hAnsi="Verdana"/>
                            <w:w w:val="90"/>
                            <w:sz w:val="16"/>
                          </w:rPr>
                          <w:t>Interés minoritario</w:t>
                        </w:r>
                      </w:p>
                    </w:tc>
                    <w:tc>
                      <w:tcPr>
                        <w:tcW w:w="1110" w:type="dxa"/>
                        <w:tcBorders>
                          <w:top w:val="single" w:sz="12" w:space="0" w:color="000000"/>
                          <w:left w:val="single" w:sz="12" w:space="0" w:color="000000"/>
                          <w:bottom w:val="nil"/>
                          <w:right w:val="single" w:sz="12" w:space="0" w:color="000000"/>
                        </w:tcBorders>
                        <w:shd w:val="clear" w:color="auto" w:fill="F2DDDC"/>
                      </w:tcPr>
                      <w:p>
                        <w:pPr>
                          <w:pStyle w:val="TableParagraph"/>
                          <w:spacing w:before="13"/>
                          <w:ind w:left="135"/>
                          <w:jc w:val="left"/>
                          <w:rPr>
                            <w:rFonts w:ascii="Verdana"/>
                            <w:b/>
                            <w:sz w:val="24"/>
                          </w:rPr>
                        </w:pPr>
                        <w:r>
                          <w:rPr>
                            <w:rFonts w:ascii="Verdana"/>
                            <w:b/>
                            <w:w w:val="80"/>
                            <w:sz w:val="24"/>
                          </w:rPr>
                          <w:t>20.00%</w:t>
                        </w:r>
                      </w:p>
                    </w:tc>
                  </w:tr>
                  <w:tr>
                    <w:trPr>
                      <w:trHeight w:val="278" w:hRule="exact"/>
                    </w:trPr>
                    <w:tc>
                      <w:tcPr>
                        <w:tcW w:w="2617" w:type="dxa"/>
                        <w:tcBorders>
                          <w:top w:val="nil"/>
                          <w:bottom w:val="nil"/>
                          <w:right w:val="single" w:sz="12" w:space="0" w:color="000000"/>
                        </w:tcBorders>
                        <w:shd w:val="clear" w:color="auto" w:fill="FFFF00"/>
                      </w:tcPr>
                      <w:p>
                        <w:pPr/>
                      </w:p>
                    </w:tc>
                    <w:tc>
                      <w:tcPr>
                        <w:tcW w:w="1110" w:type="dxa"/>
                        <w:tcBorders>
                          <w:top w:val="nil"/>
                          <w:left w:val="single" w:sz="12" w:space="0" w:color="000000"/>
                          <w:bottom w:val="nil"/>
                          <w:right w:val="single" w:sz="12" w:space="0" w:color="000000"/>
                        </w:tcBorders>
                        <w:shd w:val="clear" w:color="auto" w:fill="FFFF00"/>
                      </w:tcPr>
                      <w:p>
                        <w:pPr/>
                      </w:p>
                    </w:tc>
                    <w:tc>
                      <w:tcPr>
                        <w:tcW w:w="2625" w:type="dxa"/>
                        <w:vMerge/>
                        <w:tcBorders>
                          <w:left w:val="single" w:sz="12" w:space="0" w:color="000000"/>
                          <w:right w:val="single" w:sz="12" w:space="0" w:color="000000"/>
                        </w:tcBorders>
                        <w:shd w:val="clear" w:color="auto" w:fill="F2DDDC"/>
                      </w:tcPr>
                      <w:p>
                        <w:pPr/>
                      </w:p>
                    </w:tc>
                    <w:tc>
                      <w:tcPr>
                        <w:tcW w:w="1110" w:type="dxa"/>
                        <w:tcBorders>
                          <w:top w:val="nil"/>
                          <w:left w:val="single" w:sz="12" w:space="0" w:color="000000"/>
                          <w:bottom w:val="nil"/>
                          <w:right w:val="single" w:sz="12" w:space="0" w:color="000000"/>
                        </w:tcBorders>
                        <w:shd w:val="clear" w:color="auto" w:fill="F2DDDC"/>
                      </w:tcPr>
                      <w:p>
                        <w:pPr>
                          <w:pStyle w:val="TableParagraph"/>
                          <w:spacing w:before="20"/>
                          <w:ind w:right="22"/>
                          <w:jc w:val="right"/>
                          <w:rPr>
                            <w:rFonts w:ascii="Verdana"/>
                            <w:sz w:val="16"/>
                          </w:rPr>
                        </w:pPr>
                        <w:r>
                          <w:rPr>
                            <w:rFonts w:ascii="Verdana"/>
                            <w:w w:val="85"/>
                            <w:sz w:val="16"/>
                          </w:rPr>
                          <w:t>19.00%</w:t>
                        </w:r>
                      </w:p>
                    </w:tc>
                  </w:tr>
                  <w:tr>
                    <w:trPr>
                      <w:trHeight w:val="623" w:hRule="exact"/>
                    </w:trPr>
                    <w:tc>
                      <w:tcPr>
                        <w:tcW w:w="2617" w:type="dxa"/>
                        <w:tcBorders>
                          <w:top w:val="nil"/>
                          <w:bottom w:val="single" w:sz="12" w:space="0" w:color="000000"/>
                          <w:right w:val="single" w:sz="12" w:space="0" w:color="000000"/>
                        </w:tcBorders>
                        <w:shd w:val="clear" w:color="auto" w:fill="FFFF00"/>
                      </w:tcPr>
                      <w:p>
                        <w:pPr/>
                      </w:p>
                    </w:tc>
                    <w:tc>
                      <w:tcPr>
                        <w:tcW w:w="1110" w:type="dxa"/>
                        <w:tcBorders>
                          <w:top w:val="nil"/>
                          <w:left w:val="single" w:sz="12" w:space="0" w:color="000000"/>
                          <w:bottom w:val="single" w:sz="12" w:space="0" w:color="000000"/>
                          <w:right w:val="single" w:sz="12" w:space="0" w:color="000000"/>
                        </w:tcBorders>
                        <w:shd w:val="clear" w:color="auto" w:fill="FFFF00"/>
                      </w:tcPr>
                      <w:p>
                        <w:pPr/>
                      </w:p>
                    </w:tc>
                    <w:tc>
                      <w:tcPr>
                        <w:tcW w:w="2625" w:type="dxa"/>
                        <w:vMerge/>
                        <w:tcBorders>
                          <w:left w:val="single" w:sz="12" w:space="0" w:color="000000"/>
                          <w:bottom w:val="single" w:sz="12" w:space="0" w:color="000000"/>
                          <w:right w:val="single" w:sz="12" w:space="0" w:color="000000"/>
                        </w:tcBorders>
                        <w:shd w:val="clear" w:color="auto" w:fill="F2DDDC"/>
                      </w:tcPr>
                      <w:p>
                        <w:pPr/>
                      </w:p>
                    </w:tc>
                    <w:tc>
                      <w:tcPr>
                        <w:tcW w:w="1110" w:type="dxa"/>
                        <w:tcBorders>
                          <w:top w:val="nil"/>
                          <w:left w:val="single" w:sz="12" w:space="0" w:color="000000"/>
                          <w:bottom w:val="single" w:sz="12" w:space="0" w:color="000000"/>
                          <w:right w:val="single" w:sz="12" w:space="0" w:color="000000"/>
                        </w:tcBorders>
                        <w:shd w:val="clear" w:color="auto" w:fill="F2DDDC"/>
                      </w:tcPr>
                      <w:p>
                        <w:pPr>
                          <w:pStyle w:val="TableParagraph"/>
                          <w:spacing w:before="42"/>
                          <w:ind w:right="22"/>
                          <w:jc w:val="right"/>
                          <w:rPr>
                            <w:rFonts w:ascii="Verdana"/>
                            <w:sz w:val="16"/>
                          </w:rPr>
                        </w:pPr>
                        <w:r>
                          <w:rPr>
                            <w:rFonts w:ascii="Verdana"/>
                            <w:w w:val="85"/>
                            <w:sz w:val="16"/>
                          </w:rPr>
                          <w:t>1.00%</w:t>
                        </w:r>
                      </w:p>
                    </w:tc>
                  </w:tr>
                  <w:tr>
                    <w:trPr>
                      <w:trHeight w:val="315" w:hRule="exact"/>
                    </w:trPr>
                    <w:tc>
                      <w:tcPr>
                        <w:tcW w:w="2617" w:type="dxa"/>
                        <w:tcBorders>
                          <w:top w:val="single" w:sz="12" w:space="0" w:color="000000"/>
                          <w:bottom w:val="single" w:sz="12" w:space="0" w:color="000000"/>
                          <w:right w:val="single" w:sz="12" w:space="0" w:color="000000"/>
                        </w:tcBorders>
                        <w:shd w:val="clear" w:color="auto" w:fill="4F81BD"/>
                      </w:tcPr>
                      <w:p>
                        <w:pPr>
                          <w:pStyle w:val="TableParagraph"/>
                          <w:spacing w:line="290" w:lineRule="exact"/>
                          <w:ind w:left="854" w:right="291"/>
                          <w:jc w:val="left"/>
                          <w:rPr>
                            <w:rFonts w:ascii="Verdana"/>
                            <w:b/>
                            <w:sz w:val="24"/>
                          </w:rPr>
                        </w:pPr>
                        <w:r>
                          <w:rPr>
                            <w:rFonts w:ascii="Verdana"/>
                            <w:b/>
                            <w:w w:val="95"/>
                            <w:sz w:val="24"/>
                          </w:rPr>
                          <w:t>ACTIVO</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right="62"/>
                          <w:jc w:val="righ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left="269" w:right="71"/>
                          <w:jc w:val="left"/>
                          <w:rPr>
                            <w:rFonts w:ascii="Verdana"/>
                            <w:b/>
                            <w:sz w:val="24"/>
                          </w:rPr>
                        </w:pPr>
                        <w:r>
                          <w:rPr>
                            <w:rFonts w:ascii="Verdana"/>
                            <w:b/>
                            <w:w w:val="80"/>
                            <w:sz w:val="24"/>
                          </w:rPr>
                          <w:t>PASIVO + CAPITAL</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right="61"/>
                          <w:jc w:val="right"/>
                          <w:rPr>
                            <w:rFonts w:ascii="Verdana"/>
                            <w:b/>
                            <w:sz w:val="24"/>
                          </w:rPr>
                        </w:pPr>
                        <w:r>
                          <w:rPr>
                            <w:rFonts w:ascii="Verdana"/>
                            <w:b/>
                            <w:w w:val="75"/>
                            <w:sz w:val="24"/>
                          </w:rPr>
                          <w:t>100.00%</w:t>
                        </w:r>
                      </w:p>
                    </w:tc>
                  </w:tr>
                </w:tbl>
                <w:p>
                  <w:pPr>
                    <w:pStyle w:val="BodyText"/>
                  </w:pPr>
                </w:p>
              </w:txbxContent>
            </v:textbox>
            <w10:wrap type="none"/>
          </v:shape>
        </w:pict>
      </w:r>
      <w:r>
        <w:rPr/>
        <w:t>`</w:t>
      </w:r>
    </w:p>
    <w:p>
      <w:pPr>
        <w:pStyle w:val="BodyText"/>
        <w:rPr>
          <w:b/>
        </w:rPr>
      </w:pPr>
    </w:p>
    <w:p>
      <w:pPr>
        <w:pStyle w:val="BodyText"/>
        <w:rPr>
          <w:b/>
        </w:rPr>
      </w:pPr>
    </w:p>
    <w:p>
      <w:pPr>
        <w:pStyle w:val="BodyText"/>
        <w:spacing w:line="276" w:lineRule="auto" w:before="209"/>
        <w:ind w:left="110" w:right="108"/>
        <w:jc w:val="both"/>
      </w:pPr>
      <w:r>
        <w:rPr/>
        <w:t>Para el año 2009, el activo circulante representó el 44% del total del activo y el activo fijo el 56%. Durante este año no hubo adquisiciones ni ajustes de precio con respecto a las adquisiciones hechas en años previos, sin embargo el activo fijo se vio impactado por un total de 7 millones de euros debido a la sobre estimación del valor de la actividad Engine and Electrical Systems por encima del valor de mercado. Con respecto al pasivo y capital; el pasivo a corto plazo representó el 44% y la deuda a largo plazo el 36%. El capital representó el 20% del total de la sumatoria de activo y pasivo.</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9"/>
        <w:rPr>
          <w:sz w:val="19"/>
        </w:rPr>
      </w:pPr>
    </w:p>
    <w:tbl>
      <w:tblPr>
        <w:tblW w:w="0" w:type="auto"/>
        <w:jc w:val="left"/>
        <w:tblInd w:w="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7"/>
        <w:gridCol w:w="1110"/>
        <w:gridCol w:w="2625"/>
        <w:gridCol w:w="1110"/>
      </w:tblGrid>
      <w:tr>
        <w:trPr>
          <w:trHeight w:val="307" w:hRule="exact"/>
        </w:trPr>
        <w:tc>
          <w:tcPr>
            <w:tcW w:w="7463" w:type="dxa"/>
            <w:gridSpan w:val="4"/>
            <w:tcBorders>
              <w:bottom w:val="single" w:sz="12" w:space="0" w:color="000000"/>
              <w:right w:val="single" w:sz="12" w:space="0" w:color="000000"/>
            </w:tcBorders>
            <w:shd w:val="clear" w:color="auto" w:fill="4F81BD"/>
          </w:tcPr>
          <w:p>
            <w:pPr>
              <w:pStyle w:val="TableParagraph"/>
              <w:spacing w:line="290" w:lineRule="exact"/>
              <w:ind w:left="3392" w:right="3393"/>
              <w:rPr>
                <w:rFonts w:ascii="Verdana"/>
                <w:b/>
                <w:sz w:val="24"/>
              </w:rPr>
            </w:pPr>
            <w:r>
              <w:rPr>
                <w:rFonts w:ascii="Verdana"/>
                <w:b/>
                <w:w w:val="90"/>
                <w:sz w:val="24"/>
              </w:rPr>
              <w:t>2008</w:t>
            </w:r>
          </w:p>
        </w:tc>
      </w:tr>
      <w:tr>
        <w:trPr>
          <w:trHeight w:val="989" w:hRule="exact"/>
        </w:trPr>
        <w:tc>
          <w:tcPr>
            <w:tcW w:w="2617" w:type="dxa"/>
            <w:tcBorders>
              <w:top w:val="single" w:sz="12" w:space="0" w:color="000000"/>
              <w:bottom w:val="nil"/>
              <w:right w:val="single" w:sz="12" w:space="0" w:color="000000"/>
            </w:tcBorders>
            <w:shd w:val="clear" w:color="auto" w:fill="92D050"/>
          </w:tcPr>
          <w:p>
            <w:pPr>
              <w:pStyle w:val="TableParagraph"/>
              <w:spacing w:before="134"/>
              <w:ind w:left="135" w:right="71"/>
              <w:jc w:val="left"/>
              <w:rPr>
                <w:rFonts w:ascii="Verdana"/>
                <w:b/>
                <w:sz w:val="24"/>
              </w:rPr>
            </w:pPr>
            <w:r>
              <w:rPr>
                <w:rFonts w:ascii="Verdana"/>
                <w:b/>
                <w:spacing w:val="2"/>
                <w:w w:val="101"/>
                <w:sz w:val="24"/>
              </w:rPr>
              <w:t>A</w:t>
            </w:r>
            <w:r>
              <w:rPr>
                <w:rFonts w:ascii="Verdana"/>
                <w:b/>
                <w:spacing w:val="-7"/>
                <w:w w:val="101"/>
                <w:sz w:val="24"/>
              </w:rPr>
              <w:t>C</w:t>
            </w:r>
            <w:r>
              <w:rPr>
                <w:rFonts w:ascii="Verdana"/>
                <w:b/>
                <w:spacing w:val="3"/>
                <w:w w:val="61"/>
                <w:sz w:val="24"/>
              </w:rPr>
              <w:t>T</w:t>
            </w:r>
            <w:r>
              <w:rPr>
                <w:rFonts w:ascii="Verdana"/>
                <w:b/>
                <w:spacing w:val="-8"/>
                <w:w w:val="51"/>
                <w:sz w:val="24"/>
              </w:rPr>
              <w:t>I</w:t>
            </w:r>
            <w:r>
              <w:rPr>
                <w:rFonts w:ascii="Verdana"/>
                <w:b/>
                <w:spacing w:val="-3"/>
                <w:w w:val="91"/>
                <w:sz w:val="24"/>
              </w:rPr>
              <w:t>V</w:t>
            </w:r>
            <w:r>
              <w:rPr>
                <w:rFonts w:ascii="Verdana"/>
                <w:b/>
                <w:w w:val="98"/>
                <w:sz w:val="24"/>
              </w:rPr>
              <w:t>O</w:t>
            </w:r>
            <w:r>
              <w:rPr>
                <w:rFonts w:ascii="Verdana"/>
                <w:b/>
                <w:spacing w:val="-29"/>
                <w:sz w:val="24"/>
              </w:rPr>
              <w:t> </w:t>
            </w:r>
            <w:r>
              <w:rPr>
                <w:rFonts w:ascii="Verdana"/>
                <w:b/>
                <w:spacing w:val="-7"/>
                <w:w w:val="107"/>
                <w:sz w:val="24"/>
              </w:rPr>
              <w:t>C</w:t>
            </w:r>
            <w:r>
              <w:rPr>
                <w:rFonts w:ascii="Verdana"/>
                <w:b/>
                <w:spacing w:val="-8"/>
                <w:w w:val="51"/>
                <w:sz w:val="24"/>
              </w:rPr>
              <w:t>I</w:t>
            </w:r>
            <w:r>
              <w:rPr>
                <w:rFonts w:ascii="Verdana"/>
                <w:b/>
                <w:spacing w:val="-5"/>
                <w:w w:val="74"/>
                <w:sz w:val="24"/>
              </w:rPr>
              <w:t>R</w:t>
            </w:r>
            <w:r>
              <w:rPr>
                <w:rFonts w:ascii="Verdana"/>
                <w:b/>
                <w:spacing w:val="-7"/>
                <w:w w:val="107"/>
                <w:sz w:val="24"/>
              </w:rPr>
              <w:t>C</w:t>
            </w:r>
            <w:r>
              <w:rPr>
                <w:rFonts w:ascii="Verdana"/>
                <w:b/>
                <w:spacing w:val="-4"/>
                <w:w w:val="78"/>
                <w:sz w:val="24"/>
              </w:rPr>
              <w:t>U</w:t>
            </w:r>
            <w:r>
              <w:rPr>
                <w:rFonts w:ascii="Verdana"/>
                <w:b/>
                <w:spacing w:val="-1"/>
                <w:w w:val="69"/>
                <w:sz w:val="24"/>
              </w:rPr>
              <w:t>L</w:t>
            </w:r>
            <w:r>
              <w:rPr>
                <w:rFonts w:ascii="Verdana"/>
                <w:b/>
                <w:spacing w:val="2"/>
                <w:w w:val="82"/>
                <w:sz w:val="24"/>
              </w:rPr>
              <w:t>AN</w:t>
            </w:r>
            <w:r>
              <w:rPr>
                <w:rFonts w:ascii="Verdana"/>
                <w:b/>
                <w:spacing w:val="3"/>
                <w:w w:val="82"/>
                <w:sz w:val="24"/>
              </w:rPr>
              <w:t>T</w:t>
            </w:r>
            <w:r>
              <w:rPr>
                <w:rFonts w:ascii="Verdana"/>
                <w:b/>
                <w:w w:val="76"/>
                <w:sz w:val="24"/>
              </w:rPr>
              <w:t>E</w:t>
            </w:r>
          </w:p>
        </w:tc>
        <w:tc>
          <w:tcPr>
            <w:tcW w:w="1110" w:type="dxa"/>
            <w:tcBorders>
              <w:top w:val="single" w:sz="12" w:space="0" w:color="000000"/>
              <w:left w:val="single" w:sz="12" w:space="0" w:color="000000"/>
              <w:bottom w:val="nil"/>
              <w:right w:val="single" w:sz="12" w:space="0" w:color="000000"/>
            </w:tcBorders>
            <w:shd w:val="clear" w:color="auto" w:fill="92D050"/>
          </w:tcPr>
          <w:p>
            <w:pPr>
              <w:pStyle w:val="TableParagraph"/>
              <w:spacing w:before="134"/>
              <w:ind w:right="137"/>
              <w:jc w:val="right"/>
              <w:rPr>
                <w:rFonts w:ascii="Verdana"/>
                <w:b/>
                <w:sz w:val="24"/>
              </w:rPr>
            </w:pPr>
            <w:r>
              <w:rPr>
                <w:rFonts w:ascii="Verdana"/>
                <w:b/>
                <w:w w:val="75"/>
                <w:sz w:val="24"/>
              </w:rPr>
              <w:t>42.00%</w:t>
            </w:r>
          </w:p>
        </w:tc>
        <w:tc>
          <w:tcPr>
            <w:tcW w:w="2625" w:type="dxa"/>
            <w:vMerge w:val="restart"/>
            <w:tcBorders>
              <w:top w:val="single" w:sz="12" w:space="0" w:color="000000"/>
              <w:left w:val="single" w:sz="12" w:space="0" w:color="000000"/>
              <w:right w:val="single" w:sz="12" w:space="0" w:color="000000"/>
            </w:tcBorders>
            <w:shd w:val="clear" w:color="auto" w:fill="DBEEF3"/>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9"/>
                <w:w w:val="90"/>
                <w:sz w:val="24"/>
              </w:rPr>
              <w:t> </w:t>
            </w:r>
            <w:r>
              <w:rPr>
                <w:rFonts w:ascii="Verdana"/>
                <w:b/>
                <w:w w:val="90"/>
                <w:sz w:val="24"/>
              </w:rPr>
              <w:t>A</w:t>
            </w:r>
            <w:r>
              <w:rPr>
                <w:rFonts w:ascii="Verdana"/>
                <w:b/>
                <w:spacing w:val="-45"/>
                <w:w w:val="90"/>
                <w:sz w:val="24"/>
              </w:rPr>
              <w:t> </w:t>
            </w:r>
            <w:r>
              <w:rPr>
                <w:rFonts w:ascii="Verdana"/>
                <w:b/>
                <w:spacing w:val="-4"/>
                <w:w w:val="90"/>
                <w:sz w:val="24"/>
              </w:rPr>
              <w:t>CORTO </w:t>
            </w:r>
            <w:r>
              <w:rPr>
                <w:rFonts w:ascii="Verdana"/>
                <w:b/>
                <w:w w:val="95"/>
                <w:sz w:val="24"/>
              </w:rPr>
              <w:t>PLAZO</w:t>
            </w: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line="388" w:lineRule="auto" w:before="149"/>
              <w:ind w:left="165" w:right="522"/>
              <w:jc w:val="left"/>
              <w:rPr>
                <w:rFonts w:ascii="Verdana"/>
                <w:sz w:val="16"/>
              </w:rPr>
            </w:pPr>
            <w:r>
              <w:rPr>
                <w:rFonts w:ascii="Verdana"/>
                <w:sz w:val="16"/>
              </w:rPr>
              <w:t>Cuentas por pagar Otros</w:t>
            </w:r>
          </w:p>
        </w:tc>
        <w:tc>
          <w:tcPr>
            <w:tcW w:w="1110" w:type="dxa"/>
            <w:tcBorders>
              <w:top w:val="single" w:sz="12" w:space="0" w:color="000000"/>
              <w:left w:val="single" w:sz="12" w:space="0" w:color="000000"/>
              <w:bottom w:val="nil"/>
              <w:right w:val="single" w:sz="12" w:space="0" w:color="000000"/>
            </w:tcBorders>
            <w:shd w:val="clear" w:color="auto" w:fill="DBEEF3"/>
          </w:tcPr>
          <w:p>
            <w:pPr>
              <w:pStyle w:val="TableParagraph"/>
              <w:spacing w:before="134"/>
              <w:ind w:left="135"/>
              <w:jc w:val="left"/>
              <w:rPr>
                <w:rFonts w:ascii="Verdana"/>
                <w:b/>
                <w:sz w:val="24"/>
              </w:rPr>
            </w:pPr>
            <w:r>
              <w:rPr>
                <w:rFonts w:ascii="Verdana"/>
                <w:b/>
                <w:w w:val="80"/>
                <w:sz w:val="24"/>
              </w:rPr>
              <w:t>46.00%</w:t>
            </w:r>
          </w:p>
        </w:tc>
      </w:tr>
      <w:tr>
        <w:trPr>
          <w:trHeight w:val="788" w:hRule="exact"/>
        </w:trPr>
        <w:tc>
          <w:tcPr>
            <w:tcW w:w="2617" w:type="dxa"/>
            <w:tcBorders>
              <w:top w:val="nil"/>
              <w:bottom w:val="nil"/>
              <w:right w:val="single" w:sz="12" w:space="0" w:color="000000"/>
            </w:tcBorders>
            <w:shd w:val="clear" w:color="auto" w:fill="92D050"/>
          </w:tcPr>
          <w:p>
            <w:pPr>
              <w:pStyle w:val="TableParagraph"/>
              <w:jc w:val="left"/>
              <w:rPr>
                <w:rFonts w:ascii="Arial"/>
                <w:sz w:val="16"/>
              </w:rPr>
            </w:pPr>
          </w:p>
          <w:p>
            <w:pPr>
              <w:pStyle w:val="TableParagraph"/>
              <w:jc w:val="left"/>
              <w:rPr>
                <w:rFonts w:ascii="Arial"/>
                <w:sz w:val="16"/>
              </w:rPr>
            </w:pPr>
          </w:p>
          <w:p>
            <w:pPr>
              <w:pStyle w:val="TableParagraph"/>
              <w:spacing w:before="1"/>
              <w:jc w:val="left"/>
              <w:rPr>
                <w:rFonts w:ascii="Arial"/>
                <w:sz w:val="14"/>
              </w:rPr>
            </w:pPr>
          </w:p>
          <w:p>
            <w:pPr>
              <w:pStyle w:val="TableParagraph"/>
              <w:ind w:left="165" w:right="291"/>
              <w:jc w:val="left"/>
              <w:rPr>
                <w:rFonts w:ascii="Verdana"/>
                <w:sz w:val="16"/>
              </w:rPr>
            </w:pPr>
            <w:r>
              <w:rPr>
                <w:rFonts w:ascii="Verdana"/>
                <w:sz w:val="16"/>
              </w:rPr>
              <w:t>Cajas y bancos</w:t>
            </w:r>
          </w:p>
        </w:tc>
        <w:tc>
          <w:tcPr>
            <w:tcW w:w="1110" w:type="dxa"/>
            <w:tcBorders>
              <w:top w:val="nil"/>
              <w:left w:val="single" w:sz="12" w:space="0" w:color="000000"/>
              <w:bottom w:val="nil"/>
              <w:right w:val="single" w:sz="12" w:space="0" w:color="000000"/>
            </w:tcBorders>
            <w:shd w:val="clear" w:color="auto" w:fill="92D050"/>
          </w:tcPr>
          <w:p>
            <w:pPr>
              <w:pStyle w:val="TableParagraph"/>
              <w:jc w:val="left"/>
              <w:rPr>
                <w:rFonts w:ascii="Arial"/>
                <w:sz w:val="16"/>
              </w:rPr>
            </w:pPr>
          </w:p>
          <w:p>
            <w:pPr>
              <w:pStyle w:val="TableParagraph"/>
              <w:jc w:val="left"/>
              <w:rPr>
                <w:rFonts w:ascii="Arial"/>
                <w:sz w:val="16"/>
              </w:rPr>
            </w:pPr>
          </w:p>
          <w:p>
            <w:pPr>
              <w:pStyle w:val="TableParagraph"/>
              <w:spacing w:before="1"/>
              <w:jc w:val="left"/>
              <w:rPr>
                <w:rFonts w:ascii="Arial"/>
                <w:sz w:val="14"/>
              </w:rPr>
            </w:pPr>
          </w:p>
          <w:p>
            <w:pPr>
              <w:pStyle w:val="TableParagraph"/>
              <w:ind w:right="22"/>
              <w:jc w:val="right"/>
              <w:rPr>
                <w:rFonts w:ascii="Verdana"/>
                <w:sz w:val="16"/>
              </w:rPr>
            </w:pPr>
            <w:r>
              <w:rPr>
                <w:rFonts w:ascii="Verdana"/>
                <w:w w:val="85"/>
                <w:sz w:val="16"/>
              </w:rPr>
              <w:t>10.00%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7" w:type="dxa"/>
            <w:tcBorders>
              <w:top w:val="nil"/>
              <w:bottom w:val="nil"/>
              <w:right w:val="single" w:sz="12" w:space="0" w:color="000000"/>
            </w:tcBorders>
            <w:shd w:val="clear" w:color="auto" w:fill="92D050"/>
          </w:tcPr>
          <w:p>
            <w:pPr>
              <w:pStyle w:val="TableParagraph"/>
              <w:spacing w:before="42"/>
              <w:ind w:left="165" w:right="291"/>
              <w:jc w:val="left"/>
              <w:rPr>
                <w:rFonts w:ascii="Verdana"/>
                <w:sz w:val="16"/>
              </w:rPr>
            </w:pPr>
            <w:r>
              <w:rPr>
                <w:rFonts w:ascii="Verdana"/>
                <w:sz w:val="16"/>
              </w:rPr>
              <w:t>Cuentas por cobrar</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18.00%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300" w:hRule="exact"/>
        </w:trPr>
        <w:tc>
          <w:tcPr>
            <w:tcW w:w="2617" w:type="dxa"/>
            <w:tcBorders>
              <w:top w:val="nil"/>
              <w:bottom w:val="nil"/>
              <w:right w:val="single" w:sz="12" w:space="0" w:color="000000"/>
            </w:tcBorders>
            <w:shd w:val="clear" w:color="auto" w:fill="92D050"/>
          </w:tcPr>
          <w:p>
            <w:pPr>
              <w:pStyle w:val="TableParagraph"/>
              <w:spacing w:before="42"/>
              <w:ind w:left="165" w:right="291"/>
              <w:jc w:val="left"/>
              <w:rPr>
                <w:rFonts w:ascii="Verdana"/>
                <w:sz w:val="16"/>
              </w:rPr>
            </w:pPr>
            <w:r>
              <w:rPr>
                <w:rFonts w:ascii="Verdana"/>
                <w:w w:val="95"/>
                <w:sz w:val="16"/>
              </w:rPr>
              <w:t>Inv entarios</w:t>
            </w:r>
          </w:p>
        </w:tc>
        <w:tc>
          <w:tcPr>
            <w:tcW w:w="1110" w:type="dxa"/>
            <w:tcBorders>
              <w:top w:val="nil"/>
              <w:left w:val="single" w:sz="12" w:space="0" w:color="000000"/>
              <w:bottom w:val="nil"/>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9.00%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
        </w:tc>
      </w:tr>
      <w:tr>
        <w:trPr>
          <w:trHeight w:val="323" w:hRule="exact"/>
        </w:trPr>
        <w:tc>
          <w:tcPr>
            <w:tcW w:w="2617" w:type="dxa"/>
            <w:tcBorders>
              <w:top w:val="nil"/>
              <w:bottom w:val="single" w:sz="12" w:space="0" w:color="000000"/>
              <w:right w:val="single" w:sz="12" w:space="0" w:color="000000"/>
            </w:tcBorders>
            <w:shd w:val="clear" w:color="auto" w:fill="92D050"/>
          </w:tcPr>
          <w:p>
            <w:pPr>
              <w:pStyle w:val="TableParagraph"/>
              <w:spacing w:before="42"/>
              <w:ind w:left="165" w:right="291"/>
              <w:jc w:val="left"/>
              <w:rPr>
                <w:rFonts w:ascii="Verdana"/>
                <w:sz w:val="16"/>
              </w:rPr>
            </w:pPr>
            <w:r>
              <w:rPr>
                <w:rFonts w:ascii="Verdana"/>
                <w:sz w:val="16"/>
              </w:rPr>
              <w:t>Otros</w:t>
            </w:r>
          </w:p>
        </w:tc>
        <w:tc>
          <w:tcPr>
            <w:tcW w:w="1110" w:type="dxa"/>
            <w:tcBorders>
              <w:top w:val="nil"/>
              <w:left w:val="single" w:sz="12" w:space="0" w:color="000000"/>
              <w:bottom w:val="single" w:sz="12" w:space="0" w:color="000000"/>
              <w:right w:val="single" w:sz="12" w:space="0" w:color="000000"/>
            </w:tcBorders>
            <w:shd w:val="clear" w:color="auto" w:fill="92D050"/>
          </w:tcPr>
          <w:p>
            <w:pPr>
              <w:pStyle w:val="TableParagraph"/>
              <w:spacing w:before="42"/>
              <w:ind w:right="22"/>
              <w:jc w:val="right"/>
              <w:rPr>
                <w:rFonts w:ascii="Verdana"/>
                <w:sz w:val="16"/>
              </w:rPr>
            </w:pPr>
            <w:r>
              <w:rPr>
                <w:rFonts w:ascii="Verdana"/>
                <w:w w:val="85"/>
                <w:sz w:val="16"/>
              </w:rPr>
              <w:t>5.00%</w:t>
            </w:r>
          </w:p>
        </w:tc>
        <w:tc>
          <w:tcPr>
            <w:tcW w:w="2625" w:type="dxa"/>
            <w:vMerge/>
            <w:tcBorders>
              <w:left w:val="single" w:sz="12" w:space="0" w:color="000000"/>
              <w:right w:val="single" w:sz="12" w:space="0" w:color="000000"/>
            </w:tcBorders>
            <w:shd w:val="clear" w:color="auto" w:fill="DBEEF3"/>
          </w:tcPr>
          <w:p>
            <w:pPr/>
          </w:p>
        </w:tc>
        <w:tc>
          <w:tcPr>
            <w:tcW w:w="1110" w:type="dxa"/>
            <w:tcBorders>
              <w:top w:val="nil"/>
              <w:left w:val="single" w:sz="12" w:space="0" w:color="000000"/>
              <w:bottom w:val="nil"/>
              <w:right w:val="single" w:sz="12" w:space="0" w:color="000000"/>
            </w:tcBorders>
            <w:shd w:val="clear" w:color="auto" w:fill="DBEEF3"/>
          </w:tcPr>
          <w:p>
            <w:pPr>
              <w:pStyle w:val="TableParagraph"/>
              <w:spacing w:before="42"/>
              <w:ind w:right="22"/>
              <w:jc w:val="right"/>
              <w:rPr>
                <w:rFonts w:ascii="Verdana"/>
                <w:sz w:val="16"/>
              </w:rPr>
            </w:pPr>
            <w:r>
              <w:rPr>
                <w:rFonts w:ascii="Verdana"/>
                <w:w w:val="85"/>
                <w:sz w:val="16"/>
              </w:rPr>
              <w:t>23.00%</w:t>
            </w:r>
          </w:p>
        </w:tc>
      </w:tr>
      <w:tr>
        <w:trPr>
          <w:trHeight w:val="930" w:hRule="exact"/>
        </w:trPr>
        <w:tc>
          <w:tcPr>
            <w:tcW w:w="2617" w:type="dxa"/>
            <w:vMerge w:val="restart"/>
            <w:tcBorders>
              <w:top w:val="single" w:sz="12" w:space="0" w:color="000000"/>
              <w:right w:val="single" w:sz="12" w:space="0" w:color="000000"/>
            </w:tcBorders>
            <w:shd w:val="clear" w:color="auto" w:fill="FFFF0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0"/>
              <w:jc w:val="left"/>
              <w:rPr>
                <w:rFonts w:ascii="Arial"/>
                <w:sz w:val="31"/>
              </w:rPr>
            </w:pPr>
          </w:p>
          <w:p>
            <w:pPr>
              <w:pStyle w:val="TableParagraph"/>
              <w:spacing w:before="1"/>
              <w:ind w:left="584" w:right="291"/>
              <w:jc w:val="left"/>
              <w:rPr>
                <w:rFonts w:ascii="Verdana"/>
                <w:b/>
                <w:sz w:val="24"/>
              </w:rPr>
            </w:pPr>
            <w:r>
              <w:rPr>
                <w:rFonts w:ascii="Verdana"/>
                <w:b/>
                <w:w w:val="85"/>
                <w:sz w:val="24"/>
              </w:rPr>
              <w:t>ACTIVO FIJO</w:t>
            </w:r>
          </w:p>
        </w:tc>
        <w:tc>
          <w:tcPr>
            <w:tcW w:w="1110" w:type="dxa"/>
            <w:vMerge w:val="restart"/>
            <w:tcBorders>
              <w:top w:val="single" w:sz="12" w:space="0" w:color="000000"/>
              <w:left w:val="single" w:sz="12" w:space="0" w:color="000000"/>
              <w:right w:val="single" w:sz="12" w:space="0" w:color="000000"/>
            </w:tcBorders>
            <w:shd w:val="clear" w:color="auto" w:fill="FFFF0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0"/>
              <w:jc w:val="left"/>
              <w:rPr>
                <w:rFonts w:ascii="Arial"/>
                <w:sz w:val="31"/>
              </w:rPr>
            </w:pPr>
          </w:p>
          <w:p>
            <w:pPr>
              <w:pStyle w:val="TableParagraph"/>
              <w:spacing w:before="1"/>
              <w:ind w:left="135"/>
              <w:jc w:val="left"/>
              <w:rPr>
                <w:rFonts w:ascii="Verdana"/>
                <w:b/>
                <w:sz w:val="24"/>
              </w:rPr>
            </w:pPr>
            <w:r>
              <w:rPr>
                <w:rFonts w:ascii="Verdana"/>
                <w:b/>
                <w:w w:val="80"/>
                <w:sz w:val="24"/>
              </w:rPr>
              <w:t>58.00%</w:t>
            </w:r>
          </w:p>
        </w:tc>
        <w:tc>
          <w:tcPr>
            <w:tcW w:w="2625" w:type="dxa"/>
            <w:vMerge/>
            <w:tcBorders>
              <w:left w:val="single" w:sz="12" w:space="0" w:color="000000"/>
              <w:bottom w:val="single" w:sz="12" w:space="0" w:color="000000"/>
              <w:right w:val="single" w:sz="12" w:space="0" w:color="000000"/>
            </w:tcBorders>
            <w:shd w:val="clear" w:color="auto" w:fill="DBEEF3"/>
          </w:tcPr>
          <w:p>
            <w:pPr/>
          </w:p>
        </w:tc>
        <w:tc>
          <w:tcPr>
            <w:tcW w:w="1110" w:type="dxa"/>
            <w:tcBorders>
              <w:top w:val="nil"/>
              <w:left w:val="single" w:sz="12" w:space="0" w:color="000000"/>
              <w:bottom w:val="single" w:sz="12" w:space="0" w:color="000000"/>
              <w:right w:val="single" w:sz="12" w:space="0" w:color="000000"/>
            </w:tcBorders>
            <w:shd w:val="clear" w:color="auto" w:fill="DBEEF3"/>
          </w:tcPr>
          <w:p>
            <w:pPr>
              <w:pStyle w:val="TableParagraph"/>
              <w:spacing w:before="33"/>
              <w:ind w:right="22"/>
              <w:jc w:val="right"/>
              <w:rPr>
                <w:rFonts w:ascii="Verdana"/>
                <w:sz w:val="16"/>
              </w:rPr>
            </w:pPr>
            <w:r>
              <w:rPr>
                <w:rFonts w:ascii="Verdana"/>
                <w:w w:val="85"/>
                <w:sz w:val="16"/>
              </w:rPr>
              <w:t>23.00%</w:t>
            </w:r>
          </w:p>
        </w:tc>
      </w:tr>
      <w:tr>
        <w:trPr>
          <w:trHeight w:val="727" w:hRule="exact"/>
        </w:trPr>
        <w:tc>
          <w:tcPr>
            <w:tcW w:w="2617" w:type="dxa"/>
            <w:vMerge/>
            <w:tcBorders>
              <w:right w:val="single" w:sz="12" w:space="0" w:color="000000"/>
            </w:tcBorders>
            <w:shd w:val="clear" w:color="auto" w:fill="FFFF00"/>
          </w:tcPr>
          <w:p>
            <w:pPr/>
          </w:p>
        </w:tc>
        <w:tc>
          <w:tcPr>
            <w:tcW w:w="1110" w:type="dxa"/>
            <w:vMerge/>
            <w:tcBorders>
              <w:left w:val="single" w:sz="12" w:space="0" w:color="000000"/>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B6DDE8"/>
          </w:tcPr>
          <w:p>
            <w:pPr>
              <w:pStyle w:val="TableParagraph"/>
              <w:spacing w:line="247" w:lineRule="auto"/>
              <w:ind w:left="930" w:right="291" w:hanging="616"/>
              <w:jc w:val="left"/>
              <w:rPr>
                <w:rFonts w:ascii="Verdana"/>
                <w:b/>
                <w:sz w:val="24"/>
              </w:rPr>
            </w:pPr>
            <w:r>
              <w:rPr>
                <w:rFonts w:ascii="Verdana"/>
                <w:b/>
                <w:spacing w:val="-3"/>
                <w:w w:val="90"/>
                <w:sz w:val="24"/>
              </w:rPr>
              <w:t>PASIVO</w:t>
            </w:r>
            <w:r>
              <w:rPr>
                <w:rFonts w:ascii="Verdana"/>
                <w:b/>
                <w:spacing w:val="-48"/>
                <w:w w:val="90"/>
                <w:sz w:val="24"/>
              </w:rPr>
              <w:t> </w:t>
            </w:r>
            <w:r>
              <w:rPr>
                <w:rFonts w:ascii="Verdana"/>
                <w:b/>
                <w:w w:val="90"/>
                <w:sz w:val="24"/>
              </w:rPr>
              <w:t>A</w:t>
            </w:r>
            <w:r>
              <w:rPr>
                <w:rFonts w:ascii="Verdana"/>
                <w:b/>
                <w:spacing w:val="-44"/>
                <w:w w:val="90"/>
                <w:sz w:val="24"/>
              </w:rPr>
              <w:t> </w:t>
            </w:r>
            <w:r>
              <w:rPr>
                <w:rFonts w:ascii="Verdana"/>
                <w:b/>
                <w:spacing w:val="-3"/>
                <w:w w:val="90"/>
                <w:sz w:val="24"/>
              </w:rPr>
              <w:t>LARGO </w:t>
            </w:r>
            <w:r>
              <w:rPr>
                <w:rFonts w:ascii="Verdana"/>
                <w:b/>
                <w:w w:val="95"/>
                <w:sz w:val="24"/>
              </w:rPr>
              <w:t>PLAZO</w:t>
            </w:r>
          </w:p>
          <w:p>
            <w:pPr>
              <w:pStyle w:val="TableParagraph"/>
              <w:spacing w:before="9"/>
              <w:jc w:val="left"/>
              <w:rPr>
                <w:rFonts w:ascii="Arial"/>
                <w:sz w:val="31"/>
              </w:rPr>
            </w:pPr>
          </w:p>
          <w:p>
            <w:pPr>
              <w:pStyle w:val="TableParagraph"/>
              <w:ind w:left="165" w:right="291"/>
              <w:jc w:val="left"/>
              <w:rPr>
                <w:rFonts w:ascii="Verdana"/>
                <w:sz w:val="16"/>
              </w:rPr>
            </w:pPr>
            <w:r>
              <w:rPr>
                <w:rFonts w:ascii="Verdana"/>
                <w:w w:val="110"/>
                <w:sz w:val="16"/>
              </w:rPr>
              <w:t>Deuda a largo plazo</w:t>
            </w:r>
          </w:p>
          <w:p>
            <w:pPr>
              <w:pStyle w:val="TableParagraph"/>
              <w:spacing w:before="105"/>
              <w:ind w:left="165" w:right="291"/>
              <w:jc w:val="left"/>
              <w:rPr>
                <w:rFonts w:ascii="Verdana"/>
                <w:sz w:val="16"/>
              </w:rPr>
            </w:pPr>
            <w:r>
              <w:rPr>
                <w:rFonts w:ascii="Verdana"/>
                <w:sz w:val="16"/>
              </w:rPr>
              <w:t>Prov isiones a largo plazo</w:t>
            </w:r>
          </w:p>
        </w:tc>
        <w:tc>
          <w:tcPr>
            <w:tcW w:w="1110" w:type="dxa"/>
            <w:tcBorders>
              <w:top w:val="single" w:sz="12" w:space="0" w:color="000000"/>
              <w:left w:val="single" w:sz="12" w:space="0" w:color="000000"/>
              <w:bottom w:val="nil"/>
              <w:right w:val="single" w:sz="12" w:space="0" w:color="000000"/>
            </w:tcBorders>
            <w:shd w:val="clear" w:color="auto" w:fill="B6DDE8"/>
          </w:tcPr>
          <w:p>
            <w:pPr>
              <w:pStyle w:val="TableParagraph"/>
              <w:spacing w:before="149"/>
              <w:ind w:left="135"/>
              <w:jc w:val="left"/>
              <w:rPr>
                <w:rFonts w:ascii="Verdana"/>
                <w:b/>
                <w:sz w:val="24"/>
              </w:rPr>
            </w:pPr>
            <w:r>
              <w:rPr>
                <w:rFonts w:ascii="Verdana"/>
                <w:b/>
                <w:w w:val="80"/>
                <w:sz w:val="24"/>
              </w:rPr>
              <w:t>33.00%</w:t>
            </w:r>
          </w:p>
        </w:tc>
      </w:tr>
      <w:tr>
        <w:trPr>
          <w:trHeight w:val="511" w:hRule="exact"/>
        </w:trPr>
        <w:tc>
          <w:tcPr>
            <w:tcW w:w="2617" w:type="dxa"/>
            <w:vMerge/>
            <w:tcBorders>
              <w:right w:val="single" w:sz="12" w:space="0" w:color="000000"/>
            </w:tcBorders>
            <w:shd w:val="clear" w:color="auto" w:fill="FFFF00"/>
          </w:tcPr>
          <w:p>
            <w:pPr/>
          </w:p>
        </w:tc>
        <w:tc>
          <w:tcPr>
            <w:tcW w:w="1110" w:type="dxa"/>
            <w:vMerge/>
            <w:tcBorders>
              <w:left w:val="single" w:sz="12" w:space="0" w:color="000000"/>
              <w:right w:val="single" w:sz="12" w:space="0" w:color="000000"/>
            </w:tcBorders>
            <w:shd w:val="clear" w:color="auto" w:fill="FFFF00"/>
          </w:tcPr>
          <w:p>
            <w:pPr/>
          </w:p>
        </w:tc>
        <w:tc>
          <w:tcPr>
            <w:tcW w:w="2625" w:type="dxa"/>
            <w:vMerge/>
            <w:tcBorders>
              <w:left w:val="single" w:sz="12" w:space="0" w:color="000000"/>
              <w:right w:val="single" w:sz="12" w:space="0" w:color="000000"/>
            </w:tcBorders>
            <w:shd w:val="clear" w:color="auto" w:fill="B6DDE8"/>
          </w:tcPr>
          <w:p>
            <w:pPr/>
          </w:p>
        </w:tc>
        <w:tc>
          <w:tcPr>
            <w:tcW w:w="1110" w:type="dxa"/>
            <w:tcBorders>
              <w:top w:val="nil"/>
              <w:left w:val="single" w:sz="12" w:space="0" w:color="000000"/>
              <w:bottom w:val="nil"/>
              <w:right w:val="single" w:sz="12" w:space="0" w:color="000000"/>
            </w:tcBorders>
            <w:shd w:val="clear" w:color="auto" w:fill="B6DDE8"/>
          </w:tcPr>
          <w:p>
            <w:pPr>
              <w:pStyle w:val="TableParagraph"/>
              <w:spacing w:before="11"/>
              <w:jc w:val="left"/>
              <w:rPr>
                <w:rFonts w:ascii="Arial"/>
                <w:sz w:val="21"/>
              </w:rPr>
            </w:pPr>
          </w:p>
          <w:p>
            <w:pPr>
              <w:pStyle w:val="TableParagraph"/>
              <w:ind w:right="22"/>
              <w:jc w:val="right"/>
              <w:rPr>
                <w:rFonts w:ascii="Verdana"/>
                <w:sz w:val="16"/>
              </w:rPr>
            </w:pPr>
            <w:r>
              <w:rPr>
                <w:rFonts w:ascii="Verdana"/>
                <w:w w:val="85"/>
                <w:sz w:val="16"/>
              </w:rPr>
              <w:t>20.00%</w:t>
            </w:r>
          </w:p>
        </w:tc>
      </w:tr>
      <w:tr>
        <w:trPr>
          <w:trHeight w:val="938" w:hRule="exact"/>
        </w:trPr>
        <w:tc>
          <w:tcPr>
            <w:tcW w:w="2617" w:type="dxa"/>
            <w:vMerge/>
            <w:tcBorders>
              <w:right w:val="single" w:sz="12" w:space="0" w:color="000000"/>
            </w:tcBorders>
            <w:shd w:val="clear" w:color="auto" w:fill="FFFF00"/>
          </w:tcPr>
          <w:p>
            <w:pPr/>
          </w:p>
        </w:tc>
        <w:tc>
          <w:tcPr>
            <w:tcW w:w="1110" w:type="dxa"/>
            <w:vMerge/>
            <w:tcBorders>
              <w:left w:val="single" w:sz="12" w:space="0" w:color="000000"/>
              <w:right w:val="single" w:sz="12" w:space="0" w:color="000000"/>
            </w:tcBorders>
            <w:shd w:val="clear" w:color="auto" w:fill="FFFF00"/>
          </w:tcPr>
          <w:p>
            <w:pPr/>
          </w:p>
        </w:tc>
        <w:tc>
          <w:tcPr>
            <w:tcW w:w="2625" w:type="dxa"/>
            <w:vMerge/>
            <w:tcBorders>
              <w:left w:val="single" w:sz="12" w:space="0" w:color="000000"/>
              <w:bottom w:val="single" w:sz="12" w:space="0" w:color="000000"/>
              <w:right w:val="single" w:sz="12" w:space="0" w:color="000000"/>
            </w:tcBorders>
            <w:shd w:val="clear" w:color="auto" w:fill="B6DDE8"/>
          </w:tcPr>
          <w:p>
            <w:pPr/>
          </w:p>
        </w:tc>
        <w:tc>
          <w:tcPr>
            <w:tcW w:w="1110" w:type="dxa"/>
            <w:tcBorders>
              <w:top w:val="nil"/>
              <w:left w:val="single" w:sz="12" w:space="0" w:color="000000"/>
              <w:bottom w:val="single" w:sz="12" w:space="0" w:color="000000"/>
              <w:right w:val="single" w:sz="12" w:space="0" w:color="000000"/>
            </w:tcBorders>
            <w:shd w:val="clear" w:color="auto" w:fill="B6DDE8"/>
          </w:tcPr>
          <w:p>
            <w:pPr>
              <w:pStyle w:val="TableParagraph"/>
              <w:spacing w:before="42"/>
              <w:ind w:right="22"/>
              <w:jc w:val="right"/>
              <w:rPr>
                <w:rFonts w:ascii="Verdana"/>
                <w:sz w:val="16"/>
              </w:rPr>
            </w:pPr>
            <w:r>
              <w:rPr>
                <w:rFonts w:ascii="Verdana"/>
                <w:w w:val="85"/>
                <w:sz w:val="16"/>
              </w:rPr>
              <w:t>13.00%</w:t>
            </w:r>
          </w:p>
        </w:tc>
      </w:tr>
      <w:tr>
        <w:trPr>
          <w:trHeight w:val="359" w:hRule="exact"/>
        </w:trPr>
        <w:tc>
          <w:tcPr>
            <w:tcW w:w="2617" w:type="dxa"/>
            <w:vMerge/>
            <w:tcBorders>
              <w:right w:val="single" w:sz="12" w:space="0" w:color="000000"/>
            </w:tcBorders>
            <w:shd w:val="clear" w:color="auto" w:fill="FFFF00"/>
          </w:tcPr>
          <w:p>
            <w:pPr/>
          </w:p>
        </w:tc>
        <w:tc>
          <w:tcPr>
            <w:tcW w:w="1110" w:type="dxa"/>
            <w:vMerge/>
            <w:tcBorders>
              <w:left w:val="single" w:sz="12" w:space="0" w:color="000000"/>
              <w:right w:val="single" w:sz="12" w:space="0" w:color="000000"/>
            </w:tcBorders>
            <w:shd w:val="clear" w:color="auto" w:fill="FFFF00"/>
          </w:tcPr>
          <w:p>
            <w:pPr/>
          </w:p>
        </w:tc>
        <w:tc>
          <w:tcPr>
            <w:tcW w:w="2625" w:type="dxa"/>
            <w:vMerge w:val="restart"/>
            <w:tcBorders>
              <w:top w:val="single" w:sz="12" w:space="0" w:color="000000"/>
              <w:left w:val="single" w:sz="12" w:space="0" w:color="000000"/>
              <w:right w:val="single" w:sz="12" w:space="0" w:color="000000"/>
            </w:tcBorders>
            <w:shd w:val="clear" w:color="auto" w:fill="F2DDDC"/>
          </w:tcPr>
          <w:p>
            <w:pPr>
              <w:pStyle w:val="TableParagraph"/>
              <w:spacing w:before="13"/>
              <w:ind w:left="824" w:right="291"/>
              <w:jc w:val="left"/>
              <w:rPr>
                <w:rFonts w:ascii="Verdana"/>
                <w:b/>
                <w:sz w:val="24"/>
              </w:rPr>
            </w:pPr>
            <w:r>
              <w:rPr>
                <w:rFonts w:ascii="Verdana"/>
                <w:b/>
                <w:w w:val="90"/>
                <w:sz w:val="24"/>
              </w:rPr>
              <w:t>CAPITAL</w:t>
            </w:r>
          </w:p>
          <w:p>
            <w:pPr>
              <w:pStyle w:val="TableParagraph"/>
              <w:spacing w:before="58"/>
              <w:ind w:left="165" w:right="291"/>
              <w:jc w:val="left"/>
              <w:rPr>
                <w:rFonts w:ascii="Verdana"/>
                <w:sz w:val="16"/>
              </w:rPr>
            </w:pPr>
            <w:r>
              <w:rPr>
                <w:rFonts w:ascii="Verdana"/>
                <w:sz w:val="16"/>
              </w:rPr>
              <w:t>Capital social</w:t>
            </w:r>
          </w:p>
          <w:p>
            <w:pPr>
              <w:pStyle w:val="TableParagraph"/>
              <w:spacing w:before="105"/>
              <w:ind w:left="165" w:right="291"/>
              <w:jc w:val="left"/>
              <w:rPr>
                <w:rFonts w:ascii="Verdana" w:hAnsi="Verdana"/>
                <w:sz w:val="16"/>
              </w:rPr>
            </w:pPr>
            <w:r>
              <w:rPr>
                <w:rFonts w:ascii="Verdana" w:hAnsi="Verdana"/>
                <w:w w:val="90"/>
                <w:sz w:val="16"/>
              </w:rPr>
              <w:t>Interés minoritario</w:t>
            </w:r>
          </w:p>
        </w:tc>
        <w:tc>
          <w:tcPr>
            <w:tcW w:w="1110" w:type="dxa"/>
            <w:tcBorders>
              <w:top w:val="single" w:sz="12" w:space="0" w:color="000000"/>
              <w:left w:val="single" w:sz="12" w:space="0" w:color="000000"/>
              <w:bottom w:val="nil"/>
              <w:right w:val="single" w:sz="12" w:space="0" w:color="000000"/>
            </w:tcBorders>
            <w:shd w:val="clear" w:color="auto" w:fill="F2DDDC"/>
          </w:tcPr>
          <w:p>
            <w:pPr>
              <w:pStyle w:val="TableParagraph"/>
              <w:spacing w:before="13"/>
              <w:ind w:left="135"/>
              <w:jc w:val="left"/>
              <w:rPr>
                <w:rFonts w:ascii="Verdana"/>
                <w:b/>
                <w:sz w:val="24"/>
              </w:rPr>
            </w:pPr>
            <w:r>
              <w:rPr>
                <w:rFonts w:ascii="Verdana"/>
                <w:b/>
                <w:w w:val="80"/>
                <w:sz w:val="24"/>
              </w:rPr>
              <w:t>21.00%</w:t>
            </w:r>
          </w:p>
        </w:tc>
      </w:tr>
      <w:tr>
        <w:trPr>
          <w:trHeight w:val="278" w:hRule="exact"/>
        </w:trPr>
        <w:tc>
          <w:tcPr>
            <w:tcW w:w="2617" w:type="dxa"/>
            <w:vMerge/>
            <w:tcBorders>
              <w:right w:val="single" w:sz="12" w:space="0" w:color="000000"/>
            </w:tcBorders>
            <w:shd w:val="clear" w:color="auto" w:fill="FFFF00"/>
          </w:tcPr>
          <w:p>
            <w:pPr/>
          </w:p>
        </w:tc>
        <w:tc>
          <w:tcPr>
            <w:tcW w:w="1110" w:type="dxa"/>
            <w:vMerge/>
            <w:tcBorders>
              <w:left w:val="single" w:sz="12" w:space="0" w:color="000000"/>
              <w:right w:val="single" w:sz="12" w:space="0" w:color="000000"/>
            </w:tcBorders>
            <w:shd w:val="clear" w:color="auto" w:fill="FFFF00"/>
          </w:tcPr>
          <w:p>
            <w:pPr/>
          </w:p>
        </w:tc>
        <w:tc>
          <w:tcPr>
            <w:tcW w:w="2625" w:type="dxa"/>
            <w:vMerge/>
            <w:tcBorders>
              <w:left w:val="single" w:sz="12" w:space="0" w:color="000000"/>
              <w:right w:val="single" w:sz="12" w:space="0" w:color="000000"/>
            </w:tcBorders>
            <w:shd w:val="clear" w:color="auto" w:fill="F2DDDC"/>
          </w:tcPr>
          <w:p>
            <w:pPr/>
          </w:p>
        </w:tc>
        <w:tc>
          <w:tcPr>
            <w:tcW w:w="1110" w:type="dxa"/>
            <w:tcBorders>
              <w:top w:val="nil"/>
              <w:left w:val="single" w:sz="12" w:space="0" w:color="000000"/>
              <w:bottom w:val="nil"/>
              <w:right w:val="single" w:sz="12" w:space="0" w:color="000000"/>
            </w:tcBorders>
            <w:shd w:val="clear" w:color="auto" w:fill="F2DDDC"/>
          </w:tcPr>
          <w:p>
            <w:pPr>
              <w:pStyle w:val="TableParagraph"/>
              <w:spacing w:before="20"/>
              <w:ind w:right="22"/>
              <w:jc w:val="right"/>
              <w:rPr>
                <w:rFonts w:ascii="Verdana"/>
                <w:sz w:val="16"/>
              </w:rPr>
            </w:pPr>
            <w:r>
              <w:rPr>
                <w:rFonts w:ascii="Verdana"/>
                <w:w w:val="85"/>
                <w:sz w:val="16"/>
              </w:rPr>
              <w:t>20.00%</w:t>
            </w:r>
          </w:p>
        </w:tc>
      </w:tr>
      <w:tr>
        <w:trPr>
          <w:trHeight w:val="623" w:hRule="exact"/>
        </w:trPr>
        <w:tc>
          <w:tcPr>
            <w:tcW w:w="2617" w:type="dxa"/>
            <w:vMerge/>
            <w:tcBorders>
              <w:bottom w:val="single" w:sz="12" w:space="0" w:color="000000"/>
              <w:right w:val="single" w:sz="12" w:space="0" w:color="000000"/>
            </w:tcBorders>
            <w:shd w:val="clear" w:color="auto" w:fill="FFFF00"/>
          </w:tcPr>
          <w:p>
            <w:pPr/>
          </w:p>
        </w:tc>
        <w:tc>
          <w:tcPr>
            <w:tcW w:w="1110" w:type="dxa"/>
            <w:vMerge/>
            <w:tcBorders>
              <w:left w:val="single" w:sz="12" w:space="0" w:color="000000"/>
              <w:bottom w:val="single" w:sz="12" w:space="0" w:color="000000"/>
              <w:right w:val="single" w:sz="12" w:space="0" w:color="000000"/>
            </w:tcBorders>
            <w:shd w:val="clear" w:color="auto" w:fill="FFFF00"/>
          </w:tcPr>
          <w:p>
            <w:pPr/>
          </w:p>
        </w:tc>
        <w:tc>
          <w:tcPr>
            <w:tcW w:w="2625" w:type="dxa"/>
            <w:vMerge/>
            <w:tcBorders>
              <w:left w:val="single" w:sz="12" w:space="0" w:color="000000"/>
              <w:bottom w:val="single" w:sz="12" w:space="0" w:color="000000"/>
              <w:right w:val="single" w:sz="12" w:space="0" w:color="000000"/>
            </w:tcBorders>
            <w:shd w:val="clear" w:color="auto" w:fill="F2DDDC"/>
          </w:tcPr>
          <w:p>
            <w:pPr/>
          </w:p>
        </w:tc>
        <w:tc>
          <w:tcPr>
            <w:tcW w:w="1110" w:type="dxa"/>
            <w:tcBorders>
              <w:top w:val="nil"/>
              <w:left w:val="single" w:sz="12" w:space="0" w:color="000000"/>
              <w:bottom w:val="single" w:sz="12" w:space="0" w:color="000000"/>
              <w:right w:val="single" w:sz="12" w:space="0" w:color="000000"/>
            </w:tcBorders>
            <w:shd w:val="clear" w:color="auto" w:fill="F2DDDC"/>
          </w:tcPr>
          <w:p>
            <w:pPr>
              <w:pStyle w:val="TableParagraph"/>
              <w:spacing w:before="42"/>
              <w:ind w:right="22"/>
              <w:jc w:val="right"/>
              <w:rPr>
                <w:rFonts w:ascii="Verdana"/>
                <w:sz w:val="16"/>
              </w:rPr>
            </w:pPr>
            <w:r>
              <w:rPr>
                <w:rFonts w:ascii="Verdana"/>
                <w:w w:val="85"/>
                <w:sz w:val="16"/>
              </w:rPr>
              <w:t>1.00%</w:t>
            </w:r>
          </w:p>
        </w:tc>
      </w:tr>
      <w:tr>
        <w:trPr>
          <w:trHeight w:val="315" w:hRule="exact"/>
        </w:trPr>
        <w:tc>
          <w:tcPr>
            <w:tcW w:w="2617" w:type="dxa"/>
            <w:tcBorders>
              <w:top w:val="single" w:sz="12" w:space="0" w:color="000000"/>
              <w:bottom w:val="single" w:sz="12" w:space="0" w:color="000000"/>
              <w:right w:val="single" w:sz="12" w:space="0" w:color="000000"/>
            </w:tcBorders>
            <w:shd w:val="clear" w:color="auto" w:fill="4F81BD"/>
          </w:tcPr>
          <w:p>
            <w:pPr>
              <w:pStyle w:val="TableParagraph"/>
              <w:spacing w:line="290" w:lineRule="exact"/>
              <w:ind w:left="854" w:right="291"/>
              <w:jc w:val="left"/>
              <w:rPr>
                <w:rFonts w:ascii="Verdana"/>
                <w:b/>
                <w:sz w:val="24"/>
              </w:rPr>
            </w:pPr>
            <w:r>
              <w:rPr>
                <w:rFonts w:ascii="Verdana"/>
                <w:b/>
                <w:w w:val="95"/>
                <w:sz w:val="24"/>
              </w:rPr>
              <w:t>ACTIVO</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right="62"/>
              <w:jc w:val="righ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left="269" w:right="71"/>
              <w:jc w:val="left"/>
              <w:rPr>
                <w:rFonts w:ascii="Verdana"/>
                <w:b/>
                <w:sz w:val="24"/>
              </w:rPr>
            </w:pPr>
            <w:r>
              <w:rPr>
                <w:rFonts w:ascii="Verdana"/>
                <w:b/>
                <w:w w:val="80"/>
                <w:sz w:val="24"/>
              </w:rPr>
              <w:t>PASIVO + CAPITAL</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spacing w:line="290" w:lineRule="exact"/>
              <w:ind w:right="61"/>
              <w:jc w:val="right"/>
              <w:rPr>
                <w:rFonts w:ascii="Verdana"/>
                <w:b/>
                <w:sz w:val="24"/>
              </w:rPr>
            </w:pPr>
            <w:r>
              <w:rPr>
                <w:rFonts w:ascii="Verdana"/>
                <w:b/>
                <w:w w:val="75"/>
                <w:sz w:val="24"/>
              </w:rPr>
              <w:t>100.00%</w:t>
            </w:r>
          </w:p>
        </w:tc>
      </w:tr>
    </w:tbl>
    <w:p>
      <w:pPr>
        <w:pStyle w:val="BodyText"/>
        <w:spacing w:before="7"/>
        <w:rPr>
          <w:sz w:val="14"/>
        </w:rPr>
      </w:pPr>
    </w:p>
    <w:p>
      <w:pPr>
        <w:pStyle w:val="BodyText"/>
        <w:spacing w:line="273" w:lineRule="auto" w:before="70"/>
        <w:ind w:left="110" w:right="108"/>
        <w:jc w:val="both"/>
      </w:pPr>
      <w:r>
        <w:rPr/>
        <w:t>El análisis esquemático del balance para el año 2008 indica que el activo circulante representó el 42% del total del activo, y el activo fijo el 58%; mientras que el pasivo a corto plazo representó el 46% y la deuda a largo plazo representó el 33%; el capital representó el 21%.</w:t>
      </w:r>
    </w:p>
    <w:p>
      <w:pPr>
        <w:pStyle w:val="BodyText"/>
        <w:spacing w:line="273" w:lineRule="auto" w:before="209"/>
        <w:ind w:left="110" w:right="141"/>
      </w:pPr>
      <w:r>
        <w:rPr/>
        <w:t>Los cambios en el activo fijo durante el 2008 reflejan principalmente la venta de la rama de negocio Truck Engine Cooling y la adquisición de Valeo Radar Systems.</w:t>
      </w:r>
    </w:p>
    <w:p>
      <w:pPr>
        <w:spacing w:after="0" w:line="273" w:lineRule="auto"/>
        <w:sectPr>
          <w:pgSz w:w="11910" w:h="16840"/>
          <w:pgMar w:header="755" w:footer="724" w:top="960" w:bottom="920" w:left="1600" w:right="1580"/>
        </w:sect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2"/>
        <w:numPr>
          <w:ilvl w:val="2"/>
          <w:numId w:val="25"/>
        </w:numPr>
        <w:tabs>
          <w:tab w:pos="898" w:val="left" w:leader="none"/>
        </w:tabs>
        <w:spacing w:line="240" w:lineRule="auto" w:before="69" w:after="0"/>
        <w:ind w:left="897" w:right="0" w:hanging="787"/>
        <w:jc w:val="both"/>
      </w:pPr>
      <w:r>
        <w:rPr/>
        <w:drawing>
          <wp:anchor distT="0" distB="0" distL="0" distR="0" allowOverlap="1" layoutInCell="1" locked="0" behindDoc="0" simplePos="0" relativeHeight="4144">
            <wp:simplePos x="0" y="0"/>
            <wp:positionH relativeFrom="page">
              <wp:posOffset>1087551</wp:posOffset>
            </wp:positionH>
            <wp:positionV relativeFrom="paragraph">
              <wp:posOffset>248072</wp:posOffset>
            </wp:positionV>
            <wp:extent cx="4880609" cy="3749040"/>
            <wp:effectExtent l="0" t="0" r="0" b="0"/>
            <wp:wrapTopAndBottom/>
            <wp:docPr id="23" name="image155.png" descr=""/>
            <wp:cNvGraphicFramePr>
              <a:graphicFrameLocks noChangeAspect="1"/>
            </wp:cNvGraphicFramePr>
            <a:graphic>
              <a:graphicData uri="http://schemas.openxmlformats.org/drawingml/2006/picture">
                <pic:pic>
                  <pic:nvPicPr>
                    <pic:cNvPr id="24" name="image155.png"/>
                    <pic:cNvPicPr/>
                  </pic:nvPicPr>
                  <pic:blipFill>
                    <a:blip r:embed="rId193" cstate="print"/>
                    <a:stretch>
                      <a:fillRect/>
                    </a:stretch>
                  </pic:blipFill>
                  <pic:spPr>
                    <a:xfrm>
                      <a:off x="0" y="0"/>
                      <a:ext cx="4880609" cy="3749040"/>
                    </a:xfrm>
                    <a:prstGeom prst="rect">
                      <a:avLst/>
                    </a:prstGeom>
                  </pic:spPr>
                </pic:pic>
              </a:graphicData>
            </a:graphic>
          </wp:anchor>
        </w:drawing>
      </w:r>
      <w:bookmarkStart w:name="_TOC_250013" w:id="54"/>
      <w:bookmarkEnd w:id="54"/>
      <w:r>
        <w:rPr/>
        <w:t>Estado de Resultados</w:t>
      </w:r>
    </w:p>
    <w:p>
      <w:pPr>
        <w:pStyle w:val="BodyText"/>
        <w:rPr>
          <w:b/>
        </w:rPr>
      </w:pPr>
    </w:p>
    <w:p>
      <w:pPr>
        <w:pStyle w:val="BodyText"/>
        <w:spacing w:before="7"/>
        <w:rPr>
          <w:b/>
          <w:sz w:val="30"/>
        </w:rPr>
      </w:pPr>
    </w:p>
    <w:p>
      <w:pPr>
        <w:pStyle w:val="BodyText"/>
        <w:spacing w:line="276" w:lineRule="auto"/>
        <w:ind w:left="110" w:right="109"/>
        <w:jc w:val="both"/>
      </w:pPr>
      <w:r>
        <w:rPr/>
        <w:t>El incremento en las ventas durante el año 2011 es resultado del nivel de producción constante en la industria automotriz, los cambios en la participación de mercado del grupo Valeo tuvieron un impacto positivo gracias a la inclusión de Niles y un ligero impacto negativo debido al tipo de cambio del yen y al dólar americano. El costo de ventas presenta un aumento con respecto a 2010 de  1% debido principalmente al consumo de materia prima, a la mano de obra directa y a los gastos de producción esto tiene relación directa a la adquisición de Niles durante 2011, impacto reflejado en el margen de utilidad</w:t>
      </w:r>
      <w:r>
        <w:rPr>
          <w:spacing w:val="-2"/>
        </w:rPr>
        <w:t> </w:t>
      </w:r>
      <w:r>
        <w:rPr/>
        <w:t>bruta.</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9"/>
        <w:rPr>
          <w:sz w:val="19"/>
        </w:rPr>
      </w:pPr>
    </w:p>
    <w:tbl>
      <w:tblPr>
        <w:tblW w:w="0" w:type="auto"/>
        <w:jc w:val="left"/>
        <w:tblInd w:w="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7"/>
        <w:gridCol w:w="1110"/>
        <w:gridCol w:w="2625"/>
        <w:gridCol w:w="1110"/>
      </w:tblGrid>
      <w:tr>
        <w:trPr>
          <w:trHeight w:val="307" w:hRule="exact"/>
        </w:trPr>
        <w:tc>
          <w:tcPr>
            <w:tcW w:w="7463" w:type="dxa"/>
            <w:gridSpan w:val="4"/>
            <w:tcBorders>
              <w:bottom w:val="single" w:sz="12" w:space="0" w:color="000000"/>
              <w:right w:val="single" w:sz="12" w:space="0" w:color="000000"/>
            </w:tcBorders>
            <w:shd w:val="clear" w:color="auto" w:fill="4F81BD"/>
          </w:tcPr>
          <w:p>
            <w:pPr>
              <w:pStyle w:val="TableParagraph"/>
              <w:spacing w:line="290" w:lineRule="exact"/>
              <w:ind w:left="3392" w:right="3393"/>
              <w:rPr>
                <w:rFonts w:ascii="Verdana"/>
                <w:b/>
                <w:sz w:val="24"/>
              </w:rPr>
            </w:pPr>
            <w:r>
              <w:rPr>
                <w:rFonts w:ascii="Verdana"/>
                <w:b/>
                <w:w w:val="90"/>
                <w:sz w:val="24"/>
              </w:rPr>
              <w:t>2010</w:t>
            </w:r>
          </w:p>
        </w:tc>
      </w:tr>
      <w:tr>
        <w:trPr>
          <w:trHeight w:val="4950" w:hRule="exact"/>
        </w:trPr>
        <w:tc>
          <w:tcPr>
            <w:tcW w:w="2617" w:type="dxa"/>
            <w:vMerge w:val="restart"/>
            <w:tcBorders>
              <w:top w:val="single" w:sz="12"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870" w:right="291"/>
              <w:jc w:val="left"/>
              <w:rPr>
                <w:rFonts w:ascii="Verdana"/>
                <w:b/>
                <w:sz w:val="24"/>
              </w:rPr>
            </w:pPr>
            <w:r>
              <w:rPr>
                <w:rFonts w:ascii="Verdana"/>
                <w:b/>
                <w:w w:val="90"/>
                <w:sz w:val="24"/>
              </w:rPr>
              <w:t>VENTAS</w:t>
            </w:r>
          </w:p>
        </w:tc>
        <w:tc>
          <w:tcPr>
            <w:tcW w:w="1110" w:type="dxa"/>
            <w:vMerge w:val="restart"/>
            <w:tcBorders>
              <w:top w:val="single" w:sz="12" w:space="0" w:color="000000"/>
              <w:left w:val="single" w:sz="12"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spacing w:before="6"/>
              <w:jc w:val="left"/>
              <w:rPr>
                <w:rFonts w:ascii="Arial"/>
                <w:sz w:val="26"/>
              </w:rPr>
            </w:pPr>
          </w:p>
          <w:p>
            <w:pPr>
              <w:pStyle w:val="TableParagraph"/>
              <w:ind w:left="244" w:right="235"/>
              <w:rPr>
                <w:rFonts w:ascii="Verdana"/>
                <w:b/>
                <w:sz w:val="22"/>
              </w:rPr>
            </w:pPr>
            <w:r>
              <w:rPr>
                <w:rFonts w:ascii="Verdana"/>
                <w:b/>
                <w:w w:val="90"/>
                <w:sz w:val="22"/>
              </w:rPr>
              <w:t>COSTO DE 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9"/>
              <w:jc w:val="left"/>
              <w:rPr>
                <w:rFonts w:ascii="Arial"/>
                <w:sz w:val="32"/>
              </w:rPr>
            </w:pPr>
          </w:p>
          <w:p>
            <w:pPr>
              <w:pStyle w:val="TableParagraph"/>
              <w:ind w:left="46" w:right="47"/>
              <w:rPr>
                <w:rFonts w:ascii="Verdana"/>
                <w:b/>
                <w:sz w:val="24"/>
              </w:rPr>
            </w:pPr>
            <w:r>
              <w:rPr>
                <w:rFonts w:ascii="Verdana"/>
                <w:b/>
                <w:w w:val="80"/>
                <w:sz w:val="24"/>
              </w:rPr>
              <w:t>82.00%</w:t>
            </w:r>
          </w:p>
        </w:tc>
      </w:tr>
      <w:tr>
        <w:trPr>
          <w:trHeight w:val="1230" w:hRule="exact"/>
        </w:trPr>
        <w:tc>
          <w:tcPr>
            <w:tcW w:w="2617" w:type="dxa"/>
            <w:vMerge/>
            <w:tcBorders>
              <w:bottom w:val="single" w:sz="12" w:space="0" w:color="000000"/>
              <w:right w:val="single" w:sz="12" w:space="0" w:color="000000"/>
            </w:tcBorders>
            <w:shd w:val="clear" w:color="auto" w:fill="92D050"/>
          </w:tcPr>
          <w:p>
            <w:pPr/>
          </w:p>
        </w:tc>
        <w:tc>
          <w:tcPr>
            <w:tcW w:w="1110" w:type="dxa"/>
            <w:vMerge/>
            <w:tcBorders>
              <w:left w:val="single" w:sz="12" w:space="0" w:color="000000"/>
              <w:bottom w:val="single" w:sz="12" w:space="0" w:color="000000"/>
              <w:right w:val="single" w:sz="12" w:space="0" w:color="000000"/>
            </w:tcBorders>
            <w:shd w:val="clear" w:color="auto" w:fill="92D050"/>
          </w:tcPr>
          <w:p>
            <w:pPr/>
          </w:p>
        </w:tc>
        <w:tc>
          <w:tcPr>
            <w:tcW w:w="2625"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jc w:val="left"/>
              <w:rPr>
                <w:rFonts w:ascii="Arial"/>
                <w:sz w:val="24"/>
              </w:rPr>
            </w:pPr>
          </w:p>
          <w:p>
            <w:pPr>
              <w:pStyle w:val="TableParagraph"/>
              <w:spacing w:before="172"/>
              <w:ind w:left="235" w:right="235"/>
              <w:rPr>
                <w:rFonts w:ascii="Verdana"/>
                <w:b/>
                <w:sz w:val="24"/>
              </w:rPr>
            </w:pPr>
            <w:r>
              <w:rPr>
                <w:rFonts w:ascii="Verdana"/>
                <w:b/>
                <w:w w:val="75"/>
                <w:sz w:val="24"/>
              </w:rPr>
              <w:t>UTILIDAD BRUTA</w:t>
            </w:r>
          </w:p>
        </w:tc>
        <w:tc>
          <w:tcPr>
            <w:tcW w:w="1110"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jc w:val="left"/>
              <w:rPr>
                <w:rFonts w:ascii="Arial"/>
                <w:sz w:val="24"/>
              </w:rPr>
            </w:pPr>
          </w:p>
          <w:p>
            <w:pPr>
              <w:pStyle w:val="TableParagraph"/>
              <w:spacing w:before="172"/>
              <w:ind w:left="46" w:right="47"/>
              <w:rPr>
                <w:rFonts w:ascii="Verdana"/>
                <w:b/>
                <w:sz w:val="24"/>
              </w:rPr>
            </w:pPr>
            <w:r>
              <w:rPr>
                <w:rFonts w:ascii="Verdana"/>
                <w:b/>
                <w:w w:val="80"/>
                <w:sz w:val="24"/>
              </w:rPr>
              <w:t>18.00%</w:t>
            </w:r>
          </w:p>
        </w:tc>
      </w:tr>
      <w:tr>
        <w:trPr>
          <w:trHeight w:val="1515" w:hRule="exact"/>
        </w:trPr>
        <w:tc>
          <w:tcPr>
            <w:tcW w:w="2617" w:type="dxa"/>
            <w:tcBorders>
              <w:top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870" w:right="291"/>
              <w:jc w:val="left"/>
              <w:rPr>
                <w:rFonts w:ascii="Verdana"/>
                <w:b/>
                <w:sz w:val="24"/>
              </w:rPr>
            </w:pPr>
            <w:r>
              <w:rPr>
                <w:rFonts w:ascii="Verdana"/>
                <w:b/>
                <w:w w:val="90"/>
                <w:sz w:val="24"/>
              </w:rPr>
              <w:t>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line="247" w:lineRule="auto" w:before="173"/>
              <w:ind w:left="1155" w:right="71" w:hanging="1081"/>
              <w:jc w:val="left"/>
              <w:rPr>
                <w:rFonts w:ascii="Verdana"/>
                <w:b/>
                <w:sz w:val="24"/>
              </w:rPr>
            </w:pPr>
            <w:r>
              <w:rPr>
                <w:rFonts w:ascii="Verdana"/>
                <w:b/>
                <w:w w:val="85"/>
                <w:sz w:val="24"/>
              </w:rPr>
              <w:t>-</w:t>
            </w:r>
            <w:r>
              <w:rPr>
                <w:rFonts w:ascii="Verdana"/>
                <w:b/>
                <w:spacing w:val="-20"/>
                <w:w w:val="85"/>
                <w:sz w:val="24"/>
              </w:rPr>
              <w:t> </w:t>
            </w:r>
            <w:r>
              <w:rPr>
                <w:rFonts w:ascii="Verdana"/>
                <w:b/>
                <w:spacing w:val="-4"/>
                <w:w w:val="85"/>
                <w:sz w:val="24"/>
              </w:rPr>
              <w:t>COSTO</w:t>
            </w:r>
            <w:r>
              <w:rPr>
                <w:rFonts w:ascii="Verdana"/>
                <w:b/>
                <w:spacing w:val="-28"/>
                <w:w w:val="85"/>
                <w:sz w:val="24"/>
              </w:rPr>
              <w:t> </w:t>
            </w:r>
            <w:r>
              <w:rPr>
                <w:rFonts w:ascii="Verdana"/>
                <w:b/>
                <w:w w:val="85"/>
                <w:sz w:val="24"/>
              </w:rPr>
              <w:t>DE</w:t>
            </w:r>
            <w:r>
              <w:rPr>
                <w:rFonts w:ascii="Verdana"/>
                <w:b/>
                <w:spacing w:val="-27"/>
                <w:w w:val="85"/>
                <w:sz w:val="24"/>
              </w:rPr>
              <w:t> </w:t>
            </w:r>
            <w:r>
              <w:rPr>
                <w:rFonts w:ascii="Verdana"/>
                <w:b/>
                <w:w w:val="85"/>
                <w:sz w:val="24"/>
              </w:rPr>
              <w:t>VENTAS</w:t>
            </w:r>
            <w:r>
              <w:rPr>
                <w:rFonts w:ascii="Verdana"/>
                <w:b/>
                <w:spacing w:val="-27"/>
                <w:w w:val="85"/>
                <w:sz w:val="24"/>
              </w:rPr>
              <w:t> </w:t>
            </w:r>
            <w:r>
              <w:rPr>
                <w:rFonts w:ascii="Verdana"/>
                <w:b/>
                <w:w w:val="85"/>
                <w:sz w:val="24"/>
              </w:rPr>
              <w:t>= </w:t>
            </w:r>
            <w:r>
              <w:rPr>
                <w:rFonts w:ascii="Verdana"/>
                <w:b/>
                <w:spacing w:val="-4"/>
                <w:w w:val="90"/>
                <w:sz w:val="24"/>
              </w:rPr>
              <w:t>UB</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58" w:right="47"/>
              <w:rPr>
                <w:rFonts w:ascii="Verdana"/>
                <w:b/>
                <w:sz w:val="24"/>
              </w:rPr>
            </w:pPr>
            <w:r>
              <w:rPr>
                <w:rFonts w:ascii="Verdana"/>
                <w:b/>
                <w:w w:val="75"/>
                <w:sz w:val="24"/>
              </w:rPr>
              <w:t>100.00%</w:t>
            </w:r>
          </w:p>
        </w:tc>
      </w:tr>
    </w:tbl>
    <w:p>
      <w:pPr>
        <w:pStyle w:val="BodyText"/>
        <w:rPr>
          <w:sz w:val="20"/>
        </w:rPr>
      </w:pPr>
    </w:p>
    <w:p>
      <w:pPr>
        <w:pStyle w:val="BodyText"/>
        <w:rPr>
          <w:sz w:val="20"/>
        </w:rPr>
      </w:pPr>
    </w:p>
    <w:p>
      <w:pPr>
        <w:pStyle w:val="BodyText"/>
        <w:spacing w:before="5"/>
        <w:rPr>
          <w:sz w:val="19"/>
        </w:rPr>
      </w:pPr>
    </w:p>
    <w:p>
      <w:pPr>
        <w:pStyle w:val="BodyText"/>
        <w:spacing w:line="273" w:lineRule="auto" w:before="70"/>
        <w:ind w:left="110" w:right="108"/>
        <w:jc w:val="both"/>
      </w:pPr>
      <w:r>
        <w:rPr/>
        <w:t>Durante el año 2010, la producción mostró un incremento con respecto a 2009 principalmente en Norteamérica y Asia, las ventas mostraron un incremento de 28% con respecto al 2009.</w:t>
      </w:r>
    </w:p>
    <w:p>
      <w:pPr>
        <w:pStyle w:val="BodyText"/>
        <w:spacing w:line="276" w:lineRule="auto" w:before="209"/>
        <w:ind w:left="110" w:right="108"/>
        <w:jc w:val="both"/>
      </w:pPr>
      <w:r>
        <w:rPr/>
        <w:t>El costo de ventas en el año 2010 representa el 82%, el incremento con respecto al año anterior es proporcional al incremento en las ventas. El margen de utilidad bruta se vio incrementado vs 2009 de 15.2% a 18% en 2010, debido al aumento en la producción y ventas.</w:t>
      </w:r>
    </w:p>
    <w:p>
      <w:pPr>
        <w:spacing w:after="0" w:line="276" w:lineRule="auto"/>
        <w:jc w:val="both"/>
        <w:sectPr>
          <w:pgSz w:w="11910" w:h="16840"/>
          <w:pgMar w:header="755" w:footer="724" w:top="960" w:bottom="920" w:left="1600" w:right="1580"/>
        </w:sectPr>
      </w:pPr>
    </w:p>
    <w:p>
      <w:pPr>
        <w:pStyle w:val="BodyText"/>
        <w:rPr>
          <w:sz w:val="20"/>
        </w:rPr>
      </w:pPr>
    </w:p>
    <w:p>
      <w:pPr>
        <w:pStyle w:val="BodyText"/>
        <w:rPr>
          <w:sz w:val="20"/>
        </w:rPr>
      </w:pPr>
    </w:p>
    <w:p>
      <w:pPr>
        <w:pStyle w:val="BodyText"/>
        <w:rPr>
          <w:sz w:val="20"/>
        </w:rPr>
      </w:pPr>
    </w:p>
    <w:p>
      <w:pPr>
        <w:pStyle w:val="BodyText"/>
        <w:spacing w:before="8" w:after="1"/>
      </w:pPr>
    </w:p>
    <w:tbl>
      <w:tblPr>
        <w:tblW w:w="0" w:type="auto"/>
        <w:jc w:val="left"/>
        <w:tblInd w:w="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7"/>
        <w:gridCol w:w="1110"/>
        <w:gridCol w:w="2625"/>
        <w:gridCol w:w="1110"/>
      </w:tblGrid>
      <w:tr>
        <w:trPr>
          <w:trHeight w:val="307" w:hRule="exact"/>
        </w:trPr>
        <w:tc>
          <w:tcPr>
            <w:tcW w:w="7463" w:type="dxa"/>
            <w:gridSpan w:val="4"/>
            <w:tcBorders>
              <w:bottom w:val="single" w:sz="12" w:space="0" w:color="000000"/>
              <w:right w:val="single" w:sz="12" w:space="0" w:color="000000"/>
            </w:tcBorders>
            <w:shd w:val="clear" w:color="auto" w:fill="4F81BD"/>
          </w:tcPr>
          <w:p>
            <w:pPr>
              <w:pStyle w:val="TableParagraph"/>
              <w:spacing w:line="290" w:lineRule="exact"/>
              <w:ind w:left="3392" w:right="3393"/>
              <w:rPr>
                <w:rFonts w:ascii="Verdana"/>
                <w:b/>
                <w:sz w:val="24"/>
              </w:rPr>
            </w:pPr>
            <w:r>
              <w:rPr>
                <w:rFonts w:ascii="Verdana"/>
                <w:b/>
                <w:w w:val="90"/>
                <w:sz w:val="24"/>
              </w:rPr>
              <w:t>2009</w:t>
            </w:r>
          </w:p>
        </w:tc>
      </w:tr>
      <w:tr>
        <w:trPr>
          <w:trHeight w:val="5265" w:hRule="exact"/>
        </w:trPr>
        <w:tc>
          <w:tcPr>
            <w:tcW w:w="2617" w:type="dxa"/>
            <w:vMerge w:val="restart"/>
            <w:tcBorders>
              <w:top w:val="single" w:sz="12"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870" w:right="291"/>
              <w:jc w:val="left"/>
              <w:rPr>
                <w:rFonts w:ascii="Verdana"/>
                <w:b/>
                <w:sz w:val="24"/>
              </w:rPr>
            </w:pPr>
            <w:r>
              <w:rPr>
                <w:rFonts w:ascii="Verdana"/>
                <w:b/>
                <w:w w:val="90"/>
                <w:sz w:val="24"/>
              </w:rPr>
              <w:t>VENTAS</w:t>
            </w:r>
          </w:p>
        </w:tc>
        <w:tc>
          <w:tcPr>
            <w:tcW w:w="1110" w:type="dxa"/>
            <w:vMerge w:val="restart"/>
            <w:tcBorders>
              <w:top w:val="single" w:sz="12" w:space="0" w:color="000000"/>
              <w:left w:val="single" w:sz="12"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spacing w:before="6"/>
              <w:jc w:val="left"/>
              <w:rPr>
                <w:rFonts w:ascii="Arial"/>
                <w:sz w:val="17"/>
              </w:rPr>
            </w:pPr>
          </w:p>
          <w:p>
            <w:pPr>
              <w:pStyle w:val="TableParagraph"/>
              <w:ind w:left="244" w:right="235"/>
              <w:rPr>
                <w:rFonts w:ascii="Verdana"/>
                <w:b/>
                <w:sz w:val="22"/>
              </w:rPr>
            </w:pPr>
            <w:r>
              <w:rPr>
                <w:rFonts w:ascii="Verdana"/>
                <w:b/>
                <w:w w:val="90"/>
                <w:sz w:val="22"/>
              </w:rPr>
              <w:t>COSTO DE 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
              <w:jc w:val="left"/>
              <w:rPr>
                <w:rFonts w:ascii="Arial"/>
                <w:sz w:val="23"/>
              </w:rPr>
            </w:pPr>
          </w:p>
          <w:p>
            <w:pPr>
              <w:pStyle w:val="TableParagraph"/>
              <w:ind w:left="46" w:right="47"/>
              <w:rPr>
                <w:rFonts w:ascii="Verdana"/>
                <w:b/>
                <w:sz w:val="24"/>
              </w:rPr>
            </w:pPr>
            <w:r>
              <w:rPr>
                <w:rFonts w:ascii="Verdana"/>
                <w:b/>
                <w:w w:val="80"/>
                <w:sz w:val="24"/>
              </w:rPr>
              <w:t>85.00%</w:t>
            </w:r>
          </w:p>
        </w:tc>
      </w:tr>
      <w:tr>
        <w:trPr>
          <w:trHeight w:val="915" w:hRule="exact"/>
        </w:trPr>
        <w:tc>
          <w:tcPr>
            <w:tcW w:w="2617" w:type="dxa"/>
            <w:vMerge/>
            <w:tcBorders>
              <w:bottom w:val="single" w:sz="12" w:space="0" w:color="000000"/>
              <w:right w:val="single" w:sz="12" w:space="0" w:color="000000"/>
            </w:tcBorders>
            <w:shd w:val="clear" w:color="auto" w:fill="92D050"/>
          </w:tcPr>
          <w:p>
            <w:pPr/>
          </w:p>
        </w:tc>
        <w:tc>
          <w:tcPr>
            <w:tcW w:w="1110" w:type="dxa"/>
            <w:vMerge/>
            <w:tcBorders>
              <w:left w:val="single" w:sz="12" w:space="0" w:color="000000"/>
              <w:bottom w:val="single" w:sz="12" w:space="0" w:color="000000"/>
              <w:right w:val="single" w:sz="12" w:space="0" w:color="000000"/>
            </w:tcBorders>
            <w:shd w:val="clear" w:color="auto" w:fill="92D050"/>
          </w:tcPr>
          <w:p>
            <w:pPr/>
          </w:p>
        </w:tc>
        <w:tc>
          <w:tcPr>
            <w:tcW w:w="2625"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spacing w:before="11"/>
              <w:jc w:val="left"/>
              <w:rPr>
                <w:rFonts w:ascii="Arial"/>
                <w:sz w:val="25"/>
              </w:rPr>
            </w:pPr>
          </w:p>
          <w:p>
            <w:pPr>
              <w:pStyle w:val="TableParagraph"/>
              <w:ind w:left="235" w:right="235"/>
              <w:rPr>
                <w:rFonts w:ascii="Verdana"/>
                <w:b/>
                <w:sz w:val="24"/>
              </w:rPr>
            </w:pPr>
            <w:r>
              <w:rPr>
                <w:rFonts w:ascii="Verdana"/>
                <w:b/>
                <w:w w:val="75"/>
                <w:sz w:val="24"/>
              </w:rPr>
              <w:t>UTILIDAD BRUTA</w:t>
            </w:r>
          </w:p>
        </w:tc>
        <w:tc>
          <w:tcPr>
            <w:tcW w:w="1110"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spacing w:before="11"/>
              <w:jc w:val="left"/>
              <w:rPr>
                <w:rFonts w:ascii="Arial"/>
                <w:sz w:val="25"/>
              </w:rPr>
            </w:pPr>
          </w:p>
          <w:p>
            <w:pPr>
              <w:pStyle w:val="TableParagraph"/>
              <w:ind w:left="46" w:right="47"/>
              <w:rPr>
                <w:rFonts w:ascii="Verdana"/>
                <w:b/>
                <w:sz w:val="24"/>
              </w:rPr>
            </w:pPr>
            <w:r>
              <w:rPr>
                <w:rFonts w:ascii="Verdana"/>
                <w:b/>
                <w:w w:val="80"/>
                <w:sz w:val="24"/>
              </w:rPr>
              <w:t>15.00%</w:t>
            </w:r>
          </w:p>
        </w:tc>
      </w:tr>
      <w:tr>
        <w:trPr>
          <w:trHeight w:val="1515" w:hRule="exact"/>
        </w:trPr>
        <w:tc>
          <w:tcPr>
            <w:tcW w:w="2617" w:type="dxa"/>
            <w:tcBorders>
              <w:top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870" w:right="291"/>
              <w:jc w:val="left"/>
              <w:rPr>
                <w:rFonts w:ascii="Verdana"/>
                <w:b/>
                <w:sz w:val="24"/>
              </w:rPr>
            </w:pPr>
            <w:r>
              <w:rPr>
                <w:rFonts w:ascii="Verdana"/>
                <w:b/>
                <w:w w:val="90"/>
                <w:sz w:val="24"/>
              </w:rPr>
              <w:t>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line="247" w:lineRule="auto" w:before="173"/>
              <w:ind w:left="1155" w:right="71" w:hanging="1081"/>
              <w:jc w:val="left"/>
              <w:rPr>
                <w:rFonts w:ascii="Verdana"/>
                <w:b/>
                <w:sz w:val="24"/>
              </w:rPr>
            </w:pPr>
            <w:r>
              <w:rPr>
                <w:rFonts w:ascii="Verdana"/>
                <w:b/>
                <w:w w:val="85"/>
                <w:sz w:val="24"/>
              </w:rPr>
              <w:t>-</w:t>
            </w:r>
            <w:r>
              <w:rPr>
                <w:rFonts w:ascii="Verdana"/>
                <w:b/>
                <w:spacing w:val="-20"/>
                <w:w w:val="85"/>
                <w:sz w:val="24"/>
              </w:rPr>
              <w:t> </w:t>
            </w:r>
            <w:r>
              <w:rPr>
                <w:rFonts w:ascii="Verdana"/>
                <w:b/>
                <w:spacing w:val="-4"/>
                <w:w w:val="85"/>
                <w:sz w:val="24"/>
              </w:rPr>
              <w:t>COSTO</w:t>
            </w:r>
            <w:r>
              <w:rPr>
                <w:rFonts w:ascii="Verdana"/>
                <w:b/>
                <w:spacing w:val="-28"/>
                <w:w w:val="85"/>
                <w:sz w:val="24"/>
              </w:rPr>
              <w:t> </w:t>
            </w:r>
            <w:r>
              <w:rPr>
                <w:rFonts w:ascii="Verdana"/>
                <w:b/>
                <w:w w:val="85"/>
                <w:sz w:val="24"/>
              </w:rPr>
              <w:t>DE</w:t>
            </w:r>
            <w:r>
              <w:rPr>
                <w:rFonts w:ascii="Verdana"/>
                <w:b/>
                <w:spacing w:val="-27"/>
                <w:w w:val="85"/>
                <w:sz w:val="24"/>
              </w:rPr>
              <w:t> </w:t>
            </w:r>
            <w:r>
              <w:rPr>
                <w:rFonts w:ascii="Verdana"/>
                <w:b/>
                <w:w w:val="85"/>
                <w:sz w:val="24"/>
              </w:rPr>
              <w:t>VENTAS</w:t>
            </w:r>
            <w:r>
              <w:rPr>
                <w:rFonts w:ascii="Verdana"/>
                <w:b/>
                <w:spacing w:val="-27"/>
                <w:w w:val="85"/>
                <w:sz w:val="24"/>
              </w:rPr>
              <w:t> </w:t>
            </w:r>
            <w:r>
              <w:rPr>
                <w:rFonts w:ascii="Verdana"/>
                <w:b/>
                <w:w w:val="85"/>
                <w:sz w:val="24"/>
              </w:rPr>
              <w:t>= </w:t>
            </w:r>
            <w:r>
              <w:rPr>
                <w:rFonts w:ascii="Verdana"/>
                <w:b/>
                <w:spacing w:val="-4"/>
                <w:w w:val="90"/>
                <w:sz w:val="24"/>
              </w:rPr>
              <w:t>UB</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58" w:right="47"/>
              <w:rPr>
                <w:rFonts w:ascii="Verdana"/>
                <w:b/>
                <w:sz w:val="24"/>
              </w:rPr>
            </w:pPr>
            <w:r>
              <w:rPr>
                <w:rFonts w:ascii="Verdana"/>
                <w:b/>
                <w:w w:val="75"/>
                <w:sz w:val="24"/>
              </w:rPr>
              <w:t>100.00%</w:t>
            </w:r>
          </w:p>
        </w:tc>
      </w:tr>
    </w:tbl>
    <w:p>
      <w:pPr>
        <w:pStyle w:val="BodyText"/>
        <w:spacing w:before="5"/>
        <w:rPr>
          <w:sz w:val="14"/>
        </w:rPr>
      </w:pPr>
    </w:p>
    <w:p>
      <w:pPr>
        <w:pStyle w:val="BodyText"/>
        <w:spacing w:line="276" w:lineRule="auto" w:before="70"/>
        <w:ind w:left="110" w:right="108"/>
        <w:jc w:val="both"/>
      </w:pPr>
      <w:r>
        <w:rPr/>
        <w:t>Durante el año 2009 se observa la misma tendencia que durante el 2008 con los mismos indicadores para costo de ventas (85%) y utilidad bruta (15%). Considerando que el grueso del costo se encuentra en la materia prima, seguido por mano de obra, costos directos de producción y gastos generales, así como depreciación y amortización; el año 2008 y 2009 tuvieron la misma estructura de costos.</w:t>
      </w:r>
    </w:p>
    <w:p>
      <w:pPr>
        <w:spacing w:after="0" w:line="276" w:lineRule="auto"/>
        <w:jc w:val="both"/>
        <w:sectPr>
          <w:footerReference w:type="default" r:id="rId194"/>
          <w:pgSz w:w="11910" w:h="16840"/>
          <w:pgMar w:footer="724" w:header="755" w:top="960" w:bottom="9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after="1"/>
        <w:rPr>
          <w:sz w:val="29"/>
        </w:rPr>
      </w:pPr>
    </w:p>
    <w:tbl>
      <w:tblPr>
        <w:tblW w:w="0" w:type="auto"/>
        <w:jc w:val="left"/>
        <w:tblInd w:w="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17"/>
        <w:gridCol w:w="1110"/>
        <w:gridCol w:w="2625"/>
        <w:gridCol w:w="1110"/>
      </w:tblGrid>
      <w:tr>
        <w:trPr>
          <w:trHeight w:val="307" w:hRule="exact"/>
        </w:trPr>
        <w:tc>
          <w:tcPr>
            <w:tcW w:w="7463" w:type="dxa"/>
            <w:gridSpan w:val="4"/>
            <w:tcBorders>
              <w:left w:val="single" w:sz="6" w:space="0" w:color="000000"/>
              <w:bottom w:val="single" w:sz="12" w:space="0" w:color="000000"/>
              <w:right w:val="single" w:sz="12" w:space="0" w:color="000000"/>
            </w:tcBorders>
            <w:shd w:val="clear" w:color="auto" w:fill="4F81BD"/>
          </w:tcPr>
          <w:p>
            <w:pPr>
              <w:pStyle w:val="TableParagraph"/>
              <w:spacing w:line="290" w:lineRule="exact"/>
              <w:ind w:left="3392" w:right="3393"/>
              <w:rPr>
                <w:rFonts w:ascii="Verdana"/>
                <w:b/>
                <w:sz w:val="24"/>
              </w:rPr>
            </w:pPr>
            <w:r>
              <w:rPr>
                <w:rFonts w:ascii="Verdana"/>
                <w:b/>
                <w:w w:val="90"/>
                <w:sz w:val="24"/>
              </w:rPr>
              <w:t>2008</w:t>
            </w:r>
          </w:p>
        </w:tc>
      </w:tr>
      <w:tr>
        <w:trPr>
          <w:trHeight w:val="5265" w:hRule="exact"/>
        </w:trPr>
        <w:tc>
          <w:tcPr>
            <w:tcW w:w="2617" w:type="dxa"/>
            <w:vMerge w:val="restart"/>
            <w:tcBorders>
              <w:top w:val="single" w:sz="12" w:space="0" w:color="000000"/>
              <w:left w:val="single" w:sz="6"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870" w:right="291"/>
              <w:jc w:val="left"/>
              <w:rPr>
                <w:rFonts w:ascii="Verdana"/>
                <w:b/>
                <w:sz w:val="24"/>
              </w:rPr>
            </w:pPr>
            <w:r>
              <w:rPr>
                <w:rFonts w:ascii="Verdana"/>
                <w:b/>
                <w:w w:val="90"/>
                <w:sz w:val="24"/>
              </w:rPr>
              <w:t>VENTAS</w:t>
            </w:r>
          </w:p>
        </w:tc>
        <w:tc>
          <w:tcPr>
            <w:tcW w:w="1110" w:type="dxa"/>
            <w:vMerge w:val="restart"/>
            <w:tcBorders>
              <w:top w:val="single" w:sz="12" w:space="0" w:color="000000"/>
              <w:left w:val="single" w:sz="12" w:space="0" w:color="000000"/>
              <w:right w:val="single" w:sz="12" w:space="0" w:color="000000"/>
            </w:tcBorders>
            <w:shd w:val="clear" w:color="auto" w:fill="92D050"/>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64"/>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jc w:val="left"/>
              <w:rPr>
                <w:rFonts w:ascii="Arial"/>
                <w:sz w:val="22"/>
              </w:rPr>
            </w:pPr>
          </w:p>
          <w:p>
            <w:pPr>
              <w:pStyle w:val="TableParagraph"/>
              <w:spacing w:before="6"/>
              <w:jc w:val="left"/>
              <w:rPr>
                <w:rFonts w:ascii="Arial"/>
                <w:sz w:val="17"/>
              </w:rPr>
            </w:pPr>
          </w:p>
          <w:p>
            <w:pPr>
              <w:pStyle w:val="TableParagraph"/>
              <w:ind w:left="244" w:right="235"/>
              <w:rPr>
                <w:rFonts w:ascii="Verdana"/>
                <w:b/>
                <w:sz w:val="22"/>
              </w:rPr>
            </w:pPr>
            <w:r>
              <w:rPr>
                <w:rFonts w:ascii="Verdana"/>
                <w:b/>
                <w:w w:val="90"/>
                <w:sz w:val="22"/>
              </w:rPr>
              <w:t>COSTO DE 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C5D9F1"/>
          </w:tcPr>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jc w:val="left"/>
              <w:rPr>
                <w:rFonts w:ascii="Arial"/>
                <w:sz w:val="24"/>
              </w:rPr>
            </w:pPr>
          </w:p>
          <w:p>
            <w:pPr>
              <w:pStyle w:val="TableParagraph"/>
              <w:spacing w:before="1"/>
              <w:jc w:val="left"/>
              <w:rPr>
                <w:rFonts w:ascii="Arial"/>
                <w:sz w:val="23"/>
              </w:rPr>
            </w:pPr>
          </w:p>
          <w:p>
            <w:pPr>
              <w:pStyle w:val="TableParagraph"/>
              <w:ind w:left="46" w:right="47"/>
              <w:rPr>
                <w:rFonts w:ascii="Verdana"/>
                <w:b/>
                <w:sz w:val="24"/>
              </w:rPr>
            </w:pPr>
            <w:r>
              <w:rPr>
                <w:rFonts w:ascii="Verdana"/>
                <w:b/>
                <w:w w:val="80"/>
                <w:sz w:val="24"/>
              </w:rPr>
              <w:t>85.00%</w:t>
            </w:r>
          </w:p>
        </w:tc>
      </w:tr>
      <w:tr>
        <w:trPr>
          <w:trHeight w:val="915" w:hRule="exact"/>
        </w:trPr>
        <w:tc>
          <w:tcPr>
            <w:tcW w:w="2617" w:type="dxa"/>
            <w:vMerge/>
            <w:tcBorders>
              <w:left w:val="single" w:sz="6" w:space="0" w:color="000000"/>
              <w:bottom w:val="single" w:sz="12" w:space="0" w:color="000000"/>
              <w:right w:val="single" w:sz="12" w:space="0" w:color="000000"/>
            </w:tcBorders>
            <w:shd w:val="clear" w:color="auto" w:fill="92D050"/>
          </w:tcPr>
          <w:p>
            <w:pPr/>
          </w:p>
        </w:tc>
        <w:tc>
          <w:tcPr>
            <w:tcW w:w="1110" w:type="dxa"/>
            <w:vMerge/>
            <w:tcBorders>
              <w:left w:val="single" w:sz="12" w:space="0" w:color="000000"/>
              <w:bottom w:val="single" w:sz="12" w:space="0" w:color="000000"/>
              <w:right w:val="single" w:sz="12" w:space="0" w:color="000000"/>
            </w:tcBorders>
            <w:shd w:val="clear" w:color="auto" w:fill="92D050"/>
          </w:tcPr>
          <w:p>
            <w:pPr/>
          </w:p>
        </w:tc>
        <w:tc>
          <w:tcPr>
            <w:tcW w:w="2625"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spacing w:before="11"/>
              <w:jc w:val="left"/>
              <w:rPr>
                <w:rFonts w:ascii="Arial"/>
                <w:sz w:val="25"/>
              </w:rPr>
            </w:pPr>
          </w:p>
          <w:p>
            <w:pPr>
              <w:pStyle w:val="TableParagraph"/>
              <w:ind w:left="235" w:right="235"/>
              <w:rPr>
                <w:rFonts w:ascii="Verdana"/>
                <w:b/>
                <w:sz w:val="24"/>
              </w:rPr>
            </w:pPr>
            <w:r>
              <w:rPr>
                <w:rFonts w:ascii="Verdana"/>
                <w:b/>
                <w:w w:val="75"/>
                <w:sz w:val="24"/>
              </w:rPr>
              <w:t>UTILIDAD BRUTA</w:t>
            </w:r>
          </w:p>
        </w:tc>
        <w:tc>
          <w:tcPr>
            <w:tcW w:w="1110" w:type="dxa"/>
            <w:tcBorders>
              <w:top w:val="single" w:sz="12" w:space="0" w:color="000000"/>
              <w:left w:val="single" w:sz="12" w:space="0" w:color="000000"/>
              <w:bottom w:val="single" w:sz="12" w:space="0" w:color="000000"/>
              <w:right w:val="single" w:sz="12" w:space="0" w:color="000000"/>
            </w:tcBorders>
            <w:shd w:val="clear" w:color="auto" w:fill="95B3D7"/>
          </w:tcPr>
          <w:p>
            <w:pPr>
              <w:pStyle w:val="TableParagraph"/>
              <w:spacing w:before="11"/>
              <w:jc w:val="left"/>
              <w:rPr>
                <w:rFonts w:ascii="Arial"/>
                <w:sz w:val="25"/>
              </w:rPr>
            </w:pPr>
          </w:p>
          <w:p>
            <w:pPr>
              <w:pStyle w:val="TableParagraph"/>
              <w:ind w:left="46" w:right="47"/>
              <w:rPr>
                <w:rFonts w:ascii="Verdana"/>
                <w:b/>
                <w:sz w:val="24"/>
              </w:rPr>
            </w:pPr>
            <w:r>
              <w:rPr>
                <w:rFonts w:ascii="Verdana"/>
                <w:b/>
                <w:w w:val="80"/>
                <w:sz w:val="24"/>
              </w:rPr>
              <w:t>15.00%</w:t>
            </w:r>
          </w:p>
        </w:tc>
      </w:tr>
      <w:tr>
        <w:trPr>
          <w:trHeight w:val="1515" w:hRule="exact"/>
        </w:trPr>
        <w:tc>
          <w:tcPr>
            <w:tcW w:w="2617" w:type="dxa"/>
            <w:tcBorders>
              <w:top w:val="single" w:sz="12" w:space="0" w:color="000000"/>
              <w:left w:val="single" w:sz="6"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870" w:right="291"/>
              <w:jc w:val="left"/>
              <w:rPr>
                <w:rFonts w:ascii="Verdana"/>
                <w:b/>
                <w:sz w:val="24"/>
              </w:rPr>
            </w:pPr>
            <w:r>
              <w:rPr>
                <w:rFonts w:ascii="Verdana"/>
                <w:b/>
                <w:w w:val="90"/>
                <w:sz w:val="24"/>
              </w:rPr>
              <w:t>VENTAS</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75"/>
              <w:jc w:val="left"/>
              <w:rPr>
                <w:rFonts w:ascii="Verdana"/>
                <w:b/>
                <w:sz w:val="24"/>
              </w:rPr>
            </w:pPr>
            <w:r>
              <w:rPr>
                <w:rFonts w:ascii="Verdana"/>
                <w:b/>
                <w:w w:val="75"/>
                <w:sz w:val="24"/>
              </w:rPr>
              <w:t>100.00%</w:t>
            </w:r>
          </w:p>
        </w:tc>
        <w:tc>
          <w:tcPr>
            <w:tcW w:w="2625"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line="247" w:lineRule="auto" w:before="173"/>
              <w:ind w:left="1155" w:right="71" w:hanging="1081"/>
              <w:jc w:val="left"/>
              <w:rPr>
                <w:rFonts w:ascii="Verdana"/>
                <w:b/>
                <w:sz w:val="24"/>
              </w:rPr>
            </w:pPr>
            <w:r>
              <w:rPr>
                <w:rFonts w:ascii="Verdana"/>
                <w:b/>
                <w:w w:val="85"/>
                <w:sz w:val="24"/>
              </w:rPr>
              <w:t>-</w:t>
            </w:r>
            <w:r>
              <w:rPr>
                <w:rFonts w:ascii="Verdana"/>
                <w:b/>
                <w:spacing w:val="-20"/>
                <w:w w:val="85"/>
                <w:sz w:val="24"/>
              </w:rPr>
              <w:t> </w:t>
            </w:r>
            <w:r>
              <w:rPr>
                <w:rFonts w:ascii="Verdana"/>
                <w:b/>
                <w:spacing w:val="-4"/>
                <w:w w:val="85"/>
                <w:sz w:val="24"/>
              </w:rPr>
              <w:t>COSTO</w:t>
            </w:r>
            <w:r>
              <w:rPr>
                <w:rFonts w:ascii="Verdana"/>
                <w:b/>
                <w:spacing w:val="-28"/>
                <w:w w:val="85"/>
                <w:sz w:val="24"/>
              </w:rPr>
              <w:t> </w:t>
            </w:r>
            <w:r>
              <w:rPr>
                <w:rFonts w:ascii="Verdana"/>
                <w:b/>
                <w:w w:val="85"/>
                <w:sz w:val="24"/>
              </w:rPr>
              <w:t>DE</w:t>
            </w:r>
            <w:r>
              <w:rPr>
                <w:rFonts w:ascii="Verdana"/>
                <w:b/>
                <w:spacing w:val="-27"/>
                <w:w w:val="85"/>
                <w:sz w:val="24"/>
              </w:rPr>
              <w:t> </w:t>
            </w:r>
            <w:r>
              <w:rPr>
                <w:rFonts w:ascii="Verdana"/>
                <w:b/>
                <w:w w:val="85"/>
                <w:sz w:val="24"/>
              </w:rPr>
              <w:t>VENTAS</w:t>
            </w:r>
            <w:r>
              <w:rPr>
                <w:rFonts w:ascii="Verdana"/>
                <w:b/>
                <w:spacing w:val="-27"/>
                <w:w w:val="85"/>
                <w:sz w:val="24"/>
              </w:rPr>
              <w:t> </w:t>
            </w:r>
            <w:r>
              <w:rPr>
                <w:rFonts w:ascii="Verdana"/>
                <w:b/>
                <w:w w:val="85"/>
                <w:sz w:val="24"/>
              </w:rPr>
              <w:t>= </w:t>
            </w:r>
            <w:r>
              <w:rPr>
                <w:rFonts w:ascii="Verdana"/>
                <w:b/>
                <w:spacing w:val="-4"/>
                <w:w w:val="90"/>
                <w:sz w:val="24"/>
              </w:rPr>
              <w:t>UB</w:t>
            </w:r>
          </w:p>
        </w:tc>
        <w:tc>
          <w:tcPr>
            <w:tcW w:w="1110" w:type="dxa"/>
            <w:tcBorders>
              <w:top w:val="single" w:sz="12" w:space="0" w:color="000000"/>
              <w:left w:val="single" w:sz="12" w:space="0" w:color="000000"/>
              <w:bottom w:val="single" w:sz="12" w:space="0" w:color="000000"/>
              <w:right w:val="single" w:sz="12" w:space="0" w:color="000000"/>
            </w:tcBorders>
            <w:shd w:val="clear" w:color="auto" w:fill="4F81BD"/>
          </w:tcPr>
          <w:p>
            <w:pPr>
              <w:pStyle w:val="TableParagraph"/>
              <w:jc w:val="left"/>
              <w:rPr>
                <w:rFonts w:ascii="Arial"/>
                <w:sz w:val="24"/>
              </w:rPr>
            </w:pPr>
          </w:p>
          <w:p>
            <w:pPr>
              <w:pStyle w:val="TableParagraph"/>
              <w:spacing w:before="1"/>
              <w:jc w:val="left"/>
              <w:rPr>
                <w:rFonts w:ascii="Arial"/>
                <w:sz w:val="28"/>
              </w:rPr>
            </w:pPr>
          </w:p>
          <w:p>
            <w:pPr>
              <w:pStyle w:val="TableParagraph"/>
              <w:ind w:left="58" w:right="47"/>
              <w:rPr>
                <w:rFonts w:ascii="Verdana"/>
                <w:b/>
                <w:sz w:val="24"/>
              </w:rPr>
            </w:pPr>
            <w:r>
              <w:rPr>
                <w:rFonts w:ascii="Verdana"/>
                <w:b/>
                <w:w w:val="75"/>
                <w:sz w:val="24"/>
              </w:rPr>
              <w:t>100.00%</w:t>
            </w:r>
          </w:p>
        </w:tc>
      </w:tr>
    </w:tbl>
    <w:p>
      <w:pPr>
        <w:pStyle w:val="BodyText"/>
        <w:spacing w:before="7"/>
        <w:rPr>
          <w:sz w:val="14"/>
        </w:rPr>
      </w:pPr>
    </w:p>
    <w:p>
      <w:pPr>
        <w:pStyle w:val="BodyText"/>
        <w:spacing w:line="273" w:lineRule="auto" w:before="69"/>
        <w:ind w:left="110" w:right="108"/>
        <w:jc w:val="both"/>
      </w:pPr>
      <w:r>
        <w:rPr/>
        <w:t>El costo de ventas para el grupo Valeo en consolidado, representó el 85% del total de sus ventas en el año 2009, obteniendo una utilidad bruta de 15% durante este ejercicio.</w:t>
      </w:r>
    </w:p>
    <w:p>
      <w:pPr>
        <w:spacing w:after="0" w:line="273" w:lineRule="auto"/>
        <w:jc w:val="both"/>
        <w:sectPr>
          <w:footerReference w:type="default" r:id="rId195"/>
          <w:pgSz w:w="11910" w:h="16840"/>
          <w:pgMar w:footer="724" w:header="755" w:top="960" w:bottom="920" w:left="1600" w:right="1580"/>
          <w:pgNumType w:start="91"/>
        </w:sectPr>
      </w:pPr>
    </w:p>
    <w:p>
      <w:pPr>
        <w:pStyle w:val="BodyText"/>
        <w:rPr>
          <w:sz w:val="20"/>
        </w:rPr>
      </w:pPr>
      <w:r>
        <w:rPr/>
        <w:pict>
          <v:line style="position:absolute;mso-position-horizontal-relative:page;mso-position-vertical-relative:page;z-index:-240784" from="208.210358pt,285.187775pt" to="209.272405pt,285.187775pt" stroked="true" strokeweight=".530077pt" strokecolor="#dd0806">
            <w10:wrap type="none"/>
          </v:line>
        </w:pict>
      </w:r>
      <w:r>
        <w:rPr/>
        <w:pict>
          <v:line style="position:absolute;mso-position-horizontal-relative:page;mso-position-vertical-relative:page;z-index:-240760" from="208.210358pt,354.627899pt" to="209.272405pt,354.627899pt" stroked="true" strokeweight=".530077pt" strokecolor="#dd0806">
            <w10:wrap type="none"/>
          </v:line>
        </w:pict>
      </w:r>
      <w:r>
        <w:rPr/>
        <w:pict>
          <v:shape style="position:absolute;margin-left:300pt;margin-top:592.861023pt;width:3pt;height:2pt;mso-position-horizontal-relative:page;mso-position-vertical-relative:page;z-index:4312" coordorigin="6000,11857" coordsize="60,40" path="m4897,5693l4929,5693m4897,5704l4918,5704m4897,5714l4908,5714e" filled="false" stroked="true" strokeweight=".53055pt" strokecolor="#008000">
            <v:path arrowok="t"/>
            <w10:wrap type="none"/>
          </v:shape>
        </w:pict>
      </w:r>
      <w:r>
        <w:rPr/>
        <w:pict>
          <v:shape style="position:absolute;margin-left:432pt;margin-top:592.861023pt;width:3pt;height:2pt;mso-position-horizontal-relative:page;mso-position-vertical-relative:page;z-index:4336" coordorigin="8640,11857" coordsize="60,40" path="m6299,5693l6331,5693m6299,5704l6320,5704m6299,5714l6310,5714e" filled="false" stroked="true" strokeweight=".53055pt" strokecolor="#008000">
            <v:path arrowok="t"/>
            <w10:wrap type="none"/>
          </v:shape>
        </w:pict>
      </w:r>
      <w:r>
        <w:rPr/>
        <w:pict>
          <v:shape style="position:absolute;margin-left:564pt;margin-top:592.861023pt;width:3pt;height:2pt;mso-position-horizontal-relative:page;mso-position-vertical-relative:page;z-index:4360" coordorigin="11280,11857" coordsize="60,40" path="m7701,5693l7733,5693m7701,5704l7722,5704m7701,5714l7711,5714e" filled="false" stroked="true" strokeweight=".53055pt" strokecolor="#008000">
            <v:path arrowok="t"/>
            <w10:wrap type="none"/>
          </v:shape>
        </w:pict>
      </w:r>
      <w:r>
        <w:rPr/>
        <w:pict>
          <v:shape style="position:absolute;margin-left:300pt;margin-top:461.861023pt;width:3pt;height:2pt;mso-position-horizontal-relative:page;mso-position-vertical-relative:page;z-index:-240568" coordorigin="6000,9237" coordsize="60,40" path="m4897,7082l4929,7082m4897,7093l4918,7093m4897,7103l4908,7103e" filled="false" stroked="true" strokeweight=".53055pt" strokecolor="#008000">
            <v:path arrowok="t"/>
            <w10:wrap type="none"/>
          </v:shape>
        </w:pict>
      </w:r>
      <w:r>
        <w:rPr/>
        <w:pict>
          <v:shape style="position:absolute;margin-left:366pt;margin-top:461.861023pt;width:3pt;height:2pt;mso-position-horizontal-relative:page;mso-position-vertical-relative:page;z-index:-240544" coordorigin="7320,9237" coordsize="60,40" path="m5598,7082l5630,7082m5598,7093l5619,7093m5598,7103l5609,7103e" filled="false" stroked="true" strokeweight=".53055pt" strokecolor="#008000">
            <v:path arrowok="t"/>
            <w10:wrap type="none"/>
          </v:shape>
        </w:pict>
      </w:r>
      <w:r>
        <w:rPr/>
        <w:pict>
          <v:shape style="position:absolute;margin-left:432pt;margin-top:461.861023pt;width:3pt;height:2pt;mso-position-horizontal-relative:page;mso-position-vertical-relative:page;z-index:-240520" coordorigin="8640,9237" coordsize="60,40" path="m6299,7082l6331,7082m6299,7093l6320,7093m6299,7103l6310,7103e" filled="false" stroked="true" strokeweight=".53055pt" strokecolor="#008000">
            <v:path arrowok="t"/>
            <w10:wrap type="none"/>
          </v:shape>
        </w:pict>
      </w:r>
      <w:r>
        <w:rPr/>
        <w:pict>
          <v:shape style="position:absolute;margin-left:498pt;margin-top:461.861023pt;width:3pt;height:2pt;mso-position-horizontal-relative:page;mso-position-vertical-relative:page;z-index:4456" coordorigin="9960,9237" coordsize="60,40" path="m7000,7082l7032,7082m7000,7093l7021,7093m7000,7103l7010,7103e" filled="false" stroked="true" strokeweight=".53055pt" strokecolor="#008000">
            <v:path arrowok="t"/>
            <w10:wrap type="none"/>
          </v:shape>
        </w:pict>
      </w:r>
      <w:r>
        <w:rPr/>
        <w:pict>
          <v:shape style="position:absolute;margin-left:564pt;margin-top:461.861023pt;width:3pt;height:2pt;mso-position-horizontal-relative:page;mso-position-vertical-relative:page;z-index:4480" coordorigin="11280,9237" coordsize="60,40" path="m7701,7082l7733,7082m7701,7093l7722,7093m7701,7103l7711,7103e" filled="false" stroked="true" strokeweight=".53055pt" strokecolor="#008000">
            <v:path arrowok="t"/>
            <w10:wrap type="none"/>
          </v:shape>
        </w:pict>
      </w:r>
      <w:r>
        <w:rPr/>
        <w:pict>
          <v:shape style="position:absolute;margin-left:630pt;margin-top:461.861023pt;width:3pt;height:2pt;mso-position-horizontal-relative:page;mso-position-vertical-relative:page;z-index:4504" coordorigin="12600,9237" coordsize="60,40" path="m8402,7082l8434,7082m8402,7093l8423,7093m8402,7103l8412,7103e" filled="false" stroked="true" strokeweight=".53055pt" strokecolor="#008000">
            <v:path arrowok="t"/>
            <w10:wrap type="none"/>
          </v:shape>
        </w:pict>
      </w:r>
      <w:r>
        <w:rPr/>
        <w:pict>
          <v:shape style="position:absolute;margin-left:300pt;margin-top:432.861023pt;width:2pt;height:1pt;mso-position-horizontal-relative:page;mso-position-vertical-relative:page;z-index:-240424" coordorigin="6000,8657" coordsize="40,20" path="m4897,7400l4918,7400m4897,7411l4908,7411e" filled="false" stroked="true" strokeweight=".53055pt" strokecolor="#008000">
            <v:path arrowok="t"/>
            <w10:wrap type="none"/>
          </v:shape>
        </w:pict>
      </w:r>
      <w:r>
        <w:rPr/>
        <w:pict>
          <v:shape style="position:absolute;margin-left:432pt;margin-top:432.861023pt;width:3pt;height:2pt;mso-position-horizontal-relative:page;mso-position-vertical-relative:page;z-index:-240400" coordorigin="8640,8657" coordsize="60,40" path="m6299,7389l6331,7389m6299,7400l6320,7400m6299,7411l6310,7411e" filled="false" stroked="true" strokeweight=".53055pt" strokecolor="#008000">
            <v:path arrowok="t"/>
            <w10:wrap type="none"/>
          </v:shape>
        </w:pict>
      </w:r>
      <w:r>
        <w:rPr/>
        <w:pict>
          <v:shape style="position:absolute;margin-left:564pt;margin-top:432.861023pt;width:3pt;height:2pt;mso-position-horizontal-relative:page;mso-position-vertical-relative:page;z-index:4576" coordorigin="11280,8657" coordsize="60,40" path="m7701,7389l7733,7389m7701,7400l7722,7400m7701,7411l7711,7411e" filled="false" stroked="true" strokeweight=".53055pt" strokecolor="#008000">
            <v:path arrowok="t"/>
            <w10:wrap type="none"/>
          </v:shape>
        </w:pict>
      </w:r>
      <w:r>
        <w:rPr/>
        <w:pict>
          <v:shape style="position:absolute;margin-left:300pt;margin-top:347.861023pt;width:2pt;height:1pt;mso-position-horizontal-relative:page;mso-position-vertical-relative:page;z-index:-240352" coordorigin="6000,6957" coordsize="40,20" path="m4897,8301l4918,8301m4897,8312l4908,8312e" filled="false" stroked="true" strokeweight=".53055pt" strokecolor="#008000">
            <v:path arrowok="t"/>
            <w10:wrap type="none"/>
          </v:shape>
        </w:pict>
      </w:r>
      <w:r>
        <w:rPr/>
        <w:pict>
          <v:shape style="position:absolute;margin-left:366pt;margin-top:347.861023pt;width:3pt;height:2pt;mso-position-horizontal-relative:page;mso-position-vertical-relative:page;z-index:-240328" coordorigin="7320,6957" coordsize="60,40" path="m5598,8291l5630,8291m5598,8301l5619,8301m5598,8312l5609,8312e" filled="false" stroked="true" strokeweight=".53055pt" strokecolor="#008000">
            <v:path arrowok="t"/>
            <w10:wrap type="none"/>
          </v:shape>
        </w:pict>
      </w:r>
      <w:r>
        <w:rPr/>
        <w:pict>
          <v:shape style="position:absolute;margin-left:432pt;margin-top:347.861023pt;width:3pt;height:2pt;mso-position-horizontal-relative:page;mso-position-vertical-relative:page;z-index:-240304" coordorigin="8640,6957" coordsize="60,40" path="m6299,8291l6331,8291m6299,8301l6320,8301m6299,8312l6310,8312e" filled="false" stroked="true" strokeweight=".53055pt" strokecolor="#008000">
            <v:path arrowok="t"/>
            <w10:wrap type="none"/>
          </v:shape>
        </w:pict>
      </w:r>
      <w:r>
        <w:rPr/>
        <w:pict>
          <v:shape style="position:absolute;margin-left:498pt;margin-top:347.861023pt;width:3pt;height:2pt;mso-position-horizontal-relative:page;mso-position-vertical-relative:page;z-index:4672" coordorigin="9960,6957" coordsize="60,40" path="m7000,8291l7032,8291m7000,8301l7021,8301m7000,8312l7010,8312e" filled="false" stroked="true" strokeweight=".53055pt" strokecolor="#008000">
            <v:path arrowok="t"/>
            <w10:wrap type="none"/>
          </v:shape>
        </w:pict>
      </w:r>
      <w:r>
        <w:rPr/>
        <w:pict>
          <v:shape style="position:absolute;margin-left:564pt;margin-top:347.861023pt;width:3pt;height:2pt;mso-position-horizontal-relative:page;mso-position-vertical-relative:page;z-index:4696" coordorigin="11280,6957" coordsize="60,40" path="m7701,8291l7733,8291m7701,8301l7722,8301m7701,8312l7711,8312e" filled="false" stroked="true" strokeweight=".53055pt" strokecolor="#008000">
            <v:path arrowok="t"/>
            <w10:wrap type="none"/>
          </v:shape>
        </w:pict>
      </w:r>
      <w:r>
        <w:rPr/>
        <w:pict>
          <v:shape style="position:absolute;margin-left:630pt;margin-top:347.861023pt;width:3pt;height:2pt;mso-position-horizontal-relative:page;mso-position-vertical-relative:page;z-index:4720" coordorigin="12600,6957" coordsize="60,40" path="m8402,8291l8434,8291m8402,8301l8423,8301m8402,8312l8412,8312e" filled="false" stroked="true" strokeweight=".53055pt" strokecolor="#008000">
            <v:path arrowok="t"/>
            <w10:wrap type="none"/>
          </v:shape>
        </w:pict>
      </w:r>
    </w:p>
    <w:p>
      <w:pPr>
        <w:pStyle w:val="BodyText"/>
        <w:rPr>
          <w:sz w:val="20"/>
        </w:rPr>
      </w:pPr>
    </w:p>
    <w:p>
      <w:pPr>
        <w:pStyle w:val="BodyText"/>
        <w:rPr>
          <w:sz w:val="20"/>
        </w:rPr>
      </w:pPr>
    </w:p>
    <w:p>
      <w:pPr>
        <w:pStyle w:val="BodyText"/>
        <w:spacing w:before="4"/>
        <w:rPr>
          <w:sz w:val="18"/>
        </w:rPr>
      </w:pPr>
    </w:p>
    <w:p>
      <w:pPr>
        <w:pStyle w:val="Heading2"/>
        <w:numPr>
          <w:ilvl w:val="1"/>
          <w:numId w:val="26"/>
        </w:numPr>
        <w:tabs>
          <w:tab w:pos="686" w:val="left" w:leader="none"/>
          <w:tab w:pos="687" w:val="left" w:leader="none"/>
        </w:tabs>
        <w:spacing w:line="240" w:lineRule="auto" w:before="69" w:after="0"/>
        <w:ind w:left="686" w:right="0" w:hanging="576"/>
        <w:jc w:val="left"/>
      </w:pPr>
      <w:bookmarkStart w:name="_TOC_250012" w:id="55"/>
      <w:r>
        <w:rPr/>
        <w:t>Comparativos por medio de porcentajes</w:t>
      </w:r>
      <w:r>
        <w:rPr>
          <w:spacing w:val="-1"/>
        </w:rPr>
        <w:t> </w:t>
      </w:r>
      <w:bookmarkEnd w:id="55"/>
      <w:r>
        <w:rPr/>
        <w:t>integrales</w:t>
      </w:r>
    </w:p>
    <w:p>
      <w:pPr>
        <w:pStyle w:val="BodyText"/>
        <w:rPr>
          <w:b/>
        </w:rPr>
      </w:pPr>
    </w:p>
    <w:p>
      <w:pPr>
        <w:pStyle w:val="BodyText"/>
        <w:spacing w:before="1"/>
        <w:rPr>
          <w:b/>
          <w:sz w:val="22"/>
        </w:rPr>
      </w:pPr>
    </w:p>
    <w:p>
      <w:pPr>
        <w:pStyle w:val="Heading2"/>
        <w:numPr>
          <w:ilvl w:val="2"/>
          <w:numId w:val="26"/>
        </w:numPr>
        <w:tabs>
          <w:tab w:pos="831" w:val="left" w:leader="none"/>
        </w:tabs>
        <w:spacing w:line="240" w:lineRule="auto" w:before="0" w:after="45"/>
        <w:ind w:left="830" w:right="0" w:hanging="720"/>
        <w:jc w:val="left"/>
      </w:pPr>
      <w:r>
        <w:rPr/>
        <w:pict>
          <v:shape style="position:absolute;margin-left:300pt;margin-top:569.453369pt;width:2pt;height:1pt;mso-position-horizontal-relative:page;mso-position-vertical-relative:paragraph;z-index:4216" coordorigin="6000,11389" coordsize="40,20" path="m4897,1747l4918,1747m4897,1758l4908,1758e" filled="false" stroked="true" strokeweight=".53055pt" strokecolor="#008000">
            <v:path arrowok="t"/>
            <w10:wrap type="none"/>
          </v:shape>
        </w:pict>
      </w:r>
      <w:r>
        <w:rPr/>
        <w:pict>
          <v:shape style="position:absolute;margin-left:432pt;margin-top:569.453369pt;width:3pt;height:2pt;mso-position-horizontal-relative:page;mso-position-vertical-relative:paragraph;z-index:4240" coordorigin="8640,11389" coordsize="60,40" path="m6299,1736l6331,1736m6299,1747l6320,1747m6299,1758l6310,1758e" filled="false" stroked="true" strokeweight=".53055pt" strokecolor="#008000">
            <v:path arrowok="t"/>
            <w10:wrap type="none"/>
          </v:shape>
        </w:pict>
      </w:r>
      <w:r>
        <w:rPr/>
        <w:pict>
          <v:shape style="position:absolute;margin-left:564pt;margin-top:569.453369pt;width:3pt;height:2pt;mso-position-horizontal-relative:page;mso-position-vertical-relative:paragraph;z-index:4264" coordorigin="11280,11389" coordsize="60,40" path="m7701,1736l7733,1736m7701,1747l7722,1747m7701,1758l7711,1758e" filled="false" stroked="true" strokeweight=".53055pt" strokecolor="#008000">
            <v:path arrowok="t"/>
            <w10:wrap type="none"/>
          </v:shape>
        </w:pict>
      </w:r>
      <w:r>
        <w:rPr/>
        <w:pict>
          <v:shape style="position:absolute;margin-left:696pt;margin-top:569.453369pt;width:3pt;height:2pt;mso-position-horizontal-relative:page;mso-position-vertical-relative:paragraph;z-index:4288" coordorigin="13920,11389" coordsize="60,40" path="m9103,1736l9135,1736m9103,1747l9124,1747m9103,1758l9113,1758e" filled="false" stroked="true" strokeweight=".53055pt" strokecolor="#008000">
            <v:path arrowok="t"/>
            <w10:wrap type="none"/>
          </v:shape>
        </w:pict>
      </w:r>
      <w:bookmarkStart w:name="_TOC_250011" w:id="56"/>
      <w:r>
        <w:rPr/>
        <w:t>Balance</w:t>
      </w:r>
      <w:r>
        <w:rPr>
          <w:spacing w:val="-6"/>
        </w:rPr>
        <w:t> </w:t>
      </w:r>
      <w:bookmarkEnd w:id="56"/>
      <w:r>
        <w:rPr/>
        <w:t>General</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9"/>
        <w:gridCol w:w="706"/>
        <w:gridCol w:w="696"/>
        <w:gridCol w:w="706"/>
        <w:gridCol w:w="696"/>
        <w:gridCol w:w="706"/>
        <w:gridCol w:w="696"/>
        <w:gridCol w:w="706"/>
        <w:gridCol w:w="696"/>
      </w:tblGrid>
      <w:tr>
        <w:trPr>
          <w:trHeight w:val="154" w:hRule="exact"/>
        </w:trPr>
        <w:tc>
          <w:tcPr>
            <w:tcW w:w="8077" w:type="dxa"/>
            <w:gridSpan w:val="9"/>
            <w:tcBorders>
              <w:bottom w:val="single" w:sz="8" w:space="0" w:color="000000"/>
              <w:right w:val="nil"/>
            </w:tcBorders>
            <w:shd w:val="clear" w:color="auto" w:fill="808080"/>
          </w:tcPr>
          <w:p>
            <w:pPr>
              <w:pStyle w:val="TableParagraph"/>
              <w:spacing w:line="130" w:lineRule="exact"/>
              <w:ind w:left="2867"/>
              <w:jc w:val="left"/>
              <w:rPr>
                <w:b/>
                <w:sz w:val="11"/>
              </w:rPr>
            </w:pPr>
            <w:r>
              <w:rPr>
                <w:b/>
                <w:w w:val="105"/>
                <w:sz w:val="11"/>
              </w:rPr>
              <w:t>C. Consolidated Statements of financial position</w:t>
            </w:r>
          </w:p>
        </w:tc>
      </w:tr>
      <w:tr>
        <w:trPr>
          <w:trHeight w:val="159" w:hRule="exact"/>
        </w:trPr>
        <w:tc>
          <w:tcPr>
            <w:tcW w:w="2469" w:type="dxa"/>
            <w:tcBorders>
              <w:bottom w:val="single" w:sz="8" w:space="0" w:color="000000"/>
              <w:right w:val="single" w:sz="8" w:space="0" w:color="000000"/>
            </w:tcBorders>
          </w:tcPr>
          <w:p>
            <w:pPr>
              <w:pStyle w:val="TableParagraph"/>
              <w:spacing w:before="1"/>
              <w:ind w:left="21"/>
              <w:jc w:val="left"/>
              <w:rPr>
                <w:b/>
                <w:sz w:val="11"/>
              </w:rPr>
            </w:pPr>
            <w:r>
              <w:rPr>
                <w:b/>
                <w:w w:val="105"/>
                <w:sz w:val="11"/>
              </w:rPr>
              <w:t>(In millions of Euros)</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2011</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2010</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2009</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2008</w:t>
            </w:r>
          </w:p>
        </w:tc>
      </w:tr>
      <w:tr>
        <w:trPr>
          <w:trHeight w:val="159" w:hRule="exact"/>
        </w:trPr>
        <w:tc>
          <w:tcPr>
            <w:tcW w:w="2469" w:type="dxa"/>
            <w:tcBorders>
              <w:top w:val="single" w:sz="8" w:space="0" w:color="000000"/>
              <w:bottom w:val="single" w:sz="8" w:space="0" w:color="000000"/>
              <w:right w:val="single" w:sz="8" w:space="0" w:color="000000"/>
            </w:tcBorders>
          </w:tcPr>
          <w:p>
            <w:pPr>
              <w:pStyle w:val="TableParagraph"/>
              <w:spacing w:line="130" w:lineRule="exact"/>
              <w:ind w:left="21"/>
              <w:jc w:val="left"/>
              <w:rPr>
                <w:b/>
                <w:sz w:val="11"/>
              </w:rPr>
            </w:pPr>
            <w:r>
              <w:rPr>
                <w:b/>
                <w:w w:val="105"/>
                <w:sz w:val="11"/>
              </w:rPr>
              <w:t>ASSETS</w:t>
            </w: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r>
      <w:tr>
        <w:trPr>
          <w:trHeight w:val="154"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w w:val="105"/>
                <w:sz w:val="11"/>
              </w:rPr>
              <w:t>Goodwill</w:t>
            </w:r>
          </w:p>
        </w:tc>
        <w:tc>
          <w:tcPr>
            <w:tcW w:w="706" w:type="dxa"/>
            <w:tcBorders>
              <w:top w:val="single" w:sz="8" w:space="0" w:color="000000"/>
              <w:left w:val="single" w:sz="8" w:space="0" w:color="000000"/>
            </w:tcBorders>
          </w:tcPr>
          <w:p>
            <w:pPr>
              <w:pStyle w:val="TableParagraph"/>
              <w:spacing w:line="130" w:lineRule="exact"/>
              <w:ind w:left="193" w:right="192"/>
              <w:rPr>
                <w:sz w:val="11"/>
              </w:rPr>
            </w:pPr>
            <w:r>
              <w:rPr>
                <w:w w:val="105"/>
                <w:sz w:val="11"/>
              </w:rPr>
              <w:t>1,437</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17%</w:t>
            </w:r>
          </w:p>
        </w:tc>
        <w:tc>
          <w:tcPr>
            <w:tcW w:w="706" w:type="dxa"/>
            <w:tcBorders>
              <w:top w:val="single" w:sz="8" w:space="0" w:color="000000"/>
              <w:left w:val="single" w:sz="8" w:space="0" w:color="000000"/>
            </w:tcBorders>
          </w:tcPr>
          <w:p>
            <w:pPr>
              <w:pStyle w:val="TableParagraph"/>
              <w:spacing w:line="130" w:lineRule="exact"/>
              <w:ind w:left="212"/>
              <w:jc w:val="left"/>
              <w:rPr>
                <w:sz w:val="11"/>
              </w:rPr>
            </w:pPr>
            <w:r>
              <w:rPr>
                <w:w w:val="105"/>
                <w:sz w:val="11"/>
              </w:rPr>
              <w:t>1,210</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16%</w:t>
            </w:r>
          </w:p>
        </w:tc>
        <w:tc>
          <w:tcPr>
            <w:tcW w:w="706" w:type="dxa"/>
            <w:tcBorders>
              <w:top w:val="single" w:sz="8" w:space="0" w:color="000000"/>
              <w:left w:val="single" w:sz="8" w:space="0" w:color="000000"/>
            </w:tcBorders>
          </w:tcPr>
          <w:p>
            <w:pPr>
              <w:pStyle w:val="TableParagraph"/>
              <w:spacing w:line="130" w:lineRule="exact"/>
              <w:ind w:left="193" w:right="192"/>
              <w:rPr>
                <w:sz w:val="11"/>
              </w:rPr>
            </w:pPr>
            <w:r>
              <w:rPr>
                <w:w w:val="105"/>
                <w:sz w:val="11"/>
              </w:rPr>
              <w:t>1,146</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18%</w:t>
            </w:r>
          </w:p>
        </w:tc>
        <w:tc>
          <w:tcPr>
            <w:tcW w:w="706" w:type="dxa"/>
            <w:tcBorders>
              <w:top w:val="single" w:sz="8" w:space="0" w:color="000000"/>
              <w:left w:val="single" w:sz="8" w:space="0" w:color="000000"/>
            </w:tcBorders>
          </w:tcPr>
          <w:p>
            <w:pPr>
              <w:pStyle w:val="TableParagraph"/>
              <w:spacing w:line="130" w:lineRule="exact"/>
              <w:ind w:left="193" w:right="192"/>
              <w:rPr>
                <w:sz w:val="11"/>
              </w:rPr>
            </w:pPr>
            <w:r>
              <w:rPr>
                <w:w w:val="105"/>
                <w:sz w:val="11"/>
              </w:rPr>
              <w:t>1,154</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18%</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intangible assets</w:t>
            </w:r>
          </w:p>
        </w:tc>
        <w:tc>
          <w:tcPr>
            <w:tcW w:w="706" w:type="dxa"/>
            <w:tcBorders>
              <w:left w:val="single" w:sz="8" w:space="0" w:color="000000"/>
            </w:tcBorders>
          </w:tcPr>
          <w:p>
            <w:pPr>
              <w:pStyle w:val="TableParagraph"/>
              <w:spacing w:line="130" w:lineRule="exact"/>
              <w:ind w:left="192" w:right="192"/>
              <w:rPr>
                <w:sz w:val="11"/>
              </w:rPr>
            </w:pPr>
            <w:r>
              <w:rPr>
                <w:w w:val="105"/>
                <w:sz w:val="11"/>
              </w:rPr>
              <w:t>641</w:t>
            </w:r>
          </w:p>
        </w:tc>
        <w:tc>
          <w:tcPr>
            <w:tcW w:w="696" w:type="dxa"/>
            <w:tcBorders>
              <w:right w:val="single" w:sz="8" w:space="0" w:color="000000"/>
            </w:tcBorders>
          </w:tcPr>
          <w:p>
            <w:pPr>
              <w:pStyle w:val="TableParagraph"/>
              <w:spacing w:line="130" w:lineRule="exact"/>
              <w:ind w:left="193" w:right="178"/>
              <w:rPr>
                <w:sz w:val="11"/>
              </w:rPr>
            </w:pPr>
            <w:r>
              <w:rPr>
                <w:w w:val="105"/>
                <w:sz w:val="11"/>
              </w:rPr>
              <w:t>7%</w:t>
            </w:r>
          </w:p>
        </w:tc>
        <w:tc>
          <w:tcPr>
            <w:tcW w:w="706" w:type="dxa"/>
            <w:tcBorders>
              <w:left w:val="single" w:sz="8" w:space="0" w:color="000000"/>
            </w:tcBorders>
          </w:tcPr>
          <w:p>
            <w:pPr>
              <w:pStyle w:val="TableParagraph"/>
              <w:spacing w:line="130" w:lineRule="exact"/>
              <w:ind w:left="254"/>
              <w:jc w:val="left"/>
              <w:rPr>
                <w:sz w:val="11"/>
              </w:rPr>
            </w:pPr>
            <w:r>
              <w:rPr>
                <w:w w:val="105"/>
                <w:sz w:val="11"/>
              </w:rPr>
              <w:t>544</w:t>
            </w:r>
          </w:p>
        </w:tc>
        <w:tc>
          <w:tcPr>
            <w:tcW w:w="696" w:type="dxa"/>
            <w:tcBorders>
              <w:right w:val="single" w:sz="8" w:space="0" w:color="000000"/>
            </w:tcBorders>
          </w:tcPr>
          <w:p>
            <w:pPr>
              <w:pStyle w:val="TableParagraph"/>
              <w:spacing w:line="130" w:lineRule="exact"/>
              <w:ind w:right="258"/>
              <w:jc w:val="right"/>
              <w:rPr>
                <w:sz w:val="11"/>
              </w:rPr>
            </w:pPr>
            <w:r>
              <w:rPr>
                <w:w w:val="105"/>
                <w:sz w:val="11"/>
              </w:rPr>
              <w:t>7%</w:t>
            </w:r>
          </w:p>
        </w:tc>
        <w:tc>
          <w:tcPr>
            <w:tcW w:w="706" w:type="dxa"/>
            <w:tcBorders>
              <w:left w:val="single" w:sz="8" w:space="0" w:color="000000"/>
            </w:tcBorders>
          </w:tcPr>
          <w:p>
            <w:pPr>
              <w:pStyle w:val="TableParagraph"/>
              <w:spacing w:line="130" w:lineRule="exact"/>
              <w:ind w:left="192" w:right="192"/>
              <w:rPr>
                <w:sz w:val="11"/>
              </w:rPr>
            </w:pPr>
            <w:r>
              <w:rPr>
                <w:w w:val="105"/>
                <w:sz w:val="11"/>
              </w:rPr>
              <w:t>535</w:t>
            </w:r>
          </w:p>
        </w:tc>
        <w:tc>
          <w:tcPr>
            <w:tcW w:w="696" w:type="dxa"/>
            <w:tcBorders>
              <w:right w:val="single" w:sz="8" w:space="0" w:color="000000"/>
            </w:tcBorders>
          </w:tcPr>
          <w:p>
            <w:pPr>
              <w:pStyle w:val="TableParagraph"/>
              <w:spacing w:line="130" w:lineRule="exact"/>
              <w:ind w:left="193" w:right="178"/>
              <w:rPr>
                <w:sz w:val="11"/>
              </w:rPr>
            </w:pPr>
            <w:r>
              <w:rPr>
                <w:w w:val="105"/>
                <w:sz w:val="11"/>
              </w:rPr>
              <w:t>8%</w:t>
            </w:r>
          </w:p>
        </w:tc>
        <w:tc>
          <w:tcPr>
            <w:tcW w:w="706" w:type="dxa"/>
            <w:tcBorders>
              <w:left w:val="single" w:sz="8" w:space="0" w:color="000000"/>
            </w:tcBorders>
          </w:tcPr>
          <w:p>
            <w:pPr>
              <w:pStyle w:val="TableParagraph"/>
              <w:spacing w:line="130" w:lineRule="exact"/>
              <w:ind w:left="192" w:right="192"/>
              <w:rPr>
                <w:sz w:val="11"/>
              </w:rPr>
            </w:pPr>
            <w:r>
              <w:rPr>
                <w:w w:val="105"/>
                <w:sz w:val="11"/>
              </w:rPr>
              <w:t>525</w:t>
            </w:r>
          </w:p>
        </w:tc>
        <w:tc>
          <w:tcPr>
            <w:tcW w:w="696" w:type="dxa"/>
            <w:tcBorders>
              <w:right w:val="single" w:sz="8" w:space="0" w:color="000000"/>
            </w:tcBorders>
          </w:tcPr>
          <w:p>
            <w:pPr>
              <w:pStyle w:val="TableParagraph"/>
              <w:spacing w:line="130" w:lineRule="exact"/>
              <w:ind w:right="258"/>
              <w:jc w:val="right"/>
              <w:rPr>
                <w:sz w:val="11"/>
              </w:rPr>
            </w:pPr>
            <w:r>
              <w:rPr>
                <w:w w:val="105"/>
                <w:sz w:val="11"/>
              </w:rPr>
              <w:t>8%</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Property, plant and equipment</w:t>
            </w:r>
          </w:p>
        </w:tc>
        <w:tc>
          <w:tcPr>
            <w:tcW w:w="706" w:type="dxa"/>
            <w:tcBorders>
              <w:left w:val="single" w:sz="8" w:space="0" w:color="000000"/>
            </w:tcBorders>
          </w:tcPr>
          <w:p>
            <w:pPr>
              <w:pStyle w:val="TableParagraph"/>
              <w:spacing w:line="130" w:lineRule="exact"/>
              <w:ind w:left="193" w:right="192"/>
              <w:rPr>
                <w:sz w:val="11"/>
              </w:rPr>
            </w:pPr>
            <w:r>
              <w:rPr>
                <w:w w:val="105"/>
                <w:sz w:val="11"/>
              </w:rPr>
              <w:t>1,956</w:t>
            </w:r>
          </w:p>
        </w:tc>
        <w:tc>
          <w:tcPr>
            <w:tcW w:w="696" w:type="dxa"/>
            <w:tcBorders>
              <w:right w:val="single" w:sz="8" w:space="0" w:color="000000"/>
            </w:tcBorders>
          </w:tcPr>
          <w:p>
            <w:pPr>
              <w:pStyle w:val="TableParagraph"/>
              <w:spacing w:line="130" w:lineRule="exact"/>
              <w:ind w:left="193" w:right="182"/>
              <w:rPr>
                <w:sz w:val="11"/>
              </w:rPr>
            </w:pPr>
            <w:r>
              <w:rPr>
                <w:w w:val="105"/>
                <w:sz w:val="11"/>
              </w:rPr>
              <w:t>23%</w:t>
            </w:r>
          </w:p>
        </w:tc>
        <w:tc>
          <w:tcPr>
            <w:tcW w:w="706" w:type="dxa"/>
            <w:tcBorders>
              <w:left w:val="single" w:sz="8" w:space="0" w:color="000000"/>
            </w:tcBorders>
          </w:tcPr>
          <w:p>
            <w:pPr>
              <w:pStyle w:val="TableParagraph"/>
              <w:spacing w:line="130" w:lineRule="exact"/>
              <w:ind w:left="212"/>
              <w:jc w:val="left"/>
              <w:rPr>
                <w:sz w:val="11"/>
              </w:rPr>
            </w:pPr>
            <w:r>
              <w:rPr>
                <w:w w:val="105"/>
                <w:sz w:val="11"/>
              </w:rPr>
              <w:t>1,655</w:t>
            </w:r>
          </w:p>
        </w:tc>
        <w:tc>
          <w:tcPr>
            <w:tcW w:w="696" w:type="dxa"/>
            <w:tcBorders>
              <w:right w:val="single" w:sz="8" w:space="0" w:color="000000"/>
            </w:tcBorders>
          </w:tcPr>
          <w:p>
            <w:pPr>
              <w:pStyle w:val="TableParagraph"/>
              <w:spacing w:line="130" w:lineRule="exact"/>
              <w:ind w:right="230"/>
              <w:jc w:val="right"/>
              <w:rPr>
                <w:sz w:val="11"/>
              </w:rPr>
            </w:pPr>
            <w:r>
              <w:rPr>
                <w:w w:val="105"/>
                <w:sz w:val="11"/>
              </w:rPr>
              <w:t>22%</w:t>
            </w:r>
          </w:p>
        </w:tc>
        <w:tc>
          <w:tcPr>
            <w:tcW w:w="706" w:type="dxa"/>
            <w:tcBorders>
              <w:left w:val="single" w:sz="8" w:space="0" w:color="000000"/>
            </w:tcBorders>
          </w:tcPr>
          <w:p>
            <w:pPr>
              <w:pStyle w:val="TableParagraph"/>
              <w:spacing w:line="130" w:lineRule="exact"/>
              <w:ind w:left="193" w:right="192"/>
              <w:rPr>
                <w:sz w:val="11"/>
              </w:rPr>
            </w:pPr>
            <w:r>
              <w:rPr>
                <w:w w:val="105"/>
                <w:sz w:val="11"/>
              </w:rPr>
              <w:t>1,665</w:t>
            </w:r>
          </w:p>
        </w:tc>
        <w:tc>
          <w:tcPr>
            <w:tcW w:w="696" w:type="dxa"/>
            <w:tcBorders>
              <w:right w:val="single" w:sz="8" w:space="0" w:color="000000"/>
            </w:tcBorders>
          </w:tcPr>
          <w:p>
            <w:pPr>
              <w:pStyle w:val="TableParagraph"/>
              <w:spacing w:line="130" w:lineRule="exact"/>
              <w:ind w:left="193" w:right="182"/>
              <w:rPr>
                <w:sz w:val="11"/>
              </w:rPr>
            </w:pPr>
            <w:r>
              <w:rPr>
                <w:w w:val="105"/>
                <w:sz w:val="11"/>
              </w:rPr>
              <w:t>26%</w:t>
            </w:r>
          </w:p>
        </w:tc>
        <w:tc>
          <w:tcPr>
            <w:tcW w:w="706" w:type="dxa"/>
            <w:tcBorders>
              <w:left w:val="single" w:sz="8" w:space="0" w:color="000000"/>
            </w:tcBorders>
          </w:tcPr>
          <w:p>
            <w:pPr>
              <w:pStyle w:val="TableParagraph"/>
              <w:spacing w:line="130" w:lineRule="exact"/>
              <w:ind w:left="193" w:right="192"/>
              <w:rPr>
                <w:sz w:val="11"/>
              </w:rPr>
            </w:pPr>
            <w:r>
              <w:rPr>
                <w:w w:val="105"/>
                <w:sz w:val="11"/>
              </w:rPr>
              <w:t>1,739</w:t>
            </w:r>
          </w:p>
        </w:tc>
        <w:tc>
          <w:tcPr>
            <w:tcW w:w="696" w:type="dxa"/>
            <w:tcBorders>
              <w:right w:val="single" w:sz="8" w:space="0" w:color="000000"/>
            </w:tcBorders>
          </w:tcPr>
          <w:p>
            <w:pPr>
              <w:pStyle w:val="TableParagraph"/>
              <w:spacing w:line="130" w:lineRule="exact"/>
              <w:ind w:right="230"/>
              <w:jc w:val="right"/>
              <w:rPr>
                <w:sz w:val="11"/>
              </w:rPr>
            </w:pPr>
            <w:r>
              <w:rPr>
                <w:w w:val="105"/>
                <w:sz w:val="11"/>
              </w:rPr>
              <w:t>27%</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Investments in associates</w:t>
            </w:r>
          </w:p>
        </w:tc>
        <w:tc>
          <w:tcPr>
            <w:tcW w:w="706" w:type="dxa"/>
            <w:tcBorders>
              <w:left w:val="single" w:sz="8" w:space="0" w:color="000000"/>
            </w:tcBorders>
          </w:tcPr>
          <w:p>
            <w:pPr>
              <w:pStyle w:val="TableParagraph"/>
              <w:spacing w:line="130" w:lineRule="exact"/>
              <w:ind w:left="192" w:right="192"/>
              <w:rPr>
                <w:sz w:val="11"/>
              </w:rPr>
            </w:pPr>
            <w:r>
              <w:rPr>
                <w:w w:val="105"/>
                <w:sz w:val="11"/>
              </w:rPr>
              <w:t>104</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254"/>
              <w:jc w:val="left"/>
              <w:rPr>
                <w:sz w:val="11"/>
              </w:rPr>
            </w:pPr>
            <w:r>
              <w:rPr>
                <w:w w:val="105"/>
                <w:sz w:val="11"/>
              </w:rPr>
              <w:t>104</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c>
          <w:tcPr>
            <w:tcW w:w="706" w:type="dxa"/>
            <w:tcBorders>
              <w:left w:val="single" w:sz="8" w:space="0" w:color="000000"/>
            </w:tcBorders>
          </w:tcPr>
          <w:p>
            <w:pPr>
              <w:pStyle w:val="TableParagraph"/>
              <w:spacing w:line="130" w:lineRule="exact"/>
              <w:ind w:left="194" w:right="192"/>
              <w:rPr>
                <w:sz w:val="11"/>
              </w:rPr>
            </w:pPr>
            <w:r>
              <w:rPr>
                <w:w w:val="105"/>
                <w:sz w:val="11"/>
              </w:rPr>
              <w:t>94</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192" w:right="192"/>
              <w:rPr>
                <w:sz w:val="11"/>
              </w:rPr>
            </w:pPr>
            <w:r>
              <w:rPr>
                <w:w w:val="105"/>
                <w:sz w:val="11"/>
              </w:rPr>
              <w:t>133</w:t>
            </w:r>
          </w:p>
        </w:tc>
        <w:tc>
          <w:tcPr>
            <w:tcW w:w="696" w:type="dxa"/>
            <w:tcBorders>
              <w:right w:val="single" w:sz="8" w:space="0" w:color="000000"/>
            </w:tcBorders>
          </w:tcPr>
          <w:p>
            <w:pPr>
              <w:pStyle w:val="TableParagraph"/>
              <w:spacing w:line="130" w:lineRule="exact"/>
              <w:ind w:right="258"/>
              <w:jc w:val="right"/>
              <w:rPr>
                <w:sz w:val="11"/>
              </w:rPr>
            </w:pPr>
            <w:r>
              <w:rPr>
                <w:w w:val="105"/>
                <w:sz w:val="11"/>
              </w:rPr>
              <w:t>2%</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Non=current financial assets</w:t>
            </w:r>
          </w:p>
        </w:tc>
        <w:tc>
          <w:tcPr>
            <w:tcW w:w="706" w:type="dxa"/>
            <w:tcBorders>
              <w:left w:val="single" w:sz="8" w:space="0" w:color="000000"/>
            </w:tcBorders>
          </w:tcPr>
          <w:p>
            <w:pPr>
              <w:pStyle w:val="TableParagraph"/>
              <w:spacing w:line="130" w:lineRule="exact"/>
              <w:ind w:left="194" w:right="192"/>
              <w:rPr>
                <w:sz w:val="11"/>
              </w:rPr>
            </w:pPr>
            <w:r>
              <w:rPr>
                <w:w w:val="105"/>
                <w:sz w:val="11"/>
              </w:rPr>
              <w:t>91</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254"/>
              <w:jc w:val="left"/>
              <w:rPr>
                <w:sz w:val="11"/>
              </w:rPr>
            </w:pPr>
            <w:r>
              <w:rPr>
                <w:w w:val="105"/>
                <w:sz w:val="11"/>
              </w:rPr>
              <w:t>107</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c>
          <w:tcPr>
            <w:tcW w:w="706" w:type="dxa"/>
            <w:tcBorders>
              <w:left w:val="single" w:sz="8" w:space="0" w:color="000000"/>
            </w:tcBorders>
          </w:tcPr>
          <w:p>
            <w:pPr>
              <w:pStyle w:val="TableParagraph"/>
              <w:spacing w:line="130" w:lineRule="exact"/>
              <w:ind w:left="194" w:right="192"/>
              <w:rPr>
                <w:sz w:val="11"/>
              </w:rPr>
            </w:pPr>
            <w:r>
              <w:rPr>
                <w:w w:val="105"/>
                <w:sz w:val="11"/>
              </w:rPr>
              <w:t>74</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194" w:right="192"/>
              <w:rPr>
                <w:sz w:val="11"/>
              </w:rPr>
            </w:pPr>
            <w:r>
              <w:rPr>
                <w:w w:val="105"/>
                <w:sz w:val="11"/>
              </w:rPr>
              <w:t>24</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54" w:hRule="exact"/>
        </w:trPr>
        <w:tc>
          <w:tcPr>
            <w:tcW w:w="2469" w:type="dxa"/>
            <w:tcBorders>
              <w:bottom w:val="single" w:sz="8" w:space="0" w:color="000000"/>
              <w:right w:val="single" w:sz="8" w:space="0" w:color="000000"/>
            </w:tcBorders>
          </w:tcPr>
          <w:p>
            <w:pPr>
              <w:pStyle w:val="TableParagraph"/>
              <w:spacing w:line="130" w:lineRule="exact"/>
              <w:ind w:left="21"/>
              <w:jc w:val="left"/>
              <w:rPr>
                <w:sz w:val="11"/>
              </w:rPr>
            </w:pPr>
            <w:r>
              <w:rPr>
                <w:w w:val="105"/>
                <w:sz w:val="11"/>
              </w:rPr>
              <w:t>Deferred tax assets</w:t>
            </w:r>
          </w:p>
        </w:tc>
        <w:tc>
          <w:tcPr>
            <w:tcW w:w="706" w:type="dxa"/>
            <w:tcBorders>
              <w:left w:val="single" w:sz="8" w:space="0" w:color="000000"/>
              <w:bottom w:val="single" w:sz="8" w:space="0" w:color="000000"/>
            </w:tcBorders>
          </w:tcPr>
          <w:p>
            <w:pPr>
              <w:pStyle w:val="TableParagraph"/>
              <w:spacing w:line="130" w:lineRule="exact"/>
              <w:ind w:left="192" w:right="192"/>
              <w:rPr>
                <w:sz w:val="11"/>
              </w:rPr>
            </w:pPr>
            <w:r>
              <w:rPr>
                <w:w w:val="105"/>
                <w:sz w:val="11"/>
              </w:rPr>
              <w:t>223</w:t>
            </w:r>
          </w:p>
        </w:tc>
        <w:tc>
          <w:tcPr>
            <w:tcW w:w="696" w:type="dxa"/>
            <w:tcBorders>
              <w:bottom w:val="single" w:sz="8" w:space="0" w:color="000000"/>
              <w:right w:val="single" w:sz="8" w:space="0" w:color="000000"/>
            </w:tcBorders>
          </w:tcPr>
          <w:p>
            <w:pPr>
              <w:pStyle w:val="TableParagraph"/>
              <w:spacing w:line="130" w:lineRule="exact"/>
              <w:ind w:left="193" w:right="178"/>
              <w:rPr>
                <w:sz w:val="11"/>
              </w:rPr>
            </w:pPr>
            <w:r>
              <w:rPr>
                <w:w w:val="105"/>
                <w:sz w:val="11"/>
              </w:rPr>
              <w:t>3%</w:t>
            </w:r>
          </w:p>
        </w:tc>
        <w:tc>
          <w:tcPr>
            <w:tcW w:w="706" w:type="dxa"/>
            <w:tcBorders>
              <w:left w:val="single" w:sz="8" w:space="0" w:color="000000"/>
              <w:bottom w:val="single" w:sz="8" w:space="0" w:color="000000"/>
            </w:tcBorders>
          </w:tcPr>
          <w:p>
            <w:pPr>
              <w:pStyle w:val="TableParagraph"/>
              <w:spacing w:line="130" w:lineRule="exact"/>
              <w:ind w:left="254"/>
              <w:jc w:val="left"/>
              <w:rPr>
                <w:sz w:val="11"/>
              </w:rPr>
            </w:pPr>
            <w:r>
              <w:rPr>
                <w:w w:val="105"/>
                <w:sz w:val="11"/>
              </w:rPr>
              <w:t>198</w:t>
            </w:r>
          </w:p>
        </w:tc>
        <w:tc>
          <w:tcPr>
            <w:tcW w:w="696" w:type="dxa"/>
            <w:tcBorders>
              <w:bottom w:val="single" w:sz="8" w:space="0" w:color="000000"/>
              <w:right w:val="single" w:sz="8" w:space="0" w:color="000000"/>
            </w:tcBorders>
          </w:tcPr>
          <w:p>
            <w:pPr>
              <w:pStyle w:val="TableParagraph"/>
              <w:spacing w:line="130" w:lineRule="exact"/>
              <w:ind w:right="258"/>
              <w:jc w:val="right"/>
              <w:rPr>
                <w:sz w:val="11"/>
              </w:rPr>
            </w:pPr>
            <w:r>
              <w:rPr>
                <w:w w:val="105"/>
                <w:sz w:val="11"/>
              </w:rPr>
              <w:t>3%</w:t>
            </w:r>
          </w:p>
        </w:tc>
        <w:tc>
          <w:tcPr>
            <w:tcW w:w="706" w:type="dxa"/>
            <w:tcBorders>
              <w:left w:val="single" w:sz="8" w:space="0" w:color="000000"/>
              <w:bottom w:val="single" w:sz="8" w:space="0" w:color="000000"/>
            </w:tcBorders>
          </w:tcPr>
          <w:p>
            <w:pPr>
              <w:pStyle w:val="TableParagraph"/>
              <w:spacing w:line="130" w:lineRule="exact"/>
              <w:ind w:left="192" w:right="192"/>
              <w:rPr>
                <w:sz w:val="11"/>
              </w:rPr>
            </w:pPr>
            <w:r>
              <w:rPr>
                <w:w w:val="105"/>
                <w:sz w:val="11"/>
              </w:rPr>
              <w:t>117</w:t>
            </w:r>
          </w:p>
        </w:tc>
        <w:tc>
          <w:tcPr>
            <w:tcW w:w="696" w:type="dxa"/>
            <w:tcBorders>
              <w:bottom w:val="single" w:sz="8" w:space="0" w:color="000000"/>
              <w:right w:val="single" w:sz="8" w:space="0" w:color="000000"/>
            </w:tcBorders>
          </w:tcPr>
          <w:p>
            <w:pPr>
              <w:pStyle w:val="TableParagraph"/>
              <w:spacing w:line="130" w:lineRule="exact"/>
              <w:ind w:left="193" w:right="178"/>
              <w:rPr>
                <w:sz w:val="11"/>
              </w:rPr>
            </w:pPr>
            <w:r>
              <w:rPr>
                <w:w w:val="105"/>
                <w:sz w:val="11"/>
              </w:rPr>
              <w:t>2%</w:t>
            </w:r>
          </w:p>
        </w:tc>
        <w:tc>
          <w:tcPr>
            <w:tcW w:w="706" w:type="dxa"/>
            <w:tcBorders>
              <w:left w:val="single" w:sz="8" w:space="0" w:color="000000"/>
              <w:bottom w:val="single" w:sz="8" w:space="0" w:color="000000"/>
            </w:tcBorders>
          </w:tcPr>
          <w:p>
            <w:pPr>
              <w:pStyle w:val="TableParagraph"/>
              <w:spacing w:line="130" w:lineRule="exact"/>
              <w:ind w:left="192" w:right="192"/>
              <w:rPr>
                <w:sz w:val="11"/>
              </w:rPr>
            </w:pPr>
            <w:r>
              <w:rPr>
                <w:w w:val="105"/>
                <w:sz w:val="11"/>
              </w:rPr>
              <w:t>103</w:t>
            </w:r>
          </w:p>
        </w:tc>
        <w:tc>
          <w:tcPr>
            <w:tcW w:w="696" w:type="dxa"/>
            <w:tcBorders>
              <w:bottom w:val="single" w:sz="8" w:space="0" w:color="000000"/>
              <w:right w:val="single" w:sz="8" w:space="0" w:color="000000"/>
            </w:tcBorders>
          </w:tcPr>
          <w:p>
            <w:pPr>
              <w:pStyle w:val="TableParagraph"/>
              <w:spacing w:line="130" w:lineRule="exact"/>
              <w:ind w:right="258"/>
              <w:jc w:val="right"/>
              <w:rPr>
                <w:sz w:val="11"/>
              </w:rPr>
            </w:pPr>
            <w:r>
              <w:rPr>
                <w:w w:val="105"/>
                <w:sz w:val="11"/>
              </w:rPr>
              <w:t>2%</w:t>
            </w:r>
          </w:p>
        </w:tc>
      </w:tr>
      <w:tr>
        <w:trPr>
          <w:trHeight w:val="159" w:hRule="exact"/>
        </w:trPr>
        <w:tc>
          <w:tcPr>
            <w:tcW w:w="2469"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21"/>
              <w:jc w:val="left"/>
              <w:rPr>
                <w:b/>
                <w:sz w:val="11"/>
              </w:rPr>
            </w:pPr>
            <w:r>
              <w:rPr>
                <w:b/>
                <w:w w:val="105"/>
                <w:sz w:val="11"/>
              </w:rPr>
              <w:t>Non3current assets</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4,452</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52%</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212"/>
              <w:jc w:val="left"/>
              <w:rPr>
                <w:b/>
                <w:sz w:val="11"/>
              </w:rPr>
            </w:pPr>
            <w:r>
              <w:rPr>
                <w:b/>
                <w:w w:val="105"/>
                <w:sz w:val="11"/>
              </w:rPr>
              <w:t>3,818</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51%</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3,631</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56%</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3,678</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58%</w:t>
            </w:r>
          </w:p>
        </w:tc>
      </w:tr>
      <w:tr>
        <w:trPr>
          <w:trHeight w:val="154"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w w:val="105"/>
                <w:sz w:val="11"/>
              </w:rPr>
              <w:t>Inventories</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766</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9%</w:t>
            </w:r>
          </w:p>
        </w:tc>
        <w:tc>
          <w:tcPr>
            <w:tcW w:w="706" w:type="dxa"/>
            <w:tcBorders>
              <w:top w:val="single" w:sz="8" w:space="0" w:color="000000"/>
              <w:left w:val="single" w:sz="8" w:space="0" w:color="000000"/>
            </w:tcBorders>
          </w:tcPr>
          <w:p>
            <w:pPr>
              <w:pStyle w:val="TableParagraph"/>
              <w:spacing w:line="130" w:lineRule="exact"/>
              <w:ind w:left="254"/>
              <w:jc w:val="left"/>
              <w:rPr>
                <w:sz w:val="11"/>
              </w:rPr>
            </w:pPr>
            <w:r>
              <w:rPr>
                <w:w w:val="105"/>
                <w:sz w:val="11"/>
              </w:rPr>
              <w:t>621</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8%</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482</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7%</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543</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9%</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Accounts and notes receivable</w:t>
            </w:r>
          </w:p>
        </w:tc>
        <w:tc>
          <w:tcPr>
            <w:tcW w:w="706" w:type="dxa"/>
            <w:tcBorders>
              <w:left w:val="single" w:sz="8" w:space="0" w:color="000000"/>
            </w:tcBorders>
          </w:tcPr>
          <w:p>
            <w:pPr>
              <w:pStyle w:val="TableParagraph"/>
              <w:spacing w:line="130" w:lineRule="exact"/>
              <w:ind w:left="193" w:right="192"/>
              <w:rPr>
                <w:sz w:val="11"/>
              </w:rPr>
            </w:pPr>
            <w:r>
              <w:rPr>
                <w:w w:val="105"/>
                <w:sz w:val="11"/>
              </w:rPr>
              <w:t>1,705</w:t>
            </w:r>
          </w:p>
        </w:tc>
        <w:tc>
          <w:tcPr>
            <w:tcW w:w="696" w:type="dxa"/>
            <w:tcBorders>
              <w:right w:val="single" w:sz="8" w:space="0" w:color="000000"/>
            </w:tcBorders>
          </w:tcPr>
          <w:p>
            <w:pPr>
              <w:pStyle w:val="TableParagraph"/>
              <w:spacing w:line="130" w:lineRule="exact"/>
              <w:ind w:left="193" w:right="182"/>
              <w:rPr>
                <w:sz w:val="11"/>
              </w:rPr>
            </w:pPr>
            <w:r>
              <w:rPr>
                <w:w w:val="105"/>
                <w:sz w:val="11"/>
              </w:rPr>
              <w:t>20%</w:t>
            </w:r>
          </w:p>
        </w:tc>
        <w:tc>
          <w:tcPr>
            <w:tcW w:w="706" w:type="dxa"/>
            <w:tcBorders>
              <w:left w:val="single" w:sz="8" w:space="0" w:color="000000"/>
            </w:tcBorders>
          </w:tcPr>
          <w:p>
            <w:pPr>
              <w:pStyle w:val="TableParagraph"/>
              <w:spacing w:line="130" w:lineRule="exact"/>
              <w:ind w:left="212"/>
              <w:jc w:val="left"/>
              <w:rPr>
                <w:sz w:val="11"/>
              </w:rPr>
            </w:pPr>
            <w:r>
              <w:rPr>
                <w:w w:val="105"/>
                <w:sz w:val="11"/>
              </w:rPr>
              <w:t>1,449</w:t>
            </w:r>
          </w:p>
        </w:tc>
        <w:tc>
          <w:tcPr>
            <w:tcW w:w="696" w:type="dxa"/>
            <w:tcBorders>
              <w:right w:val="single" w:sz="8" w:space="0" w:color="000000"/>
            </w:tcBorders>
          </w:tcPr>
          <w:p>
            <w:pPr>
              <w:pStyle w:val="TableParagraph"/>
              <w:spacing w:line="130" w:lineRule="exact"/>
              <w:ind w:right="230"/>
              <w:jc w:val="right"/>
              <w:rPr>
                <w:sz w:val="11"/>
              </w:rPr>
            </w:pPr>
            <w:r>
              <w:rPr>
                <w:w w:val="105"/>
                <w:sz w:val="11"/>
              </w:rPr>
              <w:t>19%</w:t>
            </w:r>
          </w:p>
        </w:tc>
        <w:tc>
          <w:tcPr>
            <w:tcW w:w="706" w:type="dxa"/>
            <w:tcBorders>
              <w:left w:val="single" w:sz="8" w:space="0" w:color="000000"/>
            </w:tcBorders>
          </w:tcPr>
          <w:p>
            <w:pPr>
              <w:pStyle w:val="TableParagraph"/>
              <w:spacing w:line="130" w:lineRule="exact"/>
              <w:ind w:left="193" w:right="192"/>
              <w:rPr>
                <w:sz w:val="11"/>
              </w:rPr>
            </w:pPr>
            <w:r>
              <w:rPr>
                <w:w w:val="105"/>
                <w:sz w:val="11"/>
              </w:rPr>
              <w:t>1,251</w:t>
            </w:r>
          </w:p>
        </w:tc>
        <w:tc>
          <w:tcPr>
            <w:tcW w:w="696" w:type="dxa"/>
            <w:tcBorders>
              <w:right w:val="single" w:sz="8" w:space="0" w:color="000000"/>
            </w:tcBorders>
          </w:tcPr>
          <w:p>
            <w:pPr>
              <w:pStyle w:val="TableParagraph"/>
              <w:spacing w:line="130" w:lineRule="exact"/>
              <w:ind w:left="193" w:right="182"/>
              <w:rPr>
                <w:sz w:val="11"/>
              </w:rPr>
            </w:pPr>
            <w:r>
              <w:rPr>
                <w:w w:val="105"/>
                <w:sz w:val="11"/>
              </w:rPr>
              <w:t>19%</w:t>
            </w:r>
          </w:p>
        </w:tc>
        <w:tc>
          <w:tcPr>
            <w:tcW w:w="706" w:type="dxa"/>
            <w:tcBorders>
              <w:left w:val="single" w:sz="8" w:space="0" w:color="000000"/>
            </w:tcBorders>
          </w:tcPr>
          <w:p>
            <w:pPr>
              <w:pStyle w:val="TableParagraph"/>
              <w:spacing w:line="130" w:lineRule="exact"/>
              <w:ind w:left="188" w:right="192"/>
              <w:rPr>
                <w:sz w:val="11"/>
              </w:rPr>
            </w:pPr>
            <w:r>
              <w:rPr>
                <w:w w:val="105"/>
                <w:sz w:val="11"/>
              </w:rPr>
              <w:t>1168</w:t>
            </w:r>
          </w:p>
        </w:tc>
        <w:tc>
          <w:tcPr>
            <w:tcW w:w="696" w:type="dxa"/>
            <w:tcBorders>
              <w:right w:val="single" w:sz="8" w:space="0" w:color="000000"/>
            </w:tcBorders>
          </w:tcPr>
          <w:p>
            <w:pPr>
              <w:pStyle w:val="TableParagraph"/>
              <w:spacing w:line="130" w:lineRule="exact"/>
              <w:ind w:right="230"/>
              <w:jc w:val="right"/>
              <w:rPr>
                <w:sz w:val="11"/>
              </w:rPr>
            </w:pPr>
            <w:r>
              <w:rPr>
                <w:w w:val="105"/>
                <w:sz w:val="11"/>
              </w:rPr>
              <w:t>18%</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current assets</w:t>
            </w:r>
          </w:p>
        </w:tc>
        <w:tc>
          <w:tcPr>
            <w:tcW w:w="706" w:type="dxa"/>
            <w:tcBorders>
              <w:left w:val="single" w:sz="8" w:space="0" w:color="000000"/>
            </w:tcBorders>
          </w:tcPr>
          <w:p>
            <w:pPr>
              <w:pStyle w:val="TableParagraph"/>
              <w:spacing w:line="130" w:lineRule="exact"/>
              <w:ind w:left="192" w:right="192"/>
              <w:rPr>
                <w:sz w:val="11"/>
              </w:rPr>
            </w:pPr>
            <w:r>
              <w:rPr>
                <w:w w:val="105"/>
                <w:sz w:val="11"/>
              </w:rPr>
              <w:t>312</w:t>
            </w:r>
          </w:p>
        </w:tc>
        <w:tc>
          <w:tcPr>
            <w:tcW w:w="696" w:type="dxa"/>
            <w:tcBorders>
              <w:right w:val="single" w:sz="8" w:space="0" w:color="000000"/>
            </w:tcBorders>
          </w:tcPr>
          <w:p>
            <w:pPr>
              <w:pStyle w:val="TableParagraph"/>
              <w:spacing w:line="130" w:lineRule="exact"/>
              <w:ind w:left="193" w:right="178"/>
              <w:rPr>
                <w:sz w:val="11"/>
              </w:rPr>
            </w:pPr>
            <w:r>
              <w:rPr>
                <w:w w:val="105"/>
                <w:sz w:val="11"/>
              </w:rPr>
              <w:t>4%</w:t>
            </w:r>
          </w:p>
        </w:tc>
        <w:tc>
          <w:tcPr>
            <w:tcW w:w="706" w:type="dxa"/>
            <w:tcBorders>
              <w:left w:val="single" w:sz="8" w:space="0" w:color="000000"/>
            </w:tcBorders>
          </w:tcPr>
          <w:p>
            <w:pPr>
              <w:pStyle w:val="TableParagraph"/>
              <w:spacing w:line="130" w:lineRule="exact"/>
              <w:ind w:left="254"/>
              <w:jc w:val="left"/>
              <w:rPr>
                <w:sz w:val="11"/>
              </w:rPr>
            </w:pPr>
            <w:r>
              <w:rPr>
                <w:w w:val="105"/>
                <w:sz w:val="11"/>
              </w:rPr>
              <w:t>200</w:t>
            </w:r>
          </w:p>
        </w:tc>
        <w:tc>
          <w:tcPr>
            <w:tcW w:w="696" w:type="dxa"/>
            <w:tcBorders>
              <w:right w:val="single" w:sz="8" w:space="0" w:color="000000"/>
            </w:tcBorders>
          </w:tcPr>
          <w:p>
            <w:pPr>
              <w:pStyle w:val="TableParagraph"/>
              <w:spacing w:line="130" w:lineRule="exact"/>
              <w:ind w:right="258"/>
              <w:jc w:val="right"/>
              <w:rPr>
                <w:sz w:val="11"/>
              </w:rPr>
            </w:pPr>
            <w:r>
              <w:rPr>
                <w:w w:val="105"/>
                <w:sz w:val="11"/>
              </w:rPr>
              <w:t>3%</w:t>
            </w:r>
          </w:p>
        </w:tc>
        <w:tc>
          <w:tcPr>
            <w:tcW w:w="706" w:type="dxa"/>
            <w:tcBorders>
              <w:left w:val="single" w:sz="8" w:space="0" w:color="000000"/>
            </w:tcBorders>
          </w:tcPr>
          <w:p>
            <w:pPr>
              <w:pStyle w:val="TableParagraph"/>
              <w:spacing w:line="130" w:lineRule="exact"/>
              <w:ind w:left="192" w:right="192"/>
              <w:rPr>
                <w:sz w:val="11"/>
              </w:rPr>
            </w:pPr>
            <w:r>
              <w:rPr>
                <w:w w:val="105"/>
                <w:sz w:val="11"/>
              </w:rPr>
              <w:t>232</w:t>
            </w:r>
          </w:p>
        </w:tc>
        <w:tc>
          <w:tcPr>
            <w:tcW w:w="696" w:type="dxa"/>
            <w:tcBorders>
              <w:right w:val="single" w:sz="8" w:space="0" w:color="000000"/>
            </w:tcBorders>
          </w:tcPr>
          <w:p>
            <w:pPr>
              <w:pStyle w:val="TableParagraph"/>
              <w:spacing w:line="130" w:lineRule="exact"/>
              <w:ind w:left="193" w:right="178"/>
              <w:rPr>
                <w:sz w:val="11"/>
              </w:rPr>
            </w:pPr>
            <w:r>
              <w:rPr>
                <w:w w:val="105"/>
                <w:sz w:val="11"/>
              </w:rPr>
              <w:t>4%</w:t>
            </w:r>
          </w:p>
        </w:tc>
        <w:tc>
          <w:tcPr>
            <w:tcW w:w="706" w:type="dxa"/>
            <w:tcBorders>
              <w:left w:val="single" w:sz="8" w:space="0" w:color="000000"/>
            </w:tcBorders>
          </w:tcPr>
          <w:p>
            <w:pPr>
              <w:pStyle w:val="TableParagraph"/>
              <w:spacing w:line="130" w:lineRule="exact"/>
              <w:ind w:left="192" w:right="192"/>
              <w:rPr>
                <w:sz w:val="11"/>
              </w:rPr>
            </w:pPr>
            <w:r>
              <w:rPr>
                <w:w w:val="105"/>
                <w:sz w:val="11"/>
              </w:rPr>
              <w:t>248</w:t>
            </w:r>
          </w:p>
        </w:tc>
        <w:tc>
          <w:tcPr>
            <w:tcW w:w="696" w:type="dxa"/>
            <w:tcBorders>
              <w:right w:val="single" w:sz="8" w:space="0" w:color="000000"/>
            </w:tcBorders>
          </w:tcPr>
          <w:p>
            <w:pPr>
              <w:pStyle w:val="TableParagraph"/>
              <w:spacing w:line="130" w:lineRule="exact"/>
              <w:ind w:right="258"/>
              <w:jc w:val="right"/>
              <w:rPr>
                <w:sz w:val="11"/>
              </w:rPr>
            </w:pPr>
            <w:r>
              <w:rPr>
                <w:w w:val="105"/>
                <w:sz w:val="11"/>
              </w:rPr>
              <w:t>4%</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Taxes recoverable</w:t>
            </w:r>
          </w:p>
        </w:tc>
        <w:tc>
          <w:tcPr>
            <w:tcW w:w="706" w:type="dxa"/>
            <w:tcBorders>
              <w:left w:val="single" w:sz="8" w:space="0" w:color="000000"/>
            </w:tcBorders>
          </w:tcPr>
          <w:p>
            <w:pPr>
              <w:pStyle w:val="TableParagraph"/>
              <w:spacing w:line="130" w:lineRule="exact"/>
              <w:ind w:left="194" w:right="192"/>
              <w:rPr>
                <w:sz w:val="11"/>
              </w:rPr>
            </w:pPr>
            <w:r>
              <w:rPr>
                <w:w w:val="105"/>
                <w:sz w:val="11"/>
              </w:rPr>
              <w:t>20</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10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15</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30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current financial assets</w:t>
            </w:r>
          </w:p>
        </w:tc>
        <w:tc>
          <w:tcPr>
            <w:tcW w:w="706" w:type="dxa"/>
            <w:tcBorders>
              <w:left w:val="single" w:sz="8" w:space="0" w:color="000000"/>
            </w:tcBorders>
          </w:tcPr>
          <w:p>
            <w:pPr>
              <w:pStyle w:val="TableParagraph"/>
              <w:spacing w:line="130" w:lineRule="exact"/>
              <w:ind w:left="194" w:right="192"/>
              <w:rPr>
                <w:sz w:val="11"/>
              </w:rPr>
            </w:pPr>
            <w:r>
              <w:rPr>
                <w:w w:val="105"/>
                <w:sz w:val="11"/>
              </w:rPr>
              <w:t>10</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24</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13</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15</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Assets held for sale</w:t>
            </w:r>
          </w:p>
        </w:tc>
        <w:tc>
          <w:tcPr>
            <w:tcW w:w="706" w:type="dxa"/>
            <w:tcBorders>
              <w:left w:val="single" w:sz="8" w:space="0" w:color="000000"/>
            </w:tcBorders>
          </w:tcPr>
          <w:p>
            <w:pPr>
              <w:pStyle w:val="TableParagraph"/>
              <w:spacing w:line="130" w:lineRule="exact"/>
              <w:ind w:left="6"/>
              <w:rPr>
                <w:sz w:val="11"/>
              </w:rPr>
            </w:pPr>
            <w:r>
              <w:rPr>
                <w:w w:val="106"/>
                <w:sz w:val="11"/>
              </w:rPr>
              <w:t>2</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318"/>
              <w:jc w:val="left"/>
              <w:rPr>
                <w:sz w:val="11"/>
              </w:rPr>
            </w:pPr>
            <w:r>
              <w:rPr>
                <w:w w:val="106"/>
                <w:sz w:val="11"/>
              </w:rPr>
              <w:t>2</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6"/>
              <w:rPr>
                <w:sz w:val="11"/>
              </w:rPr>
            </w:pPr>
            <w:r>
              <w:rPr>
                <w:w w:val="106"/>
                <w:sz w:val="11"/>
              </w:rPr>
              <w:t>1</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6"/>
              <w:rPr>
                <w:sz w:val="11"/>
              </w:rPr>
            </w:pPr>
            <w:r>
              <w:rPr>
                <w:w w:val="106"/>
                <w:sz w:val="11"/>
              </w:rPr>
              <w:t>5</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54" w:hRule="exact"/>
        </w:trPr>
        <w:tc>
          <w:tcPr>
            <w:tcW w:w="2469" w:type="dxa"/>
            <w:tcBorders>
              <w:bottom w:val="single" w:sz="8" w:space="0" w:color="000000"/>
              <w:right w:val="single" w:sz="8" w:space="0" w:color="000000"/>
            </w:tcBorders>
          </w:tcPr>
          <w:p>
            <w:pPr>
              <w:pStyle w:val="TableParagraph"/>
              <w:spacing w:line="130" w:lineRule="exact"/>
              <w:ind w:left="21"/>
              <w:jc w:val="left"/>
              <w:rPr>
                <w:sz w:val="11"/>
              </w:rPr>
            </w:pPr>
            <w:r>
              <w:rPr>
                <w:w w:val="105"/>
                <w:sz w:val="11"/>
              </w:rPr>
              <w:t>Cash and cash equivalents</w:t>
            </w:r>
          </w:p>
        </w:tc>
        <w:tc>
          <w:tcPr>
            <w:tcW w:w="706" w:type="dxa"/>
            <w:tcBorders>
              <w:left w:val="single" w:sz="8" w:space="0" w:color="000000"/>
              <w:bottom w:val="single" w:sz="8" w:space="0" w:color="000000"/>
            </w:tcBorders>
          </w:tcPr>
          <w:p>
            <w:pPr>
              <w:pStyle w:val="TableParagraph"/>
              <w:spacing w:line="130" w:lineRule="exact"/>
              <w:ind w:left="193" w:right="192"/>
              <w:rPr>
                <w:sz w:val="11"/>
              </w:rPr>
            </w:pPr>
            <w:r>
              <w:rPr>
                <w:w w:val="105"/>
                <w:sz w:val="11"/>
              </w:rPr>
              <w:t>1,295</w:t>
            </w:r>
          </w:p>
        </w:tc>
        <w:tc>
          <w:tcPr>
            <w:tcW w:w="696" w:type="dxa"/>
            <w:tcBorders>
              <w:bottom w:val="single" w:sz="8" w:space="0" w:color="000000"/>
              <w:right w:val="single" w:sz="8" w:space="0" w:color="000000"/>
            </w:tcBorders>
          </w:tcPr>
          <w:p>
            <w:pPr>
              <w:pStyle w:val="TableParagraph"/>
              <w:spacing w:line="130" w:lineRule="exact"/>
              <w:ind w:left="193" w:right="182"/>
              <w:rPr>
                <w:sz w:val="11"/>
              </w:rPr>
            </w:pPr>
            <w:r>
              <w:rPr>
                <w:w w:val="105"/>
                <w:sz w:val="11"/>
              </w:rPr>
              <w:t>15%</w:t>
            </w:r>
          </w:p>
        </w:tc>
        <w:tc>
          <w:tcPr>
            <w:tcW w:w="706" w:type="dxa"/>
            <w:tcBorders>
              <w:left w:val="single" w:sz="8" w:space="0" w:color="000000"/>
              <w:bottom w:val="single" w:sz="8" w:space="0" w:color="000000"/>
            </w:tcBorders>
          </w:tcPr>
          <w:p>
            <w:pPr>
              <w:pStyle w:val="TableParagraph"/>
              <w:spacing w:line="130" w:lineRule="exact"/>
              <w:ind w:left="212"/>
              <w:jc w:val="left"/>
              <w:rPr>
                <w:sz w:val="11"/>
              </w:rPr>
            </w:pPr>
            <w:r>
              <w:rPr>
                <w:w w:val="105"/>
                <w:sz w:val="11"/>
              </w:rPr>
              <w:t>1,316</w:t>
            </w:r>
          </w:p>
        </w:tc>
        <w:tc>
          <w:tcPr>
            <w:tcW w:w="696" w:type="dxa"/>
            <w:tcBorders>
              <w:bottom w:val="single" w:sz="8" w:space="0" w:color="000000"/>
              <w:right w:val="single" w:sz="8" w:space="0" w:color="000000"/>
            </w:tcBorders>
          </w:tcPr>
          <w:p>
            <w:pPr>
              <w:pStyle w:val="TableParagraph"/>
              <w:spacing w:line="130" w:lineRule="exact"/>
              <w:ind w:right="230"/>
              <w:jc w:val="right"/>
              <w:rPr>
                <w:sz w:val="11"/>
              </w:rPr>
            </w:pPr>
            <w:r>
              <w:rPr>
                <w:w w:val="105"/>
                <w:sz w:val="11"/>
              </w:rPr>
              <w:t>18%</w:t>
            </w:r>
          </w:p>
        </w:tc>
        <w:tc>
          <w:tcPr>
            <w:tcW w:w="706" w:type="dxa"/>
            <w:tcBorders>
              <w:left w:val="single" w:sz="8" w:space="0" w:color="000000"/>
              <w:bottom w:val="single" w:sz="8" w:space="0" w:color="000000"/>
            </w:tcBorders>
          </w:tcPr>
          <w:p>
            <w:pPr>
              <w:pStyle w:val="TableParagraph"/>
              <w:spacing w:line="130" w:lineRule="exact"/>
              <w:ind w:left="192" w:right="192"/>
              <w:rPr>
                <w:sz w:val="11"/>
              </w:rPr>
            </w:pPr>
            <w:r>
              <w:rPr>
                <w:w w:val="105"/>
                <w:sz w:val="11"/>
              </w:rPr>
              <w:t>860</w:t>
            </w:r>
          </w:p>
        </w:tc>
        <w:tc>
          <w:tcPr>
            <w:tcW w:w="696" w:type="dxa"/>
            <w:tcBorders>
              <w:bottom w:val="single" w:sz="8" w:space="0" w:color="000000"/>
              <w:right w:val="single" w:sz="8" w:space="0" w:color="000000"/>
            </w:tcBorders>
          </w:tcPr>
          <w:p>
            <w:pPr>
              <w:pStyle w:val="TableParagraph"/>
              <w:spacing w:line="130" w:lineRule="exact"/>
              <w:ind w:left="193" w:right="182"/>
              <w:rPr>
                <w:sz w:val="11"/>
              </w:rPr>
            </w:pPr>
            <w:r>
              <w:rPr>
                <w:w w:val="105"/>
                <w:sz w:val="11"/>
              </w:rPr>
              <w:t>13%</w:t>
            </w:r>
          </w:p>
        </w:tc>
        <w:tc>
          <w:tcPr>
            <w:tcW w:w="706" w:type="dxa"/>
            <w:tcBorders>
              <w:left w:val="single" w:sz="8" w:space="0" w:color="000000"/>
              <w:bottom w:val="single" w:sz="8" w:space="0" w:color="000000"/>
            </w:tcBorders>
          </w:tcPr>
          <w:p>
            <w:pPr>
              <w:pStyle w:val="TableParagraph"/>
              <w:spacing w:line="130" w:lineRule="exact"/>
              <w:ind w:left="192" w:right="192"/>
              <w:rPr>
                <w:sz w:val="11"/>
              </w:rPr>
            </w:pPr>
            <w:r>
              <w:rPr>
                <w:w w:val="105"/>
                <w:sz w:val="11"/>
              </w:rPr>
              <w:t>661</w:t>
            </w:r>
          </w:p>
        </w:tc>
        <w:tc>
          <w:tcPr>
            <w:tcW w:w="696" w:type="dxa"/>
            <w:tcBorders>
              <w:bottom w:val="single" w:sz="8" w:space="0" w:color="000000"/>
              <w:right w:val="single" w:sz="8" w:space="0" w:color="000000"/>
            </w:tcBorders>
          </w:tcPr>
          <w:p>
            <w:pPr>
              <w:pStyle w:val="TableParagraph"/>
              <w:spacing w:line="130" w:lineRule="exact"/>
              <w:ind w:right="230"/>
              <w:jc w:val="right"/>
              <w:rPr>
                <w:sz w:val="11"/>
              </w:rPr>
            </w:pPr>
            <w:r>
              <w:rPr>
                <w:w w:val="105"/>
                <w:sz w:val="11"/>
              </w:rPr>
              <w:t>10%</w:t>
            </w:r>
          </w:p>
        </w:tc>
      </w:tr>
      <w:tr>
        <w:trPr>
          <w:trHeight w:val="159" w:hRule="exact"/>
        </w:trPr>
        <w:tc>
          <w:tcPr>
            <w:tcW w:w="2469"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21"/>
              <w:jc w:val="left"/>
              <w:rPr>
                <w:b/>
                <w:sz w:val="11"/>
              </w:rPr>
            </w:pPr>
            <w:r>
              <w:rPr>
                <w:b/>
                <w:w w:val="105"/>
                <w:sz w:val="11"/>
              </w:rPr>
              <w:t>Current assets</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4,110</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48%</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212"/>
              <w:jc w:val="left"/>
              <w:rPr>
                <w:b/>
                <w:sz w:val="11"/>
              </w:rPr>
            </w:pPr>
            <w:r>
              <w:rPr>
                <w:b/>
                <w:w w:val="105"/>
                <w:sz w:val="11"/>
              </w:rPr>
              <w:t>3,622</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49%</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2,854</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44%</w:t>
            </w:r>
          </w:p>
        </w:tc>
        <w:tc>
          <w:tcPr>
            <w:tcW w:w="706" w:type="dxa"/>
            <w:tcBorders>
              <w:top w:val="single" w:sz="8" w:space="0" w:color="000000"/>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2,670</w:t>
            </w:r>
          </w:p>
        </w:tc>
        <w:tc>
          <w:tcPr>
            <w:tcW w:w="696" w:type="dxa"/>
            <w:tcBorders>
              <w:top w:val="single" w:sz="8" w:space="0" w:color="000000"/>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42%</w:t>
            </w:r>
          </w:p>
        </w:tc>
      </w:tr>
      <w:tr>
        <w:trPr>
          <w:trHeight w:val="159" w:hRule="exact"/>
        </w:trPr>
        <w:tc>
          <w:tcPr>
            <w:tcW w:w="2469"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21"/>
              <w:jc w:val="left"/>
              <w:rPr>
                <w:b/>
                <w:sz w:val="11"/>
              </w:rPr>
            </w:pPr>
            <w:r>
              <w:rPr>
                <w:b/>
                <w:w w:val="105"/>
                <w:sz w:val="11"/>
              </w:rPr>
              <w:t>TOTAL ASSETS</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194" w:right="192"/>
              <w:rPr>
                <w:b/>
                <w:sz w:val="11"/>
              </w:rPr>
            </w:pPr>
            <w:r>
              <w:rPr>
                <w:b/>
                <w:w w:val="105"/>
                <w:sz w:val="11"/>
              </w:rPr>
              <w:t>8,562</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193" w:right="185"/>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212"/>
              <w:jc w:val="left"/>
              <w:rPr>
                <w:b/>
                <w:sz w:val="11"/>
              </w:rPr>
            </w:pPr>
            <w:r>
              <w:rPr>
                <w:b/>
                <w:w w:val="105"/>
                <w:sz w:val="11"/>
              </w:rPr>
              <w:t>7,440</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right="201"/>
              <w:jc w:val="right"/>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194" w:right="192"/>
              <w:rPr>
                <w:b/>
                <w:sz w:val="11"/>
              </w:rPr>
            </w:pPr>
            <w:r>
              <w:rPr>
                <w:b/>
                <w:w w:val="105"/>
                <w:sz w:val="11"/>
              </w:rPr>
              <w:t>6,485</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193" w:right="185"/>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194" w:right="192"/>
              <w:rPr>
                <w:b/>
                <w:sz w:val="11"/>
              </w:rPr>
            </w:pPr>
            <w:r>
              <w:rPr>
                <w:b/>
                <w:w w:val="105"/>
                <w:sz w:val="11"/>
              </w:rPr>
              <w:t>6,348</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right="201"/>
              <w:jc w:val="right"/>
              <w:rPr>
                <w:b/>
                <w:sz w:val="11"/>
              </w:rPr>
            </w:pPr>
            <w:r>
              <w:rPr>
                <w:b/>
                <w:w w:val="105"/>
                <w:sz w:val="11"/>
              </w:rPr>
              <w:t>100%</w:t>
            </w:r>
          </w:p>
        </w:tc>
      </w:tr>
    </w:tbl>
    <w:p>
      <w:pPr>
        <w:pStyle w:val="BodyText"/>
        <w:spacing w:before="11"/>
        <w:rPr>
          <w:b/>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9"/>
        <w:gridCol w:w="706"/>
        <w:gridCol w:w="696"/>
        <w:gridCol w:w="706"/>
        <w:gridCol w:w="696"/>
        <w:gridCol w:w="706"/>
        <w:gridCol w:w="696"/>
        <w:gridCol w:w="706"/>
        <w:gridCol w:w="696"/>
      </w:tblGrid>
      <w:tr>
        <w:trPr>
          <w:trHeight w:val="159" w:hRule="exact"/>
        </w:trPr>
        <w:tc>
          <w:tcPr>
            <w:tcW w:w="2469" w:type="dxa"/>
            <w:tcBorders>
              <w:bottom w:val="single" w:sz="8" w:space="0" w:color="000000"/>
              <w:right w:val="single" w:sz="8" w:space="0" w:color="000000"/>
            </w:tcBorders>
          </w:tcPr>
          <w:p>
            <w:pPr>
              <w:pStyle w:val="TableParagraph"/>
              <w:spacing w:before="1"/>
              <w:ind w:left="21"/>
              <w:jc w:val="left"/>
              <w:rPr>
                <w:b/>
                <w:sz w:val="11"/>
              </w:rPr>
            </w:pPr>
            <w:r>
              <w:rPr>
                <w:b/>
                <w:w w:val="105"/>
                <w:sz w:val="11"/>
              </w:rPr>
              <w:t>(In millions of Euros)</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2010</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2010</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2009</w:t>
            </w:r>
          </w:p>
        </w:tc>
        <w:tc>
          <w:tcPr>
            <w:tcW w:w="1402" w:type="dxa"/>
            <w:gridSpan w:val="2"/>
            <w:tcBorders>
              <w:top w:val="single" w:sz="8" w:space="0" w:color="000000"/>
              <w:left w:val="single" w:sz="8" w:space="0" w:color="000000"/>
              <w:bottom w:val="single" w:sz="8" w:space="0" w:color="000000"/>
              <w:right w:val="single" w:sz="8" w:space="0" w:color="000000"/>
            </w:tcBorders>
          </w:tcPr>
          <w:p>
            <w:pPr>
              <w:pStyle w:val="TableParagraph"/>
              <w:spacing w:line="130" w:lineRule="exact"/>
              <w:ind w:left="371"/>
              <w:jc w:val="left"/>
              <w:rPr>
                <w:b/>
                <w:sz w:val="11"/>
              </w:rPr>
            </w:pPr>
            <w:r>
              <w:rPr>
                <w:b/>
                <w:w w:val="105"/>
                <w:sz w:val="11"/>
              </w:rPr>
              <w:t>Dec. 31, 2008</w:t>
            </w:r>
          </w:p>
        </w:tc>
      </w:tr>
      <w:tr>
        <w:trPr>
          <w:trHeight w:val="159" w:hRule="exact"/>
        </w:trPr>
        <w:tc>
          <w:tcPr>
            <w:tcW w:w="2469" w:type="dxa"/>
            <w:tcBorders>
              <w:top w:val="single" w:sz="8" w:space="0" w:color="000000"/>
              <w:bottom w:val="single" w:sz="8" w:space="0" w:color="000000"/>
              <w:right w:val="single" w:sz="8" w:space="0" w:color="000000"/>
            </w:tcBorders>
          </w:tcPr>
          <w:p>
            <w:pPr>
              <w:pStyle w:val="TableParagraph"/>
              <w:spacing w:line="130" w:lineRule="exact"/>
              <w:ind w:left="21"/>
              <w:jc w:val="left"/>
              <w:rPr>
                <w:b/>
                <w:sz w:val="11"/>
              </w:rPr>
            </w:pPr>
            <w:r>
              <w:rPr>
                <w:b/>
                <w:w w:val="105"/>
                <w:sz w:val="11"/>
              </w:rPr>
              <w:t>LIABILITIES AND EQUITY</w:t>
            </w: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c>
          <w:tcPr>
            <w:tcW w:w="706" w:type="dxa"/>
            <w:tcBorders>
              <w:top w:val="single" w:sz="8" w:space="0" w:color="000000"/>
              <w:left w:val="single" w:sz="8" w:space="0" w:color="000000"/>
              <w:bottom w:val="single" w:sz="8" w:space="0" w:color="000000"/>
            </w:tcBorders>
          </w:tcPr>
          <w:p>
            <w:pPr/>
          </w:p>
        </w:tc>
        <w:tc>
          <w:tcPr>
            <w:tcW w:w="696" w:type="dxa"/>
            <w:tcBorders>
              <w:top w:val="single" w:sz="8" w:space="0" w:color="000000"/>
              <w:bottom w:val="single" w:sz="8" w:space="0" w:color="000000"/>
              <w:right w:val="single" w:sz="8" w:space="0" w:color="000000"/>
            </w:tcBorders>
          </w:tcPr>
          <w:p>
            <w:pPr/>
          </w:p>
        </w:tc>
      </w:tr>
      <w:tr>
        <w:trPr>
          <w:trHeight w:val="154"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w w:val="105"/>
                <w:sz w:val="11"/>
              </w:rPr>
              <w:t>Share capital</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238</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3%</w:t>
            </w:r>
          </w:p>
        </w:tc>
        <w:tc>
          <w:tcPr>
            <w:tcW w:w="706" w:type="dxa"/>
            <w:tcBorders>
              <w:top w:val="single" w:sz="8" w:space="0" w:color="000000"/>
              <w:left w:val="single" w:sz="8" w:space="0" w:color="000000"/>
            </w:tcBorders>
          </w:tcPr>
          <w:p>
            <w:pPr>
              <w:pStyle w:val="TableParagraph"/>
              <w:spacing w:line="130" w:lineRule="exact"/>
              <w:ind w:left="254"/>
              <w:jc w:val="left"/>
              <w:rPr>
                <w:sz w:val="11"/>
              </w:rPr>
            </w:pPr>
            <w:r>
              <w:rPr>
                <w:w w:val="105"/>
                <w:sz w:val="11"/>
              </w:rPr>
              <w:t>236</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3%</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235</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4%</w:t>
            </w:r>
          </w:p>
        </w:tc>
        <w:tc>
          <w:tcPr>
            <w:tcW w:w="706" w:type="dxa"/>
            <w:tcBorders>
              <w:top w:val="single" w:sz="8" w:space="0" w:color="000000"/>
              <w:left w:val="single" w:sz="8" w:space="0" w:color="000000"/>
            </w:tcBorders>
          </w:tcPr>
          <w:p>
            <w:pPr>
              <w:pStyle w:val="TableParagraph"/>
              <w:spacing w:line="130" w:lineRule="exact"/>
              <w:ind w:right="181"/>
              <w:jc w:val="right"/>
              <w:rPr>
                <w:sz w:val="11"/>
              </w:rPr>
            </w:pPr>
            <w:r>
              <w:rPr>
                <w:w w:val="105"/>
                <w:sz w:val="11"/>
              </w:rPr>
              <w:t>235.00</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4%</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Additional paid=in capital</w:t>
            </w:r>
          </w:p>
        </w:tc>
        <w:tc>
          <w:tcPr>
            <w:tcW w:w="706" w:type="dxa"/>
            <w:tcBorders>
              <w:left w:val="single" w:sz="8" w:space="0" w:color="000000"/>
            </w:tcBorders>
          </w:tcPr>
          <w:p>
            <w:pPr>
              <w:pStyle w:val="TableParagraph"/>
              <w:spacing w:line="130" w:lineRule="exact"/>
              <w:ind w:left="193" w:right="192"/>
              <w:rPr>
                <w:sz w:val="11"/>
              </w:rPr>
            </w:pPr>
            <w:r>
              <w:rPr>
                <w:w w:val="105"/>
                <w:sz w:val="11"/>
              </w:rPr>
              <w:t>1,429</w:t>
            </w:r>
          </w:p>
        </w:tc>
        <w:tc>
          <w:tcPr>
            <w:tcW w:w="696" w:type="dxa"/>
            <w:tcBorders>
              <w:right w:val="single" w:sz="8" w:space="0" w:color="000000"/>
            </w:tcBorders>
          </w:tcPr>
          <w:p>
            <w:pPr>
              <w:pStyle w:val="TableParagraph"/>
              <w:spacing w:line="130" w:lineRule="exact"/>
              <w:ind w:left="193" w:right="182"/>
              <w:rPr>
                <w:sz w:val="11"/>
              </w:rPr>
            </w:pPr>
            <w:r>
              <w:rPr>
                <w:w w:val="105"/>
                <w:sz w:val="11"/>
              </w:rPr>
              <w:t>17%</w:t>
            </w:r>
          </w:p>
        </w:tc>
        <w:tc>
          <w:tcPr>
            <w:tcW w:w="706" w:type="dxa"/>
            <w:tcBorders>
              <w:left w:val="single" w:sz="8" w:space="0" w:color="000000"/>
            </w:tcBorders>
          </w:tcPr>
          <w:p>
            <w:pPr>
              <w:pStyle w:val="TableParagraph"/>
              <w:spacing w:line="130" w:lineRule="exact"/>
              <w:ind w:left="212"/>
              <w:jc w:val="left"/>
              <w:rPr>
                <w:sz w:val="11"/>
              </w:rPr>
            </w:pPr>
            <w:r>
              <w:rPr>
                <w:w w:val="105"/>
                <w:sz w:val="11"/>
              </w:rPr>
              <w:t>1,412</w:t>
            </w:r>
          </w:p>
        </w:tc>
        <w:tc>
          <w:tcPr>
            <w:tcW w:w="696" w:type="dxa"/>
            <w:tcBorders>
              <w:right w:val="single" w:sz="8" w:space="0" w:color="000000"/>
            </w:tcBorders>
          </w:tcPr>
          <w:p>
            <w:pPr>
              <w:pStyle w:val="TableParagraph"/>
              <w:spacing w:line="130" w:lineRule="exact"/>
              <w:ind w:right="230"/>
              <w:jc w:val="right"/>
              <w:rPr>
                <w:sz w:val="11"/>
              </w:rPr>
            </w:pPr>
            <w:r>
              <w:rPr>
                <w:w w:val="105"/>
                <w:sz w:val="11"/>
              </w:rPr>
              <w:t>19%</w:t>
            </w:r>
          </w:p>
        </w:tc>
        <w:tc>
          <w:tcPr>
            <w:tcW w:w="706" w:type="dxa"/>
            <w:tcBorders>
              <w:left w:val="single" w:sz="8" w:space="0" w:color="000000"/>
            </w:tcBorders>
          </w:tcPr>
          <w:p>
            <w:pPr>
              <w:pStyle w:val="TableParagraph"/>
              <w:spacing w:line="130" w:lineRule="exact"/>
              <w:ind w:left="193" w:right="192"/>
              <w:rPr>
                <w:sz w:val="11"/>
              </w:rPr>
            </w:pPr>
            <w:r>
              <w:rPr>
                <w:w w:val="105"/>
                <w:sz w:val="11"/>
              </w:rPr>
              <w:t>1,402</w:t>
            </w:r>
          </w:p>
        </w:tc>
        <w:tc>
          <w:tcPr>
            <w:tcW w:w="696" w:type="dxa"/>
            <w:tcBorders>
              <w:right w:val="single" w:sz="8" w:space="0" w:color="000000"/>
            </w:tcBorders>
          </w:tcPr>
          <w:p>
            <w:pPr>
              <w:pStyle w:val="TableParagraph"/>
              <w:spacing w:line="130" w:lineRule="exact"/>
              <w:ind w:left="193" w:right="182"/>
              <w:rPr>
                <w:sz w:val="11"/>
              </w:rPr>
            </w:pPr>
            <w:r>
              <w:rPr>
                <w:w w:val="105"/>
                <w:sz w:val="11"/>
              </w:rPr>
              <w:t>22%</w:t>
            </w:r>
          </w:p>
        </w:tc>
        <w:tc>
          <w:tcPr>
            <w:tcW w:w="706" w:type="dxa"/>
            <w:tcBorders>
              <w:left w:val="single" w:sz="8" w:space="0" w:color="000000"/>
            </w:tcBorders>
          </w:tcPr>
          <w:p>
            <w:pPr>
              <w:pStyle w:val="TableParagraph"/>
              <w:spacing w:line="130" w:lineRule="exact"/>
              <w:ind w:right="134"/>
              <w:jc w:val="right"/>
              <w:rPr>
                <w:sz w:val="11"/>
              </w:rPr>
            </w:pPr>
            <w:r>
              <w:rPr>
                <w:w w:val="105"/>
                <w:sz w:val="11"/>
              </w:rPr>
              <w:t>1,402.00</w:t>
            </w:r>
          </w:p>
        </w:tc>
        <w:tc>
          <w:tcPr>
            <w:tcW w:w="696" w:type="dxa"/>
            <w:tcBorders>
              <w:right w:val="single" w:sz="8" w:space="0" w:color="000000"/>
            </w:tcBorders>
          </w:tcPr>
          <w:p>
            <w:pPr>
              <w:pStyle w:val="TableParagraph"/>
              <w:spacing w:line="130" w:lineRule="exact"/>
              <w:ind w:right="230"/>
              <w:jc w:val="right"/>
              <w:rPr>
                <w:sz w:val="11"/>
              </w:rPr>
            </w:pPr>
            <w:r>
              <w:rPr>
                <w:w w:val="105"/>
                <w:sz w:val="11"/>
              </w:rPr>
              <w:t>22%</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Translation adjustment</w:t>
            </w:r>
          </w:p>
        </w:tc>
        <w:tc>
          <w:tcPr>
            <w:tcW w:w="706" w:type="dxa"/>
            <w:tcBorders>
              <w:left w:val="single" w:sz="8" w:space="0" w:color="000000"/>
            </w:tcBorders>
          </w:tcPr>
          <w:p>
            <w:pPr>
              <w:pStyle w:val="TableParagraph"/>
              <w:spacing w:line="130" w:lineRule="exact"/>
              <w:ind w:left="192" w:right="192"/>
              <w:rPr>
                <w:sz w:val="11"/>
              </w:rPr>
            </w:pPr>
            <w:r>
              <w:rPr>
                <w:w w:val="105"/>
                <w:sz w:val="11"/>
              </w:rPr>
              <w:t>230</w:t>
            </w:r>
          </w:p>
        </w:tc>
        <w:tc>
          <w:tcPr>
            <w:tcW w:w="696" w:type="dxa"/>
            <w:tcBorders>
              <w:right w:val="single" w:sz="8" w:space="0" w:color="000000"/>
            </w:tcBorders>
          </w:tcPr>
          <w:p>
            <w:pPr>
              <w:pStyle w:val="TableParagraph"/>
              <w:spacing w:line="130" w:lineRule="exact"/>
              <w:ind w:left="193" w:right="178"/>
              <w:rPr>
                <w:sz w:val="11"/>
              </w:rPr>
            </w:pPr>
            <w:r>
              <w:rPr>
                <w:w w:val="105"/>
                <w:sz w:val="11"/>
              </w:rPr>
              <w:t>3%</w:t>
            </w:r>
          </w:p>
        </w:tc>
        <w:tc>
          <w:tcPr>
            <w:tcW w:w="706" w:type="dxa"/>
            <w:tcBorders>
              <w:left w:val="single" w:sz="8" w:space="0" w:color="000000"/>
            </w:tcBorders>
          </w:tcPr>
          <w:p>
            <w:pPr/>
          </w:p>
        </w:tc>
        <w:tc>
          <w:tcPr>
            <w:tcW w:w="696" w:type="dxa"/>
            <w:tcBorders>
              <w:right w:val="single" w:sz="8" w:space="0" w:color="000000"/>
            </w:tcBorders>
          </w:tcPr>
          <w:p>
            <w:pPr/>
          </w:p>
        </w:tc>
        <w:tc>
          <w:tcPr>
            <w:tcW w:w="706" w:type="dxa"/>
            <w:tcBorders>
              <w:left w:val="single" w:sz="8" w:space="0" w:color="000000"/>
            </w:tcBorders>
          </w:tcPr>
          <w:p>
            <w:pPr/>
          </w:p>
        </w:tc>
        <w:tc>
          <w:tcPr>
            <w:tcW w:w="696" w:type="dxa"/>
            <w:tcBorders>
              <w:right w:val="single" w:sz="8" w:space="0" w:color="000000"/>
            </w:tcBorders>
          </w:tcPr>
          <w:p>
            <w:pPr/>
          </w:p>
        </w:tc>
        <w:tc>
          <w:tcPr>
            <w:tcW w:w="706" w:type="dxa"/>
            <w:tcBorders>
              <w:left w:val="single" w:sz="8" w:space="0" w:color="000000"/>
            </w:tcBorders>
          </w:tcPr>
          <w:p>
            <w:pPr/>
          </w:p>
        </w:tc>
        <w:tc>
          <w:tcPr>
            <w:tcW w:w="696" w:type="dxa"/>
            <w:tcBorders>
              <w:right w:val="single" w:sz="8" w:space="0" w:color="000000"/>
            </w:tcBorders>
          </w:tcPr>
          <w:p>
            <w:pP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Retained earnings</w:t>
            </w:r>
          </w:p>
        </w:tc>
        <w:tc>
          <w:tcPr>
            <w:tcW w:w="706" w:type="dxa"/>
            <w:tcBorders>
              <w:left w:val="single" w:sz="8" w:space="0" w:color="000000"/>
            </w:tcBorders>
          </w:tcPr>
          <w:p>
            <w:pPr>
              <w:pStyle w:val="TableParagraph"/>
              <w:spacing w:line="130" w:lineRule="exact"/>
              <w:ind w:left="194" w:right="192"/>
              <w:rPr>
                <w:sz w:val="11"/>
              </w:rPr>
            </w:pPr>
            <w:r>
              <w:rPr>
                <w:w w:val="105"/>
                <w:sz w:val="11"/>
              </w:rPr>
              <w:t>39</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60</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c>
          <w:tcPr>
            <w:tcW w:w="706" w:type="dxa"/>
            <w:tcBorders>
              <w:left w:val="single" w:sz="8" w:space="0" w:color="000000"/>
            </w:tcBorders>
          </w:tcPr>
          <w:p>
            <w:pPr>
              <w:pStyle w:val="TableParagraph"/>
              <w:spacing w:line="130" w:lineRule="exact"/>
              <w:ind w:left="186" w:right="192"/>
              <w:rPr>
                <w:sz w:val="11"/>
              </w:rPr>
            </w:pPr>
            <w:r>
              <w:rPr>
                <w:sz w:val="11"/>
              </w:rPr>
              <w:t>=404</w:t>
            </w:r>
          </w:p>
        </w:tc>
        <w:tc>
          <w:tcPr>
            <w:tcW w:w="696" w:type="dxa"/>
            <w:tcBorders>
              <w:right w:val="single" w:sz="8" w:space="0" w:color="000000"/>
            </w:tcBorders>
          </w:tcPr>
          <w:p>
            <w:pPr>
              <w:pStyle w:val="TableParagraph"/>
              <w:spacing w:line="130" w:lineRule="exact"/>
              <w:ind w:left="193" w:right="184"/>
              <w:rPr>
                <w:sz w:val="11"/>
              </w:rPr>
            </w:pPr>
            <w:r>
              <w:rPr>
                <w:sz w:val="11"/>
              </w:rPr>
              <w:t>=6%</w:t>
            </w:r>
          </w:p>
        </w:tc>
        <w:tc>
          <w:tcPr>
            <w:tcW w:w="706" w:type="dxa"/>
            <w:tcBorders>
              <w:left w:val="single" w:sz="8" w:space="0" w:color="000000"/>
            </w:tcBorders>
          </w:tcPr>
          <w:p>
            <w:pPr>
              <w:pStyle w:val="TableParagraph"/>
              <w:spacing w:line="130" w:lineRule="exact"/>
              <w:ind w:right="166"/>
              <w:jc w:val="right"/>
              <w:rPr>
                <w:sz w:val="11"/>
              </w:rPr>
            </w:pPr>
            <w:r>
              <w:rPr>
                <w:sz w:val="11"/>
              </w:rPr>
              <w:t>=326.00</w:t>
            </w:r>
          </w:p>
        </w:tc>
        <w:tc>
          <w:tcPr>
            <w:tcW w:w="696" w:type="dxa"/>
            <w:tcBorders>
              <w:right w:val="single" w:sz="8" w:space="0" w:color="000000"/>
            </w:tcBorders>
          </w:tcPr>
          <w:p>
            <w:pPr>
              <w:pStyle w:val="TableParagraph"/>
              <w:spacing w:line="130" w:lineRule="exact"/>
              <w:ind w:right="243"/>
              <w:jc w:val="right"/>
              <w:rPr>
                <w:sz w:val="11"/>
              </w:rPr>
            </w:pPr>
            <w:r>
              <w:rPr>
                <w:w w:val="90"/>
                <w:sz w:val="11"/>
              </w:rPr>
              <w:t>=5%</w:t>
            </w:r>
          </w:p>
        </w:tc>
      </w:tr>
      <w:tr>
        <w:trPr>
          <w:trHeight w:val="154" w:hRule="exact"/>
        </w:trPr>
        <w:tc>
          <w:tcPr>
            <w:tcW w:w="2469" w:type="dxa"/>
            <w:tcBorders>
              <w:bottom w:val="single" w:sz="8" w:space="0" w:color="000000"/>
              <w:right w:val="single" w:sz="8" w:space="0" w:color="000000"/>
            </w:tcBorders>
          </w:tcPr>
          <w:p>
            <w:pPr>
              <w:pStyle w:val="TableParagraph"/>
              <w:spacing w:line="130" w:lineRule="exact"/>
              <w:ind w:left="21"/>
              <w:jc w:val="left"/>
              <w:rPr>
                <w:b/>
                <w:sz w:val="11"/>
              </w:rPr>
            </w:pPr>
            <w:r>
              <w:rPr>
                <w:b/>
                <w:w w:val="105"/>
                <w:sz w:val="11"/>
              </w:rPr>
              <w:t>Stockholders' equity</w:t>
            </w:r>
          </w:p>
        </w:tc>
        <w:tc>
          <w:tcPr>
            <w:tcW w:w="706" w:type="dxa"/>
            <w:tcBorders>
              <w:left w:val="single" w:sz="8" w:space="0" w:color="000000"/>
              <w:bottom w:val="single" w:sz="8" w:space="0" w:color="000000"/>
            </w:tcBorders>
          </w:tcPr>
          <w:p>
            <w:pPr>
              <w:pStyle w:val="TableParagraph"/>
              <w:spacing w:line="130" w:lineRule="exact"/>
              <w:ind w:left="194" w:right="192"/>
              <w:rPr>
                <w:b/>
                <w:sz w:val="11"/>
              </w:rPr>
            </w:pPr>
            <w:r>
              <w:rPr>
                <w:b/>
                <w:w w:val="105"/>
                <w:sz w:val="11"/>
              </w:rPr>
              <w:t>1,936</w:t>
            </w:r>
          </w:p>
        </w:tc>
        <w:tc>
          <w:tcPr>
            <w:tcW w:w="696" w:type="dxa"/>
            <w:tcBorders>
              <w:bottom w:val="single" w:sz="8" w:space="0" w:color="000000"/>
              <w:right w:val="single" w:sz="8" w:space="0" w:color="000000"/>
            </w:tcBorders>
          </w:tcPr>
          <w:p>
            <w:pPr>
              <w:pStyle w:val="TableParagraph"/>
              <w:spacing w:line="130" w:lineRule="exact"/>
              <w:ind w:left="193" w:right="180"/>
              <w:rPr>
                <w:b/>
                <w:sz w:val="11"/>
              </w:rPr>
            </w:pPr>
            <w:r>
              <w:rPr>
                <w:b/>
                <w:w w:val="105"/>
                <w:sz w:val="11"/>
              </w:rPr>
              <w:t>23%</w:t>
            </w:r>
          </w:p>
        </w:tc>
        <w:tc>
          <w:tcPr>
            <w:tcW w:w="706" w:type="dxa"/>
            <w:tcBorders>
              <w:left w:val="single" w:sz="8" w:space="0" w:color="000000"/>
              <w:bottom w:val="single" w:sz="8" w:space="0" w:color="000000"/>
            </w:tcBorders>
          </w:tcPr>
          <w:p>
            <w:pPr>
              <w:pStyle w:val="TableParagraph"/>
              <w:spacing w:line="130" w:lineRule="exact"/>
              <w:ind w:left="212"/>
              <w:jc w:val="left"/>
              <w:rPr>
                <w:b/>
                <w:sz w:val="11"/>
              </w:rPr>
            </w:pPr>
            <w:r>
              <w:rPr>
                <w:b/>
                <w:w w:val="105"/>
                <w:sz w:val="11"/>
              </w:rPr>
              <w:t>1,708</w:t>
            </w:r>
          </w:p>
        </w:tc>
        <w:tc>
          <w:tcPr>
            <w:tcW w:w="696" w:type="dxa"/>
            <w:tcBorders>
              <w:bottom w:val="single" w:sz="8" w:space="0" w:color="000000"/>
              <w:right w:val="single" w:sz="8" w:space="0" w:color="000000"/>
            </w:tcBorders>
          </w:tcPr>
          <w:p>
            <w:pPr>
              <w:pStyle w:val="TableParagraph"/>
              <w:spacing w:line="130" w:lineRule="exact"/>
              <w:ind w:right="229"/>
              <w:jc w:val="right"/>
              <w:rPr>
                <w:b/>
                <w:sz w:val="11"/>
              </w:rPr>
            </w:pPr>
            <w:r>
              <w:rPr>
                <w:b/>
                <w:w w:val="105"/>
                <w:sz w:val="11"/>
              </w:rPr>
              <w:t>23%</w:t>
            </w:r>
          </w:p>
        </w:tc>
        <w:tc>
          <w:tcPr>
            <w:tcW w:w="706" w:type="dxa"/>
            <w:tcBorders>
              <w:left w:val="single" w:sz="8" w:space="0" w:color="000000"/>
              <w:bottom w:val="single" w:sz="8" w:space="0" w:color="000000"/>
            </w:tcBorders>
          </w:tcPr>
          <w:p>
            <w:pPr>
              <w:pStyle w:val="TableParagraph"/>
              <w:spacing w:line="130" w:lineRule="exact"/>
              <w:ind w:left="194" w:right="192"/>
              <w:rPr>
                <w:b/>
                <w:sz w:val="11"/>
              </w:rPr>
            </w:pPr>
            <w:r>
              <w:rPr>
                <w:b/>
                <w:w w:val="105"/>
                <w:sz w:val="11"/>
              </w:rPr>
              <w:t>1,233</w:t>
            </w:r>
          </w:p>
        </w:tc>
        <w:tc>
          <w:tcPr>
            <w:tcW w:w="696" w:type="dxa"/>
            <w:tcBorders>
              <w:bottom w:val="single" w:sz="8" w:space="0" w:color="000000"/>
              <w:right w:val="single" w:sz="8" w:space="0" w:color="000000"/>
            </w:tcBorders>
          </w:tcPr>
          <w:p>
            <w:pPr>
              <w:pStyle w:val="TableParagraph"/>
              <w:spacing w:line="130" w:lineRule="exact"/>
              <w:ind w:left="193" w:right="180"/>
              <w:rPr>
                <w:b/>
                <w:sz w:val="11"/>
              </w:rPr>
            </w:pPr>
            <w:r>
              <w:rPr>
                <w:b/>
                <w:w w:val="105"/>
                <w:sz w:val="11"/>
              </w:rPr>
              <w:t>19%</w:t>
            </w:r>
          </w:p>
        </w:tc>
        <w:tc>
          <w:tcPr>
            <w:tcW w:w="706" w:type="dxa"/>
            <w:tcBorders>
              <w:left w:val="single" w:sz="8" w:space="0" w:color="000000"/>
              <w:bottom w:val="single" w:sz="8" w:space="0" w:color="000000"/>
            </w:tcBorders>
          </w:tcPr>
          <w:p>
            <w:pPr>
              <w:pStyle w:val="TableParagraph"/>
              <w:spacing w:line="130" w:lineRule="exact"/>
              <w:ind w:right="132"/>
              <w:jc w:val="right"/>
              <w:rPr>
                <w:b/>
                <w:sz w:val="11"/>
              </w:rPr>
            </w:pPr>
            <w:r>
              <w:rPr>
                <w:b/>
                <w:w w:val="105"/>
                <w:sz w:val="11"/>
              </w:rPr>
              <w:t>1,311.00</w:t>
            </w:r>
          </w:p>
        </w:tc>
        <w:tc>
          <w:tcPr>
            <w:tcW w:w="696" w:type="dxa"/>
            <w:tcBorders>
              <w:bottom w:val="single" w:sz="8" w:space="0" w:color="000000"/>
              <w:right w:val="single" w:sz="8" w:space="0" w:color="000000"/>
            </w:tcBorders>
          </w:tcPr>
          <w:p>
            <w:pPr>
              <w:pStyle w:val="TableParagraph"/>
              <w:spacing w:line="130" w:lineRule="exact"/>
              <w:ind w:right="229"/>
              <w:jc w:val="right"/>
              <w:rPr>
                <w:b/>
                <w:sz w:val="11"/>
              </w:rPr>
            </w:pPr>
            <w:r>
              <w:rPr>
                <w:b/>
                <w:w w:val="105"/>
                <w:sz w:val="11"/>
              </w:rPr>
              <w:t>21%</w:t>
            </w:r>
          </w:p>
        </w:tc>
      </w:tr>
      <w:tr>
        <w:trPr>
          <w:trHeight w:val="148"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w w:val="105"/>
                <w:sz w:val="11"/>
              </w:rPr>
              <w:t>Minority interest</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144</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2%</w:t>
            </w:r>
          </w:p>
        </w:tc>
        <w:tc>
          <w:tcPr>
            <w:tcW w:w="706" w:type="dxa"/>
            <w:tcBorders>
              <w:top w:val="single" w:sz="8" w:space="0" w:color="000000"/>
              <w:left w:val="single" w:sz="8" w:space="0" w:color="000000"/>
            </w:tcBorders>
          </w:tcPr>
          <w:p>
            <w:pPr>
              <w:pStyle w:val="TableParagraph"/>
              <w:spacing w:line="130" w:lineRule="exact"/>
              <w:ind w:left="286"/>
              <w:jc w:val="left"/>
              <w:rPr>
                <w:sz w:val="11"/>
              </w:rPr>
            </w:pPr>
            <w:r>
              <w:rPr>
                <w:w w:val="105"/>
                <w:sz w:val="11"/>
              </w:rPr>
              <w:t>62</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1%</w:t>
            </w:r>
          </w:p>
        </w:tc>
        <w:tc>
          <w:tcPr>
            <w:tcW w:w="706" w:type="dxa"/>
            <w:tcBorders>
              <w:top w:val="single" w:sz="8" w:space="0" w:color="000000"/>
              <w:left w:val="single" w:sz="8" w:space="0" w:color="000000"/>
            </w:tcBorders>
          </w:tcPr>
          <w:p>
            <w:pPr>
              <w:pStyle w:val="TableParagraph"/>
              <w:spacing w:line="130" w:lineRule="exact"/>
              <w:ind w:left="194" w:right="192"/>
              <w:rPr>
                <w:sz w:val="11"/>
              </w:rPr>
            </w:pPr>
            <w:r>
              <w:rPr>
                <w:w w:val="105"/>
                <w:sz w:val="11"/>
              </w:rPr>
              <w:t>51</w:t>
            </w:r>
          </w:p>
        </w:tc>
        <w:tc>
          <w:tcPr>
            <w:tcW w:w="696" w:type="dxa"/>
            <w:tcBorders>
              <w:top w:val="single" w:sz="8" w:space="0" w:color="000000"/>
              <w:right w:val="single" w:sz="8" w:space="0" w:color="000000"/>
            </w:tcBorders>
          </w:tcPr>
          <w:p>
            <w:pPr>
              <w:pStyle w:val="TableParagraph"/>
              <w:spacing w:line="130" w:lineRule="exact"/>
              <w:ind w:left="193" w:right="178"/>
              <w:rPr>
                <w:sz w:val="11"/>
              </w:rPr>
            </w:pPr>
            <w:r>
              <w:rPr>
                <w:w w:val="105"/>
                <w:sz w:val="11"/>
              </w:rPr>
              <w:t>1%</w:t>
            </w:r>
          </w:p>
        </w:tc>
        <w:tc>
          <w:tcPr>
            <w:tcW w:w="706" w:type="dxa"/>
            <w:tcBorders>
              <w:top w:val="single" w:sz="8" w:space="0" w:color="000000"/>
              <w:left w:val="single" w:sz="8" w:space="0" w:color="000000"/>
            </w:tcBorders>
          </w:tcPr>
          <w:p>
            <w:pPr>
              <w:pStyle w:val="TableParagraph"/>
              <w:spacing w:line="130" w:lineRule="exact"/>
              <w:ind w:right="208"/>
              <w:jc w:val="right"/>
              <w:rPr>
                <w:sz w:val="11"/>
              </w:rPr>
            </w:pPr>
            <w:r>
              <w:rPr>
                <w:w w:val="105"/>
                <w:sz w:val="11"/>
              </w:rPr>
              <w:t>51.00</w:t>
            </w:r>
          </w:p>
        </w:tc>
        <w:tc>
          <w:tcPr>
            <w:tcW w:w="696" w:type="dxa"/>
            <w:tcBorders>
              <w:top w:val="single" w:sz="8" w:space="0" w:color="000000"/>
              <w:right w:val="single" w:sz="8" w:space="0" w:color="000000"/>
            </w:tcBorders>
          </w:tcPr>
          <w:p>
            <w:pPr>
              <w:pStyle w:val="TableParagraph"/>
              <w:spacing w:line="130" w:lineRule="exact"/>
              <w:ind w:right="258"/>
              <w:jc w:val="right"/>
              <w:rPr>
                <w:sz w:val="11"/>
              </w:rPr>
            </w:pPr>
            <w:r>
              <w:rPr>
                <w:w w:val="105"/>
                <w:sz w:val="11"/>
              </w:rPr>
              <w:t>1%</w:t>
            </w:r>
          </w:p>
        </w:tc>
      </w:tr>
      <w:tr>
        <w:trPr>
          <w:trHeight w:val="159" w:hRule="exact"/>
        </w:trPr>
        <w:tc>
          <w:tcPr>
            <w:tcW w:w="2469" w:type="dxa"/>
            <w:tcBorders>
              <w:bottom w:val="single" w:sz="8" w:space="0" w:color="000000"/>
              <w:right w:val="single" w:sz="8" w:space="0" w:color="000000"/>
            </w:tcBorders>
            <w:shd w:val="clear" w:color="auto" w:fill="BFBFBF"/>
          </w:tcPr>
          <w:p>
            <w:pPr>
              <w:pStyle w:val="TableParagraph"/>
              <w:spacing w:before="1"/>
              <w:ind w:left="21"/>
              <w:jc w:val="left"/>
              <w:rPr>
                <w:b/>
                <w:sz w:val="11"/>
              </w:rPr>
            </w:pPr>
            <w:r>
              <w:rPr>
                <w:b/>
                <w:w w:val="105"/>
                <w:sz w:val="11"/>
              </w:rPr>
              <w:t>Stockholders' equity including minority  interest</w:t>
            </w:r>
          </w:p>
        </w:tc>
        <w:tc>
          <w:tcPr>
            <w:tcW w:w="706" w:type="dxa"/>
            <w:tcBorders>
              <w:left w:val="single" w:sz="8" w:space="0" w:color="000000"/>
              <w:bottom w:val="single" w:sz="8" w:space="0" w:color="000000"/>
            </w:tcBorders>
            <w:shd w:val="clear" w:color="auto" w:fill="BFBFBF"/>
          </w:tcPr>
          <w:p>
            <w:pPr>
              <w:pStyle w:val="TableParagraph"/>
              <w:spacing w:before="1"/>
              <w:ind w:left="194" w:right="192"/>
              <w:rPr>
                <w:b/>
                <w:sz w:val="11"/>
              </w:rPr>
            </w:pPr>
            <w:r>
              <w:rPr>
                <w:b/>
                <w:w w:val="105"/>
                <w:sz w:val="11"/>
              </w:rPr>
              <w:t>2,080</w:t>
            </w:r>
          </w:p>
        </w:tc>
        <w:tc>
          <w:tcPr>
            <w:tcW w:w="696" w:type="dxa"/>
            <w:tcBorders>
              <w:bottom w:val="single" w:sz="8" w:space="0" w:color="000000"/>
              <w:right w:val="single" w:sz="8" w:space="0" w:color="000000"/>
            </w:tcBorders>
            <w:shd w:val="clear" w:color="auto" w:fill="BFBFBF"/>
          </w:tcPr>
          <w:p>
            <w:pPr>
              <w:pStyle w:val="TableParagraph"/>
              <w:spacing w:before="1"/>
              <w:ind w:left="193" w:right="180"/>
              <w:rPr>
                <w:b/>
                <w:sz w:val="11"/>
              </w:rPr>
            </w:pPr>
            <w:r>
              <w:rPr>
                <w:b/>
                <w:w w:val="105"/>
                <w:sz w:val="11"/>
              </w:rPr>
              <w:t>24%</w:t>
            </w:r>
          </w:p>
        </w:tc>
        <w:tc>
          <w:tcPr>
            <w:tcW w:w="706" w:type="dxa"/>
            <w:tcBorders>
              <w:left w:val="single" w:sz="8" w:space="0" w:color="000000"/>
              <w:bottom w:val="single" w:sz="8" w:space="0" w:color="000000"/>
            </w:tcBorders>
            <w:shd w:val="clear" w:color="auto" w:fill="BFBFBF"/>
          </w:tcPr>
          <w:p>
            <w:pPr>
              <w:pStyle w:val="TableParagraph"/>
              <w:spacing w:before="1"/>
              <w:ind w:left="212"/>
              <w:jc w:val="left"/>
              <w:rPr>
                <w:b/>
                <w:sz w:val="11"/>
              </w:rPr>
            </w:pPr>
            <w:r>
              <w:rPr>
                <w:b/>
                <w:w w:val="105"/>
                <w:sz w:val="11"/>
              </w:rPr>
              <w:t>1,770</w:t>
            </w:r>
          </w:p>
        </w:tc>
        <w:tc>
          <w:tcPr>
            <w:tcW w:w="696" w:type="dxa"/>
            <w:tcBorders>
              <w:bottom w:val="single" w:sz="8" w:space="0" w:color="000000"/>
              <w:right w:val="single" w:sz="8" w:space="0" w:color="000000"/>
            </w:tcBorders>
            <w:shd w:val="clear" w:color="auto" w:fill="BFBFBF"/>
          </w:tcPr>
          <w:p>
            <w:pPr>
              <w:pStyle w:val="TableParagraph"/>
              <w:spacing w:before="1"/>
              <w:ind w:right="229"/>
              <w:jc w:val="right"/>
              <w:rPr>
                <w:b/>
                <w:sz w:val="11"/>
              </w:rPr>
            </w:pPr>
            <w:r>
              <w:rPr>
                <w:b/>
                <w:w w:val="105"/>
                <w:sz w:val="11"/>
              </w:rPr>
              <w:t>24%</w:t>
            </w:r>
          </w:p>
        </w:tc>
        <w:tc>
          <w:tcPr>
            <w:tcW w:w="706" w:type="dxa"/>
            <w:tcBorders>
              <w:left w:val="single" w:sz="8" w:space="0" w:color="000000"/>
              <w:bottom w:val="single" w:sz="8" w:space="0" w:color="000000"/>
            </w:tcBorders>
            <w:shd w:val="clear" w:color="auto" w:fill="BFBFBF"/>
          </w:tcPr>
          <w:p>
            <w:pPr>
              <w:pStyle w:val="TableParagraph"/>
              <w:spacing w:before="1"/>
              <w:ind w:left="194" w:right="192"/>
              <w:rPr>
                <w:b/>
                <w:sz w:val="11"/>
              </w:rPr>
            </w:pPr>
            <w:r>
              <w:rPr>
                <w:b/>
                <w:w w:val="105"/>
                <w:sz w:val="11"/>
              </w:rPr>
              <w:t>1,284</w:t>
            </w:r>
          </w:p>
        </w:tc>
        <w:tc>
          <w:tcPr>
            <w:tcW w:w="696" w:type="dxa"/>
            <w:tcBorders>
              <w:bottom w:val="single" w:sz="8" w:space="0" w:color="000000"/>
              <w:right w:val="single" w:sz="8" w:space="0" w:color="000000"/>
            </w:tcBorders>
            <w:shd w:val="clear" w:color="auto" w:fill="BFBFBF"/>
          </w:tcPr>
          <w:p>
            <w:pPr>
              <w:pStyle w:val="TableParagraph"/>
              <w:spacing w:before="1"/>
              <w:ind w:left="193" w:right="180"/>
              <w:rPr>
                <w:b/>
                <w:sz w:val="11"/>
              </w:rPr>
            </w:pPr>
            <w:r>
              <w:rPr>
                <w:b/>
                <w:w w:val="105"/>
                <w:sz w:val="11"/>
              </w:rPr>
              <w:t>20%</w:t>
            </w:r>
          </w:p>
        </w:tc>
        <w:tc>
          <w:tcPr>
            <w:tcW w:w="706" w:type="dxa"/>
            <w:tcBorders>
              <w:left w:val="single" w:sz="8" w:space="0" w:color="000000"/>
              <w:bottom w:val="single" w:sz="8" w:space="0" w:color="000000"/>
            </w:tcBorders>
            <w:shd w:val="clear" w:color="auto" w:fill="BFBFBF"/>
          </w:tcPr>
          <w:p>
            <w:pPr>
              <w:pStyle w:val="TableParagraph"/>
              <w:spacing w:before="1"/>
              <w:ind w:right="132"/>
              <w:jc w:val="right"/>
              <w:rPr>
                <w:b/>
                <w:sz w:val="11"/>
              </w:rPr>
            </w:pPr>
            <w:r>
              <w:rPr>
                <w:b/>
                <w:w w:val="105"/>
                <w:sz w:val="11"/>
              </w:rPr>
              <w:t>1,362.00</w:t>
            </w:r>
          </w:p>
        </w:tc>
        <w:tc>
          <w:tcPr>
            <w:tcW w:w="696" w:type="dxa"/>
            <w:tcBorders>
              <w:bottom w:val="single" w:sz="8" w:space="0" w:color="000000"/>
              <w:right w:val="single" w:sz="8" w:space="0" w:color="000000"/>
            </w:tcBorders>
            <w:shd w:val="clear" w:color="auto" w:fill="BFBFBF"/>
          </w:tcPr>
          <w:p>
            <w:pPr>
              <w:pStyle w:val="TableParagraph"/>
              <w:spacing w:before="1"/>
              <w:ind w:right="229"/>
              <w:jc w:val="right"/>
              <w:rPr>
                <w:b/>
                <w:sz w:val="11"/>
              </w:rPr>
            </w:pPr>
            <w:r>
              <w:rPr>
                <w:b/>
                <w:w w:val="105"/>
                <w:sz w:val="11"/>
              </w:rPr>
              <w:t>21%</w:t>
            </w:r>
          </w:p>
        </w:tc>
      </w:tr>
      <w:tr>
        <w:trPr>
          <w:trHeight w:val="154"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sz w:val="11"/>
              </w:rPr>
              <w:t>Provisions = long=term portion   (*)</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994</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12%</w:t>
            </w:r>
          </w:p>
        </w:tc>
        <w:tc>
          <w:tcPr>
            <w:tcW w:w="706" w:type="dxa"/>
            <w:tcBorders>
              <w:top w:val="single" w:sz="8" w:space="0" w:color="000000"/>
              <w:left w:val="single" w:sz="8" w:space="0" w:color="000000"/>
            </w:tcBorders>
          </w:tcPr>
          <w:p>
            <w:pPr>
              <w:pStyle w:val="TableParagraph"/>
              <w:spacing w:line="130" w:lineRule="exact"/>
              <w:ind w:left="254"/>
              <w:jc w:val="left"/>
              <w:rPr>
                <w:sz w:val="11"/>
              </w:rPr>
            </w:pPr>
            <w:r>
              <w:rPr>
                <w:w w:val="105"/>
                <w:sz w:val="11"/>
              </w:rPr>
              <w:t>806</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11%</w:t>
            </w:r>
          </w:p>
        </w:tc>
        <w:tc>
          <w:tcPr>
            <w:tcW w:w="706" w:type="dxa"/>
            <w:tcBorders>
              <w:top w:val="single" w:sz="8" w:space="0" w:color="000000"/>
              <w:left w:val="single" w:sz="8" w:space="0" w:color="000000"/>
            </w:tcBorders>
          </w:tcPr>
          <w:p>
            <w:pPr>
              <w:pStyle w:val="TableParagraph"/>
              <w:spacing w:line="130" w:lineRule="exact"/>
              <w:ind w:left="192" w:right="192"/>
              <w:rPr>
                <w:sz w:val="11"/>
              </w:rPr>
            </w:pPr>
            <w:r>
              <w:rPr>
                <w:w w:val="105"/>
                <w:sz w:val="11"/>
              </w:rPr>
              <w:t>749</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12%</w:t>
            </w:r>
          </w:p>
        </w:tc>
        <w:tc>
          <w:tcPr>
            <w:tcW w:w="706" w:type="dxa"/>
            <w:tcBorders>
              <w:top w:val="single" w:sz="8" w:space="0" w:color="000000"/>
              <w:left w:val="single" w:sz="8" w:space="0" w:color="000000"/>
            </w:tcBorders>
          </w:tcPr>
          <w:p>
            <w:pPr>
              <w:pStyle w:val="TableParagraph"/>
              <w:spacing w:line="130" w:lineRule="exact"/>
              <w:ind w:right="181"/>
              <w:jc w:val="right"/>
              <w:rPr>
                <w:sz w:val="11"/>
              </w:rPr>
            </w:pPr>
            <w:r>
              <w:rPr>
                <w:w w:val="105"/>
                <w:sz w:val="11"/>
              </w:rPr>
              <w:t>765.00</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12%</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sz w:val="11"/>
              </w:rPr>
              <w:t>Debt = long=term  portion</w:t>
            </w:r>
          </w:p>
        </w:tc>
        <w:tc>
          <w:tcPr>
            <w:tcW w:w="706" w:type="dxa"/>
            <w:tcBorders>
              <w:left w:val="single" w:sz="8" w:space="0" w:color="000000"/>
            </w:tcBorders>
          </w:tcPr>
          <w:p>
            <w:pPr>
              <w:pStyle w:val="TableParagraph"/>
              <w:spacing w:line="130" w:lineRule="exact"/>
              <w:ind w:left="193" w:right="192"/>
              <w:rPr>
                <w:sz w:val="11"/>
              </w:rPr>
            </w:pPr>
            <w:r>
              <w:rPr>
                <w:w w:val="105"/>
                <w:sz w:val="11"/>
              </w:rPr>
              <w:t>1,494</w:t>
            </w:r>
          </w:p>
        </w:tc>
        <w:tc>
          <w:tcPr>
            <w:tcW w:w="696" w:type="dxa"/>
            <w:tcBorders>
              <w:right w:val="single" w:sz="8" w:space="0" w:color="000000"/>
            </w:tcBorders>
          </w:tcPr>
          <w:p>
            <w:pPr>
              <w:pStyle w:val="TableParagraph"/>
              <w:spacing w:line="130" w:lineRule="exact"/>
              <w:ind w:left="193" w:right="182"/>
              <w:rPr>
                <w:sz w:val="11"/>
              </w:rPr>
            </w:pPr>
            <w:r>
              <w:rPr>
                <w:w w:val="105"/>
                <w:sz w:val="11"/>
              </w:rPr>
              <w:t>17%</w:t>
            </w:r>
          </w:p>
        </w:tc>
        <w:tc>
          <w:tcPr>
            <w:tcW w:w="706" w:type="dxa"/>
            <w:tcBorders>
              <w:left w:val="single" w:sz="8" w:space="0" w:color="000000"/>
            </w:tcBorders>
          </w:tcPr>
          <w:p>
            <w:pPr>
              <w:pStyle w:val="TableParagraph"/>
              <w:spacing w:line="130" w:lineRule="exact"/>
              <w:ind w:left="212"/>
              <w:jc w:val="left"/>
              <w:rPr>
                <w:sz w:val="11"/>
              </w:rPr>
            </w:pPr>
            <w:r>
              <w:rPr>
                <w:w w:val="105"/>
                <w:sz w:val="11"/>
              </w:rPr>
              <w:t>1,097</w:t>
            </w:r>
          </w:p>
        </w:tc>
        <w:tc>
          <w:tcPr>
            <w:tcW w:w="696" w:type="dxa"/>
            <w:tcBorders>
              <w:right w:val="single" w:sz="8" w:space="0" w:color="000000"/>
            </w:tcBorders>
          </w:tcPr>
          <w:p>
            <w:pPr>
              <w:pStyle w:val="TableParagraph"/>
              <w:spacing w:line="130" w:lineRule="exact"/>
              <w:ind w:right="230"/>
              <w:jc w:val="right"/>
              <w:rPr>
                <w:sz w:val="11"/>
              </w:rPr>
            </w:pPr>
            <w:r>
              <w:rPr>
                <w:w w:val="105"/>
                <w:sz w:val="11"/>
              </w:rPr>
              <w:t>15%</w:t>
            </w:r>
          </w:p>
        </w:tc>
        <w:tc>
          <w:tcPr>
            <w:tcW w:w="706" w:type="dxa"/>
            <w:tcBorders>
              <w:left w:val="single" w:sz="8" w:space="0" w:color="000000"/>
            </w:tcBorders>
          </w:tcPr>
          <w:p>
            <w:pPr>
              <w:pStyle w:val="TableParagraph"/>
              <w:spacing w:line="130" w:lineRule="exact"/>
              <w:ind w:left="193" w:right="192"/>
              <w:rPr>
                <w:sz w:val="11"/>
              </w:rPr>
            </w:pPr>
            <w:r>
              <w:rPr>
                <w:w w:val="105"/>
                <w:sz w:val="11"/>
              </w:rPr>
              <w:t>1,526</w:t>
            </w:r>
          </w:p>
        </w:tc>
        <w:tc>
          <w:tcPr>
            <w:tcW w:w="696" w:type="dxa"/>
            <w:tcBorders>
              <w:right w:val="single" w:sz="8" w:space="0" w:color="000000"/>
            </w:tcBorders>
          </w:tcPr>
          <w:p>
            <w:pPr>
              <w:pStyle w:val="TableParagraph"/>
              <w:spacing w:line="130" w:lineRule="exact"/>
              <w:ind w:left="193" w:right="182"/>
              <w:rPr>
                <w:sz w:val="11"/>
              </w:rPr>
            </w:pPr>
            <w:r>
              <w:rPr>
                <w:w w:val="105"/>
                <w:sz w:val="11"/>
              </w:rPr>
              <w:t>24%</w:t>
            </w:r>
          </w:p>
        </w:tc>
        <w:tc>
          <w:tcPr>
            <w:tcW w:w="706" w:type="dxa"/>
            <w:tcBorders>
              <w:left w:val="single" w:sz="8" w:space="0" w:color="000000"/>
            </w:tcBorders>
          </w:tcPr>
          <w:p>
            <w:pPr>
              <w:pStyle w:val="TableParagraph"/>
              <w:spacing w:line="130" w:lineRule="exact"/>
              <w:ind w:right="134"/>
              <w:jc w:val="right"/>
              <w:rPr>
                <w:sz w:val="11"/>
              </w:rPr>
            </w:pPr>
            <w:r>
              <w:rPr>
                <w:w w:val="105"/>
                <w:sz w:val="11"/>
              </w:rPr>
              <w:t>1,299.00</w:t>
            </w:r>
          </w:p>
        </w:tc>
        <w:tc>
          <w:tcPr>
            <w:tcW w:w="696" w:type="dxa"/>
            <w:tcBorders>
              <w:right w:val="single" w:sz="8" w:space="0" w:color="000000"/>
            </w:tcBorders>
          </w:tcPr>
          <w:p>
            <w:pPr>
              <w:pStyle w:val="TableParagraph"/>
              <w:spacing w:line="130" w:lineRule="exact"/>
              <w:ind w:right="230"/>
              <w:jc w:val="right"/>
              <w:rPr>
                <w:sz w:val="11"/>
              </w:rPr>
            </w:pPr>
            <w:r>
              <w:rPr>
                <w:w w:val="105"/>
                <w:sz w:val="11"/>
              </w:rPr>
              <w:t>20%</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non current financial liabilities</w:t>
            </w:r>
          </w:p>
        </w:tc>
        <w:tc>
          <w:tcPr>
            <w:tcW w:w="706" w:type="dxa"/>
            <w:tcBorders>
              <w:left w:val="single" w:sz="8" w:space="0" w:color="000000"/>
            </w:tcBorders>
          </w:tcPr>
          <w:p>
            <w:pPr>
              <w:pStyle w:val="TableParagraph"/>
              <w:spacing w:line="130" w:lineRule="exact"/>
              <w:ind w:left="194" w:right="192"/>
              <w:rPr>
                <w:sz w:val="11"/>
              </w:rPr>
            </w:pPr>
            <w:r>
              <w:rPr>
                <w:w w:val="105"/>
                <w:sz w:val="11"/>
              </w:rPr>
              <w:t>51</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
        </w:tc>
        <w:tc>
          <w:tcPr>
            <w:tcW w:w="696" w:type="dxa"/>
            <w:tcBorders>
              <w:right w:val="single" w:sz="8" w:space="0" w:color="000000"/>
            </w:tcBorders>
          </w:tcPr>
          <w:p>
            <w:pPr/>
          </w:p>
        </w:tc>
        <w:tc>
          <w:tcPr>
            <w:tcW w:w="706" w:type="dxa"/>
            <w:tcBorders>
              <w:left w:val="single" w:sz="8" w:space="0" w:color="000000"/>
            </w:tcBorders>
          </w:tcPr>
          <w:p>
            <w:pPr/>
          </w:p>
        </w:tc>
        <w:tc>
          <w:tcPr>
            <w:tcW w:w="696" w:type="dxa"/>
            <w:tcBorders>
              <w:right w:val="single" w:sz="8" w:space="0" w:color="000000"/>
            </w:tcBorders>
          </w:tcPr>
          <w:p>
            <w:pPr/>
          </w:p>
        </w:tc>
        <w:tc>
          <w:tcPr>
            <w:tcW w:w="706" w:type="dxa"/>
            <w:tcBorders>
              <w:left w:val="single" w:sz="8" w:space="0" w:color="000000"/>
            </w:tcBorders>
          </w:tcPr>
          <w:p>
            <w:pPr/>
          </w:p>
        </w:tc>
        <w:tc>
          <w:tcPr>
            <w:tcW w:w="696" w:type="dxa"/>
            <w:tcBorders>
              <w:right w:val="single" w:sz="8" w:space="0" w:color="000000"/>
            </w:tcBorders>
          </w:tcPr>
          <w:p>
            <w:pP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sz w:val="11"/>
              </w:rPr>
              <w:t>Subsidies and grants = long=term portion    (*)</w:t>
            </w:r>
          </w:p>
        </w:tc>
        <w:tc>
          <w:tcPr>
            <w:tcW w:w="706" w:type="dxa"/>
            <w:tcBorders>
              <w:left w:val="single" w:sz="8" w:space="0" w:color="000000"/>
            </w:tcBorders>
          </w:tcPr>
          <w:p>
            <w:pPr>
              <w:pStyle w:val="TableParagraph"/>
              <w:spacing w:line="130" w:lineRule="exact"/>
              <w:ind w:left="194" w:right="192"/>
              <w:rPr>
                <w:sz w:val="11"/>
              </w:rPr>
            </w:pPr>
            <w:r>
              <w:rPr>
                <w:w w:val="105"/>
                <w:sz w:val="11"/>
              </w:rPr>
              <w:t>23</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19</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25</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right="236"/>
              <w:jc w:val="right"/>
              <w:rPr>
                <w:sz w:val="11"/>
              </w:rPr>
            </w:pPr>
            <w:r>
              <w:rPr>
                <w:w w:val="105"/>
                <w:sz w:val="11"/>
              </w:rPr>
              <w:t>7.00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43" w:hRule="exact"/>
        </w:trPr>
        <w:tc>
          <w:tcPr>
            <w:tcW w:w="2469" w:type="dxa"/>
            <w:tcBorders>
              <w:right w:val="single" w:sz="8" w:space="0" w:color="000000"/>
            </w:tcBorders>
          </w:tcPr>
          <w:p>
            <w:pPr>
              <w:pStyle w:val="TableParagraph"/>
              <w:spacing w:line="130" w:lineRule="exact"/>
              <w:ind w:left="21"/>
              <w:jc w:val="left"/>
              <w:rPr>
                <w:sz w:val="11"/>
              </w:rPr>
            </w:pPr>
            <w:r>
              <w:rPr>
                <w:w w:val="105"/>
                <w:sz w:val="11"/>
              </w:rPr>
              <w:t>Deferred tax liabilities</w:t>
            </w:r>
          </w:p>
        </w:tc>
        <w:tc>
          <w:tcPr>
            <w:tcW w:w="706" w:type="dxa"/>
            <w:tcBorders>
              <w:left w:val="single" w:sz="8" w:space="0" w:color="000000"/>
            </w:tcBorders>
          </w:tcPr>
          <w:p>
            <w:pPr>
              <w:pStyle w:val="TableParagraph"/>
              <w:spacing w:line="130" w:lineRule="exact"/>
              <w:ind w:left="194" w:right="192"/>
              <w:rPr>
                <w:sz w:val="11"/>
              </w:rPr>
            </w:pPr>
            <w:r>
              <w:rPr>
                <w:w w:val="105"/>
                <w:sz w:val="11"/>
              </w:rPr>
              <w:t>24</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22</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25</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right="208"/>
              <w:jc w:val="right"/>
              <w:rPr>
                <w:sz w:val="11"/>
              </w:rPr>
            </w:pPr>
            <w:r>
              <w:rPr>
                <w:w w:val="105"/>
                <w:sz w:val="11"/>
              </w:rPr>
              <w:t>16.00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59" w:hRule="exact"/>
        </w:trPr>
        <w:tc>
          <w:tcPr>
            <w:tcW w:w="2469" w:type="dxa"/>
            <w:tcBorders>
              <w:bottom w:val="single" w:sz="8" w:space="0" w:color="000000"/>
              <w:right w:val="single" w:sz="8" w:space="0" w:color="000000"/>
            </w:tcBorders>
            <w:shd w:val="clear" w:color="auto" w:fill="BFBFBF"/>
          </w:tcPr>
          <w:p>
            <w:pPr>
              <w:pStyle w:val="TableParagraph"/>
              <w:spacing w:before="1"/>
              <w:ind w:left="21"/>
              <w:jc w:val="left"/>
              <w:rPr>
                <w:b/>
                <w:sz w:val="11"/>
              </w:rPr>
            </w:pPr>
            <w:r>
              <w:rPr>
                <w:b/>
                <w:w w:val="105"/>
                <w:sz w:val="11"/>
              </w:rPr>
              <w:t>Non3current liabilities</w:t>
            </w:r>
          </w:p>
        </w:tc>
        <w:tc>
          <w:tcPr>
            <w:tcW w:w="706" w:type="dxa"/>
            <w:tcBorders>
              <w:left w:val="single" w:sz="8" w:space="0" w:color="000000"/>
              <w:bottom w:val="single" w:sz="8" w:space="0" w:color="000000"/>
            </w:tcBorders>
            <w:shd w:val="clear" w:color="auto" w:fill="BFBFBF"/>
          </w:tcPr>
          <w:p>
            <w:pPr>
              <w:pStyle w:val="TableParagraph"/>
              <w:spacing w:before="1"/>
              <w:ind w:left="194" w:right="192"/>
              <w:rPr>
                <w:b/>
                <w:sz w:val="11"/>
              </w:rPr>
            </w:pPr>
            <w:r>
              <w:rPr>
                <w:b/>
                <w:w w:val="105"/>
                <w:sz w:val="11"/>
              </w:rPr>
              <w:t>2,586</w:t>
            </w:r>
          </w:p>
        </w:tc>
        <w:tc>
          <w:tcPr>
            <w:tcW w:w="696" w:type="dxa"/>
            <w:tcBorders>
              <w:bottom w:val="single" w:sz="8" w:space="0" w:color="000000"/>
              <w:right w:val="single" w:sz="8" w:space="0" w:color="000000"/>
            </w:tcBorders>
            <w:shd w:val="clear" w:color="auto" w:fill="BFBFBF"/>
          </w:tcPr>
          <w:p>
            <w:pPr>
              <w:pStyle w:val="TableParagraph"/>
              <w:spacing w:before="1"/>
              <w:ind w:left="193" w:right="180"/>
              <w:rPr>
                <w:b/>
                <w:sz w:val="11"/>
              </w:rPr>
            </w:pPr>
            <w:r>
              <w:rPr>
                <w:b/>
                <w:w w:val="105"/>
                <w:sz w:val="11"/>
              </w:rPr>
              <w:t>30%</w:t>
            </w:r>
          </w:p>
        </w:tc>
        <w:tc>
          <w:tcPr>
            <w:tcW w:w="706" w:type="dxa"/>
            <w:tcBorders>
              <w:left w:val="single" w:sz="8" w:space="0" w:color="000000"/>
              <w:bottom w:val="single" w:sz="8" w:space="0" w:color="000000"/>
            </w:tcBorders>
            <w:shd w:val="clear" w:color="auto" w:fill="BFBFBF"/>
          </w:tcPr>
          <w:p>
            <w:pPr>
              <w:pStyle w:val="TableParagraph"/>
              <w:spacing w:before="1"/>
              <w:ind w:left="212"/>
              <w:jc w:val="left"/>
              <w:rPr>
                <w:b/>
                <w:sz w:val="11"/>
              </w:rPr>
            </w:pPr>
            <w:r>
              <w:rPr>
                <w:b/>
                <w:w w:val="105"/>
                <w:sz w:val="11"/>
              </w:rPr>
              <w:t>1,944</w:t>
            </w:r>
          </w:p>
        </w:tc>
        <w:tc>
          <w:tcPr>
            <w:tcW w:w="696" w:type="dxa"/>
            <w:tcBorders>
              <w:bottom w:val="single" w:sz="8" w:space="0" w:color="000000"/>
              <w:right w:val="single" w:sz="8" w:space="0" w:color="000000"/>
            </w:tcBorders>
            <w:shd w:val="clear" w:color="auto" w:fill="BFBFBF"/>
          </w:tcPr>
          <w:p>
            <w:pPr>
              <w:pStyle w:val="TableParagraph"/>
              <w:spacing w:before="1"/>
              <w:ind w:right="229"/>
              <w:jc w:val="right"/>
              <w:rPr>
                <w:b/>
                <w:sz w:val="11"/>
              </w:rPr>
            </w:pPr>
            <w:r>
              <w:rPr>
                <w:b/>
                <w:w w:val="105"/>
                <w:sz w:val="11"/>
              </w:rPr>
              <w:t>26%</w:t>
            </w:r>
          </w:p>
        </w:tc>
        <w:tc>
          <w:tcPr>
            <w:tcW w:w="706" w:type="dxa"/>
            <w:tcBorders>
              <w:left w:val="single" w:sz="8" w:space="0" w:color="000000"/>
              <w:bottom w:val="single" w:sz="8" w:space="0" w:color="000000"/>
            </w:tcBorders>
            <w:shd w:val="clear" w:color="auto" w:fill="BFBFBF"/>
          </w:tcPr>
          <w:p>
            <w:pPr>
              <w:pStyle w:val="TableParagraph"/>
              <w:spacing w:before="1"/>
              <w:ind w:left="194" w:right="192"/>
              <w:rPr>
                <w:b/>
                <w:sz w:val="11"/>
              </w:rPr>
            </w:pPr>
            <w:r>
              <w:rPr>
                <w:b/>
                <w:w w:val="105"/>
                <w:sz w:val="11"/>
              </w:rPr>
              <w:t>2,325</w:t>
            </w:r>
          </w:p>
        </w:tc>
        <w:tc>
          <w:tcPr>
            <w:tcW w:w="696" w:type="dxa"/>
            <w:tcBorders>
              <w:bottom w:val="single" w:sz="8" w:space="0" w:color="000000"/>
              <w:right w:val="single" w:sz="8" w:space="0" w:color="000000"/>
            </w:tcBorders>
            <w:shd w:val="clear" w:color="auto" w:fill="BFBFBF"/>
          </w:tcPr>
          <w:p>
            <w:pPr>
              <w:pStyle w:val="TableParagraph"/>
              <w:spacing w:before="1"/>
              <w:ind w:left="193" w:right="180"/>
              <w:rPr>
                <w:b/>
                <w:sz w:val="11"/>
              </w:rPr>
            </w:pPr>
            <w:r>
              <w:rPr>
                <w:b/>
                <w:w w:val="105"/>
                <w:sz w:val="11"/>
              </w:rPr>
              <w:t>36%</w:t>
            </w:r>
          </w:p>
        </w:tc>
        <w:tc>
          <w:tcPr>
            <w:tcW w:w="706" w:type="dxa"/>
            <w:tcBorders>
              <w:left w:val="single" w:sz="8" w:space="0" w:color="000000"/>
              <w:bottom w:val="single" w:sz="8" w:space="0" w:color="000000"/>
            </w:tcBorders>
            <w:shd w:val="clear" w:color="auto" w:fill="BFBFBF"/>
          </w:tcPr>
          <w:p>
            <w:pPr>
              <w:pStyle w:val="TableParagraph"/>
              <w:spacing w:before="1"/>
              <w:ind w:right="132"/>
              <w:jc w:val="right"/>
              <w:rPr>
                <w:b/>
                <w:sz w:val="11"/>
              </w:rPr>
            </w:pPr>
            <w:r>
              <w:rPr>
                <w:b/>
                <w:w w:val="105"/>
                <w:sz w:val="11"/>
              </w:rPr>
              <w:t>2,087.00</w:t>
            </w:r>
          </w:p>
        </w:tc>
        <w:tc>
          <w:tcPr>
            <w:tcW w:w="696" w:type="dxa"/>
            <w:tcBorders>
              <w:bottom w:val="single" w:sz="8" w:space="0" w:color="000000"/>
              <w:right w:val="single" w:sz="8" w:space="0" w:color="000000"/>
            </w:tcBorders>
            <w:shd w:val="clear" w:color="auto" w:fill="BFBFBF"/>
          </w:tcPr>
          <w:p>
            <w:pPr>
              <w:pStyle w:val="TableParagraph"/>
              <w:spacing w:before="1"/>
              <w:ind w:right="229"/>
              <w:jc w:val="right"/>
              <w:rPr>
                <w:b/>
                <w:sz w:val="11"/>
              </w:rPr>
            </w:pPr>
            <w:r>
              <w:rPr>
                <w:b/>
                <w:w w:val="105"/>
                <w:sz w:val="11"/>
              </w:rPr>
              <w:t>33%</w:t>
            </w:r>
          </w:p>
        </w:tc>
      </w:tr>
      <w:tr>
        <w:trPr>
          <w:trHeight w:val="154" w:hRule="exact"/>
        </w:trPr>
        <w:tc>
          <w:tcPr>
            <w:tcW w:w="2469" w:type="dxa"/>
            <w:tcBorders>
              <w:top w:val="single" w:sz="8" w:space="0" w:color="000000"/>
              <w:right w:val="single" w:sz="8" w:space="0" w:color="000000"/>
            </w:tcBorders>
          </w:tcPr>
          <w:p>
            <w:pPr>
              <w:pStyle w:val="TableParagraph"/>
              <w:spacing w:line="130" w:lineRule="exact"/>
              <w:ind w:left="21"/>
              <w:jc w:val="left"/>
              <w:rPr>
                <w:sz w:val="11"/>
              </w:rPr>
            </w:pPr>
            <w:r>
              <w:rPr>
                <w:w w:val="105"/>
                <w:sz w:val="11"/>
              </w:rPr>
              <w:t>Accounts and notes payable</w:t>
            </w:r>
          </w:p>
        </w:tc>
        <w:tc>
          <w:tcPr>
            <w:tcW w:w="706" w:type="dxa"/>
            <w:tcBorders>
              <w:top w:val="single" w:sz="8" w:space="0" w:color="000000"/>
              <w:left w:val="single" w:sz="8" w:space="0" w:color="000000"/>
            </w:tcBorders>
          </w:tcPr>
          <w:p>
            <w:pPr>
              <w:pStyle w:val="TableParagraph"/>
              <w:spacing w:line="130" w:lineRule="exact"/>
              <w:ind w:left="193" w:right="192"/>
              <w:rPr>
                <w:sz w:val="11"/>
              </w:rPr>
            </w:pPr>
            <w:r>
              <w:rPr>
                <w:w w:val="105"/>
                <w:sz w:val="11"/>
              </w:rPr>
              <w:t>2,340</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27%</w:t>
            </w:r>
          </w:p>
        </w:tc>
        <w:tc>
          <w:tcPr>
            <w:tcW w:w="706" w:type="dxa"/>
            <w:tcBorders>
              <w:top w:val="single" w:sz="8" w:space="0" w:color="000000"/>
              <w:left w:val="single" w:sz="8" w:space="0" w:color="000000"/>
            </w:tcBorders>
          </w:tcPr>
          <w:p>
            <w:pPr>
              <w:pStyle w:val="TableParagraph"/>
              <w:spacing w:line="130" w:lineRule="exact"/>
              <w:ind w:left="212"/>
              <w:jc w:val="left"/>
              <w:rPr>
                <w:sz w:val="11"/>
              </w:rPr>
            </w:pPr>
            <w:r>
              <w:rPr>
                <w:w w:val="105"/>
                <w:sz w:val="11"/>
              </w:rPr>
              <w:t>1,987</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27%</w:t>
            </w:r>
          </w:p>
        </w:tc>
        <w:tc>
          <w:tcPr>
            <w:tcW w:w="706" w:type="dxa"/>
            <w:tcBorders>
              <w:top w:val="single" w:sz="8" w:space="0" w:color="000000"/>
              <w:left w:val="single" w:sz="8" w:space="0" w:color="000000"/>
            </w:tcBorders>
          </w:tcPr>
          <w:p>
            <w:pPr>
              <w:pStyle w:val="TableParagraph"/>
              <w:spacing w:line="130" w:lineRule="exact"/>
              <w:ind w:left="193" w:right="192"/>
              <w:rPr>
                <w:sz w:val="11"/>
              </w:rPr>
            </w:pPr>
            <w:r>
              <w:rPr>
                <w:w w:val="105"/>
                <w:sz w:val="11"/>
              </w:rPr>
              <w:t>1,648</w:t>
            </w:r>
          </w:p>
        </w:tc>
        <w:tc>
          <w:tcPr>
            <w:tcW w:w="696" w:type="dxa"/>
            <w:tcBorders>
              <w:top w:val="single" w:sz="8" w:space="0" w:color="000000"/>
              <w:right w:val="single" w:sz="8" w:space="0" w:color="000000"/>
            </w:tcBorders>
          </w:tcPr>
          <w:p>
            <w:pPr>
              <w:pStyle w:val="TableParagraph"/>
              <w:spacing w:line="130" w:lineRule="exact"/>
              <w:ind w:left="193" w:right="182"/>
              <w:rPr>
                <w:sz w:val="11"/>
              </w:rPr>
            </w:pPr>
            <w:r>
              <w:rPr>
                <w:w w:val="105"/>
                <w:sz w:val="11"/>
              </w:rPr>
              <w:t>25%</w:t>
            </w:r>
          </w:p>
        </w:tc>
        <w:tc>
          <w:tcPr>
            <w:tcW w:w="706" w:type="dxa"/>
            <w:tcBorders>
              <w:top w:val="single" w:sz="8" w:space="0" w:color="000000"/>
              <w:left w:val="single" w:sz="8" w:space="0" w:color="000000"/>
            </w:tcBorders>
          </w:tcPr>
          <w:p>
            <w:pPr>
              <w:pStyle w:val="TableParagraph"/>
              <w:spacing w:line="130" w:lineRule="exact"/>
              <w:ind w:right="134"/>
              <w:jc w:val="right"/>
              <w:rPr>
                <w:sz w:val="11"/>
              </w:rPr>
            </w:pPr>
            <w:r>
              <w:rPr>
                <w:w w:val="105"/>
                <w:sz w:val="11"/>
              </w:rPr>
              <w:t>1,454.00</w:t>
            </w:r>
          </w:p>
        </w:tc>
        <w:tc>
          <w:tcPr>
            <w:tcW w:w="696" w:type="dxa"/>
            <w:tcBorders>
              <w:top w:val="single" w:sz="8" w:space="0" w:color="000000"/>
              <w:right w:val="single" w:sz="8" w:space="0" w:color="000000"/>
            </w:tcBorders>
          </w:tcPr>
          <w:p>
            <w:pPr>
              <w:pStyle w:val="TableParagraph"/>
              <w:spacing w:line="130" w:lineRule="exact"/>
              <w:ind w:right="230"/>
              <w:jc w:val="right"/>
              <w:rPr>
                <w:sz w:val="11"/>
              </w:rPr>
            </w:pPr>
            <w:r>
              <w:rPr>
                <w:w w:val="105"/>
                <w:sz w:val="11"/>
              </w:rPr>
              <w:t>23%</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sz w:val="11"/>
              </w:rPr>
              <w:t>Provisions  =  current portion</w:t>
            </w:r>
          </w:p>
        </w:tc>
        <w:tc>
          <w:tcPr>
            <w:tcW w:w="706" w:type="dxa"/>
            <w:tcBorders>
              <w:left w:val="single" w:sz="8" w:space="0" w:color="000000"/>
            </w:tcBorders>
          </w:tcPr>
          <w:p>
            <w:pPr>
              <w:pStyle w:val="TableParagraph"/>
              <w:spacing w:line="130" w:lineRule="exact"/>
              <w:ind w:left="192" w:right="192"/>
              <w:rPr>
                <w:sz w:val="11"/>
              </w:rPr>
            </w:pPr>
            <w:r>
              <w:rPr>
                <w:w w:val="105"/>
                <w:sz w:val="11"/>
              </w:rPr>
              <w:t>262</w:t>
            </w:r>
          </w:p>
        </w:tc>
        <w:tc>
          <w:tcPr>
            <w:tcW w:w="696" w:type="dxa"/>
            <w:tcBorders>
              <w:right w:val="single" w:sz="8" w:space="0" w:color="000000"/>
            </w:tcBorders>
          </w:tcPr>
          <w:p>
            <w:pPr>
              <w:pStyle w:val="TableParagraph"/>
              <w:spacing w:line="130" w:lineRule="exact"/>
              <w:ind w:left="193" w:right="178"/>
              <w:rPr>
                <w:sz w:val="11"/>
              </w:rPr>
            </w:pPr>
            <w:r>
              <w:rPr>
                <w:w w:val="105"/>
                <w:sz w:val="11"/>
              </w:rPr>
              <w:t>3%</w:t>
            </w:r>
          </w:p>
        </w:tc>
        <w:tc>
          <w:tcPr>
            <w:tcW w:w="706" w:type="dxa"/>
            <w:tcBorders>
              <w:left w:val="single" w:sz="8" w:space="0" w:color="000000"/>
            </w:tcBorders>
          </w:tcPr>
          <w:p>
            <w:pPr>
              <w:pStyle w:val="TableParagraph"/>
              <w:spacing w:line="130" w:lineRule="exact"/>
              <w:ind w:left="254"/>
              <w:jc w:val="left"/>
              <w:rPr>
                <w:sz w:val="11"/>
              </w:rPr>
            </w:pPr>
            <w:r>
              <w:rPr>
                <w:w w:val="105"/>
                <w:sz w:val="11"/>
              </w:rPr>
              <w:t>377</w:t>
            </w:r>
          </w:p>
        </w:tc>
        <w:tc>
          <w:tcPr>
            <w:tcW w:w="696" w:type="dxa"/>
            <w:tcBorders>
              <w:right w:val="single" w:sz="8" w:space="0" w:color="000000"/>
            </w:tcBorders>
          </w:tcPr>
          <w:p>
            <w:pPr>
              <w:pStyle w:val="TableParagraph"/>
              <w:spacing w:line="130" w:lineRule="exact"/>
              <w:ind w:right="258"/>
              <w:jc w:val="right"/>
              <w:rPr>
                <w:sz w:val="11"/>
              </w:rPr>
            </w:pPr>
            <w:r>
              <w:rPr>
                <w:w w:val="105"/>
                <w:sz w:val="11"/>
              </w:rPr>
              <w:t>5%</w:t>
            </w:r>
          </w:p>
        </w:tc>
        <w:tc>
          <w:tcPr>
            <w:tcW w:w="706" w:type="dxa"/>
            <w:tcBorders>
              <w:left w:val="single" w:sz="8" w:space="0" w:color="000000"/>
            </w:tcBorders>
          </w:tcPr>
          <w:p>
            <w:pPr>
              <w:pStyle w:val="TableParagraph"/>
              <w:spacing w:line="130" w:lineRule="exact"/>
              <w:ind w:left="192" w:right="192"/>
              <w:rPr>
                <w:sz w:val="11"/>
              </w:rPr>
            </w:pPr>
            <w:r>
              <w:rPr>
                <w:w w:val="105"/>
                <w:sz w:val="11"/>
              </w:rPr>
              <w:t>364</w:t>
            </w:r>
          </w:p>
        </w:tc>
        <w:tc>
          <w:tcPr>
            <w:tcW w:w="696" w:type="dxa"/>
            <w:tcBorders>
              <w:right w:val="single" w:sz="8" w:space="0" w:color="000000"/>
            </w:tcBorders>
          </w:tcPr>
          <w:p>
            <w:pPr>
              <w:pStyle w:val="TableParagraph"/>
              <w:spacing w:line="130" w:lineRule="exact"/>
              <w:ind w:left="193" w:right="178"/>
              <w:rPr>
                <w:sz w:val="11"/>
              </w:rPr>
            </w:pPr>
            <w:r>
              <w:rPr>
                <w:w w:val="105"/>
                <w:sz w:val="11"/>
              </w:rPr>
              <w:t>6%</w:t>
            </w:r>
          </w:p>
        </w:tc>
        <w:tc>
          <w:tcPr>
            <w:tcW w:w="706" w:type="dxa"/>
            <w:tcBorders>
              <w:left w:val="single" w:sz="8" w:space="0" w:color="000000"/>
            </w:tcBorders>
          </w:tcPr>
          <w:p>
            <w:pPr>
              <w:pStyle w:val="TableParagraph"/>
              <w:spacing w:line="130" w:lineRule="exact"/>
              <w:ind w:right="181"/>
              <w:jc w:val="right"/>
              <w:rPr>
                <w:sz w:val="11"/>
              </w:rPr>
            </w:pPr>
            <w:r>
              <w:rPr>
                <w:w w:val="105"/>
                <w:sz w:val="11"/>
              </w:rPr>
              <w:t>462.00</w:t>
            </w:r>
          </w:p>
        </w:tc>
        <w:tc>
          <w:tcPr>
            <w:tcW w:w="696" w:type="dxa"/>
            <w:tcBorders>
              <w:right w:val="single" w:sz="8" w:space="0" w:color="000000"/>
            </w:tcBorders>
          </w:tcPr>
          <w:p>
            <w:pPr>
              <w:pStyle w:val="TableParagraph"/>
              <w:spacing w:line="130" w:lineRule="exact"/>
              <w:ind w:right="258"/>
              <w:jc w:val="right"/>
              <w:rPr>
                <w:sz w:val="11"/>
              </w:rPr>
            </w:pPr>
            <w:r>
              <w:rPr>
                <w:w w:val="105"/>
                <w:sz w:val="11"/>
              </w:rPr>
              <w:t>7%</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sz w:val="11"/>
              </w:rPr>
              <w:t>Subsidies and grants = current    portion</w:t>
            </w:r>
          </w:p>
        </w:tc>
        <w:tc>
          <w:tcPr>
            <w:tcW w:w="706" w:type="dxa"/>
            <w:tcBorders>
              <w:left w:val="single" w:sz="8" w:space="0" w:color="000000"/>
            </w:tcBorders>
          </w:tcPr>
          <w:p>
            <w:pPr>
              <w:pStyle w:val="TableParagraph"/>
              <w:spacing w:line="130" w:lineRule="exact"/>
              <w:ind w:left="6"/>
              <w:rPr>
                <w:sz w:val="11"/>
              </w:rPr>
            </w:pPr>
            <w:r>
              <w:rPr>
                <w:w w:val="106"/>
                <w:sz w:val="11"/>
              </w:rPr>
              <w:t>9</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318"/>
              <w:jc w:val="left"/>
              <w:rPr>
                <w:sz w:val="11"/>
              </w:rPr>
            </w:pPr>
            <w:r>
              <w:rPr>
                <w:w w:val="106"/>
                <w:sz w:val="11"/>
              </w:rPr>
              <w:t>9</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194" w:right="192"/>
              <w:rPr>
                <w:sz w:val="11"/>
              </w:rPr>
            </w:pPr>
            <w:r>
              <w:rPr>
                <w:w w:val="105"/>
                <w:sz w:val="11"/>
              </w:rPr>
              <w:t>13</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right="236"/>
              <w:jc w:val="right"/>
              <w:rPr>
                <w:sz w:val="11"/>
              </w:rPr>
            </w:pPr>
            <w:r>
              <w:rPr>
                <w:w w:val="105"/>
                <w:sz w:val="11"/>
              </w:rPr>
              <w:t>5.00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Taxes payable</w:t>
            </w:r>
          </w:p>
        </w:tc>
        <w:tc>
          <w:tcPr>
            <w:tcW w:w="706" w:type="dxa"/>
            <w:tcBorders>
              <w:left w:val="single" w:sz="8" w:space="0" w:color="000000"/>
            </w:tcBorders>
          </w:tcPr>
          <w:p>
            <w:pPr>
              <w:pStyle w:val="TableParagraph"/>
              <w:spacing w:line="130" w:lineRule="exact"/>
              <w:ind w:left="194" w:right="192"/>
              <w:rPr>
                <w:sz w:val="11"/>
              </w:rPr>
            </w:pPr>
            <w:r>
              <w:rPr>
                <w:w w:val="105"/>
                <w:sz w:val="11"/>
              </w:rPr>
              <w:t>59</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286"/>
              <w:jc w:val="left"/>
              <w:rPr>
                <w:sz w:val="11"/>
              </w:rPr>
            </w:pPr>
            <w:r>
              <w:rPr>
                <w:w w:val="105"/>
                <w:sz w:val="11"/>
              </w:rPr>
              <w:t>53</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c>
          <w:tcPr>
            <w:tcW w:w="706" w:type="dxa"/>
            <w:tcBorders>
              <w:left w:val="single" w:sz="8" w:space="0" w:color="000000"/>
            </w:tcBorders>
          </w:tcPr>
          <w:p>
            <w:pPr>
              <w:pStyle w:val="TableParagraph"/>
              <w:spacing w:line="130" w:lineRule="exact"/>
              <w:ind w:left="194" w:right="192"/>
              <w:rPr>
                <w:sz w:val="11"/>
              </w:rPr>
            </w:pPr>
            <w:r>
              <w:rPr>
                <w:w w:val="105"/>
                <w:sz w:val="11"/>
              </w:rPr>
              <w:t>18</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right="208"/>
              <w:jc w:val="right"/>
              <w:rPr>
                <w:sz w:val="11"/>
              </w:rPr>
            </w:pPr>
            <w:r>
              <w:rPr>
                <w:w w:val="105"/>
                <w:sz w:val="11"/>
              </w:rPr>
              <w:t>50.00</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current liabilities</w:t>
            </w:r>
          </w:p>
        </w:tc>
        <w:tc>
          <w:tcPr>
            <w:tcW w:w="706" w:type="dxa"/>
            <w:tcBorders>
              <w:left w:val="single" w:sz="8" w:space="0" w:color="000000"/>
            </w:tcBorders>
          </w:tcPr>
          <w:p>
            <w:pPr>
              <w:pStyle w:val="TableParagraph"/>
              <w:spacing w:line="130" w:lineRule="exact"/>
              <w:ind w:left="192" w:right="192"/>
              <w:rPr>
                <w:sz w:val="11"/>
              </w:rPr>
            </w:pPr>
            <w:r>
              <w:rPr>
                <w:w w:val="105"/>
                <w:sz w:val="11"/>
              </w:rPr>
              <w:t>824</w:t>
            </w:r>
          </w:p>
        </w:tc>
        <w:tc>
          <w:tcPr>
            <w:tcW w:w="696" w:type="dxa"/>
            <w:tcBorders>
              <w:right w:val="single" w:sz="8" w:space="0" w:color="000000"/>
            </w:tcBorders>
          </w:tcPr>
          <w:p>
            <w:pPr>
              <w:pStyle w:val="TableParagraph"/>
              <w:spacing w:line="130" w:lineRule="exact"/>
              <w:ind w:left="193" w:right="182"/>
              <w:rPr>
                <w:sz w:val="11"/>
              </w:rPr>
            </w:pPr>
            <w:r>
              <w:rPr>
                <w:w w:val="105"/>
                <w:sz w:val="11"/>
              </w:rPr>
              <w:t>10%</w:t>
            </w:r>
          </w:p>
        </w:tc>
        <w:tc>
          <w:tcPr>
            <w:tcW w:w="706" w:type="dxa"/>
            <w:tcBorders>
              <w:left w:val="single" w:sz="8" w:space="0" w:color="000000"/>
            </w:tcBorders>
          </w:tcPr>
          <w:p>
            <w:pPr>
              <w:pStyle w:val="TableParagraph"/>
              <w:spacing w:line="130" w:lineRule="exact"/>
              <w:ind w:left="254"/>
              <w:jc w:val="left"/>
              <w:rPr>
                <w:sz w:val="11"/>
              </w:rPr>
            </w:pPr>
            <w:r>
              <w:rPr>
                <w:w w:val="105"/>
                <w:sz w:val="11"/>
              </w:rPr>
              <w:t>703</w:t>
            </w:r>
          </w:p>
        </w:tc>
        <w:tc>
          <w:tcPr>
            <w:tcW w:w="696" w:type="dxa"/>
            <w:tcBorders>
              <w:right w:val="single" w:sz="8" w:space="0" w:color="000000"/>
            </w:tcBorders>
          </w:tcPr>
          <w:p>
            <w:pPr>
              <w:pStyle w:val="TableParagraph"/>
              <w:spacing w:line="130" w:lineRule="exact"/>
              <w:ind w:right="258"/>
              <w:jc w:val="right"/>
              <w:rPr>
                <w:sz w:val="11"/>
              </w:rPr>
            </w:pPr>
            <w:r>
              <w:rPr>
                <w:w w:val="105"/>
                <w:sz w:val="11"/>
              </w:rPr>
              <w:t>9%</w:t>
            </w:r>
          </w:p>
        </w:tc>
        <w:tc>
          <w:tcPr>
            <w:tcW w:w="706" w:type="dxa"/>
            <w:tcBorders>
              <w:left w:val="single" w:sz="8" w:space="0" w:color="000000"/>
            </w:tcBorders>
          </w:tcPr>
          <w:p>
            <w:pPr>
              <w:pStyle w:val="TableParagraph"/>
              <w:spacing w:line="130" w:lineRule="exact"/>
              <w:ind w:left="192" w:right="192"/>
              <w:rPr>
                <w:sz w:val="11"/>
              </w:rPr>
            </w:pPr>
            <w:r>
              <w:rPr>
                <w:w w:val="105"/>
                <w:sz w:val="11"/>
              </w:rPr>
              <w:t>715</w:t>
            </w:r>
          </w:p>
        </w:tc>
        <w:tc>
          <w:tcPr>
            <w:tcW w:w="696" w:type="dxa"/>
            <w:tcBorders>
              <w:right w:val="single" w:sz="8" w:space="0" w:color="000000"/>
            </w:tcBorders>
          </w:tcPr>
          <w:p>
            <w:pPr>
              <w:pStyle w:val="TableParagraph"/>
              <w:spacing w:line="130" w:lineRule="exact"/>
              <w:ind w:left="193" w:right="182"/>
              <w:rPr>
                <w:sz w:val="11"/>
              </w:rPr>
            </w:pPr>
            <w:r>
              <w:rPr>
                <w:w w:val="105"/>
                <w:sz w:val="11"/>
              </w:rPr>
              <w:t>11%</w:t>
            </w:r>
          </w:p>
        </w:tc>
        <w:tc>
          <w:tcPr>
            <w:tcW w:w="706" w:type="dxa"/>
            <w:tcBorders>
              <w:left w:val="single" w:sz="8" w:space="0" w:color="000000"/>
            </w:tcBorders>
          </w:tcPr>
          <w:p>
            <w:pPr>
              <w:pStyle w:val="TableParagraph"/>
              <w:spacing w:line="130" w:lineRule="exact"/>
              <w:ind w:right="181"/>
              <w:jc w:val="right"/>
              <w:rPr>
                <w:sz w:val="11"/>
              </w:rPr>
            </w:pPr>
            <w:r>
              <w:rPr>
                <w:w w:val="105"/>
                <w:sz w:val="11"/>
              </w:rPr>
              <w:t>698.00</w:t>
            </w:r>
          </w:p>
        </w:tc>
        <w:tc>
          <w:tcPr>
            <w:tcW w:w="696" w:type="dxa"/>
            <w:tcBorders>
              <w:right w:val="single" w:sz="8" w:space="0" w:color="000000"/>
            </w:tcBorders>
          </w:tcPr>
          <w:p>
            <w:pPr>
              <w:pStyle w:val="TableParagraph"/>
              <w:spacing w:line="130" w:lineRule="exact"/>
              <w:ind w:right="230"/>
              <w:jc w:val="right"/>
              <w:rPr>
                <w:sz w:val="11"/>
              </w:rPr>
            </w:pPr>
            <w:r>
              <w:rPr>
                <w:w w:val="105"/>
                <w:sz w:val="11"/>
              </w:rPr>
              <w:t>11%</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Current portion of long=term debt</w:t>
            </w:r>
          </w:p>
        </w:tc>
        <w:tc>
          <w:tcPr>
            <w:tcW w:w="706" w:type="dxa"/>
            <w:tcBorders>
              <w:left w:val="single" w:sz="8" w:space="0" w:color="000000"/>
            </w:tcBorders>
          </w:tcPr>
          <w:p>
            <w:pPr>
              <w:pStyle w:val="TableParagraph"/>
              <w:spacing w:line="130" w:lineRule="exact"/>
              <w:ind w:left="192" w:right="192"/>
              <w:rPr>
                <w:sz w:val="11"/>
              </w:rPr>
            </w:pPr>
            <w:r>
              <w:rPr>
                <w:w w:val="105"/>
                <w:sz w:val="11"/>
              </w:rPr>
              <w:t>307</w:t>
            </w:r>
          </w:p>
        </w:tc>
        <w:tc>
          <w:tcPr>
            <w:tcW w:w="696" w:type="dxa"/>
            <w:tcBorders>
              <w:right w:val="single" w:sz="8" w:space="0" w:color="000000"/>
            </w:tcBorders>
          </w:tcPr>
          <w:p>
            <w:pPr>
              <w:pStyle w:val="TableParagraph"/>
              <w:spacing w:line="130" w:lineRule="exact"/>
              <w:ind w:left="193" w:right="178"/>
              <w:rPr>
                <w:sz w:val="11"/>
              </w:rPr>
            </w:pPr>
            <w:r>
              <w:rPr>
                <w:w w:val="105"/>
                <w:sz w:val="11"/>
              </w:rPr>
              <w:t>4%</w:t>
            </w:r>
          </w:p>
        </w:tc>
        <w:tc>
          <w:tcPr>
            <w:tcW w:w="706" w:type="dxa"/>
            <w:tcBorders>
              <w:left w:val="single" w:sz="8" w:space="0" w:color="000000"/>
            </w:tcBorders>
          </w:tcPr>
          <w:p>
            <w:pPr>
              <w:pStyle w:val="TableParagraph"/>
              <w:spacing w:line="130" w:lineRule="exact"/>
              <w:ind w:left="254"/>
              <w:jc w:val="left"/>
              <w:rPr>
                <w:sz w:val="11"/>
              </w:rPr>
            </w:pPr>
            <w:r>
              <w:rPr>
                <w:w w:val="105"/>
                <w:sz w:val="11"/>
              </w:rPr>
              <w:t>505</w:t>
            </w:r>
          </w:p>
        </w:tc>
        <w:tc>
          <w:tcPr>
            <w:tcW w:w="696" w:type="dxa"/>
            <w:tcBorders>
              <w:right w:val="single" w:sz="8" w:space="0" w:color="000000"/>
            </w:tcBorders>
          </w:tcPr>
          <w:p>
            <w:pPr>
              <w:pStyle w:val="TableParagraph"/>
              <w:spacing w:line="130" w:lineRule="exact"/>
              <w:ind w:right="258"/>
              <w:jc w:val="right"/>
              <w:rPr>
                <w:sz w:val="11"/>
              </w:rPr>
            </w:pPr>
            <w:r>
              <w:rPr>
                <w:w w:val="105"/>
                <w:sz w:val="11"/>
              </w:rPr>
              <w:t>7%</w:t>
            </w:r>
          </w:p>
        </w:tc>
        <w:tc>
          <w:tcPr>
            <w:tcW w:w="706" w:type="dxa"/>
            <w:tcBorders>
              <w:left w:val="single" w:sz="8" w:space="0" w:color="000000"/>
            </w:tcBorders>
          </w:tcPr>
          <w:p>
            <w:pPr>
              <w:pStyle w:val="TableParagraph"/>
              <w:spacing w:line="130" w:lineRule="exact"/>
              <w:ind w:left="194" w:right="192"/>
              <w:rPr>
                <w:sz w:val="11"/>
              </w:rPr>
            </w:pPr>
            <w:r>
              <w:rPr>
                <w:w w:val="105"/>
                <w:sz w:val="11"/>
              </w:rPr>
              <w:t>40</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right="208"/>
              <w:jc w:val="right"/>
              <w:rPr>
                <w:sz w:val="11"/>
              </w:rPr>
            </w:pPr>
            <w:r>
              <w:rPr>
                <w:w w:val="105"/>
                <w:sz w:val="11"/>
              </w:rPr>
              <w:t>26.00</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Other current financial liabilities</w:t>
            </w:r>
          </w:p>
        </w:tc>
        <w:tc>
          <w:tcPr>
            <w:tcW w:w="706" w:type="dxa"/>
            <w:tcBorders>
              <w:left w:val="single" w:sz="8" w:space="0" w:color="000000"/>
            </w:tcBorders>
          </w:tcPr>
          <w:p>
            <w:pPr>
              <w:pStyle w:val="TableParagraph"/>
              <w:spacing w:line="130" w:lineRule="exact"/>
              <w:ind w:left="194" w:right="192"/>
              <w:rPr>
                <w:sz w:val="11"/>
              </w:rPr>
            </w:pPr>
            <w:r>
              <w:rPr>
                <w:w w:val="105"/>
                <w:sz w:val="11"/>
              </w:rPr>
              <w:t>20</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left="286"/>
              <w:jc w:val="left"/>
              <w:rPr>
                <w:sz w:val="11"/>
              </w:rPr>
            </w:pPr>
            <w:r>
              <w:rPr>
                <w:w w:val="105"/>
                <w:sz w:val="11"/>
              </w:rPr>
              <w:t>15</w:t>
            </w:r>
          </w:p>
        </w:tc>
        <w:tc>
          <w:tcPr>
            <w:tcW w:w="696" w:type="dxa"/>
            <w:tcBorders>
              <w:right w:val="single" w:sz="8" w:space="0" w:color="000000"/>
            </w:tcBorders>
          </w:tcPr>
          <w:p>
            <w:pPr>
              <w:pStyle w:val="TableParagraph"/>
              <w:spacing w:line="130" w:lineRule="exact"/>
              <w:ind w:right="258"/>
              <w:jc w:val="right"/>
              <w:rPr>
                <w:sz w:val="11"/>
              </w:rPr>
            </w:pPr>
            <w:r>
              <w:rPr>
                <w:w w:val="105"/>
                <w:sz w:val="11"/>
              </w:rPr>
              <w:t>0%</w:t>
            </w:r>
          </w:p>
        </w:tc>
        <w:tc>
          <w:tcPr>
            <w:tcW w:w="706" w:type="dxa"/>
            <w:tcBorders>
              <w:left w:val="single" w:sz="8" w:space="0" w:color="000000"/>
            </w:tcBorders>
          </w:tcPr>
          <w:p>
            <w:pPr>
              <w:pStyle w:val="TableParagraph"/>
              <w:spacing w:line="130" w:lineRule="exact"/>
              <w:ind w:left="6"/>
              <w:rPr>
                <w:sz w:val="11"/>
              </w:rPr>
            </w:pPr>
            <w:r>
              <w:rPr>
                <w:w w:val="106"/>
                <w:sz w:val="11"/>
              </w:rPr>
              <w:t>5</w:t>
            </w:r>
          </w:p>
        </w:tc>
        <w:tc>
          <w:tcPr>
            <w:tcW w:w="696" w:type="dxa"/>
            <w:tcBorders>
              <w:right w:val="single" w:sz="8" w:space="0" w:color="000000"/>
            </w:tcBorders>
          </w:tcPr>
          <w:p>
            <w:pPr>
              <w:pStyle w:val="TableParagraph"/>
              <w:spacing w:line="130" w:lineRule="exact"/>
              <w:ind w:left="193" w:right="178"/>
              <w:rPr>
                <w:sz w:val="11"/>
              </w:rPr>
            </w:pPr>
            <w:r>
              <w:rPr>
                <w:w w:val="105"/>
                <w:sz w:val="11"/>
              </w:rPr>
              <w:t>0%</w:t>
            </w:r>
          </w:p>
        </w:tc>
        <w:tc>
          <w:tcPr>
            <w:tcW w:w="706" w:type="dxa"/>
            <w:tcBorders>
              <w:left w:val="single" w:sz="8" w:space="0" w:color="000000"/>
            </w:tcBorders>
          </w:tcPr>
          <w:p>
            <w:pPr>
              <w:pStyle w:val="TableParagraph"/>
              <w:spacing w:line="130" w:lineRule="exact"/>
              <w:ind w:right="208"/>
              <w:jc w:val="right"/>
              <w:rPr>
                <w:sz w:val="11"/>
              </w:rPr>
            </w:pPr>
            <w:r>
              <w:rPr>
                <w:w w:val="105"/>
                <w:sz w:val="11"/>
              </w:rPr>
              <w:t>38.00</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r>
      <w:tr>
        <w:trPr>
          <w:trHeight w:val="148" w:hRule="exact"/>
        </w:trPr>
        <w:tc>
          <w:tcPr>
            <w:tcW w:w="2469" w:type="dxa"/>
            <w:tcBorders>
              <w:right w:val="single" w:sz="8" w:space="0" w:color="000000"/>
            </w:tcBorders>
          </w:tcPr>
          <w:p>
            <w:pPr>
              <w:pStyle w:val="TableParagraph"/>
              <w:spacing w:line="130" w:lineRule="exact"/>
              <w:ind w:left="21"/>
              <w:jc w:val="left"/>
              <w:rPr>
                <w:sz w:val="11"/>
              </w:rPr>
            </w:pPr>
            <w:r>
              <w:rPr>
                <w:w w:val="105"/>
                <w:sz w:val="11"/>
              </w:rPr>
              <w:t>Short=term debt</w:t>
            </w:r>
          </w:p>
        </w:tc>
        <w:tc>
          <w:tcPr>
            <w:tcW w:w="706" w:type="dxa"/>
            <w:tcBorders>
              <w:left w:val="single" w:sz="8" w:space="0" w:color="000000"/>
            </w:tcBorders>
          </w:tcPr>
          <w:p>
            <w:pPr>
              <w:pStyle w:val="TableParagraph"/>
              <w:spacing w:line="130" w:lineRule="exact"/>
              <w:ind w:left="194" w:right="192"/>
              <w:rPr>
                <w:sz w:val="11"/>
              </w:rPr>
            </w:pPr>
            <w:r>
              <w:rPr>
                <w:w w:val="105"/>
                <w:sz w:val="11"/>
              </w:rPr>
              <w:t>75</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left="286"/>
              <w:jc w:val="left"/>
              <w:rPr>
                <w:sz w:val="11"/>
              </w:rPr>
            </w:pPr>
            <w:r>
              <w:rPr>
                <w:w w:val="105"/>
                <w:sz w:val="11"/>
              </w:rPr>
              <w:t>77</w:t>
            </w:r>
          </w:p>
        </w:tc>
        <w:tc>
          <w:tcPr>
            <w:tcW w:w="696" w:type="dxa"/>
            <w:tcBorders>
              <w:right w:val="single" w:sz="8" w:space="0" w:color="000000"/>
            </w:tcBorders>
          </w:tcPr>
          <w:p>
            <w:pPr>
              <w:pStyle w:val="TableParagraph"/>
              <w:spacing w:line="130" w:lineRule="exact"/>
              <w:ind w:right="258"/>
              <w:jc w:val="right"/>
              <w:rPr>
                <w:sz w:val="11"/>
              </w:rPr>
            </w:pPr>
            <w:r>
              <w:rPr>
                <w:w w:val="105"/>
                <w:sz w:val="11"/>
              </w:rPr>
              <w:t>1%</w:t>
            </w:r>
          </w:p>
        </w:tc>
        <w:tc>
          <w:tcPr>
            <w:tcW w:w="706" w:type="dxa"/>
            <w:tcBorders>
              <w:left w:val="single" w:sz="8" w:space="0" w:color="000000"/>
            </w:tcBorders>
          </w:tcPr>
          <w:p>
            <w:pPr>
              <w:pStyle w:val="TableParagraph"/>
              <w:spacing w:line="130" w:lineRule="exact"/>
              <w:ind w:left="194" w:right="192"/>
              <w:rPr>
                <w:sz w:val="11"/>
              </w:rPr>
            </w:pPr>
            <w:r>
              <w:rPr>
                <w:w w:val="105"/>
                <w:sz w:val="11"/>
              </w:rPr>
              <w:t>73</w:t>
            </w:r>
          </w:p>
        </w:tc>
        <w:tc>
          <w:tcPr>
            <w:tcW w:w="696" w:type="dxa"/>
            <w:tcBorders>
              <w:right w:val="single" w:sz="8" w:space="0" w:color="000000"/>
            </w:tcBorders>
          </w:tcPr>
          <w:p>
            <w:pPr>
              <w:pStyle w:val="TableParagraph"/>
              <w:spacing w:line="130" w:lineRule="exact"/>
              <w:ind w:left="193" w:right="178"/>
              <w:rPr>
                <w:sz w:val="11"/>
              </w:rPr>
            </w:pPr>
            <w:r>
              <w:rPr>
                <w:w w:val="105"/>
                <w:sz w:val="11"/>
              </w:rPr>
              <w:t>1%</w:t>
            </w:r>
          </w:p>
        </w:tc>
        <w:tc>
          <w:tcPr>
            <w:tcW w:w="706" w:type="dxa"/>
            <w:tcBorders>
              <w:left w:val="single" w:sz="8" w:space="0" w:color="000000"/>
            </w:tcBorders>
          </w:tcPr>
          <w:p>
            <w:pPr>
              <w:pStyle w:val="TableParagraph"/>
              <w:spacing w:line="130" w:lineRule="exact"/>
              <w:ind w:right="181"/>
              <w:jc w:val="right"/>
              <w:rPr>
                <w:sz w:val="11"/>
              </w:rPr>
            </w:pPr>
            <w:r>
              <w:rPr>
                <w:w w:val="105"/>
                <w:sz w:val="11"/>
              </w:rPr>
              <w:t>166.00</w:t>
            </w:r>
          </w:p>
        </w:tc>
        <w:tc>
          <w:tcPr>
            <w:tcW w:w="696" w:type="dxa"/>
            <w:tcBorders>
              <w:right w:val="single" w:sz="8" w:space="0" w:color="000000"/>
            </w:tcBorders>
          </w:tcPr>
          <w:p>
            <w:pPr>
              <w:pStyle w:val="TableParagraph"/>
              <w:spacing w:line="130" w:lineRule="exact"/>
              <w:ind w:right="258"/>
              <w:jc w:val="right"/>
              <w:rPr>
                <w:sz w:val="11"/>
              </w:rPr>
            </w:pPr>
            <w:r>
              <w:rPr>
                <w:w w:val="105"/>
                <w:sz w:val="11"/>
              </w:rPr>
              <w:t>3%</w:t>
            </w:r>
          </w:p>
        </w:tc>
      </w:tr>
      <w:tr>
        <w:trPr>
          <w:trHeight w:val="154" w:hRule="exact"/>
        </w:trPr>
        <w:tc>
          <w:tcPr>
            <w:tcW w:w="2469" w:type="dxa"/>
            <w:tcBorders>
              <w:bottom w:val="single" w:sz="8" w:space="0" w:color="000000"/>
              <w:right w:val="single" w:sz="8" w:space="0" w:color="000000"/>
            </w:tcBorders>
            <w:shd w:val="clear" w:color="auto" w:fill="BFBFBF"/>
          </w:tcPr>
          <w:p>
            <w:pPr>
              <w:pStyle w:val="TableParagraph"/>
              <w:spacing w:line="130" w:lineRule="exact"/>
              <w:ind w:left="21"/>
              <w:jc w:val="left"/>
              <w:rPr>
                <w:b/>
                <w:sz w:val="11"/>
              </w:rPr>
            </w:pPr>
            <w:r>
              <w:rPr>
                <w:b/>
                <w:w w:val="105"/>
                <w:sz w:val="11"/>
              </w:rPr>
              <w:t>Current liabilities</w:t>
            </w:r>
          </w:p>
        </w:tc>
        <w:tc>
          <w:tcPr>
            <w:tcW w:w="706" w:type="dxa"/>
            <w:tcBorders>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3,896</w:t>
            </w:r>
          </w:p>
        </w:tc>
        <w:tc>
          <w:tcPr>
            <w:tcW w:w="696" w:type="dxa"/>
            <w:tcBorders>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46%</w:t>
            </w:r>
          </w:p>
        </w:tc>
        <w:tc>
          <w:tcPr>
            <w:tcW w:w="706" w:type="dxa"/>
            <w:tcBorders>
              <w:left w:val="single" w:sz="8" w:space="0" w:color="000000"/>
              <w:bottom w:val="single" w:sz="8" w:space="0" w:color="000000"/>
            </w:tcBorders>
            <w:shd w:val="clear" w:color="auto" w:fill="BFBFBF"/>
          </w:tcPr>
          <w:p>
            <w:pPr>
              <w:pStyle w:val="TableParagraph"/>
              <w:spacing w:line="130" w:lineRule="exact"/>
              <w:ind w:left="212"/>
              <w:jc w:val="left"/>
              <w:rPr>
                <w:b/>
                <w:sz w:val="11"/>
              </w:rPr>
            </w:pPr>
            <w:r>
              <w:rPr>
                <w:b/>
                <w:w w:val="105"/>
                <w:sz w:val="11"/>
              </w:rPr>
              <w:t>3,726</w:t>
            </w:r>
          </w:p>
        </w:tc>
        <w:tc>
          <w:tcPr>
            <w:tcW w:w="696" w:type="dxa"/>
            <w:tcBorders>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50%</w:t>
            </w:r>
          </w:p>
        </w:tc>
        <w:tc>
          <w:tcPr>
            <w:tcW w:w="706" w:type="dxa"/>
            <w:tcBorders>
              <w:left w:val="single" w:sz="8" w:space="0" w:color="000000"/>
              <w:bottom w:val="single" w:sz="8" w:space="0" w:color="000000"/>
            </w:tcBorders>
            <w:shd w:val="clear" w:color="auto" w:fill="BFBFBF"/>
          </w:tcPr>
          <w:p>
            <w:pPr>
              <w:pStyle w:val="TableParagraph"/>
              <w:spacing w:line="130" w:lineRule="exact"/>
              <w:ind w:left="194" w:right="192"/>
              <w:rPr>
                <w:b/>
                <w:sz w:val="11"/>
              </w:rPr>
            </w:pPr>
            <w:r>
              <w:rPr>
                <w:b/>
                <w:w w:val="105"/>
                <w:sz w:val="11"/>
              </w:rPr>
              <w:t>2,876</w:t>
            </w:r>
          </w:p>
        </w:tc>
        <w:tc>
          <w:tcPr>
            <w:tcW w:w="696" w:type="dxa"/>
            <w:tcBorders>
              <w:bottom w:val="single" w:sz="8" w:space="0" w:color="000000"/>
              <w:right w:val="single" w:sz="8" w:space="0" w:color="000000"/>
            </w:tcBorders>
            <w:shd w:val="clear" w:color="auto" w:fill="BFBFBF"/>
          </w:tcPr>
          <w:p>
            <w:pPr>
              <w:pStyle w:val="TableParagraph"/>
              <w:spacing w:line="130" w:lineRule="exact"/>
              <w:ind w:left="193" w:right="180"/>
              <w:rPr>
                <w:b/>
                <w:sz w:val="11"/>
              </w:rPr>
            </w:pPr>
            <w:r>
              <w:rPr>
                <w:b/>
                <w:w w:val="105"/>
                <w:sz w:val="11"/>
              </w:rPr>
              <w:t>44%</w:t>
            </w:r>
          </w:p>
        </w:tc>
        <w:tc>
          <w:tcPr>
            <w:tcW w:w="706" w:type="dxa"/>
            <w:tcBorders>
              <w:left w:val="single" w:sz="8" w:space="0" w:color="000000"/>
              <w:bottom w:val="single" w:sz="8" w:space="0" w:color="000000"/>
            </w:tcBorders>
            <w:shd w:val="clear" w:color="auto" w:fill="BFBFBF"/>
          </w:tcPr>
          <w:p>
            <w:pPr>
              <w:pStyle w:val="TableParagraph"/>
              <w:spacing w:line="130" w:lineRule="exact"/>
              <w:ind w:right="132"/>
              <w:jc w:val="right"/>
              <w:rPr>
                <w:b/>
                <w:sz w:val="11"/>
              </w:rPr>
            </w:pPr>
            <w:r>
              <w:rPr>
                <w:b/>
                <w:w w:val="105"/>
                <w:sz w:val="11"/>
              </w:rPr>
              <w:t>2,899.00</w:t>
            </w:r>
          </w:p>
        </w:tc>
        <w:tc>
          <w:tcPr>
            <w:tcW w:w="696" w:type="dxa"/>
            <w:tcBorders>
              <w:bottom w:val="single" w:sz="8" w:space="0" w:color="000000"/>
              <w:right w:val="single" w:sz="8" w:space="0" w:color="000000"/>
            </w:tcBorders>
            <w:shd w:val="clear" w:color="auto" w:fill="BFBFBF"/>
          </w:tcPr>
          <w:p>
            <w:pPr>
              <w:pStyle w:val="TableParagraph"/>
              <w:spacing w:line="130" w:lineRule="exact"/>
              <w:ind w:right="229"/>
              <w:jc w:val="right"/>
              <w:rPr>
                <w:b/>
                <w:sz w:val="11"/>
              </w:rPr>
            </w:pPr>
            <w:r>
              <w:rPr>
                <w:b/>
                <w:w w:val="105"/>
                <w:sz w:val="11"/>
              </w:rPr>
              <w:t>46%</w:t>
            </w:r>
          </w:p>
        </w:tc>
      </w:tr>
      <w:tr>
        <w:trPr>
          <w:trHeight w:val="159" w:hRule="exact"/>
        </w:trPr>
        <w:tc>
          <w:tcPr>
            <w:tcW w:w="2469"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21"/>
              <w:jc w:val="left"/>
              <w:rPr>
                <w:b/>
                <w:sz w:val="11"/>
              </w:rPr>
            </w:pPr>
            <w:r>
              <w:rPr>
                <w:b/>
                <w:w w:val="105"/>
                <w:sz w:val="11"/>
              </w:rPr>
              <w:t>TOTAL LIABILITIES AND EQUITY</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194" w:right="192"/>
              <w:rPr>
                <w:b/>
                <w:sz w:val="11"/>
              </w:rPr>
            </w:pPr>
            <w:r>
              <w:rPr>
                <w:b/>
                <w:w w:val="105"/>
                <w:sz w:val="11"/>
              </w:rPr>
              <w:t>8,562</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193" w:right="185"/>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212"/>
              <w:jc w:val="left"/>
              <w:rPr>
                <w:b/>
                <w:sz w:val="11"/>
              </w:rPr>
            </w:pPr>
            <w:r>
              <w:rPr>
                <w:b/>
                <w:w w:val="105"/>
                <w:sz w:val="11"/>
              </w:rPr>
              <w:t>7,440</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right="201"/>
              <w:jc w:val="right"/>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left="194" w:right="192"/>
              <w:rPr>
                <w:b/>
                <w:sz w:val="11"/>
              </w:rPr>
            </w:pPr>
            <w:r>
              <w:rPr>
                <w:b/>
                <w:w w:val="105"/>
                <w:sz w:val="11"/>
              </w:rPr>
              <w:t>6,485</w:t>
            </w:r>
          </w:p>
        </w:tc>
        <w:tc>
          <w:tcPr>
            <w:tcW w:w="696" w:type="dxa"/>
            <w:tcBorders>
              <w:top w:val="single" w:sz="8" w:space="0" w:color="000000"/>
              <w:bottom w:val="single" w:sz="8" w:space="0" w:color="000000"/>
              <w:right w:val="single" w:sz="8" w:space="0" w:color="000000"/>
            </w:tcBorders>
            <w:shd w:val="clear" w:color="auto" w:fill="808080"/>
          </w:tcPr>
          <w:p>
            <w:pPr>
              <w:pStyle w:val="TableParagraph"/>
              <w:spacing w:line="130" w:lineRule="exact"/>
              <w:ind w:left="193" w:right="185"/>
              <w:rPr>
                <w:b/>
                <w:sz w:val="11"/>
              </w:rPr>
            </w:pPr>
            <w:r>
              <w:rPr>
                <w:b/>
                <w:w w:val="105"/>
                <w:sz w:val="11"/>
              </w:rPr>
              <w:t>100%</w:t>
            </w:r>
          </w:p>
        </w:tc>
        <w:tc>
          <w:tcPr>
            <w:tcW w:w="706" w:type="dxa"/>
            <w:tcBorders>
              <w:top w:val="single" w:sz="8" w:space="0" w:color="000000"/>
              <w:left w:val="single" w:sz="8" w:space="0" w:color="000000"/>
              <w:bottom w:val="single" w:sz="8" w:space="0" w:color="000000"/>
            </w:tcBorders>
            <w:shd w:val="clear" w:color="auto" w:fill="808080"/>
          </w:tcPr>
          <w:p>
            <w:pPr>
              <w:pStyle w:val="TableParagraph"/>
              <w:spacing w:line="130" w:lineRule="exact"/>
              <w:ind w:right="208"/>
              <w:jc w:val="right"/>
              <w:rPr>
                <w:b/>
                <w:sz w:val="11"/>
              </w:rPr>
            </w:pPr>
            <w:r>
              <w:rPr>
                <w:b/>
                <w:w w:val="105"/>
                <w:sz w:val="11"/>
              </w:rPr>
              <w:t>6,348</w:t>
            </w:r>
          </w:p>
        </w:tc>
        <w:tc>
          <w:tcPr>
            <w:tcW w:w="696" w:type="dxa"/>
            <w:tcBorders>
              <w:top w:val="single" w:sz="8" w:space="0" w:color="000000"/>
              <w:bottom w:val="single" w:sz="8" w:space="0" w:color="000000"/>
            </w:tcBorders>
            <w:shd w:val="clear" w:color="auto" w:fill="808080"/>
          </w:tcPr>
          <w:p>
            <w:pPr>
              <w:pStyle w:val="TableParagraph"/>
              <w:spacing w:line="130" w:lineRule="exact"/>
              <w:ind w:right="206"/>
              <w:jc w:val="right"/>
              <w:rPr>
                <w:b/>
                <w:sz w:val="11"/>
              </w:rPr>
            </w:pPr>
            <w:r>
              <w:rPr>
                <w:b/>
                <w:w w:val="105"/>
                <w:sz w:val="11"/>
              </w:rPr>
              <w:t>100%</w:t>
            </w:r>
          </w:p>
        </w:tc>
      </w:tr>
    </w:tbl>
    <w:p>
      <w:pPr>
        <w:spacing w:after="0" w:line="130" w:lineRule="exact"/>
        <w:jc w:val="right"/>
        <w:rPr>
          <w:sz w:val="11"/>
        </w:rPr>
        <w:sectPr>
          <w:pgSz w:w="11910" w:h="16840"/>
          <w:pgMar w:header="755" w:footer="724" w:top="960" w:bottom="920" w:left="1600" w:right="1580"/>
        </w:sectPr>
      </w:pPr>
    </w:p>
    <w:p>
      <w:pPr>
        <w:pStyle w:val="BodyText"/>
        <w:rPr>
          <w:b/>
          <w:sz w:val="20"/>
        </w:rPr>
      </w:pPr>
      <w:r>
        <w:rPr/>
        <w:pict>
          <v:shape style="position:absolute;margin-left:349.552002pt;margin-top:261.449005pt;width:1.7pt;height:2.4pt;mso-position-horizontal-relative:page;mso-position-vertical-relative:page;z-index:-240208" coordorigin="6991,5229" coordsize="34,48" path="m7024,5229l6991,5229,6991,5245,6991,5261,6991,5277,7002,5277,7002,5261,7013,5261,7013,5245,7024,5245,7024,5229e" filled="true" fillcolor="#008000" stroked="false">
            <v:path arrowok="t"/>
            <v:fill type="solid"/>
            <w10:wrap type="none"/>
          </v:shape>
        </w:pict>
      </w:r>
      <w:r>
        <w:rPr/>
        <w:pict>
          <v:shape style="position:absolute;margin-left:408.59201pt;margin-top:260.652008pt;width:2.25pt;height:3.2pt;mso-position-horizontal-relative:page;mso-position-vertical-relative:page;z-index:-240184" coordorigin="8172,5213" coordsize="45,64" path="m8216,5213l8172,5213,8172,5229,8172,5245,8172,5261,8172,5277,8183,5277,8183,5261,8194,5261,8194,5245,8205,5245,8205,5229,8216,5229,8216,5213e" filled="true" fillcolor="#008000" stroked="false">
            <v:path arrowok="t"/>
            <v:fill type="solid"/>
            <w10:wrap type="none"/>
          </v:shape>
        </w:pict>
      </w:r>
      <w:r>
        <w:rPr/>
        <w:pict>
          <v:shape style="position:absolute;margin-left:349.552002pt;margin-top:283.761993pt;width:1.7pt;height:2.4pt;mso-position-horizontal-relative:page;mso-position-vertical-relative:page;z-index:-240160" coordorigin="6991,5675" coordsize="34,48" path="m7024,5675l6991,5675,6991,5691,6991,5707,6991,5723,7002,5723,7002,5707,7013,5707,7013,5691,7024,5691,7024,5675e" filled="true" fillcolor="#008000" stroked="false">
            <v:path arrowok="t"/>
            <v:fill type="solid"/>
            <w10:wrap type="none"/>
          </v:shape>
        </w:pict>
      </w:r>
      <w:r>
        <w:rPr/>
        <w:pict>
          <v:shape style="position:absolute;margin-left:408.59201pt;margin-top:282.966003pt;width:2.25pt;height:3.2pt;mso-position-horizontal-relative:page;mso-position-vertical-relative:page;z-index:-240136" coordorigin="8172,5659" coordsize="45,64" path="m8216,5659l8172,5659,8172,5675,8172,5691,8172,5707,8172,5723,8183,5723,8183,5707,8194,5707,8194,5691,8205,5691,8205,5675,8216,5675,8216,5659e" filled="true" fillcolor="#008000" stroked="false">
            <v:path arrowok="t"/>
            <v:fill type="solid"/>
            <w10:wrap type="none"/>
          </v:shape>
        </w:pict>
      </w:r>
      <w:r>
        <w:rPr/>
        <w:pict>
          <v:shape style="position:absolute;margin-left:467.632019pt;margin-top:282.966003pt;width:2.25pt;height:3.2pt;mso-position-horizontal-relative:page;mso-position-vertical-relative:page;z-index:-240112" coordorigin="9353,5659" coordsize="45,64" path="m9397,5659l9353,5659,9353,5675,9353,5691,9353,5707,9353,5723,9364,5723,9364,5707,9375,5707,9375,5691,9386,5691,9386,5675,9397,5675,9397,5659e" filled="true" fillcolor="#008000" stroked="false">
            <v:path arrowok="t"/>
            <v:fill type="solid"/>
            <w10:wrap type="none"/>
          </v:shape>
        </w:pict>
      </w:r>
      <w:r>
        <w:rPr/>
        <w:pict>
          <v:shape style="position:absolute;margin-left:349.552002pt;margin-top:317.233002pt;width:1.7pt;height:2.4pt;mso-position-horizontal-relative:page;mso-position-vertical-relative:page;z-index:-240088" coordorigin="6991,6345" coordsize="34,48" path="m7024,6345l6991,6345,6991,6361,6991,6377,6991,6392,7002,6392,7002,6377,7013,6377,7013,6361,7024,6361,7024,6345e" filled="true" fillcolor="#008000" stroked="false">
            <v:path arrowok="t"/>
            <v:fill type="solid"/>
            <w10:wrap type="none"/>
          </v:shape>
        </w:pict>
      </w:r>
      <w:r>
        <w:rPr/>
        <w:pict>
          <v:shape style="position:absolute;margin-left:408.59201pt;margin-top:316.436005pt;width:2.25pt;height:3.2pt;mso-position-horizontal-relative:page;mso-position-vertical-relative:page;z-index:-240064" coordorigin="8172,6329" coordsize="45,64" path="m8216,6329l8172,6329,8172,6345,8172,6361,8172,6377,8172,6392,8183,6392,8183,6377,8194,6377,8194,6361,8205,6361,8205,6345,8216,6345,8216,6329e" filled="true" fillcolor="#008000" stroked="false">
            <v:path arrowok="t"/>
            <v:fill type="solid"/>
            <w10:wrap type="none"/>
          </v:shape>
        </w:pict>
      </w:r>
      <w:r>
        <w:rPr/>
        <w:pict>
          <v:shape style="position:absolute;margin-left:467.632019pt;margin-top:316.436005pt;width:2.25pt;height:3.2pt;mso-position-horizontal-relative:page;mso-position-vertical-relative:page;z-index:-240040" coordorigin="9353,6329" coordsize="45,64" path="m9397,6329l9353,6329,9353,6345,9353,6361,9353,6377,9353,6392,9364,6392,9364,6377,9375,6377,9375,6361,9386,6361,9386,6345,9397,6345,9397,6329e" filled="true" fillcolor="#008000" stroked="false">
            <v:path arrowok="t"/>
            <v:fill type="solid"/>
            <w10:wrap type="none"/>
          </v:shape>
        </w:pict>
      </w:r>
      <w:r>
        <w:rPr/>
        <w:pict>
          <v:shape style="position:absolute;margin-left:349.552002pt;margin-top:339.546997pt;width:1.7pt;height:2.4pt;mso-position-horizontal-relative:page;mso-position-vertical-relative:page;z-index:-240016" coordorigin="6991,6791" coordsize="34,48" path="m7024,6791l6991,6791,6991,6807,6991,6823,6991,6839,7002,6839,7002,6823,7013,6823,7013,6807,7024,6807,7024,6791e" filled="true" fillcolor="#008000" stroked="false">
            <v:path arrowok="t"/>
            <v:fill type="solid"/>
            <w10:wrap type="none"/>
          </v:shape>
        </w:pict>
      </w:r>
      <w:r>
        <w:rPr/>
        <w:pict>
          <v:shape style="position:absolute;margin-left:408.59201pt;margin-top:338.75pt;width:2.25pt;height:3.2pt;mso-position-horizontal-relative:page;mso-position-vertical-relative:page;z-index:-239992" coordorigin="8172,6775" coordsize="45,64" path="m8216,6775l8172,6775,8172,6791,8172,6807,8172,6823,8172,6839,8183,6839,8183,6823,8194,6823,8194,6807,8205,6807,8205,6791,8216,6791,8216,6775e" filled="true" fillcolor="#008000" stroked="false">
            <v:path arrowok="t"/>
            <v:fill type="solid"/>
            <w10:wrap type="none"/>
          </v:shape>
        </w:pict>
      </w:r>
      <w:r>
        <w:rPr/>
        <w:pict>
          <v:shape style="position:absolute;margin-left:260.992004pt;margin-top:361.063995pt;width:2.25pt;height:3.2pt;mso-position-horizontal-relative:page;mso-position-vertical-relative:page;z-index:-239968" coordorigin="5220,7221" coordsize="45,64" path="m5264,7221l5220,7221,5220,7237,5220,7253,5220,7269,5220,7285,5231,7285,5231,7269,5242,7269,5242,7253,5253,7253,5253,7237,5264,7237,5264,7221e" filled="true" fillcolor="#008000" stroked="false">
            <v:path arrowok="t"/>
            <v:fill type="solid"/>
            <w10:wrap type="none"/>
          </v:shape>
        </w:pict>
      </w:r>
    </w:p>
    <w:p>
      <w:pPr>
        <w:pStyle w:val="BodyText"/>
        <w:spacing w:before="3"/>
        <w:rPr>
          <w:b/>
          <w:sz w:val="19"/>
        </w:rPr>
      </w:pPr>
    </w:p>
    <w:p>
      <w:pPr>
        <w:pStyle w:val="Heading2"/>
        <w:numPr>
          <w:ilvl w:val="2"/>
          <w:numId w:val="26"/>
        </w:numPr>
        <w:tabs>
          <w:tab w:pos="831" w:val="left" w:leader="none"/>
        </w:tabs>
        <w:spacing w:line="240" w:lineRule="auto" w:before="0" w:after="0"/>
        <w:ind w:left="830" w:right="0" w:hanging="720"/>
        <w:jc w:val="left"/>
      </w:pPr>
      <w:bookmarkStart w:name="_TOC_250010" w:id="57"/>
      <w:bookmarkEnd w:id="57"/>
      <w:r>
        <w:rPr/>
        <w:t>Estado de resultados</w:t>
      </w:r>
    </w:p>
    <w:p>
      <w:pPr>
        <w:pStyle w:val="BodyText"/>
        <w:rPr>
          <w:b/>
          <w:sz w:val="20"/>
        </w:rPr>
      </w:pPr>
    </w:p>
    <w:p>
      <w:pPr>
        <w:pStyle w:val="BodyText"/>
        <w:spacing w:before="8"/>
        <w:rPr>
          <w:b/>
          <w:sz w:val="27"/>
        </w:rPr>
      </w:pPr>
    </w:p>
    <w:tbl>
      <w:tblPr>
        <w:tblW w:w="0" w:type="auto"/>
        <w:jc w:val="left"/>
        <w:tblInd w:w="1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98"/>
        <w:gridCol w:w="590"/>
        <w:gridCol w:w="585"/>
        <w:gridCol w:w="596"/>
        <w:gridCol w:w="585"/>
        <w:gridCol w:w="596"/>
        <w:gridCol w:w="585"/>
        <w:gridCol w:w="596"/>
        <w:gridCol w:w="618"/>
      </w:tblGrid>
      <w:tr>
        <w:trPr>
          <w:trHeight w:val="231" w:hRule="exact"/>
        </w:trPr>
        <w:tc>
          <w:tcPr>
            <w:tcW w:w="8249" w:type="dxa"/>
            <w:gridSpan w:val="9"/>
            <w:tcBorders>
              <w:left w:val="single" w:sz="4" w:space="0" w:color="000000"/>
              <w:bottom w:val="single" w:sz="13" w:space="0" w:color="000000"/>
              <w:right w:val="nil"/>
            </w:tcBorders>
            <w:shd w:val="clear" w:color="auto" w:fill="808080"/>
          </w:tcPr>
          <w:p>
            <w:pPr>
              <w:pStyle w:val="TableParagraph"/>
              <w:spacing w:line="197" w:lineRule="exact"/>
              <w:ind w:left="3152"/>
              <w:jc w:val="left"/>
              <w:rPr>
                <w:b/>
                <w:sz w:val="17"/>
              </w:rPr>
            </w:pPr>
            <w:r>
              <w:rPr>
                <w:b/>
                <w:w w:val="75"/>
                <w:sz w:val="17"/>
              </w:rPr>
              <w:t>A. Consolidated statements of Income</w:t>
            </w:r>
          </w:p>
        </w:tc>
      </w:tr>
      <w:tr>
        <w:trPr>
          <w:trHeight w:val="239" w:hRule="exact"/>
        </w:trPr>
        <w:tc>
          <w:tcPr>
            <w:tcW w:w="3498" w:type="dxa"/>
            <w:tcBorders>
              <w:top w:val="single" w:sz="13" w:space="0" w:color="000000"/>
              <w:left w:val="single" w:sz="4" w:space="0" w:color="000000"/>
              <w:bottom w:val="nil"/>
              <w:right w:val="single" w:sz="9" w:space="0" w:color="000000"/>
            </w:tcBorders>
          </w:tcPr>
          <w:p>
            <w:pPr>
              <w:pStyle w:val="TableParagraph"/>
              <w:spacing w:line="197" w:lineRule="exact"/>
              <w:ind w:left="22"/>
              <w:jc w:val="left"/>
              <w:rPr>
                <w:sz w:val="17"/>
              </w:rPr>
            </w:pPr>
            <w:r>
              <w:rPr>
                <w:w w:val="75"/>
                <w:sz w:val="17"/>
              </w:rPr>
              <w:t>(In millions of Euros)</w:t>
            </w:r>
          </w:p>
        </w:tc>
        <w:tc>
          <w:tcPr>
            <w:tcW w:w="1175" w:type="dxa"/>
            <w:gridSpan w:val="2"/>
            <w:tcBorders>
              <w:top w:val="single" w:sz="13" w:space="0" w:color="000000"/>
              <w:left w:val="single" w:sz="9" w:space="0" w:color="000000"/>
              <w:bottom w:val="nil"/>
              <w:right w:val="single" w:sz="9" w:space="0" w:color="000000"/>
            </w:tcBorders>
          </w:tcPr>
          <w:p>
            <w:pPr>
              <w:pStyle w:val="TableParagraph"/>
              <w:spacing w:line="197" w:lineRule="exact"/>
              <w:ind w:left="418" w:right="419"/>
              <w:rPr>
                <w:b/>
                <w:sz w:val="17"/>
              </w:rPr>
            </w:pPr>
            <w:r>
              <w:rPr>
                <w:b/>
                <w:w w:val="80"/>
                <w:sz w:val="17"/>
              </w:rPr>
              <w:t>2011</w:t>
            </w:r>
          </w:p>
        </w:tc>
        <w:tc>
          <w:tcPr>
            <w:tcW w:w="1181" w:type="dxa"/>
            <w:gridSpan w:val="2"/>
            <w:tcBorders>
              <w:top w:val="single" w:sz="13" w:space="0" w:color="000000"/>
              <w:left w:val="single" w:sz="9" w:space="0" w:color="000000"/>
              <w:bottom w:val="nil"/>
              <w:right w:val="single" w:sz="9" w:space="0" w:color="000000"/>
            </w:tcBorders>
          </w:tcPr>
          <w:p>
            <w:pPr>
              <w:pStyle w:val="TableParagraph"/>
              <w:spacing w:line="197" w:lineRule="exact"/>
              <w:ind w:left="423" w:right="419"/>
              <w:rPr>
                <w:b/>
                <w:sz w:val="17"/>
              </w:rPr>
            </w:pPr>
            <w:r>
              <w:rPr>
                <w:b/>
                <w:w w:val="80"/>
                <w:sz w:val="17"/>
              </w:rPr>
              <w:t>2010</w:t>
            </w:r>
          </w:p>
        </w:tc>
        <w:tc>
          <w:tcPr>
            <w:tcW w:w="1181" w:type="dxa"/>
            <w:gridSpan w:val="2"/>
            <w:tcBorders>
              <w:top w:val="single" w:sz="13" w:space="0" w:color="000000"/>
              <w:left w:val="single" w:sz="9" w:space="0" w:color="000000"/>
              <w:bottom w:val="nil"/>
              <w:right w:val="single" w:sz="9" w:space="0" w:color="000000"/>
            </w:tcBorders>
          </w:tcPr>
          <w:p>
            <w:pPr>
              <w:pStyle w:val="TableParagraph"/>
              <w:spacing w:line="197" w:lineRule="exact"/>
              <w:ind w:left="423" w:right="419"/>
              <w:rPr>
                <w:b/>
                <w:sz w:val="17"/>
              </w:rPr>
            </w:pPr>
            <w:r>
              <w:rPr>
                <w:b/>
                <w:w w:val="80"/>
                <w:sz w:val="17"/>
              </w:rPr>
              <w:t>2009</w:t>
            </w:r>
          </w:p>
        </w:tc>
        <w:tc>
          <w:tcPr>
            <w:tcW w:w="1214" w:type="dxa"/>
            <w:gridSpan w:val="2"/>
            <w:tcBorders>
              <w:top w:val="single" w:sz="13" w:space="0" w:color="000000"/>
              <w:left w:val="single" w:sz="9" w:space="0" w:color="000000"/>
              <w:bottom w:val="nil"/>
              <w:right w:val="single" w:sz="9" w:space="0" w:color="000000"/>
            </w:tcBorders>
          </w:tcPr>
          <w:p>
            <w:pPr>
              <w:pStyle w:val="TableParagraph"/>
              <w:spacing w:line="197" w:lineRule="exact"/>
              <w:ind w:left="445" w:right="430"/>
              <w:rPr>
                <w:b/>
                <w:sz w:val="17"/>
              </w:rPr>
            </w:pPr>
            <w:r>
              <w:rPr>
                <w:b/>
                <w:w w:val="80"/>
                <w:sz w:val="17"/>
              </w:rPr>
              <w:t>2008</w:t>
            </w:r>
          </w:p>
        </w:tc>
      </w:tr>
      <w:tr>
        <w:trPr>
          <w:trHeight w:val="231" w:hRule="exact"/>
        </w:trPr>
        <w:tc>
          <w:tcPr>
            <w:tcW w:w="3498" w:type="dxa"/>
            <w:tcBorders>
              <w:top w:val="nil"/>
              <w:left w:val="single" w:sz="4" w:space="0" w:color="000000"/>
              <w:right w:val="single" w:sz="4" w:space="0" w:color="000000"/>
            </w:tcBorders>
          </w:tcPr>
          <w:p>
            <w:pPr>
              <w:pStyle w:val="TableParagraph"/>
              <w:spacing w:before="5"/>
              <w:ind w:left="22"/>
              <w:jc w:val="left"/>
              <w:rPr>
                <w:b/>
                <w:sz w:val="17"/>
              </w:rPr>
            </w:pPr>
            <w:r>
              <w:rPr>
                <w:b/>
                <w:w w:val="70"/>
                <w:sz w:val="17"/>
              </w:rPr>
              <w:t>Continuing operations</w:t>
            </w:r>
          </w:p>
        </w:tc>
        <w:tc>
          <w:tcPr>
            <w:tcW w:w="1175" w:type="dxa"/>
            <w:gridSpan w:val="2"/>
            <w:tcBorders>
              <w:top w:val="nil"/>
              <w:left w:val="single" w:sz="4" w:space="0" w:color="000000"/>
              <w:right w:val="single" w:sz="9" w:space="0" w:color="000000"/>
            </w:tcBorders>
          </w:tcPr>
          <w:p>
            <w:pPr/>
          </w:p>
        </w:tc>
        <w:tc>
          <w:tcPr>
            <w:tcW w:w="1181" w:type="dxa"/>
            <w:gridSpan w:val="2"/>
            <w:tcBorders>
              <w:top w:val="nil"/>
              <w:left w:val="single" w:sz="9" w:space="0" w:color="000000"/>
              <w:right w:val="single" w:sz="9" w:space="0" w:color="000000"/>
            </w:tcBorders>
          </w:tcPr>
          <w:p>
            <w:pPr/>
          </w:p>
        </w:tc>
        <w:tc>
          <w:tcPr>
            <w:tcW w:w="1181" w:type="dxa"/>
            <w:gridSpan w:val="2"/>
            <w:tcBorders>
              <w:top w:val="nil"/>
              <w:left w:val="single" w:sz="9" w:space="0" w:color="000000"/>
              <w:right w:val="single" w:sz="9" w:space="0" w:color="000000"/>
            </w:tcBorders>
          </w:tcPr>
          <w:p>
            <w:pPr/>
          </w:p>
        </w:tc>
        <w:tc>
          <w:tcPr>
            <w:tcW w:w="1214" w:type="dxa"/>
            <w:gridSpan w:val="2"/>
            <w:tcBorders>
              <w:top w:val="nil"/>
              <w:left w:val="single" w:sz="9"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NET SALES</w:t>
            </w:r>
          </w:p>
        </w:tc>
        <w:tc>
          <w:tcPr>
            <w:tcW w:w="590" w:type="dxa"/>
            <w:tcBorders>
              <w:left w:val="single" w:sz="4" w:space="0" w:color="000000"/>
              <w:right w:val="single" w:sz="4" w:space="0" w:color="000000"/>
            </w:tcBorders>
          </w:tcPr>
          <w:p>
            <w:pPr>
              <w:pStyle w:val="TableParagraph"/>
              <w:spacing w:line="197" w:lineRule="exact"/>
              <w:ind w:right="131"/>
              <w:jc w:val="right"/>
              <w:rPr>
                <w:sz w:val="17"/>
              </w:rPr>
            </w:pPr>
            <w:r>
              <w:rPr>
                <w:w w:val="70"/>
                <w:sz w:val="17"/>
              </w:rPr>
              <w:t>10868</w:t>
            </w:r>
          </w:p>
        </w:tc>
        <w:tc>
          <w:tcPr>
            <w:tcW w:w="585" w:type="dxa"/>
            <w:tcBorders>
              <w:left w:val="single" w:sz="4" w:space="0" w:color="000000"/>
              <w:right w:val="single" w:sz="9" w:space="0" w:color="000000"/>
            </w:tcBorders>
          </w:tcPr>
          <w:p>
            <w:pPr>
              <w:pStyle w:val="TableParagraph"/>
              <w:spacing w:line="197" w:lineRule="exact"/>
              <w:ind w:left="121" w:right="101"/>
              <w:rPr>
                <w:b/>
                <w:sz w:val="17"/>
              </w:rPr>
            </w:pPr>
            <w:r>
              <w:rPr>
                <w:b/>
                <w:w w:val="80"/>
                <w:sz w:val="17"/>
              </w:rPr>
              <w:t>100%</w:t>
            </w:r>
          </w:p>
        </w:tc>
        <w:tc>
          <w:tcPr>
            <w:tcW w:w="596" w:type="dxa"/>
            <w:tcBorders>
              <w:left w:val="single" w:sz="9" w:space="0" w:color="000000"/>
              <w:right w:val="single" w:sz="4" w:space="0" w:color="000000"/>
            </w:tcBorders>
          </w:tcPr>
          <w:p>
            <w:pPr>
              <w:pStyle w:val="TableParagraph"/>
              <w:spacing w:line="197" w:lineRule="exact"/>
              <w:ind w:left="74" w:right="80"/>
              <w:rPr>
                <w:b/>
                <w:sz w:val="17"/>
              </w:rPr>
            </w:pPr>
            <w:r>
              <w:rPr>
                <w:b/>
                <w:w w:val="80"/>
                <w:sz w:val="17"/>
              </w:rPr>
              <w:t>9,632</w:t>
            </w:r>
          </w:p>
        </w:tc>
        <w:tc>
          <w:tcPr>
            <w:tcW w:w="585" w:type="dxa"/>
            <w:tcBorders>
              <w:left w:val="single" w:sz="4" w:space="0" w:color="000000"/>
              <w:right w:val="single" w:sz="9" w:space="0" w:color="000000"/>
            </w:tcBorders>
          </w:tcPr>
          <w:p>
            <w:pPr>
              <w:pStyle w:val="TableParagraph"/>
              <w:spacing w:line="197" w:lineRule="exact"/>
              <w:ind w:right="133"/>
              <w:jc w:val="right"/>
              <w:rPr>
                <w:b/>
                <w:sz w:val="17"/>
              </w:rPr>
            </w:pPr>
            <w:r>
              <w:rPr>
                <w:b/>
                <w:w w:val="70"/>
                <w:sz w:val="17"/>
              </w:rPr>
              <w:t>100%</w:t>
            </w:r>
          </w:p>
        </w:tc>
        <w:tc>
          <w:tcPr>
            <w:tcW w:w="596" w:type="dxa"/>
            <w:tcBorders>
              <w:left w:val="single" w:sz="9" w:space="0" w:color="000000"/>
              <w:right w:val="single" w:sz="4" w:space="0" w:color="000000"/>
            </w:tcBorders>
          </w:tcPr>
          <w:p>
            <w:pPr>
              <w:pStyle w:val="TableParagraph"/>
              <w:spacing w:line="197" w:lineRule="exact"/>
              <w:ind w:right="151"/>
              <w:jc w:val="right"/>
              <w:rPr>
                <w:b/>
                <w:sz w:val="17"/>
              </w:rPr>
            </w:pPr>
            <w:r>
              <w:rPr>
                <w:b/>
                <w:w w:val="70"/>
                <w:sz w:val="17"/>
              </w:rPr>
              <w:t>7,499</w:t>
            </w:r>
          </w:p>
        </w:tc>
        <w:tc>
          <w:tcPr>
            <w:tcW w:w="585" w:type="dxa"/>
            <w:tcBorders>
              <w:left w:val="single" w:sz="4" w:space="0" w:color="000000"/>
              <w:right w:val="single" w:sz="9" w:space="0" w:color="000000"/>
            </w:tcBorders>
          </w:tcPr>
          <w:p>
            <w:pPr>
              <w:pStyle w:val="TableParagraph"/>
              <w:spacing w:line="197" w:lineRule="exact"/>
              <w:ind w:left="121" w:right="101"/>
              <w:rPr>
                <w:b/>
                <w:sz w:val="17"/>
              </w:rPr>
            </w:pPr>
            <w:r>
              <w:rPr>
                <w:b/>
                <w:w w:val="80"/>
                <w:sz w:val="17"/>
              </w:rPr>
              <w:t>100%</w:t>
            </w:r>
          </w:p>
        </w:tc>
        <w:tc>
          <w:tcPr>
            <w:tcW w:w="596" w:type="dxa"/>
            <w:tcBorders>
              <w:left w:val="single" w:sz="9" w:space="0" w:color="000000"/>
              <w:right w:val="single" w:sz="4" w:space="0" w:color="000000"/>
            </w:tcBorders>
          </w:tcPr>
          <w:p>
            <w:pPr>
              <w:pStyle w:val="TableParagraph"/>
              <w:spacing w:line="197" w:lineRule="exact"/>
              <w:ind w:left="74" w:right="80"/>
              <w:rPr>
                <w:b/>
                <w:sz w:val="17"/>
              </w:rPr>
            </w:pPr>
            <w:r>
              <w:rPr>
                <w:b/>
                <w:w w:val="80"/>
                <w:sz w:val="17"/>
              </w:rPr>
              <w:t>8,677</w:t>
            </w:r>
          </w:p>
        </w:tc>
        <w:tc>
          <w:tcPr>
            <w:tcW w:w="618" w:type="dxa"/>
            <w:tcBorders>
              <w:left w:val="single" w:sz="4" w:space="0" w:color="000000"/>
              <w:right w:val="single" w:sz="9" w:space="0" w:color="000000"/>
            </w:tcBorders>
          </w:tcPr>
          <w:p>
            <w:pPr>
              <w:pStyle w:val="TableParagraph"/>
              <w:spacing w:line="197" w:lineRule="exact"/>
              <w:ind w:left="167"/>
              <w:jc w:val="left"/>
              <w:rPr>
                <w:b/>
                <w:sz w:val="17"/>
              </w:rPr>
            </w:pPr>
            <w:r>
              <w:rPr>
                <w:b/>
                <w:w w:val="80"/>
                <w:sz w:val="17"/>
              </w:rPr>
              <w:t>100%</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Cost of Sales</w:t>
            </w:r>
          </w:p>
        </w:tc>
        <w:tc>
          <w:tcPr>
            <w:tcW w:w="590" w:type="dxa"/>
            <w:tcBorders>
              <w:left w:val="single" w:sz="4" w:space="0" w:color="000000"/>
              <w:right w:val="single" w:sz="4" w:space="0" w:color="000000"/>
            </w:tcBorders>
          </w:tcPr>
          <w:p>
            <w:pPr>
              <w:pStyle w:val="TableParagraph"/>
              <w:spacing w:line="197" w:lineRule="exact"/>
              <w:ind w:right="145"/>
              <w:jc w:val="right"/>
              <w:rPr>
                <w:sz w:val="17"/>
              </w:rPr>
            </w:pPr>
            <w:r>
              <w:rPr>
                <w:w w:val="55"/>
                <w:sz w:val="17"/>
              </w:rPr>
              <w:t>M9025</w:t>
            </w:r>
          </w:p>
        </w:tc>
        <w:tc>
          <w:tcPr>
            <w:tcW w:w="585" w:type="dxa"/>
            <w:tcBorders>
              <w:left w:val="single" w:sz="4" w:space="0" w:color="000000"/>
              <w:right w:val="single" w:sz="9" w:space="0" w:color="000000"/>
            </w:tcBorders>
          </w:tcPr>
          <w:p>
            <w:pPr>
              <w:pStyle w:val="TableParagraph"/>
              <w:spacing w:line="197" w:lineRule="exact"/>
              <w:ind w:left="101" w:right="101"/>
              <w:rPr>
                <w:sz w:val="17"/>
              </w:rPr>
            </w:pPr>
            <w:r>
              <w:rPr>
                <w:w w:val="80"/>
                <w:sz w:val="17"/>
              </w:rPr>
              <w:t>83%</w:t>
            </w:r>
          </w:p>
        </w:tc>
        <w:tc>
          <w:tcPr>
            <w:tcW w:w="596" w:type="dxa"/>
            <w:tcBorders>
              <w:left w:val="single" w:sz="9" w:space="0" w:color="000000"/>
              <w:right w:val="single" w:sz="4" w:space="0" w:color="000000"/>
            </w:tcBorders>
          </w:tcPr>
          <w:p>
            <w:pPr>
              <w:pStyle w:val="TableParagraph"/>
              <w:spacing w:line="197" w:lineRule="exact"/>
              <w:ind w:left="85" w:right="80"/>
              <w:rPr>
                <w:sz w:val="17"/>
              </w:rPr>
            </w:pPr>
            <w:r>
              <w:rPr>
                <w:w w:val="70"/>
                <w:sz w:val="17"/>
              </w:rPr>
              <w:t>M7,897</w:t>
            </w:r>
          </w:p>
        </w:tc>
        <w:tc>
          <w:tcPr>
            <w:tcW w:w="585" w:type="dxa"/>
            <w:tcBorders>
              <w:left w:val="single" w:sz="4" w:space="0" w:color="000000"/>
              <w:right w:val="single" w:sz="9" w:space="0" w:color="000000"/>
            </w:tcBorders>
          </w:tcPr>
          <w:p>
            <w:pPr>
              <w:pStyle w:val="TableParagraph"/>
              <w:spacing w:line="197" w:lineRule="exact"/>
              <w:ind w:right="175"/>
              <w:jc w:val="right"/>
              <w:rPr>
                <w:sz w:val="17"/>
              </w:rPr>
            </w:pPr>
            <w:r>
              <w:rPr>
                <w:w w:val="70"/>
                <w:sz w:val="17"/>
              </w:rPr>
              <w:t>82%</w:t>
            </w:r>
          </w:p>
        </w:tc>
        <w:tc>
          <w:tcPr>
            <w:tcW w:w="596" w:type="dxa"/>
            <w:tcBorders>
              <w:left w:val="single" w:sz="9" w:space="0" w:color="000000"/>
              <w:right w:val="single" w:sz="4" w:space="0" w:color="000000"/>
            </w:tcBorders>
          </w:tcPr>
          <w:p>
            <w:pPr>
              <w:pStyle w:val="TableParagraph"/>
              <w:spacing w:line="197" w:lineRule="exact"/>
              <w:ind w:right="125"/>
              <w:jc w:val="right"/>
              <w:rPr>
                <w:sz w:val="17"/>
              </w:rPr>
            </w:pPr>
            <w:r>
              <w:rPr>
                <w:w w:val="60"/>
                <w:sz w:val="17"/>
              </w:rPr>
              <w:t>M6,361</w:t>
            </w:r>
          </w:p>
        </w:tc>
        <w:tc>
          <w:tcPr>
            <w:tcW w:w="585" w:type="dxa"/>
            <w:tcBorders>
              <w:left w:val="single" w:sz="4" w:space="0" w:color="000000"/>
              <w:right w:val="single" w:sz="9" w:space="0" w:color="000000"/>
            </w:tcBorders>
          </w:tcPr>
          <w:p>
            <w:pPr>
              <w:pStyle w:val="TableParagraph"/>
              <w:spacing w:line="197" w:lineRule="exact"/>
              <w:ind w:left="101" w:right="101"/>
              <w:rPr>
                <w:sz w:val="17"/>
              </w:rPr>
            </w:pPr>
            <w:r>
              <w:rPr>
                <w:w w:val="80"/>
                <w:sz w:val="17"/>
              </w:rPr>
              <w:t>85%</w:t>
            </w:r>
          </w:p>
        </w:tc>
        <w:tc>
          <w:tcPr>
            <w:tcW w:w="596" w:type="dxa"/>
            <w:tcBorders>
              <w:left w:val="single" w:sz="9" w:space="0" w:color="000000"/>
              <w:right w:val="single" w:sz="4" w:space="0" w:color="000000"/>
            </w:tcBorders>
          </w:tcPr>
          <w:p>
            <w:pPr>
              <w:pStyle w:val="TableParagraph"/>
              <w:spacing w:line="197" w:lineRule="exact"/>
              <w:ind w:left="85" w:right="80"/>
              <w:rPr>
                <w:sz w:val="17"/>
              </w:rPr>
            </w:pPr>
            <w:r>
              <w:rPr>
                <w:w w:val="70"/>
                <w:sz w:val="17"/>
              </w:rPr>
              <w:t>M7,350</w:t>
            </w:r>
          </w:p>
        </w:tc>
        <w:tc>
          <w:tcPr>
            <w:tcW w:w="618" w:type="dxa"/>
            <w:tcBorders>
              <w:left w:val="single" w:sz="4" w:space="0" w:color="000000"/>
              <w:right w:val="single" w:sz="9" w:space="0" w:color="000000"/>
            </w:tcBorders>
          </w:tcPr>
          <w:p>
            <w:pPr>
              <w:pStyle w:val="TableParagraph"/>
              <w:spacing w:line="197" w:lineRule="exact"/>
              <w:ind w:left="200"/>
              <w:jc w:val="left"/>
              <w:rPr>
                <w:sz w:val="17"/>
              </w:rPr>
            </w:pPr>
            <w:r>
              <w:rPr>
                <w:w w:val="80"/>
                <w:sz w:val="17"/>
              </w:rPr>
              <w:t>85%</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GROSS MARGIN</w:t>
            </w:r>
          </w:p>
        </w:tc>
        <w:tc>
          <w:tcPr>
            <w:tcW w:w="590" w:type="dxa"/>
            <w:tcBorders>
              <w:left w:val="single" w:sz="4" w:space="0" w:color="000000"/>
              <w:right w:val="single" w:sz="4" w:space="0" w:color="000000"/>
            </w:tcBorders>
          </w:tcPr>
          <w:p>
            <w:pPr>
              <w:pStyle w:val="TableParagraph"/>
              <w:spacing w:line="197" w:lineRule="exact"/>
              <w:ind w:right="160"/>
              <w:jc w:val="right"/>
              <w:rPr>
                <w:sz w:val="17"/>
              </w:rPr>
            </w:pPr>
            <w:r>
              <w:rPr>
                <w:w w:val="70"/>
                <w:sz w:val="17"/>
              </w:rPr>
              <w:t>1843</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4" w:right="80"/>
              <w:rPr>
                <w:b/>
                <w:sz w:val="17"/>
              </w:rPr>
            </w:pPr>
            <w:r>
              <w:rPr>
                <w:b/>
                <w:w w:val="80"/>
                <w:sz w:val="17"/>
              </w:rPr>
              <w:t>1,735</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51"/>
              <w:jc w:val="right"/>
              <w:rPr>
                <w:b/>
                <w:sz w:val="17"/>
              </w:rPr>
            </w:pPr>
            <w:r>
              <w:rPr>
                <w:b/>
                <w:w w:val="70"/>
                <w:sz w:val="17"/>
              </w:rPr>
              <w:t>1,138</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4" w:right="80"/>
              <w:rPr>
                <w:b/>
                <w:sz w:val="17"/>
              </w:rPr>
            </w:pPr>
            <w:r>
              <w:rPr>
                <w:b/>
                <w:w w:val="80"/>
                <w:sz w:val="17"/>
              </w:rPr>
              <w:t>1,327</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 of the net sales</w:t>
            </w:r>
          </w:p>
        </w:tc>
        <w:tc>
          <w:tcPr>
            <w:tcW w:w="590" w:type="dxa"/>
            <w:tcBorders>
              <w:left w:val="single" w:sz="4" w:space="0" w:color="000000"/>
              <w:right w:val="single" w:sz="4" w:space="0" w:color="000000"/>
            </w:tcBorders>
          </w:tcPr>
          <w:p>
            <w:pPr>
              <w:pStyle w:val="TableParagraph"/>
              <w:spacing w:line="197" w:lineRule="exact"/>
              <w:ind w:right="137"/>
              <w:jc w:val="right"/>
              <w:rPr>
                <w:sz w:val="17"/>
              </w:rPr>
            </w:pPr>
            <w:r>
              <w:rPr>
                <w:w w:val="70"/>
                <w:sz w:val="17"/>
              </w:rPr>
              <w:t>17.0%</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7" w:right="80"/>
              <w:rPr>
                <w:sz w:val="17"/>
              </w:rPr>
            </w:pPr>
            <w:r>
              <w:rPr>
                <w:w w:val="80"/>
                <w:sz w:val="17"/>
              </w:rPr>
              <w:t>18.0%</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37"/>
              <w:jc w:val="right"/>
              <w:rPr>
                <w:sz w:val="17"/>
              </w:rPr>
            </w:pPr>
            <w:r>
              <w:rPr>
                <w:w w:val="70"/>
                <w:sz w:val="17"/>
              </w:rPr>
              <w:t>15.2%</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7" w:right="80"/>
              <w:rPr>
                <w:sz w:val="17"/>
              </w:rPr>
            </w:pPr>
            <w:r>
              <w:rPr>
                <w:w w:val="80"/>
                <w:sz w:val="17"/>
              </w:rPr>
              <w:t>15.3%</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Research And Development expenditure, net</w:t>
            </w:r>
          </w:p>
        </w:tc>
        <w:tc>
          <w:tcPr>
            <w:tcW w:w="590" w:type="dxa"/>
            <w:tcBorders>
              <w:left w:val="single" w:sz="4" w:space="0" w:color="000000"/>
              <w:right w:val="single" w:sz="4" w:space="0" w:color="000000"/>
            </w:tcBorders>
          </w:tcPr>
          <w:p>
            <w:pPr>
              <w:pStyle w:val="TableParagraph"/>
              <w:spacing w:line="197" w:lineRule="exact"/>
              <w:ind w:right="174"/>
              <w:jc w:val="right"/>
              <w:rPr>
                <w:sz w:val="17"/>
              </w:rPr>
            </w:pPr>
            <w:r>
              <w:rPr>
                <w:w w:val="55"/>
                <w:sz w:val="17"/>
              </w:rPr>
              <w:t>M561</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5%</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M537</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6%</w:t>
            </w:r>
          </w:p>
        </w:tc>
        <w:tc>
          <w:tcPr>
            <w:tcW w:w="596" w:type="dxa"/>
            <w:tcBorders>
              <w:left w:val="single" w:sz="9" w:space="0" w:color="000000"/>
              <w:right w:val="single" w:sz="4" w:space="0" w:color="000000"/>
            </w:tcBorders>
          </w:tcPr>
          <w:p>
            <w:pPr>
              <w:pStyle w:val="TableParagraph"/>
              <w:spacing w:line="197" w:lineRule="exact"/>
              <w:ind w:right="174"/>
              <w:jc w:val="right"/>
              <w:rPr>
                <w:sz w:val="17"/>
              </w:rPr>
            </w:pPr>
            <w:r>
              <w:rPr>
                <w:w w:val="55"/>
                <w:sz w:val="17"/>
              </w:rPr>
              <w:t>M473</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6%</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M501</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6%</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Selling Expenses</w:t>
            </w:r>
          </w:p>
        </w:tc>
        <w:tc>
          <w:tcPr>
            <w:tcW w:w="590" w:type="dxa"/>
            <w:tcBorders>
              <w:left w:val="single" w:sz="4" w:space="0" w:color="000000"/>
              <w:right w:val="single" w:sz="4" w:space="0" w:color="000000"/>
            </w:tcBorders>
          </w:tcPr>
          <w:p>
            <w:pPr>
              <w:pStyle w:val="TableParagraph"/>
              <w:spacing w:line="197" w:lineRule="exact"/>
              <w:ind w:right="174"/>
              <w:jc w:val="right"/>
              <w:rPr>
                <w:sz w:val="17"/>
              </w:rPr>
            </w:pPr>
            <w:r>
              <w:rPr>
                <w:w w:val="55"/>
                <w:sz w:val="17"/>
              </w:rPr>
              <w:t>M181</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2%</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M171</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2%</w:t>
            </w:r>
          </w:p>
        </w:tc>
        <w:tc>
          <w:tcPr>
            <w:tcW w:w="596" w:type="dxa"/>
            <w:tcBorders>
              <w:left w:val="single" w:sz="9" w:space="0" w:color="000000"/>
              <w:right w:val="single" w:sz="4" w:space="0" w:color="000000"/>
            </w:tcBorders>
          </w:tcPr>
          <w:p>
            <w:pPr>
              <w:pStyle w:val="TableParagraph"/>
              <w:spacing w:line="197" w:lineRule="exact"/>
              <w:ind w:right="174"/>
              <w:jc w:val="right"/>
              <w:rPr>
                <w:sz w:val="17"/>
              </w:rPr>
            </w:pPr>
            <w:r>
              <w:rPr>
                <w:w w:val="55"/>
                <w:sz w:val="17"/>
              </w:rPr>
              <w:t>M156</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2%</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M177</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2%</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Administrative  expenses</w:t>
            </w:r>
          </w:p>
        </w:tc>
        <w:tc>
          <w:tcPr>
            <w:tcW w:w="590" w:type="dxa"/>
            <w:tcBorders>
              <w:left w:val="single" w:sz="4" w:space="0" w:color="000000"/>
              <w:right w:val="single" w:sz="4" w:space="0" w:color="000000"/>
            </w:tcBorders>
          </w:tcPr>
          <w:p>
            <w:pPr>
              <w:pStyle w:val="TableParagraph"/>
              <w:spacing w:line="197" w:lineRule="exact"/>
              <w:ind w:right="174"/>
              <w:jc w:val="right"/>
              <w:rPr>
                <w:sz w:val="17"/>
              </w:rPr>
            </w:pPr>
            <w:r>
              <w:rPr>
                <w:w w:val="55"/>
                <w:sz w:val="17"/>
              </w:rPr>
              <w:t>M397</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4%</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M410</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4%</w:t>
            </w:r>
          </w:p>
        </w:tc>
        <w:tc>
          <w:tcPr>
            <w:tcW w:w="596" w:type="dxa"/>
            <w:tcBorders>
              <w:left w:val="single" w:sz="9" w:space="0" w:color="000000"/>
              <w:right w:val="single" w:sz="4" w:space="0" w:color="000000"/>
            </w:tcBorders>
          </w:tcPr>
          <w:p>
            <w:pPr>
              <w:pStyle w:val="TableParagraph"/>
              <w:spacing w:line="197" w:lineRule="exact"/>
              <w:ind w:right="174"/>
              <w:jc w:val="right"/>
              <w:rPr>
                <w:sz w:val="17"/>
              </w:rPr>
            </w:pPr>
            <w:r>
              <w:rPr>
                <w:w w:val="55"/>
                <w:sz w:val="17"/>
              </w:rPr>
              <w:t>M376</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5%</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M419</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5%</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OPERATING  MARGIN</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704</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617</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89"/>
              <w:jc w:val="right"/>
              <w:rPr>
                <w:b/>
                <w:sz w:val="17"/>
              </w:rPr>
            </w:pPr>
            <w:r>
              <w:rPr>
                <w:b/>
                <w:w w:val="70"/>
                <w:sz w:val="17"/>
              </w:rPr>
              <w:t>133</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230</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 of net sales</w:t>
            </w:r>
          </w:p>
        </w:tc>
        <w:tc>
          <w:tcPr>
            <w:tcW w:w="590" w:type="dxa"/>
            <w:tcBorders>
              <w:left w:val="single" w:sz="4" w:space="0" w:color="000000"/>
              <w:right w:val="single" w:sz="4" w:space="0" w:color="000000"/>
            </w:tcBorders>
          </w:tcPr>
          <w:p>
            <w:pPr>
              <w:pStyle w:val="TableParagraph"/>
              <w:spacing w:line="197" w:lineRule="exact"/>
              <w:ind w:right="166"/>
              <w:jc w:val="right"/>
              <w:rPr>
                <w:sz w:val="17"/>
              </w:rPr>
            </w:pPr>
            <w:r>
              <w:rPr>
                <w:w w:val="70"/>
                <w:sz w:val="17"/>
              </w:rPr>
              <w:t>6.5%</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9" w:right="80"/>
              <w:rPr>
                <w:sz w:val="17"/>
              </w:rPr>
            </w:pPr>
            <w:r>
              <w:rPr>
                <w:w w:val="80"/>
                <w:sz w:val="17"/>
              </w:rPr>
              <w:t>6.4%</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66"/>
              <w:jc w:val="right"/>
              <w:rPr>
                <w:sz w:val="17"/>
              </w:rPr>
            </w:pPr>
            <w:r>
              <w:rPr>
                <w:w w:val="70"/>
                <w:sz w:val="17"/>
              </w:rPr>
              <w:t>1.8%</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9" w:right="80"/>
              <w:rPr>
                <w:sz w:val="17"/>
              </w:rPr>
            </w:pPr>
            <w:r>
              <w:rPr>
                <w:w w:val="80"/>
                <w:sz w:val="17"/>
              </w:rPr>
              <w:t>2.7%</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Other income and expenses</w:t>
            </w:r>
          </w:p>
        </w:tc>
        <w:tc>
          <w:tcPr>
            <w:tcW w:w="590" w:type="dxa"/>
            <w:tcBorders>
              <w:left w:val="single" w:sz="4" w:space="0" w:color="000000"/>
              <w:right w:val="single" w:sz="4" w:space="0" w:color="000000"/>
            </w:tcBorders>
          </w:tcPr>
          <w:p>
            <w:pPr>
              <w:pStyle w:val="TableParagraph"/>
              <w:spacing w:line="197" w:lineRule="exact"/>
              <w:ind w:right="2"/>
              <w:rPr>
                <w:sz w:val="17"/>
              </w:rPr>
            </w:pPr>
            <w:r>
              <w:rPr>
                <w:w w:val="72"/>
                <w:sz w:val="17"/>
              </w:rPr>
              <w:t>0</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M27</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0%</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M49</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M282</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3%</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OPERATING INCOME (LOSS)</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704</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6%</w:t>
            </w: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590</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6%</w:t>
            </w:r>
          </w:p>
        </w:tc>
        <w:tc>
          <w:tcPr>
            <w:tcW w:w="596" w:type="dxa"/>
            <w:tcBorders>
              <w:left w:val="single" w:sz="9" w:space="0" w:color="000000"/>
              <w:right w:val="single" w:sz="4" w:space="0" w:color="000000"/>
            </w:tcBorders>
          </w:tcPr>
          <w:p>
            <w:pPr>
              <w:pStyle w:val="TableParagraph"/>
              <w:spacing w:line="197" w:lineRule="exact"/>
              <w:ind w:left="73" w:right="80"/>
              <w:rPr>
                <w:b/>
                <w:sz w:val="17"/>
              </w:rPr>
            </w:pPr>
            <w:r>
              <w:rPr>
                <w:b/>
                <w:w w:val="80"/>
                <w:sz w:val="17"/>
              </w:rPr>
              <w:t>84</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5" w:right="79"/>
              <w:rPr>
                <w:b/>
                <w:sz w:val="17"/>
              </w:rPr>
            </w:pPr>
            <w:r>
              <w:rPr>
                <w:b/>
                <w:w w:val="60"/>
                <w:sz w:val="17"/>
              </w:rPr>
              <w:t>W52</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1%</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Interest Expense</w:t>
            </w:r>
          </w:p>
        </w:tc>
        <w:tc>
          <w:tcPr>
            <w:tcW w:w="590" w:type="dxa"/>
            <w:tcBorders>
              <w:left w:val="single" w:sz="4" w:space="0" w:color="000000"/>
              <w:right w:val="single" w:sz="4" w:space="0" w:color="000000"/>
            </w:tcBorders>
          </w:tcPr>
          <w:p>
            <w:pPr>
              <w:pStyle w:val="TableParagraph"/>
              <w:spacing w:line="197" w:lineRule="exact"/>
              <w:ind w:right="203"/>
              <w:jc w:val="right"/>
              <w:rPr>
                <w:sz w:val="17"/>
              </w:rPr>
            </w:pPr>
            <w:r>
              <w:rPr>
                <w:w w:val="50"/>
                <w:sz w:val="17"/>
              </w:rPr>
              <w:t>M90</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M83</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M69</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M68</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1%</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Interest Income</w:t>
            </w:r>
          </w:p>
        </w:tc>
        <w:tc>
          <w:tcPr>
            <w:tcW w:w="590" w:type="dxa"/>
            <w:tcBorders>
              <w:left w:val="single" w:sz="4" w:space="0" w:color="000000"/>
              <w:right w:val="single" w:sz="4" w:space="0" w:color="000000"/>
            </w:tcBorders>
          </w:tcPr>
          <w:p>
            <w:pPr>
              <w:pStyle w:val="TableParagraph"/>
              <w:spacing w:line="197" w:lineRule="exact"/>
              <w:ind w:right="229"/>
              <w:jc w:val="right"/>
              <w:rPr>
                <w:sz w:val="17"/>
              </w:rPr>
            </w:pPr>
            <w:r>
              <w:rPr>
                <w:w w:val="70"/>
                <w:sz w:val="17"/>
              </w:rPr>
              <w:t>19</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73" w:right="80"/>
              <w:rPr>
                <w:sz w:val="17"/>
              </w:rPr>
            </w:pPr>
            <w:r>
              <w:rPr>
                <w:w w:val="80"/>
                <w:sz w:val="17"/>
              </w:rPr>
              <w:t>16</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0%</w:t>
            </w:r>
          </w:p>
        </w:tc>
        <w:tc>
          <w:tcPr>
            <w:tcW w:w="596" w:type="dxa"/>
            <w:tcBorders>
              <w:left w:val="single" w:sz="9" w:space="0" w:color="000000"/>
              <w:right w:val="single" w:sz="4" w:space="0" w:color="000000"/>
            </w:tcBorders>
          </w:tcPr>
          <w:p>
            <w:pPr>
              <w:pStyle w:val="TableParagraph"/>
              <w:spacing w:line="197" w:lineRule="exact"/>
              <w:ind w:right="2"/>
              <w:rPr>
                <w:sz w:val="17"/>
              </w:rPr>
            </w:pPr>
            <w:r>
              <w:rPr>
                <w:w w:val="72"/>
                <w:sz w:val="17"/>
              </w:rPr>
              <w:t>9</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73" w:right="80"/>
              <w:rPr>
                <w:sz w:val="17"/>
              </w:rPr>
            </w:pPr>
            <w:r>
              <w:rPr>
                <w:w w:val="80"/>
                <w:sz w:val="17"/>
              </w:rPr>
              <w:t>23</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0%</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Other financial income and expenses</w:t>
            </w:r>
          </w:p>
        </w:tc>
        <w:tc>
          <w:tcPr>
            <w:tcW w:w="590" w:type="dxa"/>
            <w:tcBorders>
              <w:left w:val="single" w:sz="4" w:space="0" w:color="000000"/>
              <w:right w:val="single" w:sz="4" w:space="0" w:color="000000"/>
            </w:tcBorders>
          </w:tcPr>
          <w:p>
            <w:pPr>
              <w:pStyle w:val="TableParagraph"/>
              <w:spacing w:line="197" w:lineRule="exact"/>
              <w:ind w:right="203"/>
              <w:jc w:val="right"/>
              <w:rPr>
                <w:sz w:val="17"/>
              </w:rPr>
            </w:pPr>
            <w:r>
              <w:rPr>
                <w:w w:val="50"/>
                <w:sz w:val="17"/>
              </w:rPr>
              <w:t>M35</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M32</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0%</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M57</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M59</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1%</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Equity in net earnings (losses) of associates</w:t>
            </w:r>
          </w:p>
        </w:tc>
        <w:tc>
          <w:tcPr>
            <w:tcW w:w="590" w:type="dxa"/>
            <w:tcBorders>
              <w:left w:val="single" w:sz="4" w:space="0" w:color="000000"/>
              <w:right w:val="single" w:sz="4" w:space="0" w:color="000000"/>
            </w:tcBorders>
          </w:tcPr>
          <w:p>
            <w:pPr>
              <w:pStyle w:val="TableParagraph"/>
              <w:spacing w:line="197" w:lineRule="exact"/>
              <w:ind w:right="2"/>
              <w:rPr>
                <w:sz w:val="17"/>
              </w:rPr>
            </w:pPr>
            <w:r>
              <w:rPr>
                <w:w w:val="72"/>
                <w:sz w:val="17"/>
              </w:rPr>
              <w:t>2</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85" w:right="75"/>
              <w:rPr>
                <w:sz w:val="17"/>
              </w:rPr>
            </w:pPr>
            <w:r>
              <w:rPr>
                <w:w w:val="55"/>
                <w:sz w:val="17"/>
              </w:rPr>
              <w:t>M1</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0%</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M34</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right="2"/>
              <w:rPr>
                <w:sz w:val="17"/>
              </w:rPr>
            </w:pPr>
            <w:r>
              <w:rPr>
                <w:w w:val="72"/>
                <w:sz w:val="17"/>
              </w:rPr>
              <w:t>9</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0%</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5"/>
                <w:sz w:val="17"/>
              </w:rPr>
              <w:t>INCOME (LOSS) BEFORE INCOME TAXES</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600</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6%</w:t>
            </w: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490</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5%</w:t>
            </w:r>
          </w:p>
        </w:tc>
        <w:tc>
          <w:tcPr>
            <w:tcW w:w="596" w:type="dxa"/>
            <w:tcBorders>
              <w:left w:val="single" w:sz="9" w:space="0" w:color="000000"/>
              <w:right w:val="single" w:sz="4" w:space="0" w:color="000000"/>
            </w:tcBorders>
          </w:tcPr>
          <w:p>
            <w:pPr>
              <w:pStyle w:val="TableParagraph"/>
              <w:spacing w:line="197" w:lineRule="exact"/>
              <w:ind w:left="85" w:right="79"/>
              <w:rPr>
                <w:b/>
                <w:sz w:val="17"/>
              </w:rPr>
            </w:pPr>
            <w:r>
              <w:rPr>
                <w:b/>
                <w:w w:val="60"/>
                <w:sz w:val="17"/>
              </w:rPr>
              <w:t>W67</w:t>
            </w:r>
          </w:p>
        </w:tc>
        <w:tc>
          <w:tcPr>
            <w:tcW w:w="585" w:type="dxa"/>
            <w:tcBorders>
              <w:left w:val="single" w:sz="4" w:space="0" w:color="000000"/>
              <w:right w:val="single" w:sz="9" w:space="0" w:color="000000"/>
            </w:tcBorders>
          </w:tcPr>
          <w:p>
            <w:pPr>
              <w:pStyle w:val="TableParagraph"/>
              <w:spacing w:line="197" w:lineRule="exact"/>
              <w:ind w:left="121" w:right="101"/>
              <w:rPr>
                <w:sz w:val="17"/>
              </w:rPr>
            </w:pPr>
            <w:r>
              <w:rPr>
                <w:w w:val="65"/>
                <w:sz w:val="17"/>
              </w:rPr>
              <w:t>M1%</w:t>
            </w:r>
          </w:p>
        </w:tc>
        <w:tc>
          <w:tcPr>
            <w:tcW w:w="596" w:type="dxa"/>
            <w:tcBorders>
              <w:left w:val="single" w:sz="9" w:space="0" w:color="000000"/>
              <w:right w:val="single" w:sz="4" w:space="0" w:color="000000"/>
            </w:tcBorders>
          </w:tcPr>
          <w:p>
            <w:pPr>
              <w:pStyle w:val="TableParagraph"/>
              <w:spacing w:line="197" w:lineRule="exact"/>
              <w:ind w:left="81" w:right="80"/>
              <w:rPr>
                <w:b/>
                <w:sz w:val="17"/>
              </w:rPr>
            </w:pPr>
            <w:r>
              <w:rPr>
                <w:b/>
                <w:w w:val="65"/>
                <w:sz w:val="17"/>
              </w:rPr>
              <w:t>W147</w:t>
            </w:r>
          </w:p>
        </w:tc>
        <w:tc>
          <w:tcPr>
            <w:tcW w:w="618" w:type="dxa"/>
            <w:tcBorders>
              <w:left w:val="single" w:sz="4" w:space="0" w:color="000000"/>
              <w:right w:val="single" w:sz="9" w:space="0" w:color="000000"/>
            </w:tcBorders>
          </w:tcPr>
          <w:p>
            <w:pPr>
              <w:pStyle w:val="TableParagraph"/>
              <w:spacing w:line="197" w:lineRule="exact"/>
              <w:ind w:left="211"/>
              <w:jc w:val="left"/>
              <w:rPr>
                <w:sz w:val="17"/>
              </w:rPr>
            </w:pPr>
            <w:r>
              <w:rPr>
                <w:w w:val="65"/>
                <w:sz w:val="17"/>
              </w:rPr>
              <w:t>M2%</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Income taxes</w:t>
            </w:r>
          </w:p>
        </w:tc>
        <w:tc>
          <w:tcPr>
            <w:tcW w:w="590" w:type="dxa"/>
            <w:tcBorders>
              <w:left w:val="single" w:sz="4" w:space="0" w:color="000000"/>
              <w:right w:val="single" w:sz="4" w:space="0" w:color="000000"/>
            </w:tcBorders>
          </w:tcPr>
          <w:p>
            <w:pPr>
              <w:pStyle w:val="TableParagraph"/>
              <w:spacing w:line="197" w:lineRule="exact"/>
              <w:ind w:right="174"/>
              <w:jc w:val="right"/>
              <w:rPr>
                <w:sz w:val="17"/>
              </w:rPr>
            </w:pPr>
            <w:r>
              <w:rPr>
                <w:w w:val="55"/>
                <w:sz w:val="17"/>
              </w:rPr>
              <w:t>M148</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M104</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M79</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1%</w:t>
            </w:r>
          </w:p>
        </w:tc>
        <w:tc>
          <w:tcPr>
            <w:tcW w:w="596" w:type="dxa"/>
            <w:tcBorders>
              <w:left w:val="single" w:sz="9" w:space="0" w:color="000000"/>
              <w:right w:val="single" w:sz="4" w:space="0" w:color="000000"/>
            </w:tcBorders>
          </w:tcPr>
          <w:p>
            <w:pPr>
              <w:pStyle w:val="TableParagraph"/>
              <w:spacing w:line="197" w:lineRule="exact"/>
              <w:ind w:left="85" w:right="79"/>
              <w:rPr>
                <w:sz w:val="17"/>
              </w:rPr>
            </w:pPr>
            <w:r>
              <w:rPr>
                <w:w w:val="60"/>
                <w:sz w:val="17"/>
              </w:rPr>
              <w:t>M51</w:t>
            </w:r>
          </w:p>
        </w:tc>
        <w:tc>
          <w:tcPr>
            <w:tcW w:w="618" w:type="dxa"/>
            <w:tcBorders>
              <w:left w:val="single" w:sz="4" w:space="0" w:color="000000"/>
              <w:right w:val="single" w:sz="9" w:space="0" w:color="000000"/>
            </w:tcBorders>
          </w:tcPr>
          <w:p>
            <w:pPr>
              <w:pStyle w:val="TableParagraph"/>
              <w:spacing w:line="197" w:lineRule="exact"/>
              <w:ind w:left="233"/>
              <w:jc w:val="left"/>
              <w:rPr>
                <w:sz w:val="17"/>
              </w:rPr>
            </w:pPr>
            <w:r>
              <w:rPr>
                <w:w w:val="80"/>
                <w:sz w:val="17"/>
              </w:rPr>
              <w:t>1%</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INCOME (LOSS) FROM CONTINUING OPERATIONS</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452</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4%</w:t>
            </w: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386</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4%</w:t>
            </w:r>
          </w:p>
        </w:tc>
        <w:tc>
          <w:tcPr>
            <w:tcW w:w="596" w:type="dxa"/>
            <w:tcBorders>
              <w:left w:val="single" w:sz="9" w:space="0" w:color="000000"/>
              <w:right w:val="single" w:sz="4" w:space="0" w:color="000000"/>
            </w:tcBorders>
          </w:tcPr>
          <w:p>
            <w:pPr>
              <w:pStyle w:val="TableParagraph"/>
              <w:spacing w:line="197" w:lineRule="exact"/>
              <w:ind w:right="174"/>
              <w:jc w:val="right"/>
              <w:rPr>
                <w:b/>
                <w:sz w:val="17"/>
              </w:rPr>
            </w:pPr>
            <w:r>
              <w:rPr>
                <w:b/>
                <w:w w:val="50"/>
                <w:sz w:val="17"/>
              </w:rPr>
              <w:t>W146</w:t>
            </w:r>
          </w:p>
        </w:tc>
        <w:tc>
          <w:tcPr>
            <w:tcW w:w="585" w:type="dxa"/>
            <w:tcBorders>
              <w:left w:val="single" w:sz="4" w:space="0" w:color="000000"/>
              <w:right w:val="single" w:sz="9" w:space="0" w:color="000000"/>
            </w:tcBorders>
          </w:tcPr>
          <w:p>
            <w:pPr>
              <w:pStyle w:val="TableParagraph"/>
              <w:spacing w:line="197" w:lineRule="exact"/>
              <w:ind w:left="121" w:right="101"/>
              <w:rPr>
                <w:sz w:val="17"/>
              </w:rPr>
            </w:pPr>
            <w:r>
              <w:rPr>
                <w:w w:val="65"/>
                <w:sz w:val="17"/>
              </w:rPr>
              <w:t>M2%</w:t>
            </w:r>
          </w:p>
        </w:tc>
        <w:tc>
          <w:tcPr>
            <w:tcW w:w="596" w:type="dxa"/>
            <w:tcBorders>
              <w:left w:val="single" w:sz="9" w:space="0" w:color="000000"/>
              <w:right w:val="single" w:sz="4" w:space="0" w:color="000000"/>
            </w:tcBorders>
          </w:tcPr>
          <w:p>
            <w:pPr>
              <w:pStyle w:val="TableParagraph"/>
              <w:spacing w:line="197" w:lineRule="exact"/>
              <w:ind w:left="81" w:right="80"/>
              <w:rPr>
                <w:b/>
                <w:sz w:val="17"/>
              </w:rPr>
            </w:pPr>
            <w:r>
              <w:rPr>
                <w:b/>
                <w:w w:val="65"/>
                <w:sz w:val="17"/>
              </w:rPr>
              <w:t>W198</w:t>
            </w:r>
          </w:p>
        </w:tc>
        <w:tc>
          <w:tcPr>
            <w:tcW w:w="618" w:type="dxa"/>
            <w:tcBorders>
              <w:left w:val="single" w:sz="4" w:space="0" w:color="000000"/>
              <w:right w:val="single" w:sz="9" w:space="0" w:color="000000"/>
            </w:tcBorders>
          </w:tcPr>
          <w:p>
            <w:pPr>
              <w:pStyle w:val="TableParagraph"/>
              <w:spacing w:line="197" w:lineRule="exact"/>
              <w:ind w:left="211"/>
              <w:jc w:val="left"/>
              <w:rPr>
                <w:sz w:val="17"/>
              </w:rPr>
            </w:pPr>
            <w:r>
              <w:rPr>
                <w:w w:val="65"/>
                <w:sz w:val="17"/>
              </w:rPr>
              <w:t>M2%</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0"/>
                <w:sz w:val="17"/>
              </w:rPr>
              <w:t>Discontinued operations</w:t>
            </w:r>
          </w:p>
        </w:tc>
        <w:tc>
          <w:tcPr>
            <w:tcW w:w="590" w:type="dxa"/>
            <w:tcBorders>
              <w:left w:val="single" w:sz="4"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5"/>
                <w:sz w:val="17"/>
              </w:rPr>
              <w:t>Income (loss) from discontinued operation net of tax</w:t>
            </w:r>
          </w:p>
        </w:tc>
        <w:tc>
          <w:tcPr>
            <w:tcW w:w="590" w:type="dxa"/>
            <w:tcBorders>
              <w:left w:val="single" w:sz="4" w:space="0" w:color="000000"/>
              <w:right w:val="single" w:sz="4" w:space="0" w:color="000000"/>
            </w:tcBorders>
          </w:tcPr>
          <w:p>
            <w:pPr>
              <w:pStyle w:val="TableParagraph"/>
              <w:spacing w:line="197" w:lineRule="exact"/>
              <w:ind w:right="232"/>
              <w:jc w:val="right"/>
              <w:rPr>
                <w:sz w:val="17"/>
              </w:rPr>
            </w:pPr>
            <w:r>
              <w:rPr>
                <w:w w:val="40"/>
                <w:sz w:val="17"/>
              </w:rPr>
              <w:t>M1</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0%</w:t>
            </w:r>
          </w:p>
        </w:tc>
        <w:tc>
          <w:tcPr>
            <w:tcW w:w="596" w:type="dxa"/>
            <w:tcBorders>
              <w:left w:val="single" w:sz="9" w:space="0" w:color="000000"/>
              <w:right w:val="single" w:sz="4" w:space="0" w:color="000000"/>
            </w:tcBorders>
          </w:tcPr>
          <w:p>
            <w:pPr>
              <w:pStyle w:val="TableParagraph"/>
              <w:spacing w:line="197" w:lineRule="exact"/>
              <w:ind w:left="85" w:right="75"/>
              <w:rPr>
                <w:sz w:val="17"/>
              </w:rPr>
            </w:pPr>
            <w:r>
              <w:rPr>
                <w:w w:val="55"/>
                <w:sz w:val="17"/>
              </w:rPr>
              <w:t>M2</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0%</w:t>
            </w:r>
          </w:p>
        </w:tc>
        <w:tc>
          <w:tcPr>
            <w:tcW w:w="596" w:type="dxa"/>
            <w:tcBorders>
              <w:left w:val="single" w:sz="9" w:space="0" w:color="000000"/>
              <w:right w:val="single" w:sz="4" w:space="0" w:color="000000"/>
            </w:tcBorders>
          </w:tcPr>
          <w:p>
            <w:pPr>
              <w:pStyle w:val="TableParagraph"/>
              <w:spacing w:line="197" w:lineRule="exact"/>
              <w:ind w:right="4"/>
              <w:rPr>
                <w:sz w:val="17"/>
              </w:rPr>
            </w:pPr>
            <w:r>
              <w:rPr>
                <w:w w:val="25"/>
                <w:sz w:val="17"/>
              </w:rPr>
              <w:t>M</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2" w:right="80"/>
              <w:rPr>
                <w:sz w:val="17"/>
              </w:rPr>
            </w:pPr>
            <w:r>
              <w:rPr>
                <w:w w:val="80"/>
                <w:sz w:val="17"/>
              </w:rPr>
              <w:t>(*)</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b/>
                <w:sz w:val="17"/>
              </w:rPr>
            </w:pPr>
            <w:r>
              <w:rPr>
                <w:b/>
                <w:w w:val="75"/>
                <w:sz w:val="17"/>
              </w:rPr>
              <w:t>NET INCOME (LOSS) FOR THE YEAR</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451</w:t>
            </w:r>
          </w:p>
        </w:tc>
        <w:tc>
          <w:tcPr>
            <w:tcW w:w="585" w:type="dxa"/>
            <w:tcBorders>
              <w:left w:val="single" w:sz="4" w:space="0" w:color="000000"/>
              <w:right w:val="single" w:sz="9" w:space="0" w:color="000000"/>
            </w:tcBorders>
          </w:tcPr>
          <w:p>
            <w:pPr>
              <w:pStyle w:val="TableParagraph"/>
              <w:spacing w:line="197" w:lineRule="exact"/>
              <w:ind w:left="106" w:right="101"/>
              <w:rPr>
                <w:sz w:val="17"/>
              </w:rPr>
            </w:pPr>
            <w:r>
              <w:rPr>
                <w:w w:val="80"/>
                <w:sz w:val="17"/>
              </w:rPr>
              <w:t>4%</w:t>
            </w:r>
          </w:p>
        </w:tc>
        <w:tc>
          <w:tcPr>
            <w:tcW w:w="596" w:type="dxa"/>
            <w:tcBorders>
              <w:left w:val="single" w:sz="9" w:space="0" w:color="000000"/>
              <w:right w:val="single" w:sz="4" w:space="0" w:color="000000"/>
            </w:tcBorders>
          </w:tcPr>
          <w:p>
            <w:pPr>
              <w:pStyle w:val="TableParagraph"/>
              <w:spacing w:line="197" w:lineRule="exact"/>
              <w:ind w:left="85" w:right="77"/>
              <w:rPr>
                <w:b/>
                <w:sz w:val="17"/>
              </w:rPr>
            </w:pPr>
            <w:r>
              <w:rPr>
                <w:b/>
                <w:w w:val="80"/>
                <w:sz w:val="17"/>
              </w:rPr>
              <w:t>384</w:t>
            </w:r>
          </w:p>
        </w:tc>
        <w:tc>
          <w:tcPr>
            <w:tcW w:w="585" w:type="dxa"/>
            <w:tcBorders>
              <w:left w:val="single" w:sz="4" w:space="0" w:color="000000"/>
              <w:right w:val="single" w:sz="9" w:space="0" w:color="000000"/>
            </w:tcBorders>
          </w:tcPr>
          <w:p>
            <w:pPr>
              <w:pStyle w:val="TableParagraph"/>
              <w:spacing w:line="197" w:lineRule="exact"/>
              <w:ind w:right="204"/>
              <w:jc w:val="right"/>
              <w:rPr>
                <w:sz w:val="17"/>
              </w:rPr>
            </w:pPr>
            <w:r>
              <w:rPr>
                <w:w w:val="70"/>
                <w:sz w:val="17"/>
              </w:rPr>
              <w:t>4%</w:t>
            </w:r>
          </w:p>
        </w:tc>
        <w:tc>
          <w:tcPr>
            <w:tcW w:w="596" w:type="dxa"/>
            <w:tcBorders>
              <w:left w:val="single" w:sz="9" w:space="0" w:color="000000"/>
              <w:right w:val="single" w:sz="4" w:space="0" w:color="000000"/>
            </w:tcBorders>
          </w:tcPr>
          <w:p>
            <w:pPr>
              <w:pStyle w:val="TableParagraph"/>
              <w:spacing w:line="197" w:lineRule="exact"/>
              <w:ind w:right="174"/>
              <w:jc w:val="right"/>
              <w:rPr>
                <w:b/>
                <w:sz w:val="17"/>
              </w:rPr>
            </w:pPr>
            <w:r>
              <w:rPr>
                <w:b/>
                <w:w w:val="50"/>
                <w:sz w:val="17"/>
              </w:rPr>
              <w:t>W146</w:t>
            </w:r>
          </w:p>
        </w:tc>
        <w:tc>
          <w:tcPr>
            <w:tcW w:w="585" w:type="dxa"/>
            <w:tcBorders>
              <w:left w:val="single" w:sz="4" w:space="0" w:color="000000"/>
              <w:right w:val="single" w:sz="9" w:space="0" w:color="000000"/>
            </w:tcBorders>
          </w:tcPr>
          <w:p>
            <w:pPr>
              <w:pStyle w:val="TableParagraph"/>
              <w:spacing w:line="197" w:lineRule="exact"/>
              <w:ind w:left="121" w:right="101"/>
              <w:rPr>
                <w:sz w:val="17"/>
              </w:rPr>
            </w:pPr>
            <w:r>
              <w:rPr>
                <w:w w:val="65"/>
                <w:sz w:val="17"/>
              </w:rPr>
              <w:t>M2%</w:t>
            </w:r>
          </w:p>
        </w:tc>
        <w:tc>
          <w:tcPr>
            <w:tcW w:w="596" w:type="dxa"/>
            <w:tcBorders>
              <w:left w:val="single" w:sz="9" w:space="0" w:color="000000"/>
              <w:right w:val="single" w:sz="4" w:space="0" w:color="000000"/>
            </w:tcBorders>
          </w:tcPr>
          <w:p>
            <w:pPr>
              <w:pStyle w:val="TableParagraph"/>
              <w:spacing w:line="197" w:lineRule="exact"/>
              <w:ind w:left="81" w:right="80"/>
              <w:rPr>
                <w:b/>
                <w:sz w:val="17"/>
              </w:rPr>
            </w:pPr>
            <w:r>
              <w:rPr>
                <w:b/>
                <w:w w:val="65"/>
                <w:sz w:val="17"/>
              </w:rPr>
              <w:t>W199</w:t>
            </w:r>
          </w:p>
        </w:tc>
        <w:tc>
          <w:tcPr>
            <w:tcW w:w="618" w:type="dxa"/>
            <w:tcBorders>
              <w:left w:val="single" w:sz="4" w:space="0" w:color="000000"/>
              <w:right w:val="single" w:sz="9" w:space="0" w:color="000000"/>
            </w:tcBorders>
          </w:tcPr>
          <w:p>
            <w:pPr>
              <w:pStyle w:val="TableParagraph"/>
              <w:spacing w:line="197" w:lineRule="exact"/>
              <w:ind w:left="211"/>
              <w:jc w:val="left"/>
              <w:rPr>
                <w:sz w:val="17"/>
              </w:rPr>
            </w:pPr>
            <w:r>
              <w:rPr>
                <w:w w:val="65"/>
                <w:sz w:val="17"/>
              </w:rPr>
              <w:t>M2%</w:t>
            </w: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22"/>
              <w:jc w:val="left"/>
              <w:rPr>
                <w:sz w:val="17"/>
              </w:rPr>
            </w:pPr>
            <w:r>
              <w:rPr>
                <w:w w:val="70"/>
                <w:sz w:val="17"/>
              </w:rPr>
              <w:t>Attribuable to:</w:t>
            </w:r>
          </w:p>
        </w:tc>
        <w:tc>
          <w:tcPr>
            <w:tcW w:w="590" w:type="dxa"/>
            <w:tcBorders>
              <w:left w:val="single" w:sz="4"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155"/>
              <w:jc w:val="left"/>
              <w:rPr>
                <w:sz w:val="17"/>
              </w:rPr>
            </w:pPr>
            <w:r>
              <w:rPr>
                <w:w w:val="75"/>
                <w:sz w:val="17"/>
              </w:rPr>
              <w:t>* Owners of the company</w:t>
            </w:r>
          </w:p>
        </w:tc>
        <w:tc>
          <w:tcPr>
            <w:tcW w:w="590" w:type="dxa"/>
            <w:tcBorders>
              <w:left w:val="single" w:sz="4" w:space="0" w:color="000000"/>
              <w:right w:val="single" w:sz="4" w:space="0" w:color="000000"/>
            </w:tcBorders>
          </w:tcPr>
          <w:p>
            <w:pPr>
              <w:pStyle w:val="TableParagraph"/>
              <w:spacing w:line="197" w:lineRule="exact"/>
              <w:ind w:right="189"/>
              <w:jc w:val="right"/>
              <w:rPr>
                <w:sz w:val="17"/>
              </w:rPr>
            </w:pPr>
            <w:r>
              <w:rPr>
                <w:w w:val="70"/>
                <w:sz w:val="17"/>
              </w:rPr>
              <w:t>427</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5" w:right="77"/>
              <w:rPr>
                <w:sz w:val="17"/>
              </w:rPr>
            </w:pPr>
            <w:r>
              <w:rPr>
                <w:w w:val="80"/>
                <w:sz w:val="17"/>
              </w:rPr>
              <w:t>365</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74"/>
              <w:jc w:val="right"/>
              <w:rPr>
                <w:sz w:val="17"/>
              </w:rPr>
            </w:pPr>
            <w:r>
              <w:rPr>
                <w:w w:val="55"/>
                <w:sz w:val="17"/>
              </w:rPr>
              <w:t>M153</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1" w:right="80"/>
              <w:rPr>
                <w:sz w:val="17"/>
              </w:rPr>
            </w:pPr>
            <w:r>
              <w:rPr>
                <w:w w:val="65"/>
                <w:sz w:val="17"/>
              </w:rPr>
              <w:t>M207</w:t>
            </w:r>
          </w:p>
        </w:tc>
        <w:tc>
          <w:tcPr>
            <w:tcW w:w="618" w:type="dxa"/>
            <w:tcBorders>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155"/>
              <w:jc w:val="left"/>
              <w:rPr>
                <w:sz w:val="17"/>
              </w:rPr>
            </w:pPr>
            <w:r>
              <w:rPr>
                <w:w w:val="75"/>
                <w:sz w:val="17"/>
              </w:rPr>
              <w:t>* Minority interests</w:t>
            </w:r>
          </w:p>
        </w:tc>
        <w:tc>
          <w:tcPr>
            <w:tcW w:w="590" w:type="dxa"/>
            <w:tcBorders>
              <w:left w:val="single" w:sz="4" w:space="0" w:color="000000"/>
              <w:right w:val="single" w:sz="4" w:space="0" w:color="000000"/>
            </w:tcBorders>
          </w:tcPr>
          <w:p>
            <w:pPr>
              <w:pStyle w:val="TableParagraph"/>
              <w:spacing w:line="197" w:lineRule="exact"/>
              <w:ind w:right="229"/>
              <w:jc w:val="right"/>
              <w:rPr>
                <w:sz w:val="17"/>
              </w:rPr>
            </w:pPr>
            <w:r>
              <w:rPr>
                <w:w w:val="70"/>
                <w:sz w:val="17"/>
              </w:rPr>
              <w:t>24</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3" w:right="80"/>
              <w:rPr>
                <w:sz w:val="17"/>
              </w:rPr>
            </w:pPr>
            <w:r>
              <w:rPr>
                <w:w w:val="80"/>
                <w:sz w:val="17"/>
              </w:rPr>
              <w:t>19</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2"/>
              <w:rPr>
                <w:sz w:val="17"/>
              </w:rPr>
            </w:pPr>
            <w:r>
              <w:rPr>
                <w:w w:val="72"/>
                <w:sz w:val="17"/>
              </w:rPr>
              <w:t>7</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2"/>
              <w:rPr>
                <w:sz w:val="17"/>
              </w:rPr>
            </w:pPr>
            <w:r>
              <w:rPr>
                <w:w w:val="72"/>
                <w:sz w:val="17"/>
              </w:rPr>
              <w:t>8</w:t>
            </w:r>
          </w:p>
        </w:tc>
        <w:tc>
          <w:tcPr>
            <w:tcW w:w="618" w:type="dxa"/>
            <w:tcBorders>
              <w:left w:val="single" w:sz="4" w:space="0" w:color="000000"/>
              <w:right w:val="single" w:sz="9" w:space="0" w:color="000000"/>
            </w:tcBorders>
          </w:tcPr>
          <w:p>
            <w:pPr/>
          </w:p>
        </w:tc>
      </w:tr>
      <w:tr>
        <w:trPr>
          <w:trHeight w:val="231" w:hRule="exact"/>
        </w:trPr>
        <w:tc>
          <w:tcPr>
            <w:tcW w:w="3498" w:type="dxa"/>
            <w:tcBorders>
              <w:left w:val="single" w:sz="4" w:space="0" w:color="000000"/>
              <w:bottom w:val="nil"/>
              <w:right w:val="single" w:sz="4" w:space="0" w:color="000000"/>
            </w:tcBorders>
          </w:tcPr>
          <w:p>
            <w:pPr>
              <w:pStyle w:val="TableParagraph"/>
              <w:spacing w:line="197" w:lineRule="exact"/>
              <w:ind w:left="22"/>
              <w:jc w:val="left"/>
              <w:rPr>
                <w:b/>
                <w:sz w:val="17"/>
              </w:rPr>
            </w:pPr>
            <w:r>
              <w:rPr>
                <w:b/>
                <w:w w:val="75"/>
                <w:sz w:val="17"/>
              </w:rPr>
              <w:t>Earnings (loss) per share:</w:t>
            </w:r>
          </w:p>
        </w:tc>
        <w:tc>
          <w:tcPr>
            <w:tcW w:w="590" w:type="dxa"/>
            <w:tcBorders>
              <w:left w:val="single" w:sz="4" w:space="0" w:color="000000"/>
              <w:bottom w:val="nil"/>
              <w:right w:val="single" w:sz="4" w:space="0" w:color="000000"/>
            </w:tcBorders>
          </w:tcPr>
          <w:p>
            <w:pP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
        </w:tc>
        <w:tc>
          <w:tcPr>
            <w:tcW w:w="618" w:type="dxa"/>
            <w:tcBorders>
              <w:left w:val="single" w:sz="4" w:space="0" w:color="000000"/>
              <w:bottom w:val="nil"/>
              <w:right w:val="single" w:sz="9" w:space="0" w:color="000000"/>
            </w:tcBorders>
          </w:tcPr>
          <w:p>
            <w:pPr/>
          </w:p>
        </w:tc>
      </w:tr>
      <w:tr>
        <w:trPr>
          <w:trHeight w:val="231" w:hRule="exact"/>
        </w:trPr>
        <w:tc>
          <w:tcPr>
            <w:tcW w:w="3498" w:type="dxa"/>
            <w:tcBorders>
              <w:top w:val="nil"/>
              <w:left w:val="single" w:sz="4" w:space="0" w:color="000000"/>
              <w:right w:val="single" w:sz="4" w:space="0" w:color="000000"/>
            </w:tcBorders>
          </w:tcPr>
          <w:p>
            <w:pPr>
              <w:pStyle w:val="TableParagraph"/>
              <w:spacing w:before="5"/>
              <w:ind w:left="155"/>
              <w:jc w:val="left"/>
              <w:rPr>
                <w:sz w:val="17"/>
              </w:rPr>
            </w:pPr>
            <w:r>
              <w:rPr>
                <w:w w:val="75"/>
                <w:sz w:val="17"/>
              </w:rPr>
              <w:t>* Basic earnings (loss) per share (in euros)</w:t>
            </w:r>
          </w:p>
        </w:tc>
        <w:tc>
          <w:tcPr>
            <w:tcW w:w="590" w:type="dxa"/>
            <w:tcBorders>
              <w:top w:val="nil"/>
              <w:left w:val="single" w:sz="4" w:space="0" w:color="000000"/>
              <w:right w:val="single" w:sz="4" w:space="0" w:color="000000"/>
            </w:tcBorders>
          </w:tcPr>
          <w:p>
            <w:pPr>
              <w:pStyle w:val="TableParagraph"/>
              <w:spacing w:before="5"/>
              <w:ind w:right="180"/>
              <w:jc w:val="right"/>
              <w:rPr>
                <w:sz w:val="17"/>
              </w:rPr>
            </w:pPr>
            <w:r>
              <w:rPr>
                <w:w w:val="70"/>
                <w:sz w:val="17"/>
              </w:rPr>
              <w:t>5.68</w:t>
            </w: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Style w:val="TableParagraph"/>
              <w:spacing w:before="5"/>
              <w:ind w:left="78" w:right="80"/>
              <w:rPr>
                <w:sz w:val="17"/>
              </w:rPr>
            </w:pPr>
            <w:r>
              <w:rPr>
                <w:w w:val="80"/>
                <w:sz w:val="17"/>
              </w:rPr>
              <w:t>4.86</w:t>
            </w: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Style w:val="TableParagraph"/>
              <w:spacing w:before="5"/>
              <w:ind w:right="154"/>
              <w:jc w:val="right"/>
              <w:rPr>
                <w:sz w:val="17"/>
              </w:rPr>
            </w:pPr>
            <w:r>
              <w:rPr>
                <w:w w:val="55"/>
                <w:sz w:val="17"/>
              </w:rPr>
              <w:t>M2.04</w:t>
            </w: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Style w:val="TableParagraph"/>
              <w:spacing w:before="5"/>
              <w:ind w:left="85" w:right="75"/>
              <w:rPr>
                <w:sz w:val="17"/>
              </w:rPr>
            </w:pPr>
            <w:r>
              <w:rPr>
                <w:w w:val="65"/>
                <w:sz w:val="17"/>
              </w:rPr>
              <w:t>M2.73</w:t>
            </w:r>
          </w:p>
        </w:tc>
        <w:tc>
          <w:tcPr>
            <w:tcW w:w="618" w:type="dxa"/>
            <w:tcBorders>
              <w:top w:val="nil"/>
              <w:left w:val="single" w:sz="4" w:space="0" w:color="000000"/>
              <w:right w:val="single" w:sz="9" w:space="0" w:color="000000"/>
            </w:tcBorders>
          </w:tcPr>
          <w:p>
            <w:pPr/>
          </w:p>
        </w:tc>
      </w:tr>
      <w:tr>
        <w:trPr>
          <w:trHeight w:val="231" w:hRule="exact"/>
        </w:trPr>
        <w:tc>
          <w:tcPr>
            <w:tcW w:w="3498" w:type="dxa"/>
            <w:tcBorders>
              <w:left w:val="single" w:sz="4" w:space="0" w:color="000000"/>
              <w:bottom w:val="nil"/>
              <w:right w:val="single" w:sz="4" w:space="0" w:color="000000"/>
            </w:tcBorders>
          </w:tcPr>
          <w:p>
            <w:pPr>
              <w:pStyle w:val="TableParagraph"/>
              <w:spacing w:line="197" w:lineRule="exact"/>
              <w:ind w:left="155"/>
              <w:jc w:val="left"/>
              <w:rPr>
                <w:sz w:val="17"/>
              </w:rPr>
            </w:pPr>
            <w:r>
              <w:rPr>
                <w:w w:val="75"/>
                <w:sz w:val="17"/>
              </w:rPr>
              <w:t>* Diluted earnings (loss) per share (in euros)</w:t>
            </w:r>
          </w:p>
        </w:tc>
        <w:tc>
          <w:tcPr>
            <w:tcW w:w="590" w:type="dxa"/>
            <w:tcBorders>
              <w:left w:val="single" w:sz="4" w:space="0" w:color="000000"/>
              <w:bottom w:val="nil"/>
              <w:right w:val="single" w:sz="4" w:space="0" w:color="000000"/>
            </w:tcBorders>
          </w:tcPr>
          <w:p>
            <w:pPr>
              <w:pStyle w:val="TableParagraph"/>
              <w:spacing w:line="197" w:lineRule="exact"/>
              <w:ind w:right="180"/>
              <w:jc w:val="right"/>
              <w:rPr>
                <w:sz w:val="17"/>
              </w:rPr>
            </w:pPr>
            <w:r>
              <w:rPr>
                <w:w w:val="70"/>
                <w:sz w:val="17"/>
              </w:rPr>
              <w:t>5.67</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left="78" w:right="80"/>
              <w:rPr>
                <w:sz w:val="17"/>
              </w:rPr>
            </w:pPr>
            <w:r>
              <w:rPr>
                <w:w w:val="80"/>
                <w:sz w:val="17"/>
              </w:rPr>
              <w:t>4.86</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right="154"/>
              <w:jc w:val="right"/>
              <w:rPr>
                <w:sz w:val="17"/>
              </w:rPr>
            </w:pPr>
            <w:r>
              <w:rPr>
                <w:w w:val="55"/>
                <w:sz w:val="17"/>
              </w:rPr>
              <w:t>M2.04</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left="85" w:right="75"/>
              <w:rPr>
                <w:sz w:val="17"/>
              </w:rPr>
            </w:pPr>
            <w:r>
              <w:rPr>
                <w:w w:val="65"/>
                <w:sz w:val="17"/>
              </w:rPr>
              <w:t>M2.73</w:t>
            </w:r>
          </w:p>
        </w:tc>
        <w:tc>
          <w:tcPr>
            <w:tcW w:w="618" w:type="dxa"/>
            <w:tcBorders>
              <w:left w:val="single" w:sz="4" w:space="0" w:color="000000"/>
              <w:bottom w:val="nil"/>
              <w:right w:val="single" w:sz="9" w:space="0" w:color="000000"/>
            </w:tcBorders>
          </w:tcPr>
          <w:p>
            <w:pPr/>
          </w:p>
        </w:tc>
      </w:tr>
      <w:tr>
        <w:trPr>
          <w:trHeight w:val="231" w:hRule="exact"/>
        </w:trPr>
        <w:tc>
          <w:tcPr>
            <w:tcW w:w="3498" w:type="dxa"/>
            <w:tcBorders>
              <w:top w:val="nil"/>
              <w:left w:val="single" w:sz="4" w:space="0" w:color="000000"/>
              <w:right w:val="single" w:sz="4" w:space="0" w:color="000000"/>
            </w:tcBorders>
          </w:tcPr>
          <w:p>
            <w:pPr>
              <w:pStyle w:val="TableParagraph"/>
              <w:spacing w:before="5"/>
              <w:ind w:left="155"/>
              <w:jc w:val="left"/>
              <w:rPr>
                <w:b/>
                <w:sz w:val="17"/>
              </w:rPr>
            </w:pPr>
            <w:r>
              <w:rPr>
                <w:b/>
                <w:w w:val="75"/>
                <w:sz w:val="17"/>
              </w:rPr>
              <w:t>Earnings (loss) per share from continuing operations:</w:t>
            </w:r>
          </w:p>
        </w:tc>
        <w:tc>
          <w:tcPr>
            <w:tcW w:w="590" w:type="dxa"/>
            <w:tcBorders>
              <w:top w:val="nil"/>
              <w:left w:val="single" w:sz="4" w:space="0" w:color="000000"/>
              <w:right w:val="single" w:sz="4" w:space="0" w:color="000000"/>
            </w:tcBorders>
          </w:tcPr>
          <w:p>
            <w:pP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
        </w:tc>
        <w:tc>
          <w:tcPr>
            <w:tcW w:w="585" w:type="dxa"/>
            <w:tcBorders>
              <w:top w:val="nil"/>
              <w:left w:val="single" w:sz="4" w:space="0" w:color="000000"/>
              <w:right w:val="single" w:sz="9" w:space="0" w:color="000000"/>
            </w:tcBorders>
          </w:tcPr>
          <w:p>
            <w:pPr/>
          </w:p>
        </w:tc>
        <w:tc>
          <w:tcPr>
            <w:tcW w:w="596" w:type="dxa"/>
            <w:tcBorders>
              <w:top w:val="nil"/>
              <w:left w:val="single" w:sz="9" w:space="0" w:color="000000"/>
              <w:right w:val="single" w:sz="4" w:space="0" w:color="000000"/>
            </w:tcBorders>
          </w:tcPr>
          <w:p>
            <w:pPr/>
          </w:p>
        </w:tc>
        <w:tc>
          <w:tcPr>
            <w:tcW w:w="618" w:type="dxa"/>
            <w:tcBorders>
              <w:top w:val="nil"/>
              <w:left w:val="single" w:sz="4" w:space="0" w:color="000000"/>
              <w:right w:val="single" w:sz="9" w:space="0" w:color="000000"/>
            </w:tcBorders>
          </w:tcPr>
          <w:p>
            <w:pPr/>
          </w:p>
        </w:tc>
      </w:tr>
      <w:tr>
        <w:trPr>
          <w:trHeight w:val="223" w:hRule="exact"/>
        </w:trPr>
        <w:tc>
          <w:tcPr>
            <w:tcW w:w="3498" w:type="dxa"/>
            <w:tcBorders>
              <w:left w:val="single" w:sz="4" w:space="0" w:color="000000"/>
              <w:right w:val="single" w:sz="4" w:space="0" w:color="000000"/>
            </w:tcBorders>
          </w:tcPr>
          <w:p>
            <w:pPr>
              <w:pStyle w:val="TableParagraph"/>
              <w:spacing w:line="197" w:lineRule="exact"/>
              <w:ind w:left="155"/>
              <w:jc w:val="left"/>
              <w:rPr>
                <w:sz w:val="17"/>
              </w:rPr>
            </w:pPr>
            <w:r>
              <w:rPr>
                <w:w w:val="75"/>
                <w:sz w:val="17"/>
              </w:rPr>
              <w:t>* Basic earnings (loss) per share (in euros)</w:t>
            </w:r>
          </w:p>
        </w:tc>
        <w:tc>
          <w:tcPr>
            <w:tcW w:w="590" w:type="dxa"/>
            <w:tcBorders>
              <w:left w:val="single" w:sz="4" w:space="0" w:color="000000"/>
              <w:right w:val="single" w:sz="4" w:space="0" w:color="000000"/>
            </w:tcBorders>
          </w:tcPr>
          <w:p>
            <w:pPr>
              <w:pStyle w:val="TableParagraph"/>
              <w:spacing w:line="197" w:lineRule="exact"/>
              <w:ind w:right="209"/>
              <w:jc w:val="right"/>
              <w:rPr>
                <w:sz w:val="17"/>
              </w:rPr>
            </w:pPr>
            <w:r>
              <w:rPr>
                <w:w w:val="70"/>
                <w:sz w:val="17"/>
              </w:rPr>
              <w:t>5.7</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78" w:right="80"/>
              <w:rPr>
                <w:sz w:val="17"/>
              </w:rPr>
            </w:pPr>
            <w:r>
              <w:rPr>
                <w:w w:val="80"/>
                <w:sz w:val="17"/>
              </w:rPr>
              <w:t>4.89</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right="154"/>
              <w:jc w:val="right"/>
              <w:rPr>
                <w:sz w:val="17"/>
              </w:rPr>
            </w:pPr>
            <w:r>
              <w:rPr>
                <w:w w:val="55"/>
                <w:sz w:val="17"/>
              </w:rPr>
              <w:t>M2.04</w:t>
            </w:r>
          </w:p>
        </w:tc>
        <w:tc>
          <w:tcPr>
            <w:tcW w:w="585" w:type="dxa"/>
            <w:tcBorders>
              <w:left w:val="single" w:sz="4" w:space="0" w:color="000000"/>
              <w:right w:val="single" w:sz="9" w:space="0" w:color="000000"/>
            </w:tcBorders>
          </w:tcPr>
          <w:p>
            <w:pPr/>
          </w:p>
        </w:tc>
        <w:tc>
          <w:tcPr>
            <w:tcW w:w="596" w:type="dxa"/>
            <w:tcBorders>
              <w:left w:val="single" w:sz="9" w:space="0" w:color="000000"/>
              <w:right w:val="single" w:sz="4" w:space="0" w:color="000000"/>
            </w:tcBorders>
          </w:tcPr>
          <w:p>
            <w:pPr>
              <w:pStyle w:val="TableParagraph"/>
              <w:spacing w:line="197" w:lineRule="exact"/>
              <w:ind w:left="85" w:right="75"/>
              <w:rPr>
                <w:sz w:val="17"/>
              </w:rPr>
            </w:pPr>
            <w:r>
              <w:rPr>
                <w:w w:val="65"/>
                <w:sz w:val="17"/>
              </w:rPr>
              <w:t>M2.73</w:t>
            </w:r>
          </w:p>
        </w:tc>
        <w:tc>
          <w:tcPr>
            <w:tcW w:w="618" w:type="dxa"/>
            <w:tcBorders>
              <w:left w:val="single" w:sz="4" w:space="0" w:color="000000"/>
              <w:right w:val="single" w:sz="9" w:space="0" w:color="000000"/>
            </w:tcBorders>
          </w:tcPr>
          <w:p>
            <w:pPr/>
          </w:p>
        </w:tc>
      </w:tr>
      <w:tr>
        <w:trPr>
          <w:trHeight w:val="231" w:hRule="exact"/>
        </w:trPr>
        <w:tc>
          <w:tcPr>
            <w:tcW w:w="3498" w:type="dxa"/>
            <w:tcBorders>
              <w:left w:val="single" w:sz="4" w:space="0" w:color="000000"/>
              <w:bottom w:val="nil"/>
              <w:right w:val="single" w:sz="4" w:space="0" w:color="000000"/>
            </w:tcBorders>
          </w:tcPr>
          <w:p>
            <w:pPr>
              <w:pStyle w:val="TableParagraph"/>
              <w:spacing w:line="197" w:lineRule="exact"/>
              <w:ind w:left="155"/>
              <w:jc w:val="left"/>
              <w:rPr>
                <w:sz w:val="17"/>
              </w:rPr>
            </w:pPr>
            <w:r>
              <w:rPr>
                <w:w w:val="75"/>
                <w:sz w:val="17"/>
              </w:rPr>
              <w:t>* Diluted earnings (loss) per share (in euros)</w:t>
            </w:r>
          </w:p>
        </w:tc>
        <w:tc>
          <w:tcPr>
            <w:tcW w:w="590" w:type="dxa"/>
            <w:tcBorders>
              <w:left w:val="single" w:sz="4" w:space="0" w:color="000000"/>
              <w:bottom w:val="nil"/>
              <w:right w:val="single" w:sz="4" w:space="0" w:color="000000"/>
            </w:tcBorders>
          </w:tcPr>
          <w:p>
            <w:pPr>
              <w:pStyle w:val="TableParagraph"/>
              <w:spacing w:line="197" w:lineRule="exact"/>
              <w:ind w:right="180"/>
              <w:jc w:val="right"/>
              <w:rPr>
                <w:sz w:val="17"/>
              </w:rPr>
            </w:pPr>
            <w:r>
              <w:rPr>
                <w:w w:val="70"/>
                <w:sz w:val="17"/>
              </w:rPr>
              <w:t>5.69</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left="78" w:right="80"/>
              <w:rPr>
                <w:sz w:val="17"/>
              </w:rPr>
            </w:pPr>
            <w:r>
              <w:rPr>
                <w:w w:val="80"/>
                <w:sz w:val="17"/>
              </w:rPr>
              <w:t>4.89</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right="154"/>
              <w:jc w:val="right"/>
              <w:rPr>
                <w:sz w:val="17"/>
              </w:rPr>
            </w:pPr>
            <w:r>
              <w:rPr>
                <w:w w:val="55"/>
                <w:sz w:val="17"/>
              </w:rPr>
              <w:t>M2.04</w:t>
            </w:r>
          </w:p>
        </w:tc>
        <w:tc>
          <w:tcPr>
            <w:tcW w:w="585" w:type="dxa"/>
            <w:tcBorders>
              <w:left w:val="single" w:sz="4" w:space="0" w:color="000000"/>
              <w:bottom w:val="nil"/>
              <w:right w:val="single" w:sz="9" w:space="0" w:color="000000"/>
            </w:tcBorders>
          </w:tcPr>
          <w:p>
            <w:pPr/>
          </w:p>
        </w:tc>
        <w:tc>
          <w:tcPr>
            <w:tcW w:w="596" w:type="dxa"/>
            <w:tcBorders>
              <w:left w:val="single" w:sz="9" w:space="0" w:color="000000"/>
              <w:bottom w:val="nil"/>
              <w:right w:val="single" w:sz="4" w:space="0" w:color="000000"/>
            </w:tcBorders>
          </w:tcPr>
          <w:p>
            <w:pPr>
              <w:pStyle w:val="TableParagraph"/>
              <w:spacing w:line="197" w:lineRule="exact"/>
              <w:ind w:left="85" w:right="75"/>
              <w:rPr>
                <w:sz w:val="17"/>
              </w:rPr>
            </w:pPr>
            <w:r>
              <w:rPr>
                <w:w w:val="65"/>
                <w:sz w:val="17"/>
              </w:rPr>
              <w:t>M2.73</w:t>
            </w:r>
          </w:p>
        </w:tc>
        <w:tc>
          <w:tcPr>
            <w:tcW w:w="618" w:type="dxa"/>
            <w:tcBorders>
              <w:left w:val="single" w:sz="4" w:space="0" w:color="000000"/>
              <w:bottom w:val="nil"/>
              <w:right w:val="single" w:sz="9" w:space="0" w:color="000000"/>
            </w:tcBorders>
          </w:tcPr>
          <w:p>
            <w:pPr/>
          </w:p>
        </w:tc>
      </w:tr>
    </w:tbl>
    <w:p>
      <w:pPr>
        <w:spacing w:after="0"/>
        <w:sectPr>
          <w:pgSz w:w="11910" w:h="16840"/>
          <w:pgMar w:header="755" w:footer="724" w:top="960" w:bottom="920" w:left="1600" w:right="1580"/>
        </w:sectPr>
      </w:pPr>
    </w:p>
    <w:p>
      <w:pPr>
        <w:pStyle w:val="BodyText"/>
        <w:rPr>
          <w:b/>
          <w:sz w:val="20"/>
        </w:rPr>
      </w:pPr>
    </w:p>
    <w:p>
      <w:pPr>
        <w:pStyle w:val="BodyText"/>
        <w:spacing w:before="3"/>
        <w:rPr>
          <w:b/>
          <w:sz w:val="19"/>
        </w:rPr>
      </w:pPr>
    </w:p>
    <w:p>
      <w:pPr>
        <w:pStyle w:val="Heading2"/>
        <w:numPr>
          <w:ilvl w:val="1"/>
          <w:numId w:val="26"/>
        </w:numPr>
        <w:tabs>
          <w:tab w:pos="687" w:val="left" w:leader="none"/>
        </w:tabs>
        <w:spacing w:line="240" w:lineRule="auto" w:before="0" w:after="0"/>
        <w:ind w:left="686" w:right="0" w:hanging="576"/>
        <w:jc w:val="both"/>
      </w:pPr>
      <w:bookmarkStart w:name="_TOC_250009" w:id="58"/>
      <w:bookmarkEnd w:id="58"/>
      <w:r>
        <w:rPr/>
        <w:t>Estado de Origen y aplicación de recursos</w:t>
      </w:r>
    </w:p>
    <w:p>
      <w:pPr>
        <w:pStyle w:val="BodyText"/>
        <w:rPr>
          <w:b/>
        </w:rPr>
      </w:pPr>
    </w:p>
    <w:p>
      <w:pPr>
        <w:pStyle w:val="BodyText"/>
        <w:spacing w:before="4"/>
        <w:rPr>
          <w:b/>
          <w:sz w:val="23"/>
        </w:rPr>
      </w:pPr>
    </w:p>
    <w:p>
      <w:pPr>
        <w:pStyle w:val="BodyText"/>
        <w:ind w:left="110"/>
        <w:jc w:val="both"/>
      </w:pPr>
      <w:r>
        <w:rPr/>
        <w:t>2008-2009</w:t>
      </w:r>
    </w:p>
    <w:p>
      <w:pPr>
        <w:pStyle w:val="BodyText"/>
        <w:spacing w:before="6"/>
        <w:rPr>
          <w:sz w:val="18"/>
        </w:rPr>
      </w:pPr>
      <w:r>
        <w:rPr/>
        <w:drawing>
          <wp:anchor distT="0" distB="0" distL="0" distR="0" allowOverlap="1" layoutInCell="1" locked="0" behindDoc="0" simplePos="0" relativeHeight="5008">
            <wp:simplePos x="0" y="0"/>
            <wp:positionH relativeFrom="page">
              <wp:posOffset>1087551</wp:posOffset>
            </wp:positionH>
            <wp:positionV relativeFrom="paragraph">
              <wp:posOffset>160100</wp:posOffset>
            </wp:positionV>
            <wp:extent cx="5453354" cy="2354579"/>
            <wp:effectExtent l="0" t="0" r="0" b="0"/>
            <wp:wrapTopAndBottom/>
            <wp:docPr id="25" name="image156.jpeg" descr=""/>
            <wp:cNvGraphicFramePr>
              <a:graphicFrameLocks noChangeAspect="1"/>
            </wp:cNvGraphicFramePr>
            <a:graphic>
              <a:graphicData uri="http://schemas.openxmlformats.org/drawingml/2006/picture">
                <pic:pic>
                  <pic:nvPicPr>
                    <pic:cNvPr id="26" name="image156.jpeg"/>
                    <pic:cNvPicPr/>
                  </pic:nvPicPr>
                  <pic:blipFill>
                    <a:blip r:embed="rId196" cstate="print"/>
                    <a:stretch>
                      <a:fillRect/>
                    </a:stretch>
                  </pic:blipFill>
                  <pic:spPr>
                    <a:xfrm>
                      <a:off x="0" y="0"/>
                      <a:ext cx="5453354" cy="2354579"/>
                    </a:xfrm>
                    <a:prstGeom prst="rect">
                      <a:avLst/>
                    </a:prstGeom>
                  </pic:spPr>
                </pic:pic>
              </a:graphicData>
            </a:graphic>
          </wp:anchor>
        </w:drawing>
      </w:r>
    </w:p>
    <w:p>
      <w:pPr>
        <w:pStyle w:val="BodyText"/>
        <w:spacing w:line="276" w:lineRule="auto" w:before="151"/>
        <w:ind w:left="110" w:right="108"/>
        <w:jc w:val="both"/>
      </w:pPr>
      <w:r>
        <w:rPr/>
        <w:t>En el 2008 la deuda a largo plazo represento el 32% de los recursos, mientras que las cuentas por pagar el 27%, en contraparte, el efectivo represento 28% y las provisiones y deudas a corto plazo el 14% y 13% respectivamente.</w:t>
      </w:r>
    </w:p>
    <w:p>
      <w:pPr>
        <w:pStyle w:val="BodyText"/>
        <w:rPr>
          <w:sz w:val="20"/>
        </w:rPr>
      </w:pPr>
    </w:p>
    <w:p>
      <w:pPr>
        <w:pStyle w:val="BodyText"/>
        <w:rPr>
          <w:sz w:val="20"/>
        </w:rPr>
      </w:pPr>
    </w:p>
    <w:p>
      <w:pPr>
        <w:pStyle w:val="BodyText"/>
        <w:rPr>
          <w:sz w:val="19"/>
        </w:rPr>
      </w:pPr>
      <w:r>
        <w:rPr/>
        <w:drawing>
          <wp:anchor distT="0" distB="0" distL="0" distR="0" allowOverlap="1" layoutInCell="1" locked="0" behindDoc="0" simplePos="0" relativeHeight="5032">
            <wp:simplePos x="0" y="0"/>
            <wp:positionH relativeFrom="page">
              <wp:posOffset>1087551</wp:posOffset>
            </wp:positionH>
            <wp:positionV relativeFrom="paragraph">
              <wp:posOffset>163567</wp:posOffset>
            </wp:positionV>
            <wp:extent cx="5453353" cy="2354580"/>
            <wp:effectExtent l="0" t="0" r="0" b="0"/>
            <wp:wrapTopAndBottom/>
            <wp:docPr id="27" name="image157.jpeg" descr=""/>
            <wp:cNvGraphicFramePr>
              <a:graphicFrameLocks noChangeAspect="1"/>
            </wp:cNvGraphicFramePr>
            <a:graphic>
              <a:graphicData uri="http://schemas.openxmlformats.org/drawingml/2006/picture">
                <pic:pic>
                  <pic:nvPicPr>
                    <pic:cNvPr id="28" name="image157.jpeg"/>
                    <pic:cNvPicPr/>
                  </pic:nvPicPr>
                  <pic:blipFill>
                    <a:blip r:embed="rId197" cstate="print"/>
                    <a:stretch>
                      <a:fillRect/>
                    </a:stretch>
                  </pic:blipFill>
                  <pic:spPr>
                    <a:xfrm>
                      <a:off x="0" y="0"/>
                      <a:ext cx="5453353" cy="2354580"/>
                    </a:xfrm>
                    <a:prstGeom prst="rect">
                      <a:avLst/>
                    </a:prstGeom>
                  </pic:spPr>
                </pic:pic>
              </a:graphicData>
            </a:graphic>
          </wp:anchor>
        </w:drawing>
      </w:r>
    </w:p>
    <w:p>
      <w:pPr>
        <w:pStyle w:val="BodyText"/>
      </w:pPr>
    </w:p>
    <w:p>
      <w:pPr>
        <w:pStyle w:val="BodyText"/>
        <w:spacing w:before="8"/>
        <w:rPr>
          <w:sz w:val="35"/>
        </w:rPr>
      </w:pPr>
    </w:p>
    <w:p>
      <w:pPr>
        <w:pStyle w:val="BodyText"/>
        <w:spacing w:line="276" w:lineRule="auto"/>
        <w:ind w:left="110" w:right="108"/>
        <w:jc w:val="both"/>
      </w:pPr>
      <w:r>
        <w:rPr/>
        <w:t>El periodo 2009-2010 muestra que el 65% de los recursos fueron aplicados a efectivo y equivalentes de efectivo; Valeo invirtió en fondos en el mercado monetario (SICAV), la deuda a largo plazo represento el 61%. El pasivo circulante y las utilidades retenidas permitieron financiar las actividades de la empresa.</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9"/>
        <w:rPr>
          <w:sz w:val="19"/>
        </w:rPr>
      </w:pPr>
    </w:p>
    <w:p>
      <w:pPr>
        <w:pStyle w:val="BodyText"/>
        <w:ind w:left="112"/>
        <w:rPr>
          <w:sz w:val="20"/>
        </w:rPr>
      </w:pPr>
      <w:r>
        <w:rPr>
          <w:sz w:val="20"/>
        </w:rPr>
        <w:drawing>
          <wp:inline distT="0" distB="0" distL="0" distR="0">
            <wp:extent cx="5446453" cy="2461259"/>
            <wp:effectExtent l="0" t="0" r="0" b="0"/>
            <wp:docPr id="29" name="image158.jpeg" descr=""/>
            <wp:cNvGraphicFramePr>
              <a:graphicFrameLocks noChangeAspect="1"/>
            </wp:cNvGraphicFramePr>
            <a:graphic>
              <a:graphicData uri="http://schemas.openxmlformats.org/drawingml/2006/picture">
                <pic:pic>
                  <pic:nvPicPr>
                    <pic:cNvPr id="30" name="image158.jpeg"/>
                    <pic:cNvPicPr/>
                  </pic:nvPicPr>
                  <pic:blipFill>
                    <a:blip r:embed="rId198" cstate="print"/>
                    <a:stretch>
                      <a:fillRect/>
                    </a:stretch>
                  </pic:blipFill>
                  <pic:spPr>
                    <a:xfrm>
                      <a:off x="0" y="0"/>
                      <a:ext cx="5446453" cy="2461259"/>
                    </a:xfrm>
                    <a:prstGeom prst="rect">
                      <a:avLst/>
                    </a:prstGeom>
                  </pic:spPr>
                </pic:pic>
              </a:graphicData>
            </a:graphic>
          </wp:inline>
        </w:drawing>
      </w:r>
      <w:r>
        <w:rPr>
          <w:sz w:val="20"/>
        </w:rPr>
      </w:r>
    </w:p>
    <w:p>
      <w:pPr>
        <w:pStyle w:val="BodyText"/>
        <w:spacing w:before="7"/>
        <w:rPr>
          <w:sz w:val="11"/>
        </w:rPr>
      </w:pPr>
    </w:p>
    <w:p>
      <w:pPr>
        <w:pStyle w:val="BodyText"/>
        <w:spacing w:line="271" w:lineRule="auto" w:before="70"/>
        <w:ind w:left="110" w:right="288"/>
        <w:jc w:val="both"/>
      </w:pPr>
      <w:r>
        <w:rPr/>
        <w:t>La deuda a largo plazo incluye los bonos y préstamos a largo plazo, así como las obligaciones financieras e intereses de la deuda.</w:t>
      </w:r>
    </w:p>
    <w:p>
      <w:pPr>
        <w:pStyle w:val="BodyText"/>
        <w:spacing w:line="273" w:lineRule="auto" w:before="212"/>
        <w:ind w:left="110" w:right="288"/>
        <w:jc w:val="both"/>
      </w:pPr>
      <w:r>
        <w:rPr/>
        <w:t>El impacto de las cuentas por cobrar del periodo 2010-2011 se explica debido  al crecimiento de las ventas y la consolidación por primera vez de Niles en 2011, que representa 61 millones de euros de los créditos adicionales.</w:t>
      </w:r>
    </w:p>
    <w:p>
      <w:pPr>
        <w:pStyle w:val="BodyText"/>
        <w:spacing w:line="273" w:lineRule="auto" w:before="209"/>
        <w:ind w:left="110" w:right="288"/>
        <w:jc w:val="both"/>
      </w:pPr>
      <w:r>
        <w:rPr/>
        <w:t>El incremento en los activos fijos del periodo 2010-2011 refleja los cambios en el perímetro de consolidación Valeo: la adquisición de Niles, CPT y Valeo Pyeong Hwa and Valeo Pyeong Hwa International.</w:t>
      </w:r>
    </w:p>
    <w:p>
      <w:pPr>
        <w:pStyle w:val="BodyText"/>
      </w:pPr>
    </w:p>
    <w:p>
      <w:pPr>
        <w:pStyle w:val="BodyText"/>
      </w:pPr>
    </w:p>
    <w:p>
      <w:pPr>
        <w:pStyle w:val="Heading2"/>
        <w:numPr>
          <w:ilvl w:val="1"/>
          <w:numId w:val="26"/>
        </w:numPr>
        <w:tabs>
          <w:tab w:pos="687" w:val="left" w:leader="none"/>
        </w:tabs>
        <w:spacing w:line="240" w:lineRule="auto" w:before="171" w:after="0"/>
        <w:ind w:left="686" w:right="0" w:hanging="576"/>
        <w:jc w:val="both"/>
      </w:pPr>
      <w:bookmarkStart w:name="_TOC_250008" w:id="59"/>
      <w:r>
        <w:rPr/>
        <w:t>Análisis Horizontal o de Tendencias a precios constantes</w:t>
      </w:r>
      <w:r>
        <w:rPr>
          <w:spacing w:val="-6"/>
        </w:rPr>
        <w:t> </w:t>
      </w:r>
      <w:bookmarkEnd w:id="59"/>
      <w:r>
        <w:rPr/>
        <w:t>2011</w:t>
      </w:r>
    </w:p>
    <w:p>
      <w:pPr>
        <w:pStyle w:val="BodyText"/>
        <w:rPr>
          <w:b/>
        </w:rPr>
      </w:pPr>
    </w:p>
    <w:p>
      <w:pPr>
        <w:pStyle w:val="BodyText"/>
        <w:spacing w:before="2"/>
        <w:rPr>
          <w:b/>
        </w:rPr>
      </w:pPr>
    </w:p>
    <w:p>
      <w:pPr>
        <w:pStyle w:val="Heading2"/>
        <w:numPr>
          <w:ilvl w:val="2"/>
          <w:numId w:val="26"/>
        </w:numPr>
        <w:tabs>
          <w:tab w:pos="831" w:val="left" w:leader="none"/>
        </w:tabs>
        <w:spacing w:line="240" w:lineRule="auto" w:before="0" w:after="0"/>
        <w:ind w:left="830" w:right="0" w:hanging="720"/>
        <w:jc w:val="both"/>
      </w:pPr>
      <w:bookmarkStart w:name="_TOC_250007" w:id="60"/>
      <w:r>
        <w:rPr/>
        <w:t>Análisis horizontal de las</w:t>
      </w:r>
      <w:r>
        <w:rPr>
          <w:spacing w:val="-6"/>
        </w:rPr>
        <w:t> </w:t>
      </w:r>
      <w:bookmarkEnd w:id="60"/>
      <w:r>
        <w:rPr/>
        <w:t>ventas.</w:t>
      </w:r>
    </w:p>
    <w:p>
      <w:pPr>
        <w:pStyle w:val="BodyText"/>
        <w:rPr>
          <w:b/>
          <w:sz w:val="20"/>
        </w:rPr>
      </w:pPr>
    </w:p>
    <w:p>
      <w:pPr>
        <w:pStyle w:val="BodyText"/>
        <w:spacing w:before="8"/>
        <w:rPr>
          <w:b/>
        </w:rPr>
      </w:pPr>
      <w:r>
        <w:rPr/>
        <w:pict>
          <v:line style="position:absolute;mso-position-horizontal-relative:page;mso-position-vertical-relative:paragraph;z-index:5056;mso-wrap-distance-left:0;mso-wrap-distance-right:0" from="85.543892pt,16.554419pt" to="519.703796pt,16.554419pt" stroked="true" strokeweight=".712727pt" strokecolor="#000000">
            <w10:wrap type="topAndBottom"/>
          </v:line>
        </w:pict>
      </w:r>
    </w:p>
    <w:p>
      <w:pPr>
        <w:tabs>
          <w:tab w:pos="4777" w:val="left" w:leader="none"/>
        </w:tabs>
        <w:spacing w:line="146" w:lineRule="exact" w:before="0" w:after="20"/>
        <w:ind w:left="2614" w:right="0" w:firstLine="0"/>
        <w:jc w:val="left"/>
        <w:rPr>
          <w:rFonts w:ascii="Calibri"/>
          <w:b/>
          <w:sz w:val="15"/>
        </w:rPr>
      </w:pPr>
      <w:r>
        <w:rPr>
          <w:rFonts w:ascii="Calibri"/>
          <w:b/>
          <w:w w:val="105"/>
          <w:sz w:val="15"/>
        </w:rPr>
        <w:t>Incremento</w:t>
        <w:tab/>
        <w:t>Ventas a Precios constantes  Incremento real</w:t>
      </w:r>
      <w:r>
        <w:rPr>
          <w:rFonts w:ascii="Calibri"/>
          <w:b/>
          <w:spacing w:val="6"/>
          <w:w w:val="105"/>
          <w:sz w:val="15"/>
        </w:rPr>
        <w:t> </w:t>
      </w:r>
      <w:r>
        <w:rPr>
          <w:rFonts w:ascii="Calibri"/>
          <w:b/>
          <w:w w:val="105"/>
          <w:sz w:val="15"/>
        </w:rPr>
        <w:t>Inflacion</w:t>
      </w:r>
    </w:p>
    <w:tbl>
      <w:tblPr>
        <w:tblW w:w="0" w:type="auto"/>
        <w:jc w:val="left"/>
        <w:tblInd w:w="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8"/>
        <w:gridCol w:w="403"/>
        <w:gridCol w:w="783"/>
        <w:gridCol w:w="886"/>
        <w:gridCol w:w="1075"/>
        <w:gridCol w:w="1062"/>
        <w:gridCol w:w="952"/>
        <w:gridCol w:w="933"/>
        <w:gridCol w:w="576"/>
        <w:gridCol w:w="564"/>
        <w:gridCol w:w="1058"/>
      </w:tblGrid>
      <w:tr>
        <w:trPr>
          <w:trHeight w:val="396" w:hRule="exact"/>
        </w:trPr>
        <w:tc>
          <w:tcPr>
            <w:tcW w:w="378" w:type="dxa"/>
            <w:tcBorders>
              <w:bottom w:val="single" w:sz="6" w:space="0" w:color="000000"/>
            </w:tcBorders>
          </w:tcPr>
          <w:p>
            <w:pPr>
              <w:pStyle w:val="TableParagraph"/>
              <w:spacing w:line="180" w:lineRule="exact"/>
              <w:ind w:left="28"/>
              <w:jc w:val="left"/>
              <w:rPr>
                <w:b/>
                <w:sz w:val="15"/>
              </w:rPr>
            </w:pPr>
            <w:r>
              <w:rPr>
                <w:b/>
                <w:w w:val="105"/>
                <w:sz w:val="15"/>
              </w:rPr>
              <w:t>AÑO</w:t>
            </w:r>
          </w:p>
        </w:tc>
        <w:tc>
          <w:tcPr>
            <w:tcW w:w="403" w:type="dxa"/>
            <w:tcBorders>
              <w:bottom w:val="single" w:sz="6" w:space="0" w:color="000000"/>
            </w:tcBorders>
          </w:tcPr>
          <w:p>
            <w:pPr>
              <w:pStyle w:val="TableParagraph"/>
              <w:spacing w:before="10"/>
              <w:jc w:val="left"/>
              <w:rPr>
                <w:b/>
                <w:sz w:val="10"/>
              </w:rPr>
            </w:pPr>
          </w:p>
          <w:p>
            <w:pPr>
              <w:pStyle w:val="TableParagraph"/>
              <w:spacing w:line="242" w:lineRule="exact"/>
              <w:ind w:left="159" w:right="-38"/>
              <w:jc w:val="left"/>
              <w:rPr>
                <w:sz w:val="20"/>
              </w:rPr>
            </w:pPr>
            <w:r>
              <w:rPr>
                <w:position w:val="-4"/>
                <w:sz w:val="20"/>
              </w:rPr>
              <w:drawing>
                <wp:inline distT="0" distB="0" distL="0" distR="0">
                  <wp:extent cx="152614" cy="153828"/>
                  <wp:effectExtent l="0" t="0" r="0" b="0"/>
                  <wp:docPr id="31" name="image159.png" descr=""/>
                  <wp:cNvGraphicFramePr>
                    <a:graphicFrameLocks noChangeAspect="1"/>
                  </wp:cNvGraphicFramePr>
                  <a:graphic>
                    <a:graphicData uri="http://schemas.openxmlformats.org/drawingml/2006/picture">
                      <pic:pic>
                        <pic:nvPicPr>
                          <pic:cNvPr id="32" name="image159.png"/>
                          <pic:cNvPicPr/>
                        </pic:nvPicPr>
                        <pic:blipFill>
                          <a:blip r:embed="rId199" cstate="print"/>
                          <a:stretch>
                            <a:fillRect/>
                          </a:stretch>
                        </pic:blipFill>
                        <pic:spPr>
                          <a:xfrm>
                            <a:off x="0" y="0"/>
                            <a:ext cx="152614" cy="153828"/>
                          </a:xfrm>
                          <a:prstGeom prst="rect">
                            <a:avLst/>
                          </a:prstGeom>
                        </pic:spPr>
                      </pic:pic>
                    </a:graphicData>
                  </a:graphic>
                </wp:inline>
              </w:drawing>
            </w:r>
            <w:r>
              <w:rPr>
                <w:position w:val="-4"/>
                <w:sz w:val="20"/>
              </w:rPr>
            </w:r>
          </w:p>
        </w:tc>
        <w:tc>
          <w:tcPr>
            <w:tcW w:w="783" w:type="dxa"/>
            <w:tcBorders>
              <w:bottom w:val="single" w:sz="6" w:space="0" w:color="000000"/>
            </w:tcBorders>
          </w:tcPr>
          <w:p>
            <w:pPr>
              <w:pStyle w:val="TableParagraph"/>
              <w:spacing w:line="180" w:lineRule="exact"/>
              <w:ind w:left="39"/>
              <w:jc w:val="left"/>
              <w:rPr>
                <w:b/>
                <w:sz w:val="15"/>
              </w:rPr>
            </w:pPr>
            <w:r>
              <w:rPr>
                <w:b/>
                <w:w w:val="105"/>
                <w:sz w:val="15"/>
              </w:rPr>
              <w:t>Ventas</w:t>
            </w:r>
          </w:p>
        </w:tc>
        <w:tc>
          <w:tcPr>
            <w:tcW w:w="886" w:type="dxa"/>
            <w:tcBorders>
              <w:bottom w:val="single" w:sz="6" w:space="0" w:color="000000"/>
            </w:tcBorders>
          </w:tcPr>
          <w:p>
            <w:pPr>
              <w:pStyle w:val="TableParagraph"/>
              <w:spacing w:line="180" w:lineRule="exact"/>
              <w:ind w:left="34"/>
              <w:jc w:val="left"/>
              <w:rPr>
                <w:b/>
                <w:sz w:val="15"/>
              </w:rPr>
            </w:pPr>
            <w:r>
              <w:rPr>
                <w:b/>
                <w:w w:val="105"/>
                <w:sz w:val="15"/>
              </w:rPr>
              <w:t>Inflacion</w:t>
            </w:r>
          </w:p>
        </w:tc>
        <w:tc>
          <w:tcPr>
            <w:tcW w:w="1075" w:type="dxa"/>
            <w:tcBorders>
              <w:bottom w:val="single" w:sz="6" w:space="0" w:color="000000"/>
            </w:tcBorders>
          </w:tcPr>
          <w:p>
            <w:pPr>
              <w:pStyle w:val="TableParagraph"/>
              <w:tabs>
                <w:tab w:pos="830" w:val="left" w:leader="none"/>
              </w:tabs>
              <w:spacing w:before="132"/>
              <w:ind w:left="39"/>
              <w:jc w:val="left"/>
              <w:rPr>
                <w:b/>
                <w:sz w:val="15"/>
              </w:rPr>
            </w:pPr>
            <w:r>
              <w:rPr>
                <w:b/>
                <w:sz w:val="15"/>
              </w:rPr>
              <w:t>nominal</w:t>
              <w:tab/>
            </w:r>
            <w:r>
              <w:rPr>
                <w:b/>
                <w:position w:val="-3"/>
                <w:sz w:val="15"/>
              </w:rPr>
              <w:drawing>
                <wp:inline distT="0" distB="0" distL="0" distR="0">
                  <wp:extent cx="152614" cy="153828"/>
                  <wp:effectExtent l="0" t="0" r="0" b="0"/>
                  <wp:docPr id="33" name="image159.png" descr=""/>
                  <wp:cNvGraphicFramePr>
                    <a:graphicFrameLocks noChangeAspect="1"/>
                  </wp:cNvGraphicFramePr>
                  <a:graphic>
                    <a:graphicData uri="http://schemas.openxmlformats.org/drawingml/2006/picture">
                      <pic:pic>
                        <pic:nvPicPr>
                          <pic:cNvPr id="34" name="image159.png"/>
                          <pic:cNvPicPr/>
                        </pic:nvPicPr>
                        <pic:blipFill>
                          <a:blip r:embed="rId199" cstate="print"/>
                          <a:stretch>
                            <a:fillRect/>
                          </a:stretch>
                        </pic:blipFill>
                        <pic:spPr>
                          <a:xfrm>
                            <a:off x="0" y="0"/>
                            <a:ext cx="152614" cy="153828"/>
                          </a:xfrm>
                          <a:prstGeom prst="rect">
                            <a:avLst/>
                          </a:prstGeom>
                        </pic:spPr>
                      </pic:pic>
                    </a:graphicData>
                  </a:graphic>
                </wp:inline>
              </w:drawing>
            </w:r>
            <w:r>
              <w:rPr>
                <w:b/>
                <w:position w:val="-3"/>
                <w:sz w:val="15"/>
              </w:rPr>
            </w:r>
          </w:p>
        </w:tc>
        <w:tc>
          <w:tcPr>
            <w:tcW w:w="1062" w:type="dxa"/>
            <w:tcBorders>
              <w:bottom w:val="single" w:sz="6" w:space="0" w:color="000000"/>
            </w:tcBorders>
          </w:tcPr>
          <w:p>
            <w:pPr>
              <w:pStyle w:val="TableParagraph"/>
              <w:spacing w:line="180" w:lineRule="exact"/>
              <w:ind w:left="39"/>
              <w:jc w:val="left"/>
              <w:rPr>
                <w:b/>
                <w:sz w:val="15"/>
              </w:rPr>
            </w:pPr>
            <w:r>
              <w:rPr>
                <w:b/>
                <w:w w:val="105"/>
                <w:sz w:val="15"/>
              </w:rPr>
              <w:t>Nueva base</w:t>
            </w:r>
          </w:p>
        </w:tc>
        <w:tc>
          <w:tcPr>
            <w:tcW w:w="952" w:type="dxa"/>
            <w:tcBorders>
              <w:bottom w:val="single" w:sz="6" w:space="0" w:color="000000"/>
            </w:tcBorders>
          </w:tcPr>
          <w:p>
            <w:pPr>
              <w:pStyle w:val="TableParagraph"/>
              <w:jc w:val="left"/>
              <w:rPr>
                <w:b/>
                <w:sz w:val="16"/>
              </w:rPr>
            </w:pPr>
          </w:p>
          <w:p>
            <w:pPr>
              <w:pStyle w:val="TableParagraph"/>
              <w:spacing w:before="1"/>
              <w:ind w:left="65"/>
              <w:jc w:val="left"/>
              <w:rPr>
                <w:b/>
                <w:sz w:val="15"/>
              </w:rPr>
            </w:pPr>
            <w:r>
              <w:rPr>
                <w:b/>
                <w:w w:val="105"/>
                <w:sz w:val="15"/>
              </w:rPr>
              <w:t>base 2011</w:t>
            </w:r>
          </w:p>
        </w:tc>
        <w:tc>
          <w:tcPr>
            <w:tcW w:w="933" w:type="dxa"/>
            <w:tcBorders>
              <w:bottom w:val="single" w:sz="6" w:space="0" w:color="000000"/>
            </w:tcBorders>
          </w:tcPr>
          <w:p>
            <w:pPr/>
          </w:p>
        </w:tc>
        <w:tc>
          <w:tcPr>
            <w:tcW w:w="576" w:type="dxa"/>
            <w:tcBorders>
              <w:bottom w:val="single" w:sz="6" w:space="0" w:color="000000"/>
            </w:tcBorders>
          </w:tcPr>
          <w:p>
            <w:pPr>
              <w:pStyle w:val="TableParagraph"/>
              <w:jc w:val="left"/>
              <w:rPr>
                <w:b/>
                <w:sz w:val="16"/>
              </w:rPr>
            </w:pPr>
          </w:p>
          <w:p>
            <w:pPr>
              <w:pStyle w:val="TableParagraph"/>
              <w:spacing w:before="1"/>
              <w:ind w:left="62" w:right="-14"/>
              <w:jc w:val="left"/>
              <w:rPr>
                <w:b/>
                <w:sz w:val="15"/>
              </w:rPr>
            </w:pPr>
            <w:r>
              <w:rPr>
                <w:b/>
                <w:w w:val="105"/>
                <w:sz w:val="15"/>
              </w:rPr>
              <w:t>por ano</w:t>
            </w:r>
          </w:p>
        </w:tc>
        <w:tc>
          <w:tcPr>
            <w:tcW w:w="564" w:type="dxa"/>
            <w:tcBorders>
              <w:bottom w:val="single" w:sz="6" w:space="0" w:color="000000"/>
            </w:tcBorders>
          </w:tcPr>
          <w:p>
            <w:pPr>
              <w:pStyle w:val="TableParagraph"/>
              <w:spacing w:before="10"/>
              <w:jc w:val="left"/>
              <w:rPr>
                <w:b/>
                <w:sz w:val="10"/>
              </w:rPr>
            </w:pPr>
          </w:p>
          <w:p>
            <w:pPr>
              <w:pStyle w:val="TableParagraph"/>
              <w:spacing w:line="242" w:lineRule="exact"/>
              <w:ind w:left="321" w:right="-37"/>
              <w:jc w:val="left"/>
              <w:rPr>
                <w:sz w:val="20"/>
              </w:rPr>
            </w:pPr>
            <w:r>
              <w:rPr>
                <w:position w:val="-4"/>
                <w:sz w:val="20"/>
              </w:rPr>
              <w:drawing>
                <wp:inline distT="0" distB="0" distL="0" distR="0">
                  <wp:extent cx="152614" cy="153828"/>
                  <wp:effectExtent l="0" t="0" r="0" b="0"/>
                  <wp:docPr id="35" name="image159.png" descr=""/>
                  <wp:cNvGraphicFramePr>
                    <a:graphicFrameLocks noChangeAspect="1"/>
                  </wp:cNvGraphicFramePr>
                  <a:graphic>
                    <a:graphicData uri="http://schemas.openxmlformats.org/drawingml/2006/picture">
                      <pic:pic>
                        <pic:nvPicPr>
                          <pic:cNvPr id="36" name="image159.png"/>
                          <pic:cNvPicPr/>
                        </pic:nvPicPr>
                        <pic:blipFill>
                          <a:blip r:embed="rId199" cstate="print"/>
                          <a:stretch>
                            <a:fillRect/>
                          </a:stretch>
                        </pic:blipFill>
                        <pic:spPr>
                          <a:xfrm>
                            <a:off x="0" y="0"/>
                            <a:ext cx="152614" cy="153828"/>
                          </a:xfrm>
                          <a:prstGeom prst="rect">
                            <a:avLst/>
                          </a:prstGeom>
                        </pic:spPr>
                      </pic:pic>
                    </a:graphicData>
                  </a:graphic>
                </wp:inline>
              </w:drawing>
            </w:r>
            <w:r>
              <w:rPr>
                <w:position w:val="-4"/>
                <w:sz w:val="20"/>
              </w:rPr>
            </w:r>
          </w:p>
        </w:tc>
        <w:tc>
          <w:tcPr>
            <w:tcW w:w="1058" w:type="dxa"/>
            <w:tcBorders>
              <w:bottom w:val="single" w:sz="6" w:space="0" w:color="000000"/>
            </w:tcBorders>
          </w:tcPr>
          <w:p>
            <w:pPr>
              <w:pStyle w:val="TableParagraph"/>
              <w:spacing w:before="132"/>
              <w:ind w:left="39"/>
              <w:jc w:val="left"/>
              <w:rPr>
                <w:b/>
                <w:sz w:val="15"/>
              </w:rPr>
            </w:pPr>
            <w:r>
              <w:rPr>
                <w:b/>
                <w:sz w:val="15"/>
              </w:rPr>
              <w:t>acumulada </w:t>
            </w:r>
            <w:r>
              <w:rPr>
                <w:b/>
                <w:spacing w:val="16"/>
                <w:position w:val="-3"/>
                <w:sz w:val="15"/>
              </w:rPr>
              <w:drawing>
                <wp:inline distT="0" distB="0" distL="0" distR="0">
                  <wp:extent cx="152614" cy="153828"/>
                  <wp:effectExtent l="0" t="0" r="0" b="0"/>
                  <wp:docPr id="37" name="image159.png" descr=""/>
                  <wp:cNvGraphicFramePr>
                    <a:graphicFrameLocks noChangeAspect="1"/>
                  </wp:cNvGraphicFramePr>
                  <a:graphic>
                    <a:graphicData uri="http://schemas.openxmlformats.org/drawingml/2006/picture">
                      <pic:pic>
                        <pic:nvPicPr>
                          <pic:cNvPr id="38" name="image159.png"/>
                          <pic:cNvPicPr/>
                        </pic:nvPicPr>
                        <pic:blipFill>
                          <a:blip r:embed="rId199" cstate="print"/>
                          <a:stretch>
                            <a:fillRect/>
                          </a:stretch>
                        </pic:blipFill>
                        <pic:spPr>
                          <a:xfrm>
                            <a:off x="0" y="0"/>
                            <a:ext cx="152614" cy="153828"/>
                          </a:xfrm>
                          <a:prstGeom prst="rect">
                            <a:avLst/>
                          </a:prstGeom>
                        </pic:spPr>
                      </pic:pic>
                    </a:graphicData>
                  </a:graphic>
                </wp:inline>
              </w:drawing>
            </w:r>
            <w:r>
              <w:rPr>
                <w:b/>
                <w:spacing w:val="16"/>
                <w:position w:val="-3"/>
                <w:sz w:val="15"/>
              </w:rPr>
            </w:r>
          </w:p>
        </w:tc>
      </w:tr>
      <w:tr>
        <w:trPr>
          <w:trHeight w:val="207" w:hRule="exact"/>
        </w:trPr>
        <w:tc>
          <w:tcPr>
            <w:tcW w:w="378" w:type="dxa"/>
            <w:tcBorders>
              <w:top w:val="single" w:sz="6" w:space="0" w:color="000000"/>
            </w:tcBorders>
            <w:shd w:val="clear" w:color="auto" w:fill="D9D9D9"/>
          </w:tcPr>
          <w:p>
            <w:pPr/>
          </w:p>
        </w:tc>
        <w:tc>
          <w:tcPr>
            <w:tcW w:w="403" w:type="dxa"/>
            <w:tcBorders>
              <w:top w:val="single" w:sz="6" w:space="0" w:color="000000"/>
            </w:tcBorders>
            <w:shd w:val="clear" w:color="auto" w:fill="D9D9D9"/>
          </w:tcPr>
          <w:p>
            <w:pPr>
              <w:pStyle w:val="TableParagraph"/>
              <w:spacing w:line="176" w:lineRule="exact"/>
              <w:ind w:right="37"/>
              <w:jc w:val="right"/>
              <w:rPr>
                <w:sz w:val="15"/>
              </w:rPr>
            </w:pPr>
            <w:r>
              <w:rPr>
                <w:sz w:val="15"/>
              </w:rPr>
              <w:t>2008</w:t>
            </w:r>
          </w:p>
        </w:tc>
        <w:tc>
          <w:tcPr>
            <w:tcW w:w="783" w:type="dxa"/>
            <w:tcBorders>
              <w:top w:val="single" w:sz="6" w:space="0" w:color="000000"/>
            </w:tcBorders>
            <w:shd w:val="clear" w:color="auto" w:fill="D9D9D9"/>
          </w:tcPr>
          <w:p>
            <w:pPr>
              <w:pStyle w:val="TableParagraph"/>
              <w:spacing w:line="176" w:lineRule="exact"/>
              <w:ind w:right="32"/>
              <w:jc w:val="right"/>
              <w:rPr>
                <w:sz w:val="15"/>
              </w:rPr>
            </w:pPr>
            <w:r>
              <w:rPr>
                <w:sz w:val="15"/>
              </w:rPr>
              <w:t>8,677</w:t>
            </w:r>
          </w:p>
        </w:tc>
        <w:tc>
          <w:tcPr>
            <w:tcW w:w="886" w:type="dxa"/>
            <w:tcBorders>
              <w:top w:val="single" w:sz="6" w:space="0" w:color="000000"/>
            </w:tcBorders>
            <w:shd w:val="clear" w:color="auto" w:fill="D9D9D9"/>
          </w:tcPr>
          <w:p>
            <w:pPr>
              <w:pStyle w:val="TableParagraph"/>
              <w:spacing w:line="176" w:lineRule="exact"/>
              <w:ind w:right="37"/>
              <w:jc w:val="right"/>
              <w:rPr>
                <w:sz w:val="15"/>
              </w:rPr>
            </w:pPr>
            <w:r>
              <w:rPr>
                <w:sz w:val="15"/>
              </w:rPr>
              <w:t>2.80%</w:t>
            </w:r>
          </w:p>
        </w:tc>
        <w:tc>
          <w:tcPr>
            <w:tcW w:w="1075" w:type="dxa"/>
            <w:tcBorders>
              <w:top w:val="single" w:sz="6" w:space="0" w:color="000000"/>
            </w:tcBorders>
            <w:shd w:val="clear" w:color="auto" w:fill="D9D9D9"/>
          </w:tcPr>
          <w:p>
            <w:pPr/>
          </w:p>
        </w:tc>
        <w:tc>
          <w:tcPr>
            <w:tcW w:w="1062" w:type="dxa"/>
            <w:tcBorders>
              <w:top w:val="single" w:sz="6" w:space="0" w:color="000000"/>
            </w:tcBorders>
            <w:shd w:val="clear" w:color="auto" w:fill="D9D9D9"/>
          </w:tcPr>
          <w:p>
            <w:pPr>
              <w:pStyle w:val="TableParagraph"/>
              <w:spacing w:line="176" w:lineRule="exact"/>
              <w:ind w:right="63"/>
              <w:jc w:val="right"/>
              <w:rPr>
                <w:sz w:val="15"/>
              </w:rPr>
            </w:pPr>
            <w:r>
              <w:rPr>
                <w:sz w:val="15"/>
              </w:rPr>
              <w:t>1.0374</w:t>
            </w:r>
          </w:p>
        </w:tc>
        <w:tc>
          <w:tcPr>
            <w:tcW w:w="952" w:type="dxa"/>
            <w:tcBorders>
              <w:top w:val="single" w:sz="6" w:space="0" w:color="000000"/>
            </w:tcBorders>
            <w:shd w:val="clear" w:color="auto" w:fill="D9D9D9"/>
          </w:tcPr>
          <w:p>
            <w:pPr/>
          </w:p>
        </w:tc>
        <w:tc>
          <w:tcPr>
            <w:tcW w:w="933" w:type="dxa"/>
            <w:tcBorders>
              <w:top w:val="single" w:sz="6" w:space="0" w:color="000000"/>
            </w:tcBorders>
            <w:shd w:val="clear" w:color="auto" w:fill="D9D9D9"/>
          </w:tcPr>
          <w:p>
            <w:pPr>
              <w:pStyle w:val="TableParagraph"/>
              <w:spacing w:line="176" w:lineRule="exact"/>
              <w:ind w:right="60"/>
              <w:jc w:val="right"/>
              <w:rPr>
                <w:sz w:val="15"/>
              </w:rPr>
            </w:pPr>
            <w:r>
              <w:rPr>
                <w:sz w:val="15"/>
              </w:rPr>
              <w:t>9,001.10</w:t>
            </w:r>
          </w:p>
        </w:tc>
        <w:tc>
          <w:tcPr>
            <w:tcW w:w="576" w:type="dxa"/>
            <w:tcBorders>
              <w:top w:val="single" w:sz="6" w:space="0" w:color="000000"/>
            </w:tcBorders>
            <w:shd w:val="clear" w:color="auto" w:fill="D9D9D9"/>
          </w:tcPr>
          <w:p>
            <w:pPr/>
          </w:p>
        </w:tc>
        <w:tc>
          <w:tcPr>
            <w:tcW w:w="564" w:type="dxa"/>
            <w:tcBorders>
              <w:top w:val="single" w:sz="6" w:space="0" w:color="000000"/>
            </w:tcBorders>
            <w:shd w:val="clear" w:color="auto" w:fill="D9D9D9"/>
          </w:tcPr>
          <w:p>
            <w:pPr/>
          </w:p>
        </w:tc>
        <w:tc>
          <w:tcPr>
            <w:tcW w:w="1058" w:type="dxa"/>
            <w:tcBorders>
              <w:top w:val="single" w:sz="6" w:space="0" w:color="000000"/>
            </w:tcBorders>
            <w:shd w:val="clear" w:color="auto" w:fill="D9D9D9"/>
          </w:tcPr>
          <w:p>
            <w:pPr>
              <w:pStyle w:val="TableParagraph"/>
              <w:spacing w:line="176" w:lineRule="exact"/>
              <w:ind w:right="89"/>
              <w:jc w:val="right"/>
              <w:rPr>
                <w:sz w:val="15"/>
              </w:rPr>
            </w:pPr>
            <w:r>
              <w:rPr>
                <w:sz w:val="15"/>
              </w:rPr>
              <w:t>1.03</w:t>
            </w:r>
          </w:p>
        </w:tc>
      </w:tr>
      <w:tr>
        <w:trPr>
          <w:trHeight w:val="185" w:hRule="exact"/>
        </w:trPr>
        <w:tc>
          <w:tcPr>
            <w:tcW w:w="378" w:type="dxa"/>
          </w:tcPr>
          <w:p>
            <w:pPr/>
          </w:p>
        </w:tc>
        <w:tc>
          <w:tcPr>
            <w:tcW w:w="403" w:type="dxa"/>
          </w:tcPr>
          <w:p>
            <w:pPr>
              <w:pStyle w:val="TableParagraph"/>
              <w:spacing w:line="176" w:lineRule="exact"/>
              <w:ind w:right="37"/>
              <w:jc w:val="right"/>
              <w:rPr>
                <w:sz w:val="15"/>
              </w:rPr>
            </w:pPr>
            <w:r>
              <w:rPr>
                <w:sz w:val="15"/>
              </w:rPr>
              <w:t>2009</w:t>
            </w:r>
          </w:p>
        </w:tc>
        <w:tc>
          <w:tcPr>
            <w:tcW w:w="783" w:type="dxa"/>
          </w:tcPr>
          <w:p>
            <w:pPr>
              <w:pStyle w:val="TableParagraph"/>
              <w:spacing w:line="176" w:lineRule="exact"/>
              <w:ind w:right="32"/>
              <w:jc w:val="right"/>
              <w:rPr>
                <w:sz w:val="15"/>
              </w:rPr>
            </w:pPr>
            <w:r>
              <w:rPr>
                <w:sz w:val="15"/>
              </w:rPr>
              <w:t>7,499</w:t>
            </w:r>
          </w:p>
        </w:tc>
        <w:tc>
          <w:tcPr>
            <w:tcW w:w="886" w:type="dxa"/>
          </w:tcPr>
          <w:p>
            <w:pPr>
              <w:pStyle w:val="TableParagraph"/>
              <w:spacing w:line="176" w:lineRule="exact"/>
              <w:ind w:right="37"/>
              <w:jc w:val="right"/>
              <w:rPr>
                <w:sz w:val="15"/>
              </w:rPr>
            </w:pPr>
            <w:r>
              <w:rPr>
                <w:sz w:val="15"/>
              </w:rPr>
              <w:t>0.10%</w:t>
            </w:r>
          </w:p>
        </w:tc>
        <w:tc>
          <w:tcPr>
            <w:tcW w:w="1075" w:type="dxa"/>
          </w:tcPr>
          <w:p>
            <w:pPr>
              <w:pStyle w:val="TableParagraph"/>
              <w:spacing w:line="176" w:lineRule="exact"/>
              <w:ind w:right="37"/>
              <w:jc w:val="right"/>
              <w:rPr>
                <w:sz w:val="15"/>
              </w:rPr>
            </w:pPr>
            <w:r>
              <w:rPr>
                <w:w w:val="105"/>
                <w:sz w:val="15"/>
              </w:rPr>
              <w:t>.13.58%</w:t>
            </w:r>
          </w:p>
        </w:tc>
        <w:tc>
          <w:tcPr>
            <w:tcW w:w="1062" w:type="dxa"/>
          </w:tcPr>
          <w:p>
            <w:pPr>
              <w:pStyle w:val="TableParagraph"/>
              <w:spacing w:line="176" w:lineRule="exact"/>
              <w:ind w:right="63"/>
              <w:jc w:val="right"/>
              <w:rPr>
                <w:sz w:val="15"/>
              </w:rPr>
            </w:pPr>
            <w:r>
              <w:rPr>
                <w:sz w:val="15"/>
              </w:rPr>
              <w:t>1.0363</w:t>
            </w:r>
          </w:p>
        </w:tc>
        <w:tc>
          <w:tcPr>
            <w:tcW w:w="952" w:type="dxa"/>
          </w:tcPr>
          <w:p>
            <w:pPr/>
          </w:p>
        </w:tc>
        <w:tc>
          <w:tcPr>
            <w:tcW w:w="933" w:type="dxa"/>
          </w:tcPr>
          <w:p>
            <w:pPr>
              <w:pStyle w:val="TableParagraph"/>
              <w:spacing w:line="176" w:lineRule="exact"/>
              <w:ind w:right="60"/>
              <w:jc w:val="right"/>
              <w:rPr>
                <w:sz w:val="15"/>
              </w:rPr>
            </w:pPr>
            <w:r>
              <w:rPr>
                <w:sz w:val="15"/>
              </w:rPr>
              <w:t>7,771.33</w:t>
            </w:r>
          </w:p>
        </w:tc>
        <w:tc>
          <w:tcPr>
            <w:tcW w:w="576" w:type="dxa"/>
          </w:tcPr>
          <w:p>
            <w:pPr/>
          </w:p>
        </w:tc>
        <w:tc>
          <w:tcPr>
            <w:tcW w:w="564" w:type="dxa"/>
          </w:tcPr>
          <w:p>
            <w:pPr>
              <w:pStyle w:val="TableParagraph"/>
              <w:spacing w:line="176" w:lineRule="exact"/>
              <w:ind w:left="10"/>
              <w:jc w:val="left"/>
              <w:rPr>
                <w:sz w:val="15"/>
              </w:rPr>
            </w:pPr>
            <w:r>
              <w:rPr>
                <w:w w:val="105"/>
                <w:sz w:val="15"/>
              </w:rPr>
              <w:t>.13.66%</w:t>
            </w:r>
          </w:p>
        </w:tc>
        <w:tc>
          <w:tcPr>
            <w:tcW w:w="1058" w:type="dxa"/>
          </w:tcPr>
          <w:p>
            <w:pPr>
              <w:pStyle w:val="TableParagraph"/>
              <w:spacing w:line="176" w:lineRule="exact"/>
              <w:ind w:right="89"/>
              <w:jc w:val="right"/>
              <w:rPr>
                <w:sz w:val="15"/>
              </w:rPr>
            </w:pPr>
            <w:r>
              <w:rPr>
                <w:sz w:val="15"/>
              </w:rPr>
              <w:t>1.00</w:t>
            </w:r>
          </w:p>
        </w:tc>
      </w:tr>
      <w:tr>
        <w:trPr>
          <w:trHeight w:val="214" w:hRule="exact"/>
        </w:trPr>
        <w:tc>
          <w:tcPr>
            <w:tcW w:w="378" w:type="dxa"/>
            <w:shd w:val="clear" w:color="auto" w:fill="D9D9D9"/>
          </w:tcPr>
          <w:p>
            <w:pPr/>
          </w:p>
        </w:tc>
        <w:tc>
          <w:tcPr>
            <w:tcW w:w="403" w:type="dxa"/>
            <w:shd w:val="clear" w:color="auto" w:fill="D9D9D9"/>
          </w:tcPr>
          <w:p>
            <w:pPr>
              <w:pStyle w:val="TableParagraph"/>
              <w:spacing w:before="7"/>
              <w:ind w:right="37"/>
              <w:jc w:val="right"/>
              <w:rPr>
                <w:sz w:val="15"/>
              </w:rPr>
            </w:pPr>
            <w:r>
              <w:rPr>
                <w:sz w:val="15"/>
              </w:rPr>
              <w:t>2010</w:t>
            </w:r>
          </w:p>
        </w:tc>
        <w:tc>
          <w:tcPr>
            <w:tcW w:w="783" w:type="dxa"/>
            <w:shd w:val="clear" w:color="auto" w:fill="D9D9D9"/>
          </w:tcPr>
          <w:p>
            <w:pPr>
              <w:pStyle w:val="TableParagraph"/>
              <w:spacing w:before="7"/>
              <w:ind w:right="32"/>
              <w:jc w:val="right"/>
              <w:rPr>
                <w:sz w:val="15"/>
              </w:rPr>
            </w:pPr>
            <w:r>
              <w:rPr>
                <w:sz w:val="15"/>
              </w:rPr>
              <w:t>9,632</w:t>
            </w:r>
          </w:p>
        </w:tc>
        <w:tc>
          <w:tcPr>
            <w:tcW w:w="886" w:type="dxa"/>
            <w:shd w:val="clear" w:color="auto" w:fill="D9D9D9"/>
          </w:tcPr>
          <w:p>
            <w:pPr>
              <w:pStyle w:val="TableParagraph"/>
              <w:spacing w:before="7"/>
              <w:ind w:right="37"/>
              <w:jc w:val="right"/>
              <w:rPr>
                <w:sz w:val="15"/>
              </w:rPr>
            </w:pPr>
            <w:r>
              <w:rPr>
                <w:sz w:val="15"/>
              </w:rPr>
              <w:t>1.50%</w:t>
            </w:r>
          </w:p>
        </w:tc>
        <w:tc>
          <w:tcPr>
            <w:tcW w:w="1075" w:type="dxa"/>
            <w:shd w:val="clear" w:color="auto" w:fill="D9D9D9"/>
          </w:tcPr>
          <w:p>
            <w:pPr>
              <w:pStyle w:val="TableParagraph"/>
              <w:spacing w:before="7"/>
              <w:ind w:right="42"/>
              <w:jc w:val="right"/>
              <w:rPr>
                <w:sz w:val="15"/>
              </w:rPr>
            </w:pPr>
            <w:r>
              <w:rPr>
                <w:sz w:val="15"/>
              </w:rPr>
              <w:t>28.44%</w:t>
            </w:r>
          </w:p>
        </w:tc>
        <w:tc>
          <w:tcPr>
            <w:tcW w:w="1062" w:type="dxa"/>
            <w:shd w:val="clear" w:color="auto" w:fill="D9D9D9"/>
          </w:tcPr>
          <w:p>
            <w:pPr>
              <w:pStyle w:val="TableParagraph"/>
              <w:spacing w:before="7"/>
              <w:ind w:right="63"/>
              <w:jc w:val="right"/>
              <w:rPr>
                <w:sz w:val="15"/>
              </w:rPr>
            </w:pPr>
            <w:r>
              <w:rPr>
                <w:sz w:val="15"/>
              </w:rPr>
              <w:t>1.0210</w:t>
            </w:r>
          </w:p>
        </w:tc>
        <w:tc>
          <w:tcPr>
            <w:tcW w:w="952" w:type="dxa"/>
            <w:shd w:val="clear" w:color="auto" w:fill="D9D9D9"/>
          </w:tcPr>
          <w:p>
            <w:pPr/>
          </w:p>
        </w:tc>
        <w:tc>
          <w:tcPr>
            <w:tcW w:w="933" w:type="dxa"/>
            <w:shd w:val="clear" w:color="auto" w:fill="D9D9D9"/>
          </w:tcPr>
          <w:p>
            <w:pPr>
              <w:pStyle w:val="TableParagraph"/>
              <w:spacing w:before="7"/>
              <w:ind w:right="60"/>
              <w:jc w:val="right"/>
              <w:rPr>
                <w:sz w:val="15"/>
              </w:rPr>
            </w:pPr>
            <w:r>
              <w:rPr>
                <w:sz w:val="15"/>
              </w:rPr>
              <w:t>9,834.27</w:t>
            </w:r>
          </w:p>
        </w:tc>
        <w:tc>
          <w:tcPr>
            <w:tcW w:w="576" w:type="dxa"/>
            <w:shd w:val="clear" w:color="auto" w:fill="D9D9D9"/>
          </w:tcPr>
          <w:p>
            <w:pPr/>
          </w:p>
        </w:tc>
        <w:tc>
          <w:tcPr>
            <w:tcW w:w="564" w:type="dxa"/>
            <w:shd w:val="clear" w:color="auto" w:fill="D9D9D9"/>
          </w:tcPr>
          <w:p>
            <w:pPr>
              <w:pStyle w:val="TableParagraph"/>
              <w:spacing w:before="7"/>
              <w:ind w:left="52"/>
              <w:jc w:val="left"/>
              <w:rPr>
                <w:sz w:val="15"/>
              </w:rPr>
            </w:pPr>
            <w:r>
              <w:rPr>
                <w:w w:val="105"/>
                <w:sz w:val="15"/>
              </w:rPr>
              <w:t>26.55%</w:t>
            </w:r>
          </w:p>
        </w:tc>
        <w:tc>
          <w:tcPr>
            <w:tcW w:w="1058" w:type="dxa"/>
            <w:shd w:val="clear" w:color="auto" w:fill="D9D9D9"/>
          </w:tcPr>
          <w:p>
            <w:pPr>
              <w:pStyle w:val="TableParagraph"/>
              <w:spacing w:before="7"/>
              <w:ind w:right="89"/>
              <w:jc w:val="right"/>
              <w:rPr>
                <w:sz w:val="15"/>
              </w:rPr>
            </w:pPr>
            <w:r>
              <w:rPr>
                <w:sz w:val="15"/>
              </w:rPr>
              <w:t>1.02</w:t>
            </w:r>
          </w:p>
        </w:tc>
      </w:tr>
      <w:tr>
        <w:trPr>
          <w:trHeight w:val="192" w:hRule="exact"/>
        </w:trPr>
        <w:tc>
          <w:tcPr>
            <w:tcW w:w="378" w:type="dxa"/>
            <w:tcBorders>
              <w:bottom w:val="single" w:sz="6" w:space="0" w:color="000000"/>
            </w:tcBorders>
          </w:tcPr>
          <w:p>
            <w:pPr/>
          </w:p>
        </w:tc>
        <w:tc>
          <w:tcPr>
            <w:tcW w:w="403" w:type="dxa"/>
            <w:tcBorders>
              <w:bottom w:val="single" w:sz="6" w:space="0" w:color="000000"/>
            </w:tcBorders>
          </w:tcPr>
          <w:p>
            <w:pPr>
              <w:pStyle w:val="TableParagraph"/>
              <w:spacing w:line="176" w:lineRule="exact"/>
              <w:ind w:right="37"/>
              <w:jc w:val="right"/>
              <w:rPr>
                <w:sz w:val="15"/>
              </w:rPr>
            </w:pPr>
            <w:r>
              <w:rPr>
                <w:sz w:val="15"/>
              </w:rPr>
              <w:t>2011</w:t>
            </w:r>
          </w:p>
        </w:tc>
        <w:tc>
          <w:tcPr>
            <w:tcW w:w="783" w:type="dxa"/>
            <w:tcBorders>
              <w:bottom w:val="single" w:sz="6" w:space="0" w:color="000000"/>
            </w:tcBorders>
          </w:tcPr>
          <w:p>
            <w:pPr>
              <w:pStyle w:val="TableParagraph"/>
              <w:spacing w:line="176" w:lineRule="exact"/>
              <w:ind w:right="38"/>
              <w:jc w:val="right"/>
              <w:rPr>
                <w:sz w:val="15"/>
              </w:rPr>
            </w:pPr>
            <w:r>
              <w:rPr>
                <w:sz w:val="15"/>
              </w:rPr>
              <w:t>10,868</w:t>
            </w:r>
          </w:p>
        </w:tc>
        <w:tc>
          <w:tcPr>
            <w:tcW w:w="886" w:type="dxa"/>
            <w:tcBorders>
              <w:bottom w:val="single" w:sz="6" w:space="0" w:color="000000"/>
            </w:tcBorders>
          </w:tcPr>
          <w:p>
            <w:pPr>
              <w:pStyle w:val="TableParagraph"/>
              <w:spacing w:line="176" w:lineRule="exact"/>
              <w:ind w:right="37"/>
              <w:jc w:val="right"/>
              <w:rPr>
                <w:sz w:val="15"/>
              </w:rPr>
            </w:pPr>
            <w:r>
              <w:rPr>
                <w:sz w:val="15"/>
              </w:rPr>
              <w:t>2.10%</w:t>
            </w:r>
          </w:p>
        </w:tc>
        <w:tc>
          <w:tcPr>
            <w:tcW w:w="1075" w:type="dxa"/>
            <w:tcBorders>
              <w:bottom w:val="single" w:sz="6" w:space="0" w:color="000000"/>
            </w:tcBorders>
          </w:tcPr>
          <w:p>
            <w:pPr>
              <w:pStyle w:val="TableParagraph"/>
              <w:spacing w:line="176" w:lineRule="exact"/>
              <w:ind w:right="42"/>
              <w:jc w:val="right"/>
              <w:rPr>
                <w:sz w:val="15"/>
              </w:rPr>
            </w:pPr>
            <w:r>
              <w:rPr>
                <w:sz w:val="15"/>
              </w:rPr>
              <w:t>12.83%</w:t>
            </w:r>
          </w:p>
        </w:tc>
        <w:tc>
          <w:tcPr>
            <w:tcW w:w="1062" w:type="dxa"/>
            <w:tcBorders>
              <w:bottom w:val="single" w:sz="6" w:space="0" w:color="000000"/>
            </w:tcBorders>
          </w:tcPr>
          <w:p>
            <w:pPr>
              <w:pStyle w:val="TableParagraph"/>
              <w:spacing w:line="176" w:lineRule="exact"/>
              <w:ind w:right="63"/>
              <w:jc w:val="right"/>
              <w:rPr>
                <w:sz w:val="15"/>
              </w:rPr>
            </w:pPr>
            <w:r>
              <w:rPr>
                <w:sz w:val="15"/>
              </w:rPr>
              <w:t>1.0000</w:t>
            </w:r>
          </w:p>
        </w:tc>
        <w:tc>
          <w:tcPr>
            <w:tcW w:w="952" w:type="dxa"/>
            <w:tcBorders>
              <w:bottom w:val="single" w:sz="6" w:space="0" w:color="000000"/>
            </w:tcBorders>
          </w:tcPr>
          <w:p>
            <w:pPr/>
          </w:p>
        </w:tc>
        <w:tc>
          <w:tcPr>
            <w:tcW w:w="933" w:type="dxa"/>
            <w:tcBorders>
              <w:bottom w:val="single" w:sz="6" w:space="0" w:color="000000"/>
            </w:tcBorders>
          </w:tcPr>
          <w:p>
            <w:pPr>
              <w:pStyle w:val="TableParagraph"/>
              <w:spacing w:line="176" w:lineRule="exact"/>
              <w:ind w:right="65"/>
              <w:jc w:val="right"/>
              <w:rPr>
                <w:sz w:val="15"/>
              </w:rPr>
            </w:pPr>
            <w:r>
              <w:rPr>
                <w:sz w:val="15"/>
              </w:rPr>
              <w:t>10,868.00</w:t>
            </w:r>
          </w:p>
        </w:tc>
        <w:tc>
          <w:tcPr>
            <w:tcW w:w="576" w:type="dxa"/>
            <w:tcBorders>
              <w:bottom w:val="single" w:sz="6" w:space="0" w:color="000000"/>
            </w:tcBorders>
          </w:tcPr>
          <w:p>
            <w:pPr/>
          </w:p>
        </w:tc>
        <w:tc>
          <w:tcPr>
            <w:tcW w:w="564" w:type="dxa"/>
            <w:tcBorders>
              <w:bottom w:val="single" w:sz="6" w:space="0" w:color="000000"/>
            </w:tcBorders>
          </w:tcPr>
          <w:p>
            <w:pPr>
              <w:pStyle w:val="TableParagraph"/>
              <w:spacing w:line="176" w:lineRule="exact"/>
              <w:ind w:left="52"/>
              <w:jc w:val="left"/>
              <w:rPr>
                <w:sz w:val="15"/>
              </w:rPr>
            </w:pPr>
            <w:r>
              <w:rPr>
                <w:w w:val="105"/>
                <w:sz w:val="15"/>
              </w:rPr>
              <w:t>10.51%</w:t>
            </w:r>
          </w:p>
        </w:tc>
        <w:tc>
          <w:tcPr>
            <w:tcW w:w="1058" w:type="dxa"/>
            <w:tcBorders>
              <w:bottom w:val="single" w:sz="11" w:space="0" w:color="485DB1"/>
            </w:tcBorders>
          </w:tcPr>
          <w:p>
            <w:pPr>
              <w:pStyle w:val="TableParagraph"/>
              <w:spacing w:line="176" w:lineRule="exact"/>
              <w:ind w:right="89"/>
              <w:jc w:val="right"/>
              <w:rPr>
                <w:sz w:val="15"/>
              </w:rPr>
            </w:pPr>
            <w:r>
              <w:rPr>
                <w:sz w:val="15"/>
              </w:rPr>
              <w:t>1.02</w:t>
            </w:r>
          </w:p>
        </w:tc>
      </w:tr>
    </w:tbl>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5"/>
        </w:rPr>
      </w:pPr>
    </w:p>
    <w:p>
      <w:pPr>
        <w:pStyle w:val="BodyText"/>
        <w:spacing w:line="273" w:lineRule="auto" w:before="69"/>
        <w:ind w:left="110" w:right="288"/>
        <w:jc w:val="both"/>
      </w:pPr>
      <w:r>
        <w:rPr/>
        <w:drawing>
          <wp:anchor distT="0" distB="0" distL="0" distR="0" allowOverlap="1" layoutInCell="1" locked="0" behindDoc="1" simplePos="0" relativeHeight="268195583">
            <wp:simplePos x="0" y="0"/>
            <wp:positionH relativeFrom="page">
              <wp:posOffset>1930544</wp:posOffset>
            </wp:positionH>
            <wp:positionV relativeFrom="paragraph">
              <wp:posOffset>-1278492</wp:posOffset>
            </wp:positionV>
            <wp:extent cx="152614" cy="153828"/>
            <wp:effectExtent l="0" t="0" r="0" b="0"/>
            <wp:wrapNone/>
            <wp:docPr id="39" name="image159.png" descr=""/>
            <wp:cNvGraphicFramePr>
              <a:graphicFrameLocks noChangeAspect="1"/>
            </wp:cNvGraphicFramePr>
            <a:graphic>
              <a:graphicData uri="http://schemas.openxmlformats.org/drawingml/2006/picture">
                <pic:pic>
                  <pic:nvPicPr>
                    <pic:cNvPr id="40" name="image159.png"/>
                    <pic:cNvPicPr/>
                  </pic:nvPicPr>
                  <pic:blipFill>
                    <a:blip r:embed="rId199" cstate="print"/>
                    <a:stretch>
                      <a:fillRect/>
                    </a:stretch>
                  </pic:blipFill>
                  <pic:spPr>
                    <a:xfrm>
                      <a:off x="0" y="0"/>
                      <a:ext cx="152614" cy="153828"/>
                    </a:xfrm>
                    <a:prstGeom prst="rect">
                      <a:avLst/>
                    </a:prstGeom>
                  </pic:spPr>
                </pic:pic>
              </a:graphicData>
            </a:graphic>
          </wp:anchor>
        </w:drawing>
      </w:r>
      <w:r>
        <w:rPr/>
        <w:drawing>
          <wp:anchor distT="0" distB="0" distL="0" distR="0" allowOverlap="1" layoutInCell="1" locked="0" behindDoc="1" simplePos="0" relativeHeight="268195607">
            <wp:simplePos x="0" y="0"/>
            <wp:positionH relativeFrom="page">
              <wp:posOffset>2496295</wp:posOffset>
            </wp:positionH>
            <wp:positionV relativeFrom="paragraph">
              <wp:posOffset>-1278492</wp:posOffset>
            </wp:positionV>
            <wp:extent cx="152614" cy="153828"/>
            <wp:effectExtent l="0" t="0" r="0" b="0"/>
            <wp:wrapNone/>
            <wp:docPr id="41" name="image159.png" descr=""/>
            <wp:cNvGraphicFramePr>
              <a:graphicFrameLocks noChangeAspect="1"/>
            </wp:cNvGraphicFramePr>
            <a:graphic>
              <a:graphicData uri="http://schemas.openxmlformats.org/drawingml/2006/picture">
                <pic:pic>
                  <pic:nvPicPr>
                    <pic:cNvPr id="42" name="image159.png"/>
                    <pic:cNvPicPr/>
                  </pic:nvPicPr>
                  <pic:blipFill>
                    <a:blip r:embed="rId199" cstate="print"/>
                    <a:stretch>
                      <a:fillRect/>
                    </a:stretch>
                  </pic:blipFill>
                  <pic:spPr>
                    <a:xfrm>
                      <a:off x="0" y="0"/>
                      <a:ext cx="152614" cy="153828"/>
                    </a:xfrm>
                    <a:prstGeom prst="rect">
                      <a:avLst/>
                    </a:prstGeom>
                  </pic:spPr>
                </pic:pic>
              </a:graphicData>
            </a:graphic>
          </wp:anchor>
        </w:drawing>
      </w:r>
      <w:r>
        <w:rPr/>
        <w:drawing>
          <wp:anchor distT="0" distB="0" distL="0" distR="0" allowOverlap="1" layoutInCell="1" locked="0" behindDoc="1" simplePos="0" relativeHeight="268195631">
            <wp:simplePos x="0" y="0"/>
            <wp:positionH relativeFrom="page">
              <wp:posOffset>3870264</wp:posOffset>
            </wp:positionH>
            <wp:positionV relativeFrom="paragraph">
              <wp:posOffset>-1278492</wp:posOffset>
            </wp:positionV>
            <wp:extent cx="152614" cy="153828"/>
            <wp:effectExtent l="0" t="0" r="0" b="0"/>
            <wp:wrapNone/>
            <wp:docPr id="43" name="image159.png" descr=""/>
            <wp:cNvGraphicFramePr>
              <a:graphicFrameLocks noChangeAspect="1"/>
            </wp:cNvGraphicFramePr>
            <a:graphic>
              <a:graphicData uri="http://schemas.openxmlformats.org/drawingml/2006/picture">
                <pic:pic>
                  <pic:nvPicPr>
                    <pic:cNvPr id="44" name="image159.png"/>
                    <pic:cNvPicPr/>
                  </pic:nvPicPr>
                  <pic:blipFill>
                    <a:blip r:embed="rId199" cstate="print"/>
                    <a:stretch>
                      <a:fillRect/>
                    </a:stretch>
                  </pic:blipFill>
                  <pic:spPr>
                    <a:xfrm>
                      <a:off x="0" y="0"/>
                      <a:ext cx="152614" cy="153828"/>
                    </a:xfrm>
                    <a:prstGeom prst="rect">
                      <a:avLst/>
                    </a:prstGeom>
                  </pic:spPr>
                </pic:pic>
              </a:graphicData>
            </a:graphic>
          </wp:anchor>
        </w:drawing>
      </w:r>
      <w:r>
        <w:rPr/>
        <w:drawing>
          <wp:anchor distT="0" distB="0" distL="0" distR="0" allowOverlap="1" layoutInCell="1" locked="0" behindDoc="1" simplePos="0" relativeHeight="268195655">
            <wp:simplePos x="0" y="0"/>
            <wp:positionH relativeFrom="page">
              <wp:posOffset>5064628</wp:posOffset>
            </wp:positionH>
            <wp:positionV relativeFrom="paragraph">
              <wp:posOffset>-1278492</wp:posOffset>
            </wp:positionV>
            <wp:extent cx="152614" cy="153828"/>
            <wp:effectExtent l="0" t="0" r="0" b="0"/>
            <wp:wrapNone/>
            <wp:docPr id="45" name="image159.png" descr=""/>
            <wp:cNvGraphicFramePr>
              <a:graphicFrameLocks noChangeAspect="1"/>
            </wp:cNvGraphicFramePr>
            <a:graphic>
              <a:graphicData uri="http://schemas.openxmlformats.org/drawingml/2006/picture">
                <pic:pic>
                  <pic:nvPicPr>
                    <pic:cNvPr id="46" name="image159.png"/>
                    <pic:cNvPicPr/>
                  </pic:nvPicPr>
                  <pic:blipFill>
                    <a:blip r:embed="rId199" cstate="print"/>
                    <a:stretch>
                      <a:fillRect/>
                    </a:stretch>
                  </pic:blipFill>
                  <pic:spPr>
                    <a:xfrm>
                      <a:off x="0" y="0"/>
                      <a:ext cx="152614" cy="153828"/>
                    </a:xfrm>
                    <a:prstGeom prst="rect">
                      <a:avLst/>
                    </a:prstGeom>
                  </pic:spPr>
                </pic:pic>
              </a:graphicData>
            </a:graphic>
          </wp:anchor>
        </w:drawing>
      </w:r>
      <w:r>
        <w:rPr/>
        <w:t>Las ventas obtuvieron una tasa de crecimiento global de 25.25% en el periodo 2008 – 2011. La tasa media de crecimiento nominal fue de 7.79%. El año 2009, se vio marcado por la crisis de la industria automotriz, el decremento nominal  de las ventas durante el año 2009 fue de -13.58%. La inflación acumulada del periodo fue de 6.64%.; a precios constantes del año 2011, el cálculo de la tasa media de crecimiento real de las ventas del periodo fue de un total de 20.74%.</w:t>
      </w:r>
    </w:p>
    <w:p>
      <w:pPr>
        <w:spacing w:after="0" w:line="273" w:lineRule="auto"/>
        <w:jc w:val="both"/>
        <w:sectPr>
          <w:pgSz w:w="11910" w:h="16840"/>
          <w:pgMar w:header="755" w:footer="724" w:top="960" w:bottom="920" w:left="1600" w:right="1400"/>
        </w:sect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2"/>
        <w:numPr>
          <w:ilvl w:val="2"/>
          <w:numId w:val="26"/>
        </w:numPr>
        <w:tabs>
          <w:tab w:pos="831" w:val="left" w:leader="none"/>
        </w:tabs>
        <w:spacing w:line="240" w:lineRule="auto" w:before="69" w:after="0"/>
        <w:ind w:left="830" w:right="0" w:hanging="720"/>
        <w:jc w:val="left"/>
      </w:pPr>
      <w:r>
        <w:rPr/>
        <w:drawing>
          <wp:anchor distT="0" distB="0" distL="0" distR="0" allowOverlap="1" layoutInCell="1" locked="0" behindDoc="1" simplePos="0" relativeHeight="268195679">
            <wp:simplePos x="0" y="0"/>
            <wp:positionH relativeFrom="page">
              <wp:posOffset>2082789</wp:posOffset>
            </wp:positionH>
            <wp:positionV relativeFrom="paragraph">
              <wp:posOffset>812529</wp:posOffset>
            </wp:positionV>
            <wp:extent cx="152008" cy="168401"/>
            <wp:effectExtent l="0" t="0" r="0" b="0"/>
            <wp:wrapNone/>
            <wp:docPr id="47" name="image159.png" descr=""/>
            <wp:cNvGraphicFramePr>
              <a:graphicFrameLocks noChangeAspect="1"/>
            </wp:cNvGraphicFramePr>
            <a:graphic>
              <a:graphicData uri="http://schemas.openxmlformats.org/drawingml/2006/picture">
                <pic:pic>
                  <pic:nvPicPr>
                    <pic:cNvPr id="48" name="image159.png"/>
                    <pic:cNvPicPr/>
                  </pic:nvPicPr>
                  <pic:blipFill>
                    <a:blip r:embed="rId199" cstate="print"/>
                    <a:stretch>
                      <a:fillRect/>
                    </a:stretch>
                  </pic:blipFill>
                  <pic:spPr>
                    <a:xfrm>
                      <a:off x="0" y="0"/>
                      <a:ext cx="152008" cy="168401"/>
                    </a:xfrm>
                    <a:prstGeom prst="rect">
                      <a:avLst/>
                    </a:prstGeom>
                  </pic:spPr>
                </pic:pic>
              </a:graphicData>
            </a:graphic>
          </wp:anchor>
        </w:drawing>
      </w:r>
      <w:r>
        <w:rPr/>
        <w:drawing>
          <wp:anchor distT="0" distB="0" distL="0" distR="0" allowOverlap="1" layoutInCell="1" locked="0" behindDoc="1" simplePos="0" relativeHeight="268195703">
            <wp:simplePos x="0" y="0"/>
            <wp:positionH relativeFrom="page">
              <wp:posOffset>2666255</wp:posOffset>
            </wp:positionH>
            <wp:positionV relativeFrom="paragraph">
              <wp:posOffset>812529</wp:posOffset>
            </wp:positionV>
            <wp:extent cx="152008" cy="168401"/>
            <wp:effectExtent l="0" t="0" r="0" b="0"/>
            <wp:wrapNone/>
            <wp:docPr id="49" name="image159.png" descr=""/>
            <wp:cNvGraphicFramePr>
              <a:graphicFrameLocks noChangeAspect="1"/>
            </wp:cNvGraphicFramePr>
            <a:graphic>
              <a:graphicData uri="http://schemas.openxmlformats.org/drawingml/2006/picture">
                <pic:pic>
                  <pic:nvPicPr>
                    <pic:cNvPr id="50" name="image159.png"/>
                    <pic:cNvPicPr/>
                  </pic:nvPicPr>
                  <pic:blipFill>
                    <a:blip r:embed="rId199" cstate="print"/>
                    <a:stretch>
                      <a:fillRect/>
                    </a:stretch>
                  </pic:blipFill>
                  <pic:spPr>
                    <a:xfrm>
                      <a:off x="0" y="0"/>
                      <a:ext cx="152008" cy="168401"/>
                    </a:xfrm>
                    <a:prstGeom prst="rect">
                      <a:avLst/>
                    </a:prstGeom>
                  </pic:spPr>
                </pic:pic>
              </a:graphicData>
            </a:graphic>
          </wp:anchor>
        </w:drawing>
      </w:r>
      <w:r>
        <w:rPr/>
        <w:drawing>
          <wp:anchor distT="0" distB="0" distL="0" distR="0" allowOverlap="1" layoutInCell="1" locked="0" behindDoc="1" simplePos="0" relativeHeight="268195727">
            <wp:simplePos x="0" y="0"/>
            <wp:positionH relativeFrom="page">
              <wp:posOffset>3833190</wp:posOffset>
            </wp:positionH>
            <wp:positionV relativeFrom="paragraph">
              <wp:posOffset>812529</wp:posOffset>
            </wp:positionV>
            <wp:extent cx="152008" cy="168401"/>
            <wp:effectExtent l="0" t="0" r="0" b="0"/>
            <wp:wrapNone/>
            <wp:docPr id="51" name="image159.png" descr=""/>
            <wp:cNvGraphicFramePr>
              <a:graphicFrameLocks noChangeAspect="1"/>
            </wp:cNvGraphicFramePr>
            <a:graphic>
              <a:graphicData uri="http://schemas.openxmlformats.org/drawingml/2006/picture">
                <pic:pic>
                  <pic:nvPicPr>
                    <pic:cNvPr id="52" name="image159.png"/>
                    <pic:cNvPicPr/>
                  </pic:nvPicPr>
                  <pic:blipFill>
                    <a:blip r:embed="rId199" cstate="print"/>
                    <a:stretch>
                      <a:fillRect/>
                    </a:stretch>
                  </pic:blipFill>
                  <pic:spPr>
                    <a:xfrm>
                      <a:off x="0" y="0"/>
                      <a:ext cx="152008" cy="168401"/>
                    </a:xfrm>
                    <a:prstGeom prst="rect">
                      <a:avLst/>
                    </a:prstGeom>
                  </pic:spPr>
                </pic:pic>
              </a:graphicData>
            </a:graphic>
          </wp:anchor>
        </w:drawing>
      </w:r>
      <w:r>
        <w:rPr/>
        <w:drawing>
          <wp:anchor distT="0" distB="0" distL="0" distR="0" allowOverlap="1" layoutInCell="1" locked="0" behindDoc="1" simplePos="0" relativeHeight="268195751">
            <wp:simplePos x="0" y="0"/>
            <wp:positionH relativeFrom="page">
              <wp:posOffset>4982170</wp:posOffset>
            </wp:positionH>
            <wp:positionV relativeFrom="paragraph">
              <wp:posOffset>812529</wp:posOffset>
            </wp:positionV>
            <wp:extent cx="152008" cy="168401"/>
            <wp:effectExtent l="0" t="0" r="0" b="0"/>
            <wp:wrapNone/>
            <wp:docPr id="53" name="image159.png" descr=""/>
            <wp:cNvGraphicFramePr>
              <a:graphicFrameLocks noChangeAspect="1"/>
            </wp:cNvGraphicFramePr>
            <a:graphic>
              <a:graphicData uri="http://schemas.openxmlformats.org/drawingml/2006/picture">
                <pic:pic>
                  <pic:nvPicPr>
                    <pic:cNvPr id="54" name="image159.png"/>
                    <pic:cNvPicPr/>
                  </pic:nvPicPr>
                  <pic:blipFill>
                    <a:blip r:embed="rId199" cstate="print"/>
                    <a:stretch>
                      <a:fillRect/>
                    </a:stretch>
                  </pic:blipFill>
                  <pic:spPr>
                    <a:xfrm>
                      <a:off x="0" y="0"/>
                      <a:ext cx="152008" cy="168401"/>
                    </a:xfrm>
                    <a:prstGeom prst="rect">
                      <a:avLst/>
                    </a:prstGeom>
                  </pic:spPr>
                </pic:pic>
              </a:graphicData>
            </a:graphic>
          </wp:anchor>
        </w:drawing>
      </w:r>
      <w:r>
        <w:rPr/>
        <w:drawing>
          <wp:anchor distT="0" distB="0" distL="0" distR="0" allowOverlap="1" layoutInCell="1" locked="0" behindDoc="1" simplePos="0" relativeHeight="268195775">
            <wp:simplePos x="0" y="0"/>
            <wp:positionH relativeFrom="page">
              <wp:posOffset>5565637</wp:posOffset>
            </wp:positionH>
            <wp:positionV relativeFrom="paragraph">
              <wp:posOffset>812529</wp:posOffset>
            </wp:positionV>
            <wp:extent cx="152008" cy="168401"/>
            <wp:effectExtent l="0" t="0" r="0" b="0"/>
            <wp:wrapNone/>
            <wp:docPr id="55" name="image159.png" descr=""/>
            <wp:cNvGraphicFramePr>
              <a:graphicFrameLocks noChangeAspect="1"/>
            </wp:cNvGraphicFramePr>
            <a:graphic>
              <a:graphicData uri="http://schemas.openxmlformats.org/drawingml/2006/picture">
                <pic:pic>
                  <pic:nvPicPr>
                    <pic:cNvPr id="56" name="image159.png"/>
                    <pic:cNvPicPr/>
                  </pic:nvPicPr>
                  <pic:blipFill>
                    <a:blip r:embed="rId199" cstate="print"/>
                    <a:stretch>
                      <a:fillRect/>
                    </a:stretch>
                  </pic:blipFill>
                  <pic:spPr>
                    <a:xfrm>
                      <a:off x="0" y="0"/>
                      <a:ext cx="152008" cy="168401"/>
                    </a:xfrm>
                    <a:prstGeom prst="rect">
                      <a:avLst/>
                    </a:prstGeom>
                  </pic:spPr>
                </pic:pic>
              </a:graphicData>
            </a:graphic>
          </wp:anchor>
        </w:drawing>
      </w:r>
      <w:r>
        <w:rPr/>
        <w:drawing>
          <wp:anchor distT="0" distB="0" distL="0" distR="0" allowOverlap="1" layoutInCell="1" locked="0" behindDoc="1" simplePos="0" relativeHeight="268195799">
            <wp:simplePos x="0" y="0"/>
            <wp:positionH relativeFrom="page">
              <wp:posOffset>6149103</wp:posOffset>
            </wp:positionH>
            <wp:positionV relativeFrom="paragraph">
              <wp:posOffset>812529</wp:posOffset>
            </wp:positionV>
            <wp:extent cx="152008" cy="168401"/>
            <wp:effectExtent l="0" t="0" r="0" b="0"/>
            <wp:wrapNone/>
            <wp:docPr id="57" name="image159.png" descr=""/>
            <wp:cNvGraphicFramePr>
              <a:graphicFrameLocks noChangeAspect="1"/>
            </wp:cNvGraphicFramePr>
            <a:graphic>
              <a:graphicData uri="http://schemas.openxmlformats.org/drawingml/2006/picture">
                <pic:pic>
                  <pic:nvPicPr>
                    <pic:cNvPr id="58" name="image159.png"/>
                    <pic:cNvPicPr/>
                  </pic:nvPicPr>
                  <pic:blipFill>
                    <a:blip r:embed="rId199" cstate="print"/>
                    <a:stretch>
                      <a:fillRect/>
                    </a:stretch>
                  </pic:blipFill>
                  <pic:spPr>
                    <a:xfrm>
                      <a:off x="0" y="0"/>
                      <a:ext cx="152008" cy="168401"/>
                    </a:xfrm>
                    <a:prstGeom prst="rect">
                      <a:avLst/>
                    </a:prstGeom>
                  </pic:spPr>
                </pic:pic>
              </a:graphicData>
            </a:graphic>
          </wp:anchor>
        </w:drawing>
      </w:r>
      <w:bookmarkStart w:name="_TOC_250006" w:id="61"/>
      <w:bookmarkEnd w:id="61"/>
      <w:r>
        <w:rPr/>
        <w:t>Análisis horizontal del margen de operación</w:t>
      </w:r>
    </w:p>
    <w:p>
      <w:pPr>
        <w:pStyle w:val="BodyText"/>
        <w:rPr>
          <w:b/>
          <w:sz w:val="20"/>
        </w:rPr>
      </w:pPr>
    </w:p>
    <w:p>
      <w:pPr>
        <w:pStyle w:val="BodyText"/>
        <w:spacing w:before="3"/>
        <w:rPr>
          <w:b/>
          <w:sz w:val="29"/>
        </w:rPr>
      </w:pPr>
    </w:p>
    <w:tbl>
      <w:tblPr>
        <w:tblW w:w="0" w:type="auto"/>
        <w:jc w:val="left"/>
        <w:tblInd w:w="1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27"/>
        <w:gridCol w:w="451"/>
        <w:gridCol w:w="922"/>
        <w:gridCol w:w="927"/>
        <w:gridCol w:w="28"/>
        <w:gridCol w:w="881"/>
        <w:gridCol w:w="891"/>
        <w:gridCol w:w="1809"/>
        <w:gridCol w:w="947"/>
        <w:gridCol w:w="929"/>
      </w:tblGrid>
      <w:tr>
        <w:trPr>
          <w:trHeight w:val="658" w:hRule="exact"/>
        </w:trPr>
        <w:tc>
          <w:tcPr>
            <w:tcW w:w="427" w:type="dxa"/>
            <w:tcBorders>
              <w:left w:val="nil"/>
              <w:right w:val="nil"/>
            </w:tcBorders>
          </w:tcPr>
          <w:p>
            <w:pPr>
              <w:pStyle w:val="TableParagraph"/>
              <w:spacing w:before="10"/>
              <w:jc w:val="left"/>
              <w:rPr>
                <w:rFonts w:ascii="Arial"/>
                <w:b/>
                <w:sz w:val="17"/>
              </w:rPr>
            </w:pPr>
          </w:p>
          <w:p>
            <w:pPr>
              <w:pStyle w:val="TableParagraph"/>
              <w:ind w:left="28"/>
              <w:jc w:val="left"/>
              <w:rPr>
                <w:b/>
                <w:sz w:val="17"/>
              </w:rPr>
            </w:pPr>
            <w:r>
              <w:rPr>
                <w:b/>
                <w:sz w:val="17"/>
              </w:rPr>
              <w:t>AÑO</w:t>
            </w:r>
          </w:p>
        </w:tc>
        <w:tc>
          <w:tcPr>
            <w:tcW w:w="451" w:type="dxa"/>
            <w:tcBorders>
              <w:left w:val="nil"/>
              <w:right w:val="nil"/>
            </w:tcBorders>
          </w:tcPr>
          <w:p>
            <w:pPr>
              <w:pStyle w:val="TableParagraph"/>
              <w:jc w:val="left"/>
              <w:rPr>
                <w:rFonts w:ascii="Arial"/>
                <w:b/>
                <w:sz w:val="20"/>
              </w:rPr>
            </w:pPr>
          </w:p>
          <w:p>
            <w:pPr>
              <w:pStyle w:val="TableParagraph"/>
              <w:spacing w:before="3"/>
              <w:jc w:val="left"/>
              <w:rPr>
                <w:rFonts w:ascii="Arial"/>
                <w:b/>
                <w:sz w:val="11"/>
              </w:rPr>
            </w:pPr>
          </w:p>
          <w:p>
            <w:pPr>
              <w:pStyle w:val="TableParagraph"/>
              <w:ind w:left="209" w:right="-38"/>
              <w:jc w:val="left"/>
              <w:rPr>
                <w:rFonts w:ascii="Arial"/>
                <w:sz w:val="20"/>
              </w:rPr>
            </w:pPr>
            <w:r>
              <w:rPr>
                <w:rFonts w:ascii="Arial"/>
                <w:sz w:val="20"/>
              </w:rPr>
              <w:drawing>
                <wp:inline distT="0" distB="0" distL="0" distR="0">
                  <wp:extent cx="152008" cy="168401"/>
                  <wp:effectExtent l="0" t="0" r="0" b="0"/>
                  <wp:docPr id="59" name="image159.png" descr=""/>
                  <wp:cNvGraphicFramePr>
                    <a:graphicFrameLocks noChangeAspect="1"/>
                  </wp:cNvGraphicFramePr>
                  <a:graphic>
                    <a:graphicData uri="http://schemas.openxmlformats.org/drawingml/2006/picture">
                      <pic:pic>
                        <pic:nvPicPr>
                          <pic:cNvPr id="60" name="image159.png"/>
                          <pic:cNvPicPr/>
                        </pic:nvPicPr>
                        <pic:blipFill>
                          <a:blip r:embed="rId199" cstate="print"/>
                          <a:stretch>
                            <a:fillRect/>
                          </a:stretch>
                        </pic:blipFill>
                        <pic:spPr>
                          <a:xfrm>
                            <a:off x="0" y="0"/>
                            <a:ext cx="152008" cy="168401"/>
                          </a:xfrm>
                          <a:prstGeom prst="rect">
                            <a:avLst/>
                          </a:prstGeom>
                        </pic:spPr>
                      </pic:pic>
                    </a:graphicData>
                  </a:graphic>
                </wp:inline>
              </w:drawing>
            </w:r>
            <w:r>
              <w:rPr>
                <w:rFonts w:ascii="Arial"/>
                <w:sz w:val="20"/>
              </w:rPr>
            </w:r>
          </w:p>
        </w:tc>
        <w:tc>
          <w:tcPr>
            <w:tcW w:w="922" w:type="dxa"/>
            <w:tcBorders>
              <w:left w:val="nil"/>
              <w:right w:val="nil"/>
            </w:tcBorders>
          </w:tcPr>
          <w:p>
            <w:pPr>
              <w:pStyle w:val="TableParagraph"/>
              <w:spacing w:line="194" w:lineRule="exact"/>
              <w:ind w:left="38" w:firstLine="1"/>
              <w:jc w:val="left"/>
              <w:rPr>
                <w:b/>
                <w:sz w:val="17"/>
              </w:rPr>
            </w:pPr>
            <w:r>
              <w:rPr>
                <w:b/>
                <w:w w:val="90"/>
                <w:sz w:val="17"/>
              </w:rPr>
              <w:t>Margen de</w:t>
            </w:r>
          </w:p>
          <w:p>
            <w:pPr>
              <w:pStyle w:val="TableParagraph"/>
              <w:spacing w:before="1"/>
              <w:jc w:val="left"/>
              <w:rPr>
                <w:rFonts w:ascii="Arial"/>
                <w:b/>
                <w:sz w:val="20"/>
              </w:rPr>
            </w:pPr>
          </w:p>
          <w:p>
            <w:pPr>
              <w:pStyle w:val="TableParagraph"/>
              <w:ind w:left="38"/>
              <w:jc w:val="left"/>
              <w:rPr>
                <w:b/>
                <w:sz w:val="17"/>
              </w:rPr>
            </w:pPr>
            <w:r>
              <w:rPr>
                <w:b/>
                <w:sz w:val="17"/>
              </w:rPr>
              <w:t>operacion</w:t>
            </w:r>
          </w:p>
        </w:tc>
        <w:tc>
          <w:tcPr>
            <w:tcW w:w="927" w:type="dxa"/>
            <w:tcBorders>
              <w:left w:val="nil"/>
              <w:right w:val="nil"/>
            </w:tcBorders>
          </w:tcPr>
          <w:p>
            <w:pPr>
              <w:pStyle w:val="TableParagraph"/>
              <w:spacing w:before="10"/>
              <w:jc w:val="left"/>
              <w:rPr>
                <w:rFonts w:ascii="Arial"/>
                <w:b/>
                <w:sz w:val="17"/>
              </w:rPr>
            </w:pPr>
          </w:p>
          <w:p>
            <w:pPr>
              <w:pStyle w:val="TableParagraph"/>
              <w:ind w:left="36"/>
              <w:jc w:val="left"/>
              <w:rPr>
                <w:b/>
                <w:sz w:val="17"/>
              </w:rPr>
            </w:pPr>
            <w:r>
              <w:rPr>
                <w:b/>
                <w:sz w:val="17"/>
              </w:rPr>
              <w:t>Inflacion</w:t>
            </w:r>
          </w:p>
        </w:tc>
        <w:tc>
          <w:tcPr>
            <w:tcW w:w="28" w:type="dxa"/>
            <w:tcBorders>
              <w:left w:val="nil"/>
              <w:right w:val="nil"/>
            </w:tcBorders>
          </w:tcPr>
          <w:p>
            <w:pPr/>
          </w:p>
        </w:tc>
        <w:tc>
          <w:tcPr>
            <w:tcW w:w="881" w:type="dxa"/>
            <w:tcBorders>
              <w:left w:val="nil"/>
              <w:right w:val="nil"/>
            </w:tcBorders>
          </w:tcPr>
          <w:p>
            <w:pPr>
              <w:pStyle w:val="TableParagraph"/>
              <w:spacing w:line="194" w:lineRule="exact"/>
              <w:ind w:hanging="1"/>
              <w:jc w:val="left"/>
              <w:rPr>
                <w:b/>
                <w:sz w:val="17"/>
              </w:rPr>
            </w:pPr>
            <w:r>
              <w:rPr>
                <w:b/>
                <w:sz w:val="17"/>
              </w:rPr>
              <w:t>Incremento</w:t>
            </w:r>
          </w:p>
          <w:p>
            <w:pPr>
              <w:pStyle w:val="TableParagraph"/>
              <w:spacing w:before="4"/>
              <w:jc w:val="left"/>
              <w:rPr>
                <w:rFonts w:ascii="Arial"/>
                <w:b/>
                <w:sz w:val="14"/>
              </w:rPr>
            </w:pPr>
          </w:p>
          <w:p>
            <w:pPr>
              <w:pStyle w:val="TableParagraph"/>
              <w:jc w:val="left"/>
              <w:rPr>
                <w:b/>
                <w:sz w:val="17"/>
              </w:rPr>
            </w:pPr>
            <w:r>
              <w:rPr>
                <w:b/>
                <w:spacing w:val="-1"/>
                <w:w w:val="90"/>
                <w:sz w:val="17"/>
              </w:rPr>
              <w:t>nominal </w:t>
            </w:r>
            <w:r>
              <w:rPr>
                <w:b/>
                <w:spacing w:val="-12"/>
                <w:position w:val="-3"/>
                <w:sz w:val="17"/>
              </w:rPr>
              <w:drawing>
                <wp:inline distT="0" distB="0" distL="0" distR="0">
                  <wp:extent cx="152008" cy="168401"/>
                  <wp:effectExtent l="0" t="0" r="0" b="0"/>
                  <wp:docPr id="61" name="image159.png" descr=""/>
                  <wp:cNvGraphicFramePr>
                    <a:graphicFrameLocks noChangeAspect="1"/>
                  </wp:cNvGraphicFramePr>
                  <a:graphic>
                    <a:graphicData uri="http://schemas.openxmlformats.org/drawingml/2006/picture">
                      <pic:pic>
                        <pic:nvPicPr>
                          <pic:cNvPr id="62" name="image159.png"/>
                          <pic:cNvPicPr/>
                        </pic:nvPicPr>
                        <pic:blipFill>
                          <a:blip r:embed="rId199" cstate="print"/>
                          <a:stretch>
                            <a:fillRect/>
                          </a:stretch>
                        </pic:blipFill>
                        <pic:spPr>
                          <a:xfrm>
                            <a:off x="0" y="0"/>
                            <a:ext cx="152008" cy="168401"/>
                          </a:xfrm>
                          <a:prstGeom prst="rect">
                            <a:avLst/>
                          </a:prstGeom>
                        </pic:spPr>
                      </pic:pic>
                    </a:graphicData>
                  </a:graphic>
                </wp:inline>
              </w:drawing>
            </w:r>
            <w:r>
              <w:rPr>
                <w:b/>
                <w:spacing w:val="-12"/>
                <w:position w:val="-3"/>
                <w:sz w:val="17"/>
              </w:rPr>
            </w:r>
          </w:p>
        </w:tc>
        <w:tc>
          <w:tcPr>
            <w:tcW w:w="891" w:type="dxa"/>
            <w:tcBorders>
              <w:left w:val="nil"/>
              <w:right w:val="nil"/>
            </w:tcBorders>
          </w:tcPr>
          <w:p>
            <w:pPr>
              <w:pStyle w:val="TableParagraph"/>
              <w:spacing w:before="10"/>
              <w:jc w:val="left"/>
              <w:rPr>
                <w:rFonts w:ascii="Arial"/>
                <w:b/>
                <w:sz w:val="17"/>
              </w:rPr>
            </w:pPr>
          </w:p>
          <w:p>
            <w:pPr>
              <w:pStyle w:val="TableParagraph"/>
              <w:ind w:right="98"/>
              <w:jc w:val="right"/>
              <w:rPr>
                <w:b/>
                <w:sz w:val="17"/>
              </w:rPr>
            </w:pPr>
            <w:r>
              <w:rPr>
                <w:b/>
                <w:w w:val="90"/>
                <w:sz w:val="17"/>
              </w:rPr>
              <w:t>Nueva base</w:t>
            </w:r>
          </w:p>
        </w:tc>
        <w:tc>
          <w:tcPr>
            <w:tcW w:w="1809" w:type="dxa"/>
            <w:tcBorders>
              <w:left w:val="nil"/>
              <w:right w:val="nil"/>
            </w:tcBorders>
          </w:tcPr>
          <w:p>
            <w:pPr>
              <w:pStyle w:val="TableParagraph"/>
              <w:spacing w:line="194" w:lineRule="exact"/>
              <w:ind w:left="64" w:firstLine="1"/>
              <w:jc w:val="left"/>
              <w:rPr>
                <w:b/>
                <w:sz w:val="17"/>
              </w:rPr>
            </w:pPr>
            <w:r>
              <w:rPr>
                <w:b/>
                <w:w w:val="95"/>
                <w:sz w:val="17"/>
              </w:rPr>
              <w:t>Margen de operacion a</w:t>
            </w:r>
          </w:p>
          <w:p>
            <w:pPr>
              <w:pStyle w:val="TableParagraph"/>
              <w:spacing w:line="254" w:lineRule="auto" w:before="11"/>
              <w:ind w:left="66" w:hanging="2"/>
              <w:jc w:val="left"/>
              <w:rPr>
                <w:b/>
                <w:sz w:val="17"/>
              </w:rPr>
            </w:pPr>
            <w:r>
              <w:rPr>
                <w:b/>
                <w:w w:val="90"/>
                <w:sz w:val="17"/>
              </w:rPr>
              <w:t>Precios constantes base </w:t>
            </w:r>
            <w:r>
              <w:rPr>
                <w:b/>
                <w:sz w:val="17"/>
              </w:rPr>
              <w:t>2011</w:t>
            </w:r>
          </w:p>
        </w:tc>
        <w:tc>
          <w:tcPr>
            <w:tcW w:w="947" w:type="dxa"/>
            <w:tcBorders>
              <w:left w:val="nil"/>
              <w:right w:val="nil"/>
            </w:tcBorders>
          </w:tcPr>
          <w:p>
            <w:pPr>
              <w:pStyle w:val="TableParagraph"/>
              <w:spacing w:line="194" w:lineRule="exact"/>
              <w:ind w:left="66" w:hanging="1"/>
              <w:jc w:val="left"/>
              <w:rPr>
                <w:b/>
                <w:sz w:val="17"/>
              </w:rPr>
            </w:pPr>
            <w:r>
              <w:rPr>
                <w:b/>
                <w:sz w:val="17"/>
              </w:rPr>
              <w:t>Incremento</w:t>
            </w:r>
          </w:p>
          <w:p>
            <w:pPr>
              <w:pStyle w:val="TableParagraph"/>
              <w:spacing w:before="1"/>
              <w:jc w:val="left"/>
              <w:rPr>
                <w:rFonts w:ascii="Arial"/>
                <w:b/>
                <w:sz w:val="20"/>
              </w:rPr>
            </w:pPr>
          </w:p>
          <w:p>
            <w:pPr>
              <w:pStyle w:val="TableParagraph"/>
              <w:ind w:left="66"/>
              <w:jc w:val="left"/>
              <w:rPr>
                <w:b/>
                <w:sz w:val="17"/>
              </w:rPr>
            </w:pPr>
            <w:r>
              <w:rPr>
                <w:b/>
                <w:w w:val="95"/>
                <w:sz w:val="17"/>
              </w:rPr>
              <w:t>real por ano</w:t>
            </w:r>
          </w:p>
        </w:tc>
        <w:tc>
          <w:tcPr>
            <w:tcW w:w="929" w:type="dxa"/>
            <w:tcBorders>
              <w:left w:val="nil"/>
              <w:right w:val="nil"/>
            </w:tcBorders>
          </w:tcPr>
          <w:p>
            <w:pPr>
              <w:pStyle w:val="TableParagraph"/>
              <w:spacing w:line="194" w:lineRule="exact"/>
              <w:ind w:left="37"/>
              <w:jc w:val="left"/>
              <w:rPr>
                <w:b/>
                <w:sz w:val="17"/>
              </w:rPr>
            </w:pPr>
            <w:r>
              <w:rPr>
                <w:b/>
                <w:sz w:val="17"/>
              </w:rPr>
              <w:t>Inflacion</w:t>
            </w:r>
          </w:p>
          <w:p>
            <w:pPr>
              <w:pStyle w:val="TableParagraph"/>
              <w:spacing w:before="1"/>
              <w:jc w:val="left"/>
              <w:rPr>
                <w:rFonts w:ascii="Arial"/>
                <w:b/>
                <w:sz w:val="20"/>
              </w:rPr>
            </w:pPr>
          </w:p>
          <w:p>
            <w:pPr>
              <w:pStyle w:val="TableParagraph"/>
              <w:ind w:left="37"/>
              <w:jc w:val="left"/>
              <w:rPr>
                <w:b/>
                <w:sz w:val="17"/>
              </w:rPr>
            </w:pPr>
            <w:r>
              <w:rPr>
                <w:b/>
                <w:sz w:val="17"/>
              </w:rPr>
              <w:t>acumulada</w:t>
            </w:r>
          </w:p>
        </w:tc>
      </w:tr>
      <w:tr>
        <w:trPr>
          <w:trHeight w:val="241" w:hRule="exact"/>
        </w:trPr>
        <w:tc>
          <w:tcPr>
            <w:tcW w:w="427" w:type="dxa"/>
            <w:tcBorders>
              <w:left w:val="nil"/>
              <w:bottom w:val="nil"/>
              <w:right w:val="nil"/>
            </w:tcBorders>
            <w:shd w:val="clear" w:color="auto" w:fill="D9D9D9"/>
          </w:tcPr>
          <w:p>
            <w:pPr/>
          </w:p>
        </w:tc>
        <w:tc>
          <w:tcPr>
            <w:tcW w:w="451" w:type="dxa"/>
            <w:tcBorders>
              <w:left w:val="nil"/>
              <w:bottom w:val="nil"/>
              <w:right w:val="nil"/>
            </w:tcBorders>
            <w:shd w:val="clear" w:color="auto" w:fill="D9D9D9"/>
          </w:tcPr>
          <w:p>
            <w:pPr>
              <w:pStyle w:val="TableParagraph"/>
              <w:spacing w:line="194" w:lineRule="exact"/>
              <w:ind w:left="69" w:right="13"/>
              <w:rPr>
                <w:sz w:val="17"/>
              </w:rPr>
            </w:pPr>
            <w:r>
              <w:rPr>
                <w:w w:val="95"/>
                <w:sz w:val="17"/>
              </w:rPr>
              <w:t>2008</w:t>
            </w:r>
          </w:p>
        </w:tc>
        <w:tc>
          <w:tcPr>
            <w:tcW w:w="922" w:type="dxa"/>
            <w:tcBorders>
              <w:left w:val="nil"/>
              <w:bottom w:val="nil"/>
              <w:right w:val="nil"/>
            </w:tcBorders>
            <w:shd w:val="clear" w:color="auto" w:fill="D9D9D9"/>
          </w:tcPr>
          <w:p>
            <w:pPr>
              <w:pStyle w:val="TableParagraph"/>
              <w:spacing w:line="194" w:lineRule="exact"/>
              <w:ind w:right="34"/>
              <w:jc w:val="right"/>
              <w:rPr>
                <w:sz w:val="17"/>
              </w:rPr>
            </w:pPr>
            <w:r>
              <w:rPr>
                <w:w w:val="90"/>
                <w:sz w:val="17"/>
              </w:rPr>
              <w:t>230</w:t>
            </w:r>
          </w:p>
        </w:tc>
        <w:tc>
          <w:tcPr>
            <w:tcW w:w="927" w:type="dxa"/>
            <w:tcBorders>
              <w:left w:val="nil"/>
              <w:bottom w:val="nil"/>
              <w:right w:val="nil"/>
            </w:tcBorders>
            <w:shd w:val="clear" w:color="auto" w:fill="D9D9D9"/>
          </w:tcPr>
          <w:p>
            <w:pPr>
              <w:pStyle w:val="TableParagraph"/>
              <w:spacing w:line="194" w:lineRule="exact"/>
              <w:ind w:right="47"/>
              <w:jc w:val="right"/>
              <w:rPr>
                <w:sz w:val="17"/>
              </w:rPr>
            </w:pPr>
            <w:r>
              <w:rPr>
                <w:w w:val="90"/>
                <w:sz w:val="17"/>
              </w:rPr>
              <w:t>2.80%</w:t>
            </w:r>
          </w:p>
        </w:tc>
        <w:tc>
          <w:tcPr>
            <w:tcW w:w="28" w:type="dxa"/>
            <w:tcBorders>
              <w:left w:val="nil"/>
              <w:bottom w:val="thickThinMediumGap" w:sz="16" w:space="0" w:color="008000"/>
              <w:right w:val="nil"/>
            </w:tcBorders>
            <w:shd w:val="clear" w:color="auto" w:fill="D9D9D9"/>
          </w:tcPr>
          <w:p>
            <w:pPr/>
          </w:p>
        </w:tc>
        <w:tc>
          <w:tcPr>
            <w:tcW w:w="881" w:type="dxa"/>
            <w:tcBorders>
              <w:left w:val="nil"/>
              <w:bottom w:val="nil"/>
              <w:right w:val="nil"/>
            </w:tcBorders>
            <w:shd w:val="clear" w:color="auto" w:fill="D9D9D9"/>
          </w:tcPr>
          <w:p>
            <w:pPr/>
          </w:p>
        </w:tc>
        <w:tc>
          <w:tcPr>
            <w:tcW w:w="891" w:type="dxa"/>
            <w:tcBorders>
              <w:left w:val="nil"/>
              <w:bottom w:val="nil"/>
              <w:right w:val="nil"/>
            </w:tcBorders>
            <w:shd w:val="clear" w:color="auto" w:fill="D9D9D9"/>
          </w:tcPr>
          <w:p>
            <w:pPr>
              <w:pStyle w:val="TableParagraph"/>
              <w:spacing w:line="194" w:lineRule="exact"/>
              <w:ind w:right="62"/>
              <w:jc w:val="right"/>
              <w:rPr>
                <w:sz w:val="17"/>
              </w:rPr>
            </w:pPr>
            <w:r>
              <w:rPr>
                <w:w w:val="90"/>
                <w:sz w:val="17"/>
              </w:rPr>
              <w:t>1.0374</w:t>
            </w:r>
          </w:p>
        </w:tc>
        <w:tc>
          <w:tcPr>
            <w:tcW w:w="1809" w:type="dxa"/>
            <w:tcBorders>
              <w:left w:val="nil"/>
              <w:bottom w:val="nil"/>
              <w:right w:val="nil"/>
            </w:tcBorders>
            <w:shd w:val="clear" w:color="auto" w:fill="D9D9D9"/>
          </w:tcPr>
          <w:p>
            <w:pPr>
              <w:pStyle w:val="TableParagraph"/>
              <w:spacing w:line="194" w:lineRule="exact"/>
              <w:ind w:right="64"/>
              <w:jc w:val="right"/>
              <w:rPr>
                <w:sz w:val="17"/>
              </w:rPr>
            </w:pPr>
            <w:r>
              <w:rPr>
                <w:w w:val="90"/>
                <w:sz w:val="17"/>
              </w:rPr>
              <w:t>238.59</w:t>
            </w:r>
          </w:p>
        </w:tc>
        <w:tc>
          <w:tcPr>
            <w:tcW w:w="947" w:type="dxa"/>
            <w:tcBorders>
              <w:left w:val="nil"/>
              <w:bottom w:val="nil"/>
              <w:right w:val="nil"/>
            </w:tcBorders>
            <w:shd w:val="clear" w:color="auto" w:fill="D9D9D9"/>
          </w:tcPr>
          <w:p>
            <w:pPr/>
          </w:p>
        </w:tc>
        <w:tc>
          <w:tcPr>
            <w:tcW w:w="929" w:type="dxa"/>
            <w:tcBorders>
              <w:left w:val="nil"/>
              <w:bottom w:val="nil"/>
              <w:right w:val="nil"/>
            </w:tcBorders>
            <w:shd w:val="clear" w:color="auto" w:fill="D9D9D9"/>
          </w:tcPr>
          <w:p>
            <w:pPr>
              <w:pStyle w:val="TableParagraph"/>
              <w:spacing w:line="194" w:lineRule="exact"/>
              <w:ind w:right="89"/>
              <w:jc w:val="right"/>
              <w:rPr>
                <w:sz w:val="17"/>
              </w:rPr>
            </w:pPr>
            <w:r>
              <w:rPr>
                <w:w w:val="90"/>
                <w:sz w:val="17"/>
              </w:rPr>
              <w:t>1.03</w:t>
            </w:r>
          </w:p>
        </w:tc>
      </w:tr>
      <w:tr>
        <w:trPr>
          <w:trHeight w:val="219" w:hRule="exact"/>
        </w:trPr>
        <w:tc>
          <w:tcPr>
            <w:tcW w:w="427" w:type="dxa"/>
            <w:tcBorders>
              <w:top w:val="nil"/>
              <w:left w:val="nil"/>
              <w:bottom w:val="nil"/>
              <w:right w:val="nil"/>
            </w:tcBorders>
          </w:tcPr>
          <w:p>
            <w:pPr/>
          </w:p>
        </w:tc>
        <w:tc>
          <w:tcPr>
            <w:tcW w:w="451" w:type="dxa"/>
            <w:tcBorders>
              <w:top w:val="nil"/>
              <w:left w:val="nil"/>
              <w:bottom w:val="nil"/>
              <w:right w:val="nil"/>
            </w:tcBorders>
          </w:tcPr>
          <w:p>
            <w:pPr>
              <w:pStyle w:val="TableParagraph"/>
              <w:spacing w:line="194" w:lineRule="exact"/>
              <w:ind w:left="69" w:right="13"/>
              <w:rPr>
                <w:sz w:val="17"/>
              </w:rPr>
            </w:pPr>
            <w:r>
              <w:rPr>
                <w:w w:val="95"/>
                <w:sz w:val="17"/>
              </w:rPr>
              <w:t>2009</w:t>
            </w:r>
          </w:p>
        </w:tc>
        <w:tc>
          <w:tcPr>
            <w:tcW w:w="922" w:type="dxa"/>
            <w:tcBorders>
              <w:top w:val="nil"/>
              <w:left w:val="nil"/>
              <w:bottom w:val="nil"/>
              <w:right w:val="nil"/>
            </w:tcBorders>
          </w:tcPr>
          <w:p>
            <w:pPr>
              <w:pStyle w:val="TableParagraph"/>
              <w:spacing w:line="194" w:lineRule="exact"/>
              <w:ind w:right="34"/>
              <w:jc w:val="right"/>
              <w:rPr>
                <w:sz w:val="17"/>
              </w:rPr>
            </w:pPr>
            <w:r>
              <w:rPr>
                <w:w w:val="90"/>
                <w:sz w:val="17"/>
              </w:rPr>
              <w:t>133</w:t>
            </w:r>
          </w:p>
        </w:tc>
        <w:tc>
          <w:tcPr>
            <w:tcW w:w="927" w:type="dxa"/>
            <w:tcBorders>
              <w:top w:val="nil"/>
              <w:left w:val="nil"/>
              <w:bottom w:val="nil"/>
              <w:right w:val="nil"/>
            </w:tcBorders>
          </w:tcPr>
          <w:p>
            <w:pPr>
              <w:pStyle w:val="TableParagraph"/>
              <w:spacing w:line="194" w:lineRule="exact"/>
              <w:ind w:right="47"/>
              <w:jc w:val="right"/>
              <w:rPr>
                <w:sz w:val="17"/>
              </w:rPr>
            </w:pPr>
            <w:r>
              <w:rPr>
                <w:w w:val="90"/>
                <w:sz w:val="17"/>
              </w:rPr>
              <w:t>0.10%</w:t>
            </w:r>
          </w:p>
        </w:tc>
        <w:tc>
          <w:tcPr>
            <w:tcW w:w="28" w:type="dxa"/>
            <w:tcBorders>
              <w:top w:val="thinThickMediumGap" w:sz="16" w:space="0" w:color="008000"/>
              <w:left w:val="nil"/>
              <w:bottom w:val="single" w:sz="6" w:space="0" w:color="008000"/>
              <w:right w:val="nil"/>
            </w:tcBorders>
          </w:tcPr>
          <w:p>
            <w:pPr/>
          </w:p>
        </w:tc>
        <w:tc>
          <w:tcPr>
            <w:tcW w:w="881" w:type="dxa"/>
            <w:tcBorders>
              <w:top w:val="nil"/>
              <w:left w:val="nil"/>
              <w:bottom w:val="nil"/>
              <w:right w:val="nil"/>
            </w:tcBorders>
          </w:tcPr>
          <w:p>
            <w:pPr>
              <w:pStyle w:val="TableParagraph"/>
              <w:spacing w:line="179" w:lineRule="exact"/>
              <w:ind w:right="38"/>
              <w:jc w:val="right"/>
              <w:rPr>
                <w:sz w:val="17"/>
              </w:rPr>
            </w:pPr>
            <w:r>
              <w:rPr>
                <w:w w:val="90"/>
                <w:sz w:val="17"/>
              </w:rPr>
              <w:t>-42.17%</w:t>
            </w:r>
          </w:p>
        </w:tc>
        <w:tc>
          <w:tcPr>
            <w:tcW w:w="891" w:type="dxa"/>
            <w:tcBorders>
              <w:top w:val="nil"/>
              <w:left w:val="nil"/>
              <w:bottom w:val="nil"/>
              <w:right w:val="nil"/>
            </w:tcBorders>
          </w:tcPr>
          <w:p>
            <w:pPr>
              <w:pStyle w:val="TableParagraph"/>
              <w:spacing w:line="194" w:lineRule="exact"/>
              <w:ind w:right="62"/>
              <w:jc w:val="right"/>
              <w:rPr>
                <w:sz w:val="17"/>
              </w:rPr>
            </w:pPr>
            <w:r>
              <w:rPr>
                <w:w w:val="90"/>
                <w:sz w:val="17"/>
              </w:rPr>
              <w:t>1.0363</w:t>
            </w:r>
          </w:p>
        </w:tc>
        <w:tc>
          <w:tcPr>
            <w:tcW w:w="1809" w:type="dxa"/>
            <w:tcBorders>
              <w:top w:val="nil"/>
              <w:left w:val="nil"/>
              <w:bottom w:val="nil"/>
              <w:right w:val="nil"/>
            </w:tcBorders>
          </w:tcPr>
          <w:p>
            <w:pPr>
              <w:pStyle w:val="TableParagraph"/>
              <w:spacing w:line="194" w:lineRule="exact"/>
              <w:ind w:right="64"/>
              <w:jc w:val="right"/>
              <w:rPr>
                <w:sz w:val="17"/>
              </w:rPr>
            </w:pPr>
            <w:r>
              <w:rPr>
                <w:w w:val="90"/>
                <w:sz w:val="17"/>
              </w:rPr>
              <w:t>137.83</w:t>
            </w:r>
          </w:p>
        </w:tc>
        <w:tc>
          <w:tcPr>
            <w:tcW w:w="947" w:type="dxa"/>
            <w:tcBorders>
              <w:top w:val="nil"/>
              <w:left w:val="nil"/>
              <w:bottom w:val="nil"/>
              <w:right w:val="nil"/>
            </w:tcBorders>
          </w:tcPr>
          <w:p>
            <w:pPr>
              <w:pStyle w:val="TableParagraph"/>
              <w:spacing w:line="194" w:lineRule="exact"/>
              <w:ind w:right="38"/>
              <w:jc w:val="right"/>
              <w:rPr>
                <w:sz w:val="17"/>
              </w:rPr>
            </w:pPr>
            <w:r>
              <w:rPr>
                <w:w w:val="90"/>
                <w:sz w:val="17"/>
              </w:rPr>
              <w:t>-42.23%</w:t>
            </w:r>
          </w:p>
        </w:tc>
        <w:tc>
          <w:tcPr>
            <w:tcW w:w="929" w:type="dxa"/>
            <w:tcBorders>
              <w:top w:val="nil"/>
              <w:left w:val="nil"/>
              <w:bottom w:val="nil"/>
              <w:right w:val="nil"/>
            </w:tcBorders>
          </w:tcPr>
          <w:p>
            <w:pPr>
              <w:pStyle w:val="TableParagraph"/>
              <w:spacing w:line="194" w:lineRule="exact"/>
              <w:ind w:right="89"/>
              <w:jc w:val="right"/>
              <w:rPr>
                <w:sz w:val="17"/>
              </w:rPr>
            </w:pPr>
            <w:r>
              <w:rPr>
                <w:w w:val="90"/>
                <w:sz w:val="17"/>
              </w:rPr>
              <w:t>1.00</w:t>
            </w:r>
          </w:p>
        </w:tc>
      </w:tr>
      <w:tr>
        <w:trPr>
          <w:trHeight w:val="219" w:hRule="exact"/>
        </w:trPr>
        <w:tc>
          <w:tcPr>
            <w:tcW w:w="427" w:type="dxa"/>
            <w:tcBorders>
              <w:top w:val="nil"/>
              <w:left w:val="nil"/>
              <w:bottom w:val="nil"/>
              <w:right w:val="nil"/>
            </w:tcBorders>
            <w:shd w:val="clear" w:color="auto" w:fill="D9D9D9"/>
          </w:tcPr>
          <w:p>
            <w:pPr/>
          </w:p>
        </w:tc>
        <w:tc>
          <w:tcPr>
            <w:tcW w:w="451" w:type="dxa"/>
            <w:tcBorders>
              <w:top w:val="nil"/>
              <w:left w:val="nil"/>
              <w:bottom w:val="nil"/>
              <w:right w:val="nil"/>
            </w:tcBorders>
            <w:shd w:val="clear" w:color="auto" w:fill="D9D9D9"/>
          </w:tcPr>
          <w:p>
            <w:pPr>
              <w:pStyle w:val="TableParagraph"/>
              <w:spacing w:before="2"/>
              <w:ind w:left="69" w:right="13"/>
              <w:rPr>
                <w:sz w:val="17"/>
              </w:rPr>
            </w:pPr>
            <w:r>
              <w:rPr>
                <w:w w:val="95"/>
                <w:sz w:val="17"/>
              </w:rPr>
              <w:t>2010</w:t>
            </w:r>
          </w:p>
        </w:tc>
        <w:tc>
          <w:tcPr>
            <w:tcW w:w="922" w:type="dxa"/>
            <w:tcBorders>
              <w:top w:val="nil"/>
              <w:left w:val="nil"/>
              <w:bottom w:val="nil"/>
              <w:right w:val="nil"/>
            </w:tcBorders>
            <w:shd w:val="clear" w:color="auto" w:fill="D9D9D9"/>
          </w:tcPr>
          <w:p>
            <w:pPr>
              <w:pStyle w:val="TableParagraph"/>
              <w:spacing w:before="2"/>
              <w:ind w:right="34"/>
              <w:jc w:val="right"/>
              <w:rPr>
                <w:sz w:val="17"/>
              </w:rPr>
            </w:pPr>
            <w:r>
              <w:rPr>
                <w:w w:val="90"/>
                <w:sz w:val="17"/>
              </w:rPr>
              <w:t>617</w:t>
            </w:r>
          </w:p>
        </w:tc>
        <w:tc>
          <w:tcPr>
            <w:tcW w:w="927" w:type="dxa"/>
            <w:tcBorders>
              <w:top w:val="nil"/>
              <w:left w:val="nil"/>
              <w:bottom w:val="nil"/>
              <w:right w:val="nil"/>
            </w:tcBorders>
            <w:shd w:val="clear" w:color="auto" w:fill="D9D9D9"/>
          </w:tcPr>
          <w:p>
            <w:pPr>
              <w:pStyle w:val="TableParagraph"/>
              <w:spacing w:before="2"/>
              <w:ind w:right="47"/>
              <w:jc w:val="right"/>
              <w:rPr>
                <w:sz w:val="17"/>
              </w:rPr>
            </w:pPr>
            <w:r>
              <w:rPr>
                <w:w w:val="90"/>
                <w:sz w:val="17"/>
              </w:rPr>
              <w:t>1.50%</w:t>
            </w:r>
          </w:p>
        </w:tc>
        <w:tc>
          <w:tcPr>
            <w:tcW w:w="28" w:type="dxa"/>
            <w:tcBorders>
              <w:top w:val="single" w:sz="6" w:space="0" w:color="008000"/>
              <w:left w:val="nil"/>
              <w:bottom w:val="thickThinMediumGap" w:sz="16" w:space="0" w:color="008000"/>
              <w:right w:val="nil"/>
            </w:tcBorders>
            <w:shd w:val="clear" w:color="auto" w:fill="D9D9D9"/>
          </w:tcPr>
          <w:p>
            <w:pPr/>
          </w:p>
        </w:tc>
        <w:tc>
          <w:tcPr>
            <w:tcW w:w="881" w:type="dxa"/>
            <w:tcBorders>
              <w:top w:val="nil"/>
              <w:left w:val="nil"/>
              <w:bottom w:val="nil"/>
              <w:right w:val="nil"/>
            </w:tcBorders>
            <w:shd w:val="clear" w:color="auto" w:fill="D9D9D9"/>
          </w:tcPr>
          <w:p>
            <w:pPr>
              <w:pStyle w:val="TableParagraph"/>
              <w:spacing w:line="179" w:lineRule="exact"/>
              <w:ind w:right="35"/>
              <w:jc w:val="right"/>
              <w:rPr>
                <w:sz w:val="17"/>
              </w:rPr>
            </w:pPr>
            <w:r>
              <w:rPr>
                <w:w w:val="90"/>
                <w:sz w:val="17"/>
              </w:rPr>
              <w:t>363.91%</w:t>
            </w:r>
          </w:p>
        </w:tc>
        <w:tc>
          <w:tcPr>
            <w:tcW w:w="891" w:type="dxa"/>
            <w:tcBorders>
              <w:top w:val="nil"/>
              <w:left w:val="nil"/>
              <w:bottom w:val="nil"/>
              <w:right w:val="nil"/>
            </w:tcBorders>
            <w:shd w:val="clear" w:color="auto" w:fill="D9D9D9"/>
          </w:tcPr>
          <w:p>
            <w:pPr>
              <w:pStyle w:val="TableParagraph"/>
              <w:spacing w:before="2"/>
              <w:ind w:right="62"/>
              <w:jc w:val="right"/>
              <w:rPr>
                <w:sz w:val="17"/>
              </w:rPr>
            </w:pPr>
            <w:r>
              <w:rPr>
                <w:w w:val="90"/>
                <w:sz w:val="17"/>
              </w:rPr>
              <w:t>1.0210</w:t>
            </w:r>
          </w:p>
        </w:tc>
        <w:tc>
          <w:tcPr>
            <w:tcW w:w="1809" w:type="dxa"/>
            <w:tcBorders>
              <w:top w:val="nil"/>
              <w:left w:val="nil"/>
              <w:bottom w:val="nil"/>
              <w:right w:val="nil"/>
            </w:tcBorders>
            <w:shd w:val="clear" w:color="auto" w:fill="D9D9D9"/>
          </w:tcPr>
          <w:p>
            <w:pPr>
              <w:pStyle w:val="TableParagraph"/>
              <w:spacing w:before="2"/>
              <w:ind w:right="64"/>
              <w:jc w:val="right"/>
              <w:rPr>
                <w:sz w:val="17"/>
              </w:rPr>
            </w:pPr>
            <w:r>
              <w:rPr>
                <w:w w:val="90"/>
                <w:sz w:val="17"/>
              </w:rPr>
              <w:t>629.96</w:t>
            </w:r>
          </w:p>
        </w:tc>
        <w:tc>
          <w:tcPr>
            <w:tcW w:w="947" w:type="dxa"/>
            <w:tcBorders>
              <w:top w:val="nil"/>
              <w:left w:val="nil"/>
              <w:bottom w:val="nil"/>
              <w:right w:val="nil"/>
            </w:tcBorders>
            <w:shd w:val="clear" w:color="auto" w:fill="D9D9D9"/>
          </w:tcPr>
          <w:p>
            <w:pPr>
              <w:pStyle w:val="TableParagraph"/>
              <w:spacing w:before="2"/>
              <w:ind w:right="35"/>
              <w:jc w:val="right"/>
              <w:rPr>
                <w:sz w:val="17"/>
              </w:rPr>
            </w:pPr>
            <w:r>
              <w:rPr>
                <w:w w:val="90"/>
                <w:sz w:val="17"/>
              </w:rPr>
              <w:t>357.05%</w:t>
            </w:r>
          </w:p>
        </w:tc>
        <w:tc>
          <w:tcPr>
            <w:tcW w:w="929" w:type="dxa"/>
            <w:tcBorders>
              <w:top w:val="nil"/>
              <w:left w:val="nil"/>
              <w:bottom w:val="nil"/>
              <w:right w:val="nil"/>
            </w:tcBorders>
            <w:shd w:val="clear" w:color="auto" w:fill="D9D9D9"/>
          </w:tcPr>
          <w:p>
            <w:pPr>
              <w:pStyle w:val="TableParagraph"/>
              <w:spacing w:before="2"/>
              <w:ind w:right="89"/>
              <w:jc w:val="right"/>
              <w:rPr>
                <w:sz w:val="17"/>
              </w:rPr>
            </w:pPr>
            <w:r>
              <w:rPr>
                <w:w w:val="90"/>
                <w:sz w:val="17"/>
              </w:rPr>
              <w:t>1.02</w:t>
            </w:r>
          </w:p>
        </w:tc>
      </w:tr>
      <w:tr>
        <w:trPr>
          <w:trHeight w:val="197" w:hRule="exact"/>
        </w:trPr>
        <w:tc>
          <w:tcPr>
            <w:tcW w:w="427" w:type="dxa"/>
            <w:tcBorders>
              <w:top w:val="nil"/>
              <w:left w:val="nil"/>
              <w:right w:val="nil"/>
            </w:tcBorders>
          </w:tcPr>
          <w:p>
            <w:pPr/>
          </w:p>
        </w:tc>
        <w:tc>
          <w:tcPr>
            <w:tcW w:w="451" w:type="dxa"/>
            <w:tcBorders>
              <w:top w:val="nil"/>
              <w:left w:val="nil"/>
              <w:right w:val="nil"/>
            </w:tcBorders>
          </w:tcPr>
          <w:p>
            <w:pPr>
              <w:pStyle w:val="TableParagraph"/>
              <w:spacing w:line="194" w:lineRule="exact"/>
              <w:ind w:left="69" w:right="13"/>
              <w:rPr>
                <w:sz w:val="17"/>
              </w:rPr>
            </w:pPr>
            <w:r>
              <w:rPr>
                <w:w w:val="95"/>
                <w:sz w:val="17"/>
              </w:rPr>
              <w:t>2011</w:t>
            </w:r>
          </w:p>
        </w:tc>
        <w:tc>
          <w:tcPr>
            <w:tcW w:w="922" w:type="dxa"/>
            <w:tcBorders>
              <w:top w:val="nil"/>
              <w:left w:val="nil"/>
              <w:right w:val="nil"/>
            </w:tcBorders>
          </w:tcPr>
          <w:p>
            <w:pPr>
              <w:pStyle w:val="TableParagraph"/>
              <w:spacing w:line="194" w:lineRule="exact"/>
              <w:ind w:right="34"/>
              <w:jc w:val="right"/>
              <w:rPr>
                <w:sz w:val="17"/>
              </w:rPr>
            </w:pPr>
            <w:r>
              <w:rPr>
                <w:w w:val="90"/>
                <w:sz w:val="17"/>
              </w:rPr>
              <w:t>704</w:t>
            </w:r>
          </w:p>
        </w:tc>
        <w:tc>
          <w:tcPr>
            <w:tcW w:w="927" w:type="dxa"/>
            <w:tcBorders>
              <w:top w:val="nil"/>
              <w:left w:val="nil"/>
              <w:right w:val="nil"/>
            </w:tcBorders>
          </w:tcPr>
          <w:p>
            <w:pPr>
              <w:pStyle w:val="TableParagraph"/>
              <w:spacing w:line="194" w:lineRule="exact"/>
              <w:ind w:right="47"/>
              <w:jc w:val="right"/>
              <w:rPr>
                <w:sz w:val="17"/>
              </w:rPr>
            </w:pPr>
            <w:r>
              <w:rPr>
                <w:w w:val="90"/>
                <w:sz w:val="17"/>
              </w:rPr>
              <w:t>2.10%</w:t>
            </w:r>
          </w:p>
        </w:tc>
        <w:tc>
          <w:tcPr>
            <w:tcW w:w="28" w:type="dxa"/>
            <w:tcBorders>
              <w:top w:val="thinThickMediumGap" w:sz="16" w:space="0" w:color="008000"/>
              <w:left w:val="nil"/>
              <w:right w:val="nil"/>
            </w:tcBorders>
          </w:tcPr>
          <w:p>
            <w:pPr/>
          </w:p>
        </w:tc>
        <w:tc>
          <w:tcPr>
            <w:tcW w:w="881" w:type="dxa"/>
            <w:tcBorders>
              <w:top w:val="nil"/>
              <w:left w:val="nil"/>
              <w:right w:val="nil"/>
            </w:tcBorders>
          </w:tcPr>
          <w:p>
            <w:pPr>
              <w:pStyle w:val="TableParagraph"/>
              <w:spacing w:line="179" w:lineRule="exact"/>
              <w:ind w:right="44"/>
              <w:jc w:val="right"/>
              <w:rPr>
                <w:sz w:val="17"/>
              </w:rPr>
            </w:pPr>
            <w:r>
              <w:rPr>
                <w:w w:val="90"/>
                <w:sz w:val="17"/>
              </w:rPr>
              <w:t>14.10%</w:t>
            </w:r>
          </w:p>
        </w:tc>
        <w:tc>
          <w:tcPr>
            <w:tcW w:w="891" w:type="dxa"/>
            <w:tcBorders>
              <w:top w:val="nil"/>
              <w:left w:val="nil"/>
              <w:right w:val="nil"/>
            </w:tcBorders>
          </w:tcPr>
          <w:p>
            <w:pPr>
              <w:pStyle w:val="TableParagraph"/>
              <w:spacing w:line="194" w:lineRule="exact"/>
              <w:ind w:right="62"/>
              <w:jc w:val="right"/>
              <w:rPr>
                <w:sz w:val="17"/>
              </w:rPr>
            </w:pPr>
            <w:r>
              <w:rPr>
                <w:w w:val="90"/>
                <w:sz w:val="17"/>
              </w:rPr>
              <w:t>1.0000</w:t>
            </w:r>
          </w:p>
        </w:tc>
        <w:tc>
          <w:tcPr>
            <w:tcW w:w="1809" w:type="dxa"/>
            <w:tcBorders>
              <w:top w:val="nil"/>
              <w:left w:val="nil"/>
              <w:right w:val="nil"/>
            </w:tcBorders>
          </w:tcPr>
          <w:p>
            <w:pPr>
              <w:pStyle w:val="TableParagraph"/>
              <w:spacing w:line="194" w:lineRule="exact"/>
              <w:ind w:right="64"/>
              <w:jc w:val="right"/>
              <w:rPr>
                <w:sz w:val="17"/>
              </w:rPr>
            </w:pPr>
            <w:r>
              <w:rPr>
                <w:w w:val="90"/>
                <w:sz w:val="17"/>
              </w:rPr>
              <w:t>704.00</w:t>
            </w:r>
          </w:p>
        </w:tc>
        <w:tc>
          <w:tcPr>
            <w:tcW w:w="947" w:type="dxa"/>
            <w:tcBorders>
              <w:top w:val="nil"/>
              <w:left w:val="nil"/>
              <w:right w:val="nil"/>
            </w:tcBorders>
          </w:tcPr>
          <w:p>
            <w:pPr>
              <w:pStyle w:val="TableParagraph"/>
              <w:spacing w:line="194" w:lineRule="exact"/>
              <w:ind w:right="43"/>
              <w:jc w:val="right"/>
              <w:rPr>
                <w:sz w:val="17"/>
              </w:rPr>
            </w:pPr>
            <w:r>
              <w:rPr>
                <w:w w:val="90"/>
                <w:sz w:val="17"/>
              </w:rPr>
              <w:t>11.75%</w:t>
            </w:r>
          </w:p>
        </w:tc>
        <w:tc>
          <w:tcPr>
            <w:tcW w:w="929" w:type="dxa"/>
            <w:tcBorders>
              <w:top w:val="nil"/>
              <w:left w:val="nil"/>
              <w:bottom w:val="single" w:sz="13" w:space="0" w:color="485DB1"/>
              <w:right w:val="nil"/>
            </w:tcBorders>
          </w:tcPr>
          <w:p>
            <w:pPr>
              <w:pStyle w:val="TableParagraph"/>
              <w:spacing w:line="194" w:lineRule="exact"/>
              <w:ind w:right="89"/>
              <w:jc w:val="right"/>
              <w:rPr>
                <w:sz w:val="17"/>
              </w:rPr>
            </w:pPr>
            <w:r>
              <w:rPr>
                <w:w w:val="90"/>
                <w:sz w:val="17"/>
              </w:rPr>
              <w:t>1.02</w:t>
            </w:r>
          </w:p>
        </w:tc>
      </w:tr>
    </w:tbl>
    <w:p>
      <w:pPr>
        <w:pStyle w:val="BodyText"/>
        <w:spacing w:before="2"/>
        <w:rPr>
          <w:b/>
          <w:sz w:val="13"/>
        </w:rPr>
      </w:pPr>
    </w:p>
    <w:p>
      <w:pPr>
        <w:pStyle w:val="BodyText"/>
        <w:spacing w:line="273" w:lineRule="auto" w:before="70"/>
        <w:ind w:left="110" w:right="108"/>
        <w:jc w:val="both"/>
      </w:pPr>
      <w:r>
        <w:rPr/>
        <w:t>El margen de operación presento un incremento de 206% en el periodo 2008- 2011, la tasa de crecimiento nominal fue de 45.19%. A precios constantes del año 2011, la tasa real de crecimiento global fue de 195.07%.</w:t>
      </w:r>
    </w:p>
    <w:p>
      <w:pPr>
        <w:pStyle w:val="BodyText"/>
      </w:pPr>
    </w:p>
    <w:p>
      <w:pPr>
        <w:pStyle w:val="BodyText"/>
      </w:pPr>
    </w:p>
    <w:p>
      <w:pPr>
        <w:pStyle w:val="Heading2"/>
        <w:numPr>
          <w:ilvl w:val="1"/>
          <w:numId w:val="27"/>
        </w:numPr>
        <w:tabs>
          <w:tab w:pos="687" w:val="left" w:leader="none"/>
        </w:tabs>
        <w:spacing w:line="240" w:lineRule="auto" w:before="171" w:after="0"/>
        <w:ind w:left="686" w:right="0" w:hanging="576"/>
        <w:jc w:val="both"/>
      </w:pPr>
      <w:bookmarkStart w:name="_TOC_250005" w:id="62"/>
      <w:bookmarkEnd w:id="62"/>
      <w:r>
        <w:rPr/>
        <w:t>Razones financieras</w:t>
      </w:r>
    </w:p>
    <w:p>
      <w:pPr>
        <w:pStyle w:val="BodyText"/>
        <w:rPr>
          <w:b/>
        </w:rPr>
      </w:pPr>
    </w:p>
    <w:p>
      <w:pPr>
        <w:pStyle w:val="BodyText"/>
        <w:spacing w:before="7"/>
        <w:rPr>
          <w:b/>
        </w:rPr>
      </w:pPr>
    </w:p>
    <w:p>
      <w:pPr>
        <w:pStyle w:val="ListParagraph"/>
        <w:numPr>
          <w:ilvl w:val="2"/>
          <w:numId w:val="27"/>
        </w:numPr>
        <w:tabs>
          <w:tab w:pos="831" w:val="left" w:leader="none"/>
        </w:tabs>
        <w:spacing w:line="271" w:lineRule="auto" w:before="0" w:after="0"/>
        <w:ind w:left="110" w:right="5598" w:firstLine="0"/>
        <w:jc w:val="left"/>
        <w:rPr>
          <w:b/>
          <w:sz w:val="24"/>
        </w:rPr>
      </w:pPr>
      <w:r>
        <w:rPr>
          <w:b/>
          <w:sz w:val="24"/>
        </w:rPr>
        <w:t>Razones de liquidez Liquidez corriente</w:t>
      </w:r>
    </w:p>
    <w:p>
      <w:pPr>
        <w:pStyle w:val="BodyText"/>
        <w:rPr>
          <w:b/>
          <w:sz w:val="20"/>
        </w:rPr>
      </w:pPr>
    </w:p>
    <w:p>
      <w:pPr>
        <w:pStyle w:val="BodyText"/>
        <w:rPr>
          <w:b/>
          <w:sz w:val="20"/>
        </w:rPr>
      </w:pPr>
    </w:p>
    <w:p>
      <w:pPr>
        <w:pStyle w:val="BodyText"/>
        <w:spacing w:before="9"/>
        <w:rPr>
          <w:b/>
          <w:sz w:val="20"/>
        </w:rPr>
      </w:pPr>
    </w:p>
    <w:p>
      <w:pPr>
        <w:pStyle w:val="BodyText"/>
        <w:spacing w:line="232" w:lineRule="exact"/>
        <w:ind w:left="4522"/>
        <w:rPr>
          <w:rFonts w:ascii="Cambria Math" w:eastAsia="Cambria Math"/>
        </w:rPr>
      </w:pPr>
      <w:r>
        <w:rPr>
          <w:rFonts w:ascii="Cambria Math" w:eastAsia="Cambria Math"/>
          <w:spacing w:val="-112"/>
        </w:rPr>
        <w:t>𝐴𝑐𝑡𝑖𝑣𝑜𝑠</w:t>
      </w:r>
      <w:r>
        <w:rPr>
          <w:rFonts w:ascii="Cambria Math" w:eastAsia="Cambria Math"/>
          <w:spacing w:val="-31"/>
        </w:rPr>
        <w:t> </w:t>
      </w:r>
      <w:r>
        <w:rPr>
          <w:rFonts w:ascii="Cambria Math" w:eastAsia="Cambria Math"/>
          <w:spacing w:val="-111"/>
        </w:rPr>
        <w:t>𝑐𝑜𝑟𝑟𝑖𝑒𝑛𝑡𝑒𝑠</w:t>
      </w:r>
    </w:p>
    <w:p>
      <w:pPr>
        <w:pStyle w:val="BodyText"/>
        <w:spacing w:line="392" w:lineRule="exact"/>
        <w:ind w:left="2195"/>
        <w:rPr>
          <w:rFonts w:ascii="Cambria Math" w:eastAsia="Cambria Math"/>
        </w:rPr>
      </w:pPr>
      <w:r>
        <w:rPr/>
        <w:pict>
          <v:line style="position:absolute;mso-position-horizontal-relative:page;mso-position-vertical-relative:paragraph;z-index:-239632" from="305.14389pt,5.448165pt" to="406.42389pt,5.448165pt" stroked="true" strokeweight=".72pt" strokecolor="#000000">
            <w10:wrap type="none"/>
          </v:line>
        </w:pict>
      </w:r>
      <w:r>
        <w:rPr>
          <w:rFonts w:ascii="Cambria Math" w:eastAsia="Cambria Math"/>
          <w:spacing w:val="-101"/>
        </w:rPr>
        <w:t>𝐿𝑖𝑞𝑢𝑖𝑑𝑒𝑧</w:t>
      </w:r>
      <w:r>
        <w:rPr>
          <w:rFonts w:ascii="Cambria Math" w:eastAsia="Cambria Math"/>
          <w:spacing w:val="-34"/>
        </w:rPr>
        <w:t> </w:t>
      </w:r>
      <w:r>
        <w:rPr>
          <w:rFonts w:ascii="Cambria Math" w:eastAsia="Cambria Math"/>
          <w:spacing w:val="-101"/>
        </w:rPr>
        <w:t>𝑐𝑜𝑟𝑟𝑖𝑒𝑛𝑡𝑒</w:t>
      </w:r>
      <w:r>
        <w:rPr>
          <w:rFonts w:ascii="Cambria Math" w:eastAsia="Cambria Math"/>
          <w:spacing w:val="-29"/>
        </w:rPr>
        <w:t> </w:t>
      </w:r>
      <w:r>
        <w:rPr>
          <w:rFonts w:ascii="Cambria Math" w:eastAsia="Cambria Math"/>
          <w:spacing w:val="-101"/>
        </w:rPr>
        <w:t>=</w:t>
      </w:r>
      <w:r>
        <w:rPr>
          <w:rFonts w:ascii="Cambria Math" w:eastAsia="Cambria Math"/>
          <w:spacing w:val="-31"/>
        </w:rPr>
        <w:t> </w:t>
      </w:r>
      <w:r>
        <w:rPr>
          <w:rFonts w:ascii="Cambria Math" w:eastAsia="Cambria Math"/>
          <w:spacing w:val="-101"/>
          <w:position w:val="-15"/>
        </w:rPr>
        <w:t>𝑃𝑎𝑠𝑖𝑣𝑜𝑠</w:t>
      </w:r>
      <w:r>
        <w:rPr>
          <w:rFonts w:ascii="Cambria Math" w:eastAsia="Cambria Math"/>
          <w:spacing w:val="-51"/>
          <w:position w:val="-15"/>
        </w:rPr>
        <w:t> </w:t>
      </w:r>
      <w:r>
        <w:rPr>
          <w:rFonts w:ascii="Cambria Math" w:eastAsia="Cambria Math"/>
          <w:position w:val="-15"/>
        </w:rPr>
        <w:t>𝑐𝑜𝑟𝑟𝑖𝑒𝑛𝑡𝑒𝑠</w:t>
      </w:r>
    </w:p>
    <w:p>
      <w:pPr>
        <w:spacing w:after="0" w:line="392" w:lineRule="exact"/>
        <w:rPr>
          <w:rFonts w:ascii="Cambria Math" w:eastAsia="Cambria Math"/>
        </w:rPr>
        <w:sectPr>
          <w:pgSz w:w="11910" w:h="16840"/>
          <w:pgMar w:header="755" w:footer="724" w:top="960" w:bottom="920" w:left="1600" w:right="1580"/>
        </w:sectPr>
      </w:pPr>
    </w:p>
    <w:p>
      <w:pPr>
        <w:pStyle w:val="BodyText"/>
        <w:rPr>
          <w:rFonts w:ascii="Cambria Math"/>
          <w:sz w:val="20"/>
        </w:rPr>
      </w:pPr>
    </w:p>
    <w:p>
      <w:pPr>
        <w:pStyle w:val="BodyText"/>
        <w:spacing w:before="4"/>
        <w:rPr>
          <w:rFonts w:ascii="Cambria Math"/>
          <w:sz w:val="18"/>
        </w:rPr>
      </w:pPr>
    </w:p>
    <w:p>
      <w:pPr>
        <w:pStyle w:val="BodyText"/>
        <w:ind w:left="105"/>
        <w:rPr>
          <w:rFonts w:ascii="Cambria Math"/>
          <w:sz w:val="20"/>
        </w:rPr>
      </w:pPr>
      <w:r>
        <w:rPr>
          <w:rFonts w:ascii="Cambria Math"/>
          <w:sz w:val="20"/>
        </w:rPr>
        <w:pict>
          <v:group style="width:425.95pt;height:289.5pt;mso-position-horizontal-relative:char;mso-position-vertical-relative:line" coordorigin="0,0" coordsize="8519,5790">
            <v:line style="position:absolute" from="780,4784" to="8251,4784" stroked="true" strokeweight=".75pt" strokecolor="#989898"/>
            <v:line style="position:absolute" from="780,4294" to="8251,4294" stroked="true" strokeweight=".75pt" strokecolor="#989898"/>
            <v:line style="position:absolute" from="780,3804" to="8251,3804" stroked="true" strokeweight=".75pt" strokecolor="#989898"/>
            <v:line style="position:absolute" from="780,3315" to="8251,3315" stroked="true" strokeweight=".75pt" strokecolor="#989898"/>
            <v:line style="position:absolute" from="780,2825" to="8251,2825" stroked="true" strokeweight=".75pt" strokecolor="#989898"/>
            <v:line style="position:absolute" from="780,2331" to="8251,2331" stroked="true" strokeweight=".75pt" strokecolor="#989898"/>
            <v:line style="position:absolute" from="780,1841" to="8251,1841" stroked="true" strokeweight=".75pt" strokecolor="#989898"/>
            <v:line style="position:absolute" from="780,1352" to="8251,1352" stroked="true" strokeweight=".75pt" strokecolor="#989898"/>
            <v:line style="position:absolute" from="778,5276" to="778,1352" stroked="true" strokeweight=".75pt" strokecolor="#989898"/>
            <v:line style="position:absolute" from="778,5276" to="8251,5276" stroked="true" strokeweight=".75pt" strokecolor="#989898"/>
            <v:shape style="position:absolute;left:1546;top:4874;width:326;height:326" type="#_x0000_t75" stroked="false">
              <v:imagedata r:id="rId200" o:title=""/>
            </v:shape>
            <v:shape style="position:absolute;left:3414;top:3126;width:326;height:326" type="#_x0000_t75" stroked="false">
              <v:imagedata r:id="rId200" o:title=""/>
            </v:shape>
            <v:shape style="position:absolute;left:5286;top:3621;width:326;height:326" type="#_x0000_t75" stroked="false">
              <v:imagedata r:id="rId200" o:title=""/>
            </v:shape>
            <v:shape style="position:absolute;left:7153;top:1590;width:326;height:326" type="#_x0000_t75" stroked="false">
              <v:imagedata r:id="rId200" o:title=""/>
            </v:shape>
            <v:line style="position:absolute" from="1712,5004" to="3579,3257" stroked="true" strokeweight="3.75pt" strokecolor="#727272"/>
            <v:line style="position:absolute" from="3579,3257" to="5451,3752" stroked="true" strokeweight="3.75pt" strokecolor="#727272"/>
            <v:line style="position:absolute" from="5451,3752" to="7317,1721" stroked="true" strokeweight="3.75pt" strokecolor="#727272"/>
            <v:shape style="position:absolute;left:1614;top:4902;width:197;height:202" type="#_x0000_t75" stroked="false">
              <v:imagedata r:id="rId201" o:title=""/>
            </v:shape>
            <v:shape style="position:absolute;left:3481;top:3155;width:197;height:202" type="#_x0000_t75" stroked="false">
              <v:imagedata r:id="rId201" o:title=""/>
            </v:shape>
            <v:shape style="position:absolute;left:5353;top:3650;width:197;height:202" type="#_x0000_t75" stroked="false">
              <v:imagedata r:id="rId201" o:title=""/>
            </v:shape>
            <v:shape style="position:absolute;left:7220;top:1619;width:197;height:202" type="#_x0000_t75" stroked="false">
              <v:imagedata r:id="rId201" o:title=""/>
            </v:shape>
            <v:rect style="position:absolute;left:7;top:7;width:8504;height:5775" filled="false" stroked="true" strokeweight=".75pt" strokecolor="#989898"/>
            <v:shape style="position:absolute;left:2918;top:277;width:2686;height:780" type="#_x0000_t202" filled="false" stroked="false">
              <v:textbox inset="0,0,0,0">
                <w:txbxContent>
                  <w:p>
                    <w:pPr>
                      <w:spacing w:line="368" w:lineRule="exact" w:before="0"/>
                      <w:ind w:left="914" w:right="-18" w:firstLine="0"/>
                      <w:jc w:val="left"/>
                      <w:rPr>
                        <w:rFonts w:ascii="Calibri"/>
                        <w:b/>
                        <w:sz w:val="36"/>
                      </w:rPr>
                    </w:pPr>
                    <w:r>
                      <w:rPr>
                        <w:rFonts w:ascii="Calibri"/>
                        <w:b/>
                        <w:sz w:val="36"/>
                      </w:rPr>
                      <w:t>Valeo</w:t>
                    </w:r>
                  </w:p>
                  <w:p>
                    <w:pPr>
                      <w:spacing w:line="412" w:lineRule="exact" w:before="0"/>
                      <w:ind w:left="0" w:right="-18" w:firstLine="0"/>
                      <w:jc w:val="left"/>
                      <w:rPr>
                        <w:rFonts w:ascii="Calibri"/>
                        <w:b/>
                        <w:sz w:val="36"/>
                      </w:rPr>
                    </w:pPr>
                    <w:r>
                      <w:rPr>
                        <w:rFonts w:ascii="Calibri"/>
                        <w:b/>
                        <w:sz w:val="36"/>
                      </w:rPr>
                      <w:t>Liquidez corriente</w:t>
                    </w:r>
                  </w:p>
                </w:txbxContent>
              </v:textbox>
              <w10:wrap type="none"/>
            </v:shape>
            <v:shape style="position:absolute;left:193;top:127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1.07</w:t>
                    </w:r>
                  </w:p>
                </w:txbxContent>
              </v:textbox>
              <w10:wrap type="none"/>
            </v:shape>
            <v:shape style="position:absolute;left:193;top:176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1.05</w:t>
                    </w:r>
                  </w:p>
                </w:txbxContent>
              </v:textbox>
              <w10:wrap type="none"/>
            </v:shape>
            <v:shape style="position:absolute;left:7593;top:164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1.05</w:t>
                    </w:r>
                  </w:p>
                </w:txbxContent>
              </v:textbox>
              <w10:wrap type="none"/>
            </v:shape>
            <v:shape style="position:absolute;left:193;top:225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1.03</w:t>
                    </w:r>
                  </w:p>
                </w:txbxContent>
              </v:textbox>
              <w10:wrap type="none"/>
            </v:shape>
            <v:shape style="position:absolute;left:193;top:274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1.01</w:t>
                    </w:r>
                  </w:p>
                </w:txbxContent>
              </v:textbox>
              <w10:wrap type="none"/>
            </v:shape>
            <v:shape style="position:absolute;left:193;top:323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0.99</w:t>
                    </w:r>
                  </w:p>
                </w:txbxContent>
              </v:textbox>
              <w10:wrap type="none"/>
            </v:shape>
            <v:shape style="position:absolute;left:3856;top:318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0.99</w:t>
                    </w:r>
                  </w:p>
                </w:txbxContent>
              </v:textbox>
              <w10:wrap type="none"/>
            </v:shape>
            <v:shape style="position:absolute;left:193;top:372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0.97</w:t>
                    </w:r>
                  </w:p>
                </w:txbxContent>
              </v:textbox>
              <w10:wrap type="none"/>
            </v:shape>
            <v:shape style="position:absolute;left:5724;top:367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0.97</w:t>
                    </w:r>
                  </w:p>
                </w:txbxContent>
              </v:textbox>
              <w10:wrap type="none"/>
            </v:shape>
            <v:shape style="position:absolute;left:193;top:421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0.95</w:t>
                    </w:r>
                  </w:p>
                </w:txbxContent>
              </v:textbox>
              <w10:wrap type="none"/>
            </v:shape>
            <v:shape style="position:absolute;left:193;top:470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0.93</w:t>
                    </w:r>
                  </w:p>
                </w:txbxContent>
              </v:textbox>
              <w10:wrap type="none"/>
            </v:shape>
            <v:shape style="position:absolute;left:1987;top:493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0.92</w:t>
                    </w:r>
                  </w:p>
                </w:txbxContent>
              </v:textbox>
              <w10:wrap type="none"/>
            </v:shape>
            <v:shape style="position:absolute;left:193;top:520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0.91</w:t>
                    </w:r>
                  </w:p>
                </w:txbxContent>
              </v:textbox>
              <w10:wrap type="none"/>
            </v:shape>
            <v:shape style="position:absolute;left:1509;top:544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3378;top:544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246;top:544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7115;top:544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18"/>
        </w:rPr>
      </w:pPr>
    </w:p>
    <w:p>
      <w:pPr>
        <w:pStyle w:val="BodyText"/>
        <w:spacing w:line="273" w:lineRule="auto" w:before="70"/>
        <w:ind w:left="110" w:right="108"/>
        <w:jc w:val="both"/>
      </w:pPr>
      <w:r>
        <w:rPr/>
        <w:t>Durante el periodo de análisis este indicador muestra como una debilidad la solvencia de la empresa, el indicador debe ser como mínimo 2.0. El activo circulante de la empresa no representa por lo menos el 50% del total del activo del año 2008 al 2010.</w:t>
      </w:r>
    </w:p>
    <w:p>
      <w:pPr>
        <w:pStyle w:val="BodyText"/>
        <w:spacing w:line="273" w:lineRule="auto" w:before="209"/>
        <w:ind w:left="110" w:right="108"/>
        <w:jc w:val="both"/>
      </w:pPr>
      <w:r>
        <w:rPr/>
        <w:t>Durante el periodo 2008 a 2010; las deudas de la empresa excedían  los activos, por lo que se puede deducir que Valeo tuvo problemas para pagar sus deudas a tiempo. Es hasta el año 2011 que puede observarse un incremento  en los activos, principalmente de las cuentas por cobrar al cierre del año</w:t>
      </w:r>
      <w:r>
        <w:rPr>
          <w:spacing w:val="-3"/>
        </w:rPr>
        <w:t> </w:t>
      </w:r>
      <w:r>
        <w:rPr/>
        <w:t>2008.</w:t>
      </w:r>
    </w:p>
    <w:p>
      <w:pPr>
        <w:pStyle w:val="BodyText"/>
      </w:pPr>
    </w:p>
    <w:p>
      <w:pPr>
        <w:pStyle w:val="BodyText"/>
      </w:pPr>
    </w:p>
    <w:p>
      <w:pPr>
        <w:pStyle w:val="Heading2"/>
        <w:spacing w:before="171"/>
      </w:pPr>
      <w:r>
        <w:rPr/>
        <w:t>Prueba ácida</w:t>
      </w:r>
    </w:p>
    <w:p>
      <w:pPr>
        <w:pStyle w:val="BodyText"/>
        <w:rPr>
          <w:b/>
          <w:sz w:val="20"/>
        </w:rPr>
      </w:pPr>
    </w:p>
    <w:p>
      <w:pPr>
        <w:pStyle w:val="BodyText"/>
        <w:rPr>
          <w:b/>
          <w:sz w:val="20"/>
        </w:rPr>
      </w:pPr>
    </w:p>
    <w:p>
      <w:pPr>
        <w:pStyle w:val="BodyText"/>
        <w:spacing w:before="7"/>
        <w:rPr>
          <w:b/>
          <w:sz w:val="17"/>
        </w:rPr>
      </w:pPr>
    </w:p>
    <w:p>
      <w:pPr>
        <w:spacing w:after="0"/>
        <w:rPr>
          <w:sz w:val="17"/>
        </w:rPr>
        <w:sectPr>
          <w:pgSz w:w="11910" w:h="16840"/>
          <w:pgMar w:header="755" w:footer="724" w:top="960" w:bottom="920" w:left="1600" w:right="1580"/>
        </w:sectPr>
      </w:pPr>
    </w:p>
    <w:p>
      <w:pPr>
        <w:pStyle w:val="BodyText"/>
        <w:spacing w:before="7"/>
        <w:rPr>
          <w:b/>
          <w:sz w:val="21"/>
        </w:rPr>
      </w:pPr>
    </w:p>
    <w:p>
      <w:pPr>
        <w:pStyle w:val="BodyText"/>
        <w:ind w:left="1773"/>
        <w:rPr>
          <w:rFonts w:ascii="Cambria Math" w:hAnsi="Cambria Math" w:eastAsia="Cambria Math"/>
        </w:rPr>
      </w:pPr>
      <w:r>
        <w:rPr>
          <w:rFonts w:ascii="Cambria Math" w:hAnsi="Cambria Math" w:eastAsia="Cambria Math"/>
          <w:spacing w:val="-96"/>
        </w:rPr>
        <w:t>𝑃𝑟𝑢𝑒𝑏𝑎 </w:t>
      </w:r>
      <w:r>
        <w:rPr>
          <w:rFonts w:ascii="Cambria Math" w:hAnsi="Cambria Math" w:eastAsia="Cambria Math"/>
          <w:spacing w:val="-75"/>
        </w:rPr>
        <w:t>á𝑐𝑖𝑑𝑎</w:t>
      </w:r>
      <w:r>
        <w:rPr>
          <w:rFonts w:ascii="Cambria Math" w:hAnsi="Cambria Math" w:eastAsia="Cambria Math"/>
          <w:spacing w:val="-27"/>
        </w:rPr>
        <w:t> </w:t>
      </w:r>
      <w:r>
        <w:rPr>
          <w:rFonts w:ascii="Cambria Math" w:hAnsi="Cambria Math" w:eastAsia="Cambria Math"/>
          <w:spacing w:val="-74"/>
        </w:rPr>
        <w:t>=</w:t>
      </w:r>
    </w:p>
    <w:p>
      <w:pPr>
        <w:pStyle w:val="BodyText"/>
        <w:spacing w:before="66"/>
        <w:ind w:left="322" w:right="2071"/>
        <w:jc w:val="center"/>
        <w:rPr>
          <w:rFonts w:ascii="Cambria Math" w:hAnsi="Cambria Math" w:eastAsia="Cambria Math"/>
        </w:rPr>
      </w:pPr>
      <w:r>
        <w:rPr/>
        <w:br w:type="column"/>
      </w:r>
      <w:r>
        <w:rPr>
          <w:rFonts w:ascii="Cambria Math" w:hAnsi="Cambria Math" w:eastAsia="Cambria Math"/>
          <w:spacing w:val="-65"/>
        </w:rPr>
        <w:t>𝐴𝑐𝑡𝑖𝑣𝑜𝑠 </w:t>
      </w:r>
      <w:r>
        <w:rPr>
          <w:rFonts w:ascii="Cambria Math" w:hAnsi="Cambria Math" w:eastAsia="Cambria Math"/>
          <w:spacing w:val="-92"/>
        </w:rPr>
        <w:t>𝑐𝑜𝑟𝑟𝑖𝑒𝑛𝑡𝑒𝑠</w:t>
      </w:r>
      <w:r>
        <w:rPr>
          <w:rFonts w:ascii="Cambria Math" w:hAnsi="Cambria Math" w:eastAsia="Cambria Math"/>
          <w:spacing w:val="-34"/>
        </w:rPr>
        <w:t> </w:t>
      </w:r>
      <w:r>
        <w:rPr>
          <w:rFonts w:ascii="Cambria Math" w:hAnsi="Cambria Math" w:eastAsia="Cambria Math"/>
          <w:spacing w:val="-91"/>
        </w:rPr>
        <w:t>−</w:t>
      </w:r>
      <w:r>
        <w:rPr>
          <w:rFonts w:ascii="Cambria Math" w:hAnsi="Cambria Math" w:eastAsia="Cambria Math"/>
          <w:spacing w:val="-51"/>
        </w:rPr>
        <w:t> </w:t>
      </w:r>
      <w:r>
        <w:rPr>
          <w:rFonts w:ascii="Cambria Math" w:hAnsi="Cambria Math" w:eastAsia="Cambria Math"/>
          <w:spacing w:val="-85"/>
        </w:rPr>
        <w:t>𝐼𝑛𝑣𝑒𝑛𝑡𝑎𝑟𝑖𝑜</w:t>
      </w:r>
    </w:p>
    <w:p>
      <w:pPr>
        <w:pStyle w:val="BodyText"/>
        <w:spacing w:before="5"/>
        <w:rPr>
          <w:rFonts w:ascii="Cambria Math"/>
          <w:sz w:val="4"/>
        </w:rPr>
      </w:pPr>
    </w:p>
    <w:p>
      <w:pPr>
        <w:pStyle w:val="BodyText"/>
        <w:spacing w:line="20" w:lineRule="exact"/>
        <w:ind w:left="18"/>
        <w:rPr>
          <w:rFonts w:ascii="Cambria Math"/>
          <w:sz w:val="2"/>
        </w:rPr>
      </w:pPr>
      <w:r>
        <w:rPr>
          <w:rFonts w:ascii="Cambria Math"/>
          <w:sz w:val="2"/>
        </w:rPr>
        <w:pict>
          <v:group style="width:172.85pt;height:.75pt;mso-position-horizontal-relative:char;mso-position-vertical-relative:line" coordorigin="0,0" coordsize="3457,15">
            <v:line style="position:absolute" from="8,7" to="3449,7" stroked="true" strokeweight=".72pt" strokecolor="#000000"/>
          </v:group>
        </w:pict>
      </w:r>
      <w:r>
        <w:rPr>
          <w:rFonts w:ascii="Cambria Math"/>
          <w:sz w:val="2"/>
        </w:rPr>
      </w:r>
    </w:p>
    <w:p>
      <w:pPr>
        <w:pStyle w:val="BodyText"/>
        <w:ind w:left="322" w:right="2071"/>
        <w:jc w:val="center"/>
        <w:rPr>
          <w:rFonts w:ascii="Cambria Math" w:eastAsia="Cambria Math"/>
        </w:rPr>
      </w:pPr>
      <w:r>
        <w:rPr>
          <w:rFonts w:ascii="Cambria Math" w:eastAsia="Cambria Math"/>
          <w:spacing w:val="-65"/>
        </w:rPr>
        <w:t>𝑃𝑎𝑠𝑖𝑣𝑜𝑠 </w:t>
      </w:r>
      <w:r>
        <w:rPr>
          <w:rFonts w:ascii="Cambria Math" w:eastAsia="Cambria Math"/>
          <w:spacing w:val="-85"/>
        </w:rPr>
        <w:t>𝑐𝑜𝑟𝑟𝑖𝑒𝑛𝑡𝑒𝑠</w:t>
      </w:r>
    </w:p>
    <w:p>
      <w:pPr>
        <w:spacing w:after="0"/>
        <w:jc w:val="center"/>
        <w:rPr>
          <w:rFonts w:ascii="Cambria Math" w:eastAsia="Cambria Math"/>
        </w:rPr>
        <w:sectPr>
          <w:type w:val="continuous"/>
          <w:pgSz w:w="11910" w:h="16840"/>
          <w:pgMar w:top="1380" w:bottom="280" w:left="1600" w:right="1580"/>
          <w:cols w:num="2" w:equalWidth="0">
            <w:col w:w="3444" w:space="40"/>
            <w:col w:w="5246"/>
          </w:cols>
        </w:sectPr>
      </w:pPr>
    </w:p>
    <w:p>
      <w:pPr>
        <w:pStyle w:val="BodyText"/>
        <w:rPr>
          <w:rFonts w:ascii="Cambria Math"/>
          <w:sz w:val="20"/>
        </w:rPr>
      </w:pPr>
    </w:p>
    <w:p>
      <w:pPr>
        <w:pStyle w:val="BodyText"/>
        <w:spacing w:before="4"/>
        <w:rPr>
          <w:rFonts w:ascii="Cambria Math"/>
          <w:sz w:val="18"/>
        </w:rPr>
      </w:pPr>
    </w:p>
    <w:p>
      <w:pPr>
        <w:pStyle w:val="BodyText"/>
        <w:ind w:left="105"/>
        <w:rPr>
          <w:rFonts w:ascii="Cambria Math"/>
          <w:sz w:val="20"/>
        </w:rPr>
      </w:pPr>
      <w:r>
        <w:rPr>
          <w:rFonts w:ascii="Cambria Math"/>
          <w:sz w:val="20"/>
        </w:rPr>
        <w:pict>
          <v:group style="width:425.95pt;height:290pt;mso-position-horizontal-relative:char;mso-position-vertical-relative:line" coordorigin="0,0" coordsize="8519,5800">
            <v:line style="position:absolute" from="780,4793" to="8251,4793" stroked="true" strokeweight=".75pt" strokecolor="#989898"/>
            <v:line style="position:absolute" from="780,4304" to="8251,4304" stroked="true" strokeweight=".75pt" strokecolor="#989898"/>
            <v:line style="position:absolute" from="780,3809" to="8251,3809" stroked="true" strokeweight=".75pt" strokecolor="#989898"/>
            <v:line style="position:absolute" from="780,3320" to="8251,3320" stroked="true" strokeweight=".75pt" strokecolor="#989898"/>
            <v:line style="position:absolute" from="780,2825" to="8251,2825" stroked="true" strokeweight=".75pt" strokecolor="#989898"/>
            <v:line style="position:absolute" from="780,2336" to="8251,2336" stroked="true" strokeweight=".75pt" strokecolor="#989898"/>
            <v:line style="position:absolute" from="780,1841" to="8251,1841" stroked="true" strokeweight=".75pt" strokecolor="#989898"/>
            <v:line style="position:absolute" from="780,1352" to="8251,1352" stroked="true" strokeweight=".75pt" strokecolor="#989898"/>
            <v:line style="position:absolute" from="778,5286" to="778,1352" stroked="true" strokeweight=".75pt" strokecolor="#989898"/>
            <v:line style="position:absolute" from="778,5286" to="8251,5286" stroked="true" strokeweight=".75pt" strokecolor="#989898"/>
            <v:line style="position:absolute" from="1712,4947" to="3579,2710" stroked="true" strokeweight="2.25pt" strokecolor="#727272"/>
            <v:line style="position:absolute" from="3579,2710" to="5451,3185" stroked="true" strokeweight="2.25pt" strokecolor="#727272"/>
            <v:line style="position:absolute" from="5451,3185" to="7317,1884" stroked="true" strokeweight="2.25pt" strokecolor="#727272"/>
            <v:shape style="position:absolute;left:1633;top:4869;width:158;height:158" type="#_x0000_t75" stroked="false">
              <v:imagedata r:id="rId202" o:title=""/>
            </v:shape>
            <v:shape style="position:absolute;left:3500;top:2632;width:158;height:158" type="#_x0000_t75" stroked="false">
              <v:imagedata r:id="rId202" o:title=""/>
            </v:shape>
            <v:shape style="position:absolute;left:5372;top:3107;width:158;height:158" type="#_x0000_t75" stroked="false">
              <v:imagedata r:id="rId202" o:title=""/>
            </v:shape>
            <v:shape style="position:absolute;left:7239;top:1806;width:158;height:158" type="#_x0000_t75" stroked="false">
              <v:imagedata r:id="rId202" o:title=""/>
            </v:shape>
            <v:rect style="position:absolute;left:7;top:7;width:8504;height:5785" filled="false" stroked="true" strokeweight=".75pt" strokecolor="#989898"/>
            <v:shape style="position:absolute;left:3293;top:277;width:1933;height:780" type="#_x0000_t202" filled="false" stroked="false">
              <v:textbox inset="0,0,0,0">
                <w:txbxContent>
                  <w:p>
                    <w:pPr>
                      <w:spacing w:line="368" w:lineRule="exact" w:before="0"/>
                      <w:ind w:left="0" w:right="0" w:firstLine="0"/>
                      <w:jc w:val="center"/>
                      <w:rPr>
                        <w:rFonts w:ascii="Calibri"/>
                        <w:b/>
                        <w:sz w:val="36"/>
                      </w:rPr>
                    </w:pPr>
                    <w:r>
                      <w:rPr>
                        <w:rFonts w:ascii="Calibri"/>
                        <w:b/>
                        <w:sz w:val="36"/>
                      </w:rPr>
                      <w:t>Valeo</w:t>
                    </w:r>
                  </w:p>
                  <w:p>
                    <w:pPr>
                      <w:spacing w:line="412" w:lineRule="exact" w:before="0"/>
                      <w:ind w:left="0" w:right="0" w:firstLine="0"/>
                      <w:jc w:val="center"/>
                      <w:rPr>
                        <w:rFonts w:ascii="Calibri" w:hAnsi="Calibri"/>
                        <w:b/>
                        <w:sz w:val="36"/>
                      </w:rPr>
                    </w:pPr>
                    <w:r>
                      <w:rPr>
                        <w:rFonts w:ascii="Calibri" w:hAnsi="Calibri"/>
                        <w:b/>
                        <w:sz w:val="36"/>
                      </w:rPr>
                      <w:t>Prueba</w:t>
                    </w:r>
                    <w:r>
                      <w:rPr>
                        <w:rFonts w:ascii="Calibri" w:hAnsi="Calibri"/>
                        <w:b/>
                        <w:spacing w:val="-8"/>
                        <w:sz w:val="36"/>
                      </w:rPr>
                      <w:t> </w:t>
                    </w:r>
                    <w:r>
                      <w:rPr>
                        <w:rFonts w:ascii="Calibri" w:hAnsi="Calibri"/>
                        <w:b/>
                        <w:sz w:val="36"/>
                      </w:rPr>
                      <w:t>ácida</w:t>
                    </w:r>
                  </w:p>
                </w:txbxContent>
              </v:textbox>
              <w10:wrap type="none"/>
            </v:shape>
            <v:shape style="position:absolute;left:193;top:127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0.88</w:t>
                    </w:r>
                  </w:p>
                </w:txbxContent>
              </v:textbox>
              <w10:wrap type="none"/>
            </v:shape>
            <v:shape style="position:absolute;left:193;top:176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0.86</w:t>
                    </w:r>
                  </w:p>
                </w:txbxContent>
              </v:textbox>
              <w10:wrap type="none"/>
            </v:shape>
            <v:shape style="position:absolute;left:7573;top:180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0.86</w:t>
                    </w:r>
                  </w:p>
                </w:txbxContent>
              </v:textbox>
              <w10:wrap type="none"/>
            </v:shape>
            <v:shape style="position:absolute;left:193;top:225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0.84</w:t>
                    </w:r>
                  </w:p>
                </w:txbxContent>
              </v:textbox>
              <w10:wrap type="none"/>
            </v:shape>
            <v:shape style="position:absolute;left:193;top:275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0.82</w:t>
                    </w:r>
                  </w:p>
                </w:txbxContent>
              </v:textbox>
              <w10:wrap type="none"/>
            </v:shape>
            <v:shape style="position:absolute;left:3836;top:263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0.82</w:t>
                    </w:r>
                  </w:p>
                </w:txbxContent>
              </v:textbox>
              <w10:wrap type="none"/>
            </v:shape>
            <v:shape style="position:absolute;left:193;top:324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0.80</w:t>
                    </w:r>
                  </w:p>
                </w:txbxContent>
              </v:textbox>
              <w10:wrap type="none"/>
            </v:shape>
            <v:shape style="position:absolute;left:5704;top:310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0.81</w:t>
                    </w:r>
                  </w:p>
                </w:txbxContent>
              </v:textbox>
              <w10:wrap type="none"/>
            </v:shape>
            <v:shape style="position:absolute;left:193;top:373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0.78</w:t>
                    </w:r>
                  </w:p>
                </w:txbxContent>
              </v:textbox>
              <w10:wrap type="none"/>
            </v:shape>
            <v:shape style="position:absolute;left:193;top:422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0.76</w:t>
                    </w:r>
                  </w:p>
                </w:txbxContent>
              </v:textbox>
              <w10:wrap type="none"/>
            </v:shape>
            <v:shape style="position:absolute;left:193;top:471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0.74</w:t>
                    </w:r>
                  </w:p>
                </w:txbxContent>
              </v:textbox>
              <w10:wrap type="none"/>
            </v:shape>
            <v:shape style="position:absolute;left:1967;top:487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0.73</w:t>
                    </w:r>
                  </w:p>
                </w:txbxContent>
              </v:textbox>
              <w10:wrap type="none"/>
            </v:shape>
            <v:shape style="position:absolute;left:193;top:521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0.72</w:t>
                    </w:r>
                  </w:p>
                </w:txbxContent>
              </v:textbox>
              <w10:wrap type="none"/>
            </v:shape>
            <v:shape style="position:absolute;left:1509;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3378;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246;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7115;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spacing w:line="276" w:lineRule="auto" w:before="69"/>
        <w:ind w:left="110" w:right="108"/>
        <w:jc w:val="both"/>
      </w:pPr>
      <w:r>
        <w:rPr/>
        <w:t>La gráfica muestra que el año 2008 la empresa tuvo problemas de liquidez para pagar sus deudas a corto plazo, durante el 2009 se observa una recuperación de 0.09 puntos; esto es congruente con la ligera recuperación de la industria automotriz en el segundo semestre del año. Durante el año 2010 se tuvo una reducción de 0.01 puntos con respecto al año anterior, esto debido a la lenta recuperación del sector después de la crisis de los años anteriores.</w:t>
      </w:r>
    </w:p>
    <w:p>
      <w:pPr>
        <w:pStyle w:val="BodyText"/>
        <w:spacing w:line="276" w:lineRule="auto" w:before="202"/>
        <w:ind w:left="110" w:right="108"/>
        <w:jc w:val="both"/>
      </w:pPr>
      <w:r>
        <w:rPr/>
        <w:t>Se puede deducir que durante el periodo de crisis, la empresa se baso demasiado en el inventario o en otros activos para pagar sus obligaciones a corto plazo.</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Heading2"/>
        <w:numPr>
          <w:ilvl w:val="2"/>
          <w:numId w:val="27"/>
        </w:numPr>
        <w:tabs>
          <w:tab w:pos="831" w:val="left" w:leader="none"/>
        </w:tabs>
        <w:spacing w:line="240" w:lineRule="auto" w:before="0" w:after="0"/>
        <w:ind w:left="830" w:right="0" w:hanging="720"/>
        <w:jc w:val="left"/>
      </w:pPr>
      <w:bookmarkStart w:name="_TOC_250004" w:id="63"/>
      <w:bookmarkEnd w:id="63"/>
      <w:r>
        <w:rPr/>
        <w:t>Índices de actividad</w:t>
      </w:r>
    </w:p>
    <w:p>
      <w:pPr>
        <w:spacing w:before="36"/>
        <w:ind w:left="110" w:right="0" w:firstLine="0"/>
        <w:jc w:val="left"/>
        <w:rPr>
          <w:b/>
          <w:sz w:val="24"/>
        </w:rPr>
      </w:pPr>
      <w:r>
        <w:rPr>
          <w:b/>
          <w:sz w:val="24"/>
        </w:rPr>
        <w:t>Rotación de inventarios (Inventory turnover)</w:t>
      </w:r>
    </w:p>
    <w:p>
      <w:pPr>
        <w:pStyle w:val="BodyText"/>
        <w:spacing w:before="4"/>
        <w:rPr>
          <w:b/>
          <w:sz w:val="13"/>
        </w:rPr>
      </w:pPr>
    </w:p>
    <w:p>
      <w:pPr>
        <w:spacing w:after="0"/>
        <w:rPr>
          <w:sz w:val="13"/>
        </w:rPr>
        <w:sectPr>
          <w:pgSz w:w="11910" w:h="16840"/>
          <w:pgMar w:header="755" w:footer="724" w:top="960" w:bottom="920" w:left="1600" w:right="1580"/>
        </w:sectPr>
      </w:pPr>
    </w:p>
    <w:p>
      <w:pPr>
        <w:pStyle w:val="BodyText"/>
        <w:spacing w:before="7"/>
        <w:rPr>
          <w:b/>
          <w:sz w:val="21"/>
        </w:rPr>
      </w:pPr>
    </w:p>
    <w:p>
      <w:pPr>
        <w:pStyle w:val="BodyText"/>
        <w:ind w:left="1364"/>
        <w:rPr>
          <w:rFonts w:ascii="Cambria Math" w:hAnsi="Cambria Math" w:eastAsia="Cambria Math"/>
        </w:rPr>
      </w:pPr>
      <w:r>
        <w:rPr>
          <w:rFonts w:ascii="Cambria Math" w:hAnsi="Cambria Math" w:eastAsia="Cambria Math"/>
          <w:spacing w:val="-77"/>
        </w:rPr>
        <w:t>𝑅𝑜𝑡𝑎𝑐𝑖ó𝑛 𝑑𝑒</w:t>
      </w:r>
      <w:r>
        <w:rPr>
          <w:rFonts w:ascii="Cambria Math" w:hAnsi="Cambria Math" w:eastAsia="Cambria Math"/>
          <w:spacing w:val="-51"/>
        </w:rPr>
        <w:t> </w:t>
      </w:r>
      <w:r>
        <w:rPr>
          <w:rFonts w:ascii="Cambria Math" w:hAnsi="Cambria Math" w:eastAsia="Cambria Math"/>
          <w:spacing w:val="-108"/>
        </w:rPr>
        <w:t>𝑖𝑛𝑣𝑒𝑛𝑡𝑎𝑟𝑖𝑜𝑠</w:t>
      </w:r>
      <w:r>
        <w:rPr>
          <w:rFonts w:ascii="Cambria Math" w:hAnsi="Cambria Math" w:eastAsia="Cambria Math"/>
          <w:spacing w:val="-51"/>
        </w:rPr>
        <w:t> </w:t>
      </w:r>
      <w:r>
        <w:rPr>
          <w:rFonts w:ascii="Cambria Math" w:hAnsi="Cambria Math" w:eastAsia="Cambria Math"/>
        </w:rPr>
        <w:t>=</w:t>
      </w:r>
    </w:p>
    <w:p>
      <w:pPr>
        <w:pStyle w:val="BodyText"/>
        <w:spacing w:before="67"/>
        <w:ind w:left="207" w:right="1547"/>
        <w:jc w:val="center"/>
        <w:rPr>
          <w:rFonts w:ascii="Cambria Math" w:eastAsia="Cambria Math"/>
        </w:rPr>
      </w:pPr>
      <w:r>
        <w:rPr/>
        <w:br w:type="column"/>
      </w:r>
      <w:r>
        <w:rPr>
          <w:rFonts w:ascii="Cambria Math" w:eastAsia="Cambria Math"/>
          <w:spacing w:val="-83"/>
        </w:rPr>
        <w:t>𝐶𝑜𝑠𝑡𝑜</w:t>
      </w:r>
      <w:r>
        <w:rPr>
          <w:rFonts w:ascii="Cambria Math" w:eastAsia="Cambria Math"/>
          <w:spacing w:val="-33"/>
        </w:rPr>
        <w:t> </w:t>
      </w:r>
      <w:r>
        <w:rPr>
          <w:rFonts w:ascii="Cambria Math" w:eastAsia="Cambria Math"/>
          <w:spacing w:val="-82"/>
        </w:rPr>
        <w:t>𝑑𝑒 𝑙𝑜𝑠 </w:t>
      </w:r>
      <w:r>
        <w:rPr>
          <w:rFonts w:ascii="Cambria Math" w:eastAsia="Cambria Math"/>
          <w:spacing w:val="-58"/>
        </w:rPr>
        <w:t>𝑏𝑖𝑒𝑛𝑒𝑠</w:t>
      </w:r>
      <w:r>
        <w:rPr>
          <w:rFonts w:ascii="Cambria Math" w:eastAsia="Cambria Math"/>
          <w:spacing w:val="-51"/>
        </w:rPr>
        <w:t> </w:t>
      </w:r>
      <w:r>
        <w:rPr>
          <w:rFonts w:ascii="Cambria Math" w:eastAsia="Cambria Math"/>
          <w:spacing w:val="-72"/>
        </w:rPr>
        <w:t>𝑣𝑒𝑛𝑑𝑖𝑑𝑜𝑠</w:t>
      </w:r>
    </w:p>
    <w:p>
      <w:pPr>
        <w:pStyle w:val="BodyText"/>
        <w:spacing w:before="5"/>
        <w:rPr>
          <w:rFonts w:ascii="Cambria Math"/>
          <w:sz w:val="4"/>
        </w:rPr>
      </w:pPr>
    </w:p>
    <w:p>
      <w:pPr>
        <w:pStyle w:val="BodyText"/>
        <w:spacing w:line="20" w:lineRule="exact"/>
        <w:ind w:left="16"/>
        <w:rPr>
          <w:rFonts w:ascii="Cambria Math"/>
          <w:sz w:val="2"/>
        </w:rPr>
      </w:pPr>
      <w:r>
        <w:rPr>
          <w:rFonts w:ascii="Cambria Math"/>
          <w:sz w:val="2"/>
        </w:rPr>
        <w:pict>
          <v:group style="width:155.1pt;height:.75pt;mso-position-horizontal-relative:char;mso-position-vertical-relative:line" coordorigin="0,0" coordsize="3102,15">
            <v:line style="position:absolute" from="8,8" to="3094,8" stroked="true" strokeweight=".72pt" strokecolor="#000000"/>
          </v:group>
        </w:pict>
      </w:r>
      <w:r>
        <w:rPr>
          <w:rFonts w:ascii="Cambria Math"/>
          <w:sz w:val="2"/>
        </w:rPr>
      </w:r>
    </w:p>
    <w:p>
      <w:pPr>
        <w:pStyle w:val="BodyText"/>
        <w:ind w:left="206" w:right="1547"/>
        <w:jc w:val="center"/>
        <w:rPr>
          <w:rFonts w:ascii="Cambria Math" w:eastAsia="Cambria Math"/>
        </w:rPr>
      </w:pPr>
      <w:r>
        <w:rPr>
          <w:rFonts w:ascii="Cambria Math" w:eastAsia="Cambria Math"/>
          <w:spacing w:val="-95"/>
        </w:rPr>
        <w:t>𝐼𝑛𝑣𝑒𝑛𝑡𝑎𝑟𝑖𝑜</w:t>
      </w:r>
    </w:p>
    <w:p>
      <w:pPr>
        <w:spacing w:after="0"/>
        <w:jc w:val="center"/>
        <w:rPr>
          <w:rFonts w:ascii="Cambria Math" w:eastAsia="Cambria Math"/>
        </w:rPr>
        <w:sectPr>
          <w:type w:val="continuous"/>
          <w:pgSz w:w="11910" w:h="16840"/>
          <w:pgMar w:top="1380" w:bottom="280" w:left="1600" w:right="1580"/>
          <w:cols w:num="2" w:equalWidth="0">
            <w:col w:w="4209" w:space="40"/>
            <w:col w:w="4481"/>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6" w:after="1"/>
        <w:rPr>
          <w:rFonts w:ascii="Cambria Math"/>
        </w:rPr>
      </w:pPr>
    </w:p>
    <w:p>
      <w:pPr>
        <w:pStyle w:val="BodyText"/>
        <w:ind w:left="105"/>
        <w:rPr>
          <w:rFonts w:ascii="Cambria Math"/>
          <w:sz w:val="20"/>
        </w:rPr>
      </w:pPr>
      <w:r>
        <w:rPr>
          <w:rFonts w:ascii="Cambria Math"/>
          <w:sz w:val="20"/>
        </w:rPr>
        <w:pict>
          <v:group style="width:425.95pt;height:290pt;mso-position-horizontal-relative:char;mso-position-vertical-relative:line" coordorigin="0,0" coordsize="8519,5800">
            <v:line style="position:absolute" from="881,4726" to="8252,4726" stroked="true" strokeweight=".75pt" strokecolor="#989898"/>
            <v:line style="position:absolute" from="881,4159" to="8252,4159" stroked="true" strokeweight=".75pt" strokecolor="#989898"/>
            <v:line style="position:absolute" from="881,3598" to="8252,3598" stroked="true" strokeweight=".75pt" strokecolor="#989898"/>
            <v:line style="position:absolute" from="881,3036" to="8252,3036" stroked="true" strokeweight=".75pt" strokecolor="#989898"/>
            <v:line style="position:absolute" from="881,2475" to="8252,2475" stroked="true" strokeweight=".75pt" strokecolor="#989898"/>
            <v:line style="position:absolute" from="881,1913" to="8252,1913" stroked="true" strokeweight=".75pt" strokecolor="#989898"/>
            <v:line style="position:absolute" from="881,1351" to="8252,1351" stroked="true" strokeweight=".75pt" strokecolor="#989898"/>
            <v:line style="position:absolute" from="879,5286" to="879,1351" stroked="true" strokeweight=".75pt" strokecolor="#989898"/>
            <v:line style="position:absolute" from="879,5286" to="8252,5286" stroked="true" strokeweight=".75pt" strokecolor="#989898"/>
            <v:line style="position:absolute" from="1803,3833" to="3646,2484" stroked="true" strokeweight="2.25pt" strokecolor="#727272"/>
            <v:line style="position:absolute" from="3646,2484" to="5489,1534" stroked="true" strokeweight="2.25pt" strokecolor="#727272"/>
            <v:line style="position:absolute" from="5489,1534" to="7330,1534" stroked="true" strokeweight="2.25pt" strokecolor="#727272"/>
            <v:shape style="position:absolute;left:1724;top:3751;width:158;height:163" type="#_x0000_t75" stroked="false">
              <v:imagedata r:id="rId203" o:title=""/>
            </v:shape>
            <v:shape style="position:absolute;left:3567;top:2402;width:158;height:163" type="#_x0000_t75" stroked="false">
              <v:imagedata r:id="rId203" o:title=""/>
            </v:shape>
            <v:shape style="position:absolute;left:5410;top:1452;width:158;height:163" type="#_x0000_t75" stroked="false">
              <v:imagedata r:id="rId203" o:title=""/>
            </v:shape>
            <v:shape style="position:absolute;left:7254;top:1452;width:158;height:163" type="#_x0000_t75" stroked="false">
              <v:imagedata r:id="rId203" o:title=""/>
            </v:shape>
            <v:rect style="position:absolute;left:7;top:7;width:8504;height:5785" filled="false" stroked="true" strokeweight=".75pt" strokecolor="#989898"/>
            <v:shape style="position:absolute;left:2487;top:277;width:3545;height:780" type="#_x0000_t202" filled="false" stroked="false">
              <v:textbox inset="0,0,0,0">
                <w:txbxContent>
                  <w:p>
                    <w:pPr>
                      <w:spacing w:line="368" w:lineRule="exact" w:before="0"/>
                      <w:ind w:left="1345" w:right="-20" w:firstLine="0"/>
                      <w:jc w:val="left"/>
                      <w:rPr>
                        <w:rFonts w:ascii="Calibri"/>
                        <w:b/>
                        <w:sz w:val="36"/>
                      </w:rPr>
                    </w:pPr>
                    <w:r>
                      <w:rPr>
                        <w:rFonts w:ascii="Calibri"/>
                        <w:b/>
                        <w:sz w:val="36"/>
                      </w:rPr>
                      <w:t>Valeo</w:t>
                    </w:r>
                  </w:p>
                  <w:p>
                    <w:pPr>
                      <w:spacing w:line="412" w:lineRule="exact" w:before="0"/>
                      <w:ind w:left="0" w:right="-20" w:firstLine="0"/>
                      <w:jc w:val="left"/>
                      <w:rPr>
                        <w:rFonts w:ascii="Calibri" w:hAnsi="Calibri"/>
                        <w:b/>
                        <w:sz w:val="36"/>
                      </w:rPr>
                    </w:pPr>
                    <w:r>
                      <w:rPr>
                        <w:rFonts w:ascii="Calibri" w:hAnsi="Calibri"/>
                        <w:b/>
                        <w:sz w:val="36"/>
                      </w:rPr>
                      <w:t>Rotación de inventarios</w:t>
                    </w:r>
                  </w:p>
                </w:txbxContent>
              </v:textbox>
              <w10:wrap type="none"/>
            </v:shape>
            <v:shape style="position:absolute;left:193;top:127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13.60</w:t>
                    </w:r>
                  </w:p>
                </w:txbxContent>
              </v:textbox>
              <w10:wrap type="none"/>
            </v:shape>
            <v:shape style="position:absolute;left:5742;top:145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13.54</w:t>
                    </w:r>
                  </w:p>
                </w:txbxContent>
              </v:textbox>
              <w10:wrap type="none"/>
            </v:shape>
            <v:shape style="position:absolute;left:7585;top:145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13.54</w:t>
                    </w:r>
                  </w:p>
                </w:txbxContent>
              </v:textbox>
              <w10:wrap type="none"/>
            </v:shape>
            <v:shape style="position:absolute;left:193;top:183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13.40</w:t>
                    </w:r>
                  </w:p>
                </w:txbxContent>
              </v:textbox>
              <w10:wrap type="none"/>
            </v:shape>
            <v:shape style="position:absolute;left:193;top:2400;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13.20</w:t>
                    </w:r>
                  </w:p>
                </w:txbxContent>
              </v:textbox>
              <w10:wrap type="none"/>
            </v:shape>
            <v:shape style="position:absolute;left:3899;top:240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13.20</w:t>
                    </w:r>
                  </w:p>
                </w:txbxContent>
              </v:textbox>
              <w10:wrap type="none"/>
            </v:shape>
            <v:shape style="position:absolute;left:193;top:2962;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13.00</w:t>
                    </w:r>
                  </w:p>
                </w:txbxContent>
              </v:textbox>
              <w10:wrap type="none"/>
            </v:shape>
            <v:shape style="position:absolute;left:193;top:3524;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12.80</w:t>
                    </w:r>
                  </w:p>
                </w:txbxContent>
              </v:textbox>
              <w10:wrap type="none"/>
            </v:shape>
            <v:shape style="position:absolute;left:2056;top:375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12.72</w:t>
                    </w:r>
                  </w:p>
                </w:txbxContent>
              </v:textbox>
              <w10:wrap type="none"/>
            </v:shape>
            <v:shape style="position:absolute;left:193;top:408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12.60</w:t>
                    </w:r>
                  </w:p>
                </w:txbxContent>
              </v:textbox>
              <w10:wrap type="none"/>
            </v:shape>
            <v:shape style="position:absolute;left:193;top:464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12.40</w:t>
                    </w:r>
                  </w:p>
                </w:txbxContent>
              </v:textbox>
              <w10:wrap type="none"/>
            </v:shape>
            <v:shape style="position:absolute;left:193;top:5210;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12.20</w:t>
                    </w:r>
                  </w:p>
                </w:txbxContent>
              </v:textbox>
              <w10:wrap type="none"/>
            </v:shape>
            <v:shape style="position:absolute;left:1598;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3441;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284;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7127;top:54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spacing w:line="276" w:lineRule="auto" w:before="70"/>
        <w:ind w:left="110" w:right="108"/>
        <w:jc w:val="both"/>
      </w:pPr>
      <w:r>
        <w:rPr/>
        <w:t>En el año 2008, se observa que los inventarios tuvieron una rotación en promedio de 12.72 veces al año, esto debido a la crisis de la industria que tuvo mayor impacto en este año. Al cierre del año 2009 este indicador tuvo un incremento de 0.48 puntos con respecto al año anterior, esto quiere decir que  el inventario se renovó en promedio 13.2 veces durante este periodo. El año 2010 presentó un incremento de 0.34 puntos, es decir, el inventario tuvo una rotación promedio de 13.54 veces por año.</w:t>
      </w:r>
    </w:p>
    <w:p>
      <w:pPr>
        <w:spacing w:after="0" w:line="276"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Heading2"/>
        <w:jc w:val="left"/>
      </w:pPr>
      <w:r>
        <w:rPr/>
        <w:t>Periodo promedio de cobro (Average receivable collection period)</w:t>
      </w:r>
    </w:p>
    <w:p>
      <w:pPr>
        <w:pStyle w:val="BodyText"/>
        <w:spacing w:before="3"/>
        <w:rPr>
          <w:b/>
          <w:sz w:val="20"/>
        </w:rPr>
      </w:pPr>
    </w:p>
    <w:p>
      <w:pPr>
        <w:tabs>
          <w:tab w:pos="3642" w:val="left" w:leader="none"/>
        </w:tabs>
        <w:spacing w:line="312" w:lineRule="exact" w:before="0"/>
        <w:ind w:left="110" w:right="0" w:firstLine="0"/>
        <w:jc w:val="left"/>
        <w:rPr>
          <w:rFonts w:ascii="Cambria Math" w:eastAsia="Cambria Math"/>
          <w:sz w:val="17"/>
        </w:rPr>
      </w:pPr>
      <w:r>
        <w:rPr/>
        <w:pict>
          <v:line style="position:absolute;mso-position-horizontal-relative:page;mso-position-vertical-relative:paragraph;z-index:-237784" from="250.9039pt,11.596683pt" to="354.8239pt,11.596683pt" stroked="true" strokeweight=".72pt" strokecolor="#000000">
            <w10:wrap type="none"/>
          </v:line>
        </w:pict>
      </w:r>
      <w:r>
        <w:rPr>
          <w:rFonts w:ascii="Cambria Math" w:eastAsia="Cambria Math"/>
          <w:sz w:val="24"/>
        </w:rPr>
        <w:t>𝑃𝑒</w:t>
      </w:r>
      <w:r>
        <w:rPr>
          <w:rFonts w:ascii="Cambria Math" w:eastAsia="Cambria Math"/>
          <w:spacing w:val="-1"/>
          <w:sz w:val="24"/>
        </w:rPr>
        <w:t>𝑟</w:t>
      </w:r>
      <w:r>
        <w:rPr>
          <w:rFonts w:ascii="Cambria Math" w:eastAsia="Cambria Math"/>
          <w:sz w:val="24"/>
        </w:rPr>
        <w:t>𝑖𝑜</w:t>
      </w:r>
      <w:r>
        <w:rPr>
          <w:rFonts w:ascii="Cambria Math" w:eastAsia="Cambria Math"/>
          <w:spacing w:val="-1"/>
          <w:sz w:val="24"/>
        </w:rPr>
        <w:t>𝑑</w:t>
      </w:r>
      <w:r>
        <w:rPr>
          <w:rFonts w:ascii="Cambria Math" w:eastAsia="Cambria Math"/>
          <w:sz w:val="24"/>
        </w:rPr>
        <w:t>𝑜</w:t>
      </w:r>
      <w:r>
        <w:rPr>
          <w:rFonts w:ascii="Cambria Math" w:eastAsia="Cambria Math"/>
          <w:spacing w:val="5"/>
          <w:sz w:val="24"/>
        </w:rPr>
        <w:t> </w:t>
      </w:r>
      <w:r>
        <w:rPr>
          <w:rFonts w:ascii="Cambria Math" w:eastAsia="Cambria Math"/>
          <w:sz w:val="24"/>
        </w:rPr>
        <w:t>𝑝𝑟𝑜𝑚𝑒𝑑𝑖𝑜</w:t>
      </w:r>
      <w:r>
        <w:rPr>
          <w:rFonts w:ascii="Cambria Math" w:eastAsia="Cambria Math"/>
          <w:spacing w:val="5"/>
          <w:sz w:val="24"/>
        </w:rPr>
        <w:t> </w:t>
      </w:r>
      <w:r>
        <w:rPr>
          <w:rFonts w:ascii="Cambria Math" w:eastAsia="Cambria Math"/>
          <w:sz w:val="24"/>
        </w:rPr>
        <w:t>𝑑𝑒</w:t>
      </w:r>
      <w:r>
        <w:rPr>
          <w:rFonts w:ascii="Cambria Math" w:eastAsia="Cambria Math"/>
          <w:spacing w:val="5"/>
          <w:sz w:val="24"/>
        </w:rPr>
        <w:t> </w:t>
      </w:r>
      <w:r>
        <w:rPr>
          <w:rFonts w:ascii="Cambria Math" w:eastAsia="Cambria Math"/>
          <w:sz w:val="24"/>
        </w:rPr>
        <w:t>𝑐𝑜𝑏𝑟𝑜</w:t>
      </w:r>
      <w:r>
        <w:rPr>
          <w:rFonts w:ascii="Cambria Math" w:eastAsia="Cambria Math"/>
          <w:spacing w:val="19"/>
          <w:sz w:val="24"/>
        </w:rPr>
        <w:t> </w:t>
      </w:r>
      <w:r>
        <w:rPr>
          <w:rFonts w:ascii="Cambria Math" w:eastAsia="Cambria Math"/>
          <w:sz w:val="24"/>
        </w:rPr>
        <w:t>=</w:t>
        <w:tab/>
      </w:r>
      <w:r>
        <w:rPr>
          <w:rFonts w:ascii="Cambria Math" w:eastAsia="Cambria Math"/>
          <w:spacing w:val="1"/>
          <w:w w:val="168"/>
          <w:position w:val="14"/>
          <w:sz w:val="17"/>
        </w:rPr>
        <w:t>!"</w:t>
      </w:r>
      <w:r>
        <w:rPr>
          <w:rFonts w:ascii="Cambria Math" w:eastAsia="Cambria Math"/>
          <w:spacing w:val="1"/>
          <w:w w:val="86"/>
          <w:position w:val="14"/>
          <w:sz w:val="17"/>
        </w:rPr>
        <w:t>#</w:t>
      </w:r>
      <w:r>
        <w:rPr>
          <w:rFonts w:ascii="Cambria Math" w:eastAsia="Cambria Math"/>
          <w:spacing w:val="1"/>
          <w:w w:val="126"/>
          <w:position w:val="14"/>
          <w:sz w:val="17"/>
        </w:rPr>
        <w:t>$</w:t>
      </w:r>
      <w:r>
        <w:rPr>
          <w:rFonts w:ascii="Cambria Math" w:eastAsia="Cambria Math"/>
          <w:w w:val="66"/>
          <w:position w:val="14"/>
          <w:sz w:val="17"/>
        </w:rPr>
        <w:t>%</w:t>
      </w:r>
      <w:r>
        <w:rPr>
          <w:rFonts w:ascii="Cambria Math" w:eastAsia="Cambria Math"/>
          <w:spacing w:val="1"/>
          <w:w w:val="66"/>
          <w:position w:val="14"/>
          <w:sz w:val="17"/>
        </w:rPr>
        <w:t>&amp;</w:t>
      </w:r>
      <w:r>
        <w:rPr>
          <w:rFonts w:ascii="Cambria Math" w:eastAsia="Cambria Math"/>
          <w:w w:val="201"/>
          <w:position w:val="14"/>
          <w:sz w:val="17"/>
        </w:rPr>
        <w:t>'</w:t>
      </w:r>
      <w:r>
        <w:rPr>
          <w:rFonts w:ascii="Cambria Math" w:eastAsia="Cambria Math"/>
          <w:spacing w:val="4"/>
          <w:position w:val="14"/>
          <w:sz w:val="17"/>
        </w:rPr>
        <w:t> </w:t>
      </w:r>
      <w:r>
        <w:rPr>
          <w:rFonts w:ascii="Cambria Math" w:eastAsia="Cambria Math"/>
          <w:spacing w:val="1"/>
          <w:w w:val="177"/>
          <w:position w:val="14"/>
          <w:sz w:val="17"/>
        </w:rPr>
        <w:t>!"</w:t>
      </w:r>
      <w:r>
        <w:rPr>
          <w:rFonts w:ascii="Cambria Math" w:eastAsia="Cambria Math"/>
          <w:w w:val="84"/>
          <w:position w:val="14"/>
          <w:sz w:val="17"/>
        </w:rPr>
        <w:t>#</w:t>
      </w:r>
      <w:r>
        <w:rPr>
          <w:rFonts w:ascii="Cambria Math" w:eastAsia="Cambria Math"/>
          <w:spacing w:val="6"/>
          <w:position w:val="14"/>
          <w:sz w:val="17"/>
        </w:rPr>
        <w:t> </w:t>
      </w:r>
      <w:r>
        <w:rPr>
          <w:rFonts w:ascii="Cambria Math" w:eastAsia="Cambria Math"/>
          <w:spacing w:val="1"/>
          <w:w w:val="159"/>
          <w:position w:val="14"/>
          <w:sz w:val="17"/>
        </w:rPr>
        <w:t>!"</w:t>
      </w:r>
      <w:r>
        <w:rPr>
          <w:rFonts w:ascii="Cambria Math" w:eastAsia="Cambria Math"/>
          <w:spacing w:val="1"/>
          <w:w w:val="95"/>
          <w:position w:val="14"/>
          <w:sz w:val="17"/>
        </w:rPr>
        <w:t>#</w:t>
      </w:r>
      <w:r>
        <w:rPr>
          <w:rFonts w:ascii="Cambria Math" w:eastAsia="Cambria Math"/>
          <w:spacing w:val="1"/>
          <w:w w:val="103"/>
          <w:position w:val="14"/>
          <w:sz w:val="17"/>
        </w:rPr>
        <w:t>$</w:t>
      </w:r>
      <w:r>
        <w:rPr>
          <w:rFonts w:ascii="Cambria Math" w:eastAsia="Cambria Math"/>
          <w:spacing w:val="1"/>
          <w:w w:val="69"/>
          <w:position w:val="14"/>
          <w:sz w:val="17"/>
        </w:rPr>
        <w:t>%</w:t>
      </w:r>
      <w:r>
        <w:rPr>
          <w:rFonts w:ascii="Cambria Math" w:eastAsia="Cambria Math"/>
          <w:w w:val="103"/>
          <w:position w:val="14"/>
          <w:sz w:val="17"/>
        </w:rPr>
        <w:t>$</w:t>
      </w:r>
    </w:p>
    <w:p>
      <w:pPr>
        <w:spacing w:line="145" w:lineRule="exact" w:before="0"/>
        <w:ind w:left="420" w:right="243" w:firstLine="0"/>
        <w:jc w:val="center"/>
        <w:rPr>
          <w:rFonts w:ascii="Cambria Math"/>
          <w:sz w:val="16"/>
        </w:rPr>
      </w:pPr>
      <w:r>
        <w:rPr>
          <w:rFonts w:ascii="Cambria Math"/>
          <w:spacing w:val="1"/>
          <w:w w:val="142"/>
          <w:sz w:val="16"/>
        </w:rPr>
        <w:t>!"#</w:t>
      </w:r>
      <w:r>
        <w:rPr>
          <w:rFonts w:ascii="Cambria Math"/>
          <w:w w:val="91"/>
          <w:sz w:val="16"/>
        </w:rPr>
        <w:t>$</w:t>
      </w:r>
      <w:r>
        <w:rPr>
          <w:rFonts w:ascii="Cambria Math"/>
          <w:spacing w:val="1"/>
          <w:w w:val="73"/>
          <w:sz w:val="16"/>
        </w:rPr>
        <w:t>%</w:t>
      </w:r>
      <w:r>
        <w:rPr>
          <w:rFonts w:ascii="Cambria Math"/>
          <w:w w:val="73"/>
          <w:sz w:val="16"/>
        </w:rPr>
        <w:t>&amp;</w:t>
      </w:r>
      <w:r>
        <w:rPr>
          <w:rFonts w:ascii="Cambria Math"/>
          <w:spacing w:val="6"/>
          <w:sz w:val="16"/>
        </w:rPr>
        <w:t> </w:t>
      </w:r>
      <w:r>
        <w:rPr>
          <w:rFonts w:ascii="Cambria Math"/>
          <w:spacing w:val="1"/>
          <w:w w:val="153"/>
          <w:sz w:val="16"/>
        </w:rPr>
        <w:t>!</w:t>
      </w:r>
      <w:r>
        <w:rPr>
          <w:rFonts w:ascii="Cambria Math"/>
          <w:w w:val="153"/>
          <w:sz w:val="16"/>
        </w:rPr>
        <w:t>"</w:t>
      </w:r>
      <w:r>
        <w:rPr>
          <w:rFonts w:ascii="Cambria Math"/>
          <w:spacing w:val="1"/>
          <w:w w:val="105"/>
          <w:sz w:val="16"/>
        </w:rPr>
        <w:t>#</w:t>
      </w:r>
      <w:r>
        <w:rPr>
          <w:rFonts w:ascii="Cambria Math"/>
          <w:spacing w:val="1"/>
          <w:w w:val="109"/>
          <w:sz w:val="16"/>
        </w:rPr>
        <w:t>$</w:t>
      </w:r>
      <w:r>
        <w:rPr>
          <w:rFonts w:ascii="Cambria Math"/>
          <w:w w:val="93"/>
          <w:sz w:val="16"/>
        </w:rPr>
        <w:t>"</w:t>
      </w:r>
      <w:r>
        <w:rPr>
          <w:rFonts w:ascii="Cambria Math"/>
          <w:spacing w:val="1"/>
          <w:w w:val="105"/>
          <w:sz w:val="16"/>
        </w:rPr>
        <w:t>#</w:t>
      </w:r>
      <w:r>
        <w:rPr>
          <w:rFonts w:ascii="Cambria Math"/>
          <w:w w:val="57"/>
          <w:sz w:val="16"/>
        </w:rPr>
        <w:t>%</w:t>
      </w:r>
      <w:r>
        <w:rPr>
          <w:rFonts w:ascii="Cambria Math"/>
          <w:spacing w:val="6"/>
          <w:sz w:val="16"/>
        </w:rPr>
        <w:t> </w:t>
      </w:r>
      <w:r>
        <w:rPr>
          <w:rFonts w:ascii="Cambria Math"/>
          <w:spacing w:val="1"/>
          <w:w w:val="179"/>
          <w:sz w:val="16"/>
        </w:rPr>
        <w:t>!"</w:t>
      </w:r>
      <w:r>
        <w:rPr>
          <w:rFonts w:ascii="Cambria Math"/>
          <w:spacing w:val="1"/>
          <w:w w:val="99"/>
          <w:sz w:val="16"/>
        </w:rPr>
        <w:t>#</w:t>
      </w:r>
      <w:r>
        <w:rPr>
          <w:rFonts w:ascii="Cambria Math"/>
          <w:spacing w:val="1"/>
          <w:w w:val="194"/>
          <w:sz w:val="16"/>
        </w:rPr>
        <w:t>$</w:t>
      </w:r>
      <w:r>
        <w:rPr>
          <w:rFonts w:ascii="Cambria Math"/>
          <w:spacing w:val="1"/>
          <w:w w:val="64"/>
          <w:sz w:val="16"/>
        </w:rPr>
        <w:t>%</w:t>
      </w:r>
      <w:r>
        <w:rPr>
          <w:rFonts w:ascii="Cambria Math"/>
          <w:spacing w:val="1"/>
          <w:w w:val="112"/>
          <w:sz w:val="16"/>
        </w:rPr>
        <w:t>&amp;</w:t>
      </w:r>
      <w:r>
        <w:rPr>
          <w:rFonts w:ascii="Cambria Math"/>
          <w:w w:val="112"/>
          <w:sz w:val="16"/>
        </w:rPr>
        <w:t>'</w:t>
      </w:r>
      <w:r>
        <w:rPr>
          <w:rFonts w:ascii="Cambria Math"/>
          <w:w w:val="99"/>
          <w:sz w:val="16"/>
        </w:rPr>
        <w:t>#</w:t>
      </w:r>
    </w:p>
    <w:p>
      <w:pPr>
        <w:pStyle w:val="BodyText"/>
        <w:rPr>
          <w:rFonts w:ascii="Cambria Math"/>
          <w:sz w:val="20"/>
        </w:rPr>
      </w:pPr>
    </w:p>
    <w:p>
      <w:pPr>
        <w:pStyle w:val="BodyText"/>
        <w:rPr>
          <w:rFonts w:ascii="Cambria Math"/>
          <w:sz w:val="20"/>
        </w:rPr>
      </w:pPr>
    </w:p>
    <w:p>
      <w:pPr>
        <w:pStyle w:val="BodyText"/>
        <w:spacing w:before="1"/>
        <w:rPr>
          <w:rFonts w:ascii="Cambria Math"/>
          <w:sz w:val="21"/>
        </w:rPr>
      </w:pPr>
      <w:r>
        <w:rPr/>
        <w:pict>
          <v:group style="position:absolute;margin-left:85.25898pt;margin-top:14.317997pt;width:425.95pt;height:290pt;mso-position-horizontal-relative:page;mso-position-vertical-relative:paragraph;z-index:7144;mso-wrap-distance-left:0;mso-wrap-distance-right:0" coordorigin="1705,286" coordsize="8519,5800">
            <v:line style="position:absolute" from="2586,5012" to="9957,5012" stroked="true" strokeweight=".75pt" strokecolor="#989898"/>
            <v:line style="position:absolute" from="2586,4446" to="9957,4446" stroked="true" strokeweight=".75pt" strokecolor="#989898"/>
            <v:line style="position:absolute" from="2586,3884" to="9957,3884" stroked="true" strokeweight=".75pt" strokecolor="#989898"/>
            <v:line style="position:absolute" from="2586,3323" to="9957,3323" stroked="true" strokeweight=".75pt" strokecolor="#989898"/>
            <v:line style="position:absolute" from="2586,2761" to="9957,2761" stroked="true" strokeweight=".75pt" strokecolor="#989898"/>
            <v:line style="position:absolute" from="2586,2199" to="9957,2199" stroked="true" strokeweight=".75pt" strokecolor="#989898"/>
            <v:line style="position:absolute" from="2586,1638" to="9957,1638" stroked="true" strokeweight=".75pt" strokecolor="#989898"/>
            <v:line style="position:absolute" from="2585,5572" to="2585,1638" stroked="true" strokeweight=".75pt" strokecolor="#989898"/>
            <v:line style="position:absolute" from="2585,5572" to="9957,5572" stroked="true" strokeweight=".75pt" strokecolor="#989898"/>
            <v:line style="position:absolute" from="3508,5252" to="5351,1950" stroked="true" strokeweight="2.25pt" strokecolor="#727272"/>
            <v:line style="position:absolute" from="5351,1950" to="7194,3630" stroked="true" strokeweight="2.25pt" strokecolor="#727272"/>
            <v:line style="position:absolute" from="7194,3630" to="9035,2967" stroked="true" strokeweight="2.25pt" strokecolor="#727272"/>
            <v:shape style="position:absolute;left:3429;top:5174;width:158;height:158" type="#_x0000_t75" stroked="false">
              <v:imagedata r:id="rId205" o:title=""/>
            </v:shape>
            <v:shape style="position:absolute;left:5272;top:1872;width:158;height:158" type="#_x0000_t75" stroked="false">
              <v:imagedata r:id="rId205" o:title=""/>
            </v:shape>
            <v:shape style="position:absolute;left:7116;top:3552;width:158;height:158" type="#_x0000_t75" stroked="false">
              <v:imagedata r:id="rId205" o:title=""/>
            </v:shape>
            <v:shape style="position:absolute;left:8959;top:2889;width:158;height:158" type="#_x0000_t75" stroked="false">
              <v:imagedata r:id="rId205" o:title=""/>
            </v:shape>
            <v:rect style="position:absolute;left:1713;top:294;width:8504;height:5785" filled="false" stroked="true" strokeweight=".75pt" strokecolor="#989898"/>
            <v:shape style="position:absolute;left:3909;top:563;width:4109;height:780" type="#_x0000_t202" filled="false" stroked="false">
              <v:textbox inset="0,0,0,0">
                <w:txbxContent>
                  <w:p>
                    <w:pPr>
                      <w:spacing w:line="368" w:lineRule="exact" w:before="0"/>
                      <w:ind w:left="2" w:right="0" w:firstLine="0"/>
                      <w:jc w:val="center"/>
                      <w:rPr>
                        <w:rFonts w:ascii="Calibri"/>
                        <w:b/>
                        <w:sz w:val="36"/>
                      </w:rPr>
                    </w:pPr>
                    <w:r>
                      <w:rPr>
                        <w:rFonts w:ascii="Calibri"/>
                        <w:b/>
                        <w:sz w:val="36"/>
                      </w:rPr>
                      <w:t>Valeo</w:t>
                    </w:r>
                  </w:p>
                  <w:p>
                    <w:pPr>
                      <w:spacing w:line="412" w:lineRule="exact" w:before="0"/>
                      <w:ind w:left="0" w:right="0" w:firstLine="0"/>
                      <w:jc w:val="center"/>
                      <w:rPr>
                        <w:rFonts w:ascii="Calibri"/>
                        <w:b/>
                        <w:sz w:val="36"/>
                      </w:rPr>
                    </w:pPr>
                    <w:r>
                      <w:rPr>
                        <w:rFonts w:ascii="Calibri"/>
                        <w:b/>
                        <w:sz w:val="36"/>
                      </w:rPr>
                      <w:t>Periodo promedio de</w:t>
                    </w:r>
                    <w:r>
                      <w:rPr>
                        <w:rFonts w:ascii="Calibri"/>
                        <w:b/>
                        <w:spacing w:val="-19"/>
                        <w:sz w:val="36"/>
                      </w:rPr>
                      <w:t> </w:t>
                    </w:r>
                    <w:r>
                      <w:rPr>
                        <w:rFonts w:ascii="Calibri"/>
                        <w:b/>
                        <w:sz w:val="36"/>
                      </w:rPr>
                      <w:t>cobro</w:t>
                    </w:r>
                  </w:p>
                </w:txbxContent>
              </v:textbox>
              <w10:wrap type="none"/>
            </v:shape>
            <v:shape style="position:absolute;left:1898;top:1562;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62.00</w:t>
                    </w:r>
                  </w:p>
                </w:txbxContent>
              </v:textbox>
              <w10:wrap type="none"/>
            </v:shape>
            <v:shape style="position:absolute;left:5604;top:1874;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60.89</w:t>
                    </w:r>
                  </w:p>
                </w:txbxContent>
              </v:textbox>
              <w10:wrap type="none"/>
            </v:shape>
            <v:shape style="position:absolute;left:1898;top:2124;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60.00</w:t>
                    </w:r>
                  </w:p>
                </w:txbxContent>
              </v:textbox>
              <w10:wrap type="none"/>
            </v:shape>
            <v:shape style="position:absolute;left:1898;top:268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58.00</w:t>
                    </w:r>
                  </w:p>
                </w:txbxContent>
              </v:textbox>
              <w10:wrap type="none"/>
            </v:shape>
            <v:shape style="position:absolute;left:9290;top:2893;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57.26</w:t>
                    </w:r>
                  </w:p>
                </w:txbxContent>
              </v:textbox>
              <w10:wrap type="none"/>
            </v:shape>
            <v:shape style="position:absolute;left:1898;top:324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56.00</w:t>
                    </w:r>
                  </w:p>
                </w:txbxContent>
              </v:textbox>
              <w10:wrap type="none"/>
            </v:shape>
            <v:shape style="position:absolute;left:7447;top:3554;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54.91</w:t>
                    </w:r>
                  </w:p>
                </w:txbxContent>
              </v:textbox>
              <w10:wrap type="none"/>
            </v:shape>
            <v:shape style="position:absolute;left:1898;top:3810;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54.00</w:t>
                    </w:r>
                  </w:p>
                </w:txbxContent>
              </v:textbox>
              <w10:wrap type="none"/>
            </v:shape>
            <v:shape style="position:absolute;left:1898;top:4372;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52.00</w:t>
                    </w:r>
                  </w:p>
                </w:txbxContent>
              </v:textbox>
              <w10:wrap type="none"/>
            </v:shape>
            <v:shape style="position:absolute;left:1898;top:4934;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50.00</w:t>
                    </w:r>
                  </w:p>
                </w:txbxContent>
              </v:textbox>
              <w10:wrap type="none"/>
            </v:shape>
            <v:shape style="position:absolute;left:3761;top:5178;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49.13</w:t>
                    </w:r>
                  </w:p>
                </w:txbxContent>
              </v:textbox>
              <w10:wrap type="none"/>
            </v:shape>
            <v:shape style="position:absolute;left:1898;top:5496;width:457;height:200" type="#_x0000_t202" filled="false" stroked="false">
              <v:textbox inset="0,0,0,0">
                <w:txbxContent>
                  <w:p>
                    <w:pPr>
                      <w:spacing w:line="200" w:lineRule="exact" w:before="0"/>
                      <w:ind w:left="0" w:right="-19" w:firstLine="0"/>
                      <w:jc w:val="left"/>
                      <w:rPr>
                        <w:rFonts w:ascii="Calibri"/>
                        <w:sz w:val="20"/>
                      </w:rPr>
                    </w:pPr>
                    <w:r>
                      <w:rPr>
                        <w:rFonts w:ascii="Calibri"/>
                        <w:sz w:val="20"/>
                      </w:rPr>
                      <w:t>48.00</w:t>
                    </w:r>
                  </w:p>
                </w:txbxContent>
              </v:textbox>
              <w10:wrap type="none"/>
            </v:shape>
            <v:shape style="position:absolute;left:3303;top:574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5146;top:574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6989;top:574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8832;top:574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w10:wrap type="topAndBottom"/>
          </v:group>
        </w:pict>
      </w:r>
    </w:p>
    <w:p>
      <w:pPr>
        <w:pStyle w:val="BodyText"/>
        <w:rPr>
          <w:rFonts w:ascii="Cambria Math"/>
          <w:sz w:val="20"/>
        </w:rPr>
      </w:pPr>
    </w:p>
    <w:p>
      <w:pPr>
        <w:pStyle w:val="BodyText"/>
        <w:rPr>
          <w:rFonts w:ascii="Cambria Math"/>
          <w:sz w:val="20"/>
        </w:rPr>
      </w:pPr>
    </w:p>
    <w:p>
      <w:pPr>
        <w:pStyle w:val="BodyText"/>
        <w:spacing w:before="11"/>
        <w:rPr>
          <w:rFonts w:ascii="Cambria Math"/>
          <w:sz w:val="19"/>
        </w:rPr>
      </w:pPr>
    </w:p>
    <w:p>
      <w:pPr>
        <w:pStyle w:val="BodyText"/>
        <w:spacing w:line="276" w:lineRule="auto" w:before="70"/>
        <w:ind w:left="110" w:right="108"/>
        <w:jc w:val="both"/>
      </w:pPr>
      <w:r>
        <w:rPr/>
        <w:t>Durante el año 2008, se puede observar que la empresa requiere 49.13 días para cobrar una cuenta. El indicador tuvo un incremento de 11.76 días; la empresa recuperó el pago por la venta de sus productos en 60.89 días; es posible que durante el año 2009 se incrementaran los días en los términos de pago a los clientes para permitir mantener las ventas y liquidar el pago de las mismas. Para el año 2010, este indicador presentó una disminución de 5.98 días, lo que implica 54.91 días para cobrar a los clientes el pago de las ventas  a crédito. Se requirieron en promedio 57.26 días para recolectar el pago de las ventas durante el año 2011, esto debido al incremento de las ventas con respecto al año</w:t>
      </w:r>
      <w:r>
        <w:rPr>
          <w:spacing w:val="-1"/>
        </w:rPr>
        <w:t> </w:t>
      </w:r>
      <w:r>
        <w:rPr/>
        <w:t>anterior.</w:t>
      </w:r>
    </w:p>
    <w:p>
      <w:pPr>
        <w:spacing w:after="0" w:line="276" w:lineRule="auto"/>
        <w:jc w:val="both"/>
        <w:sectPr>
          <w:footerReference w:type="default" r:id="rId204"/>
          <w:pgSz w:w="11910" w:h="16840"/>
          <w:pgMar w:footer="724" w:header="755" w:top="960" w:bottom="920" w:left="1600" w:right="1580"/>
        </w:sectPr>
      </w:pPr>
    </w:p>
    <w:p>
      <w:pPr>
        <w:pStyle w:val="BodyText"/>
        <w:rPr>
          <w:sz w:val="20"/>
        </w:rPr>
      </w:pPr>
    </w:p>
    <w:p>
      <w:pPr>
        <w:pStyle w:val="BodyText"/>
        <w:spacing w:before="10"/>
        <w:rPr>
          <w:sz w:val="18"/>
        </w:rPr>
      </w:pPr>
    </w:p>
    <w:p>
      <w:pPr>
        <w:pStyle w:val="Heading2"/>
        <w:jc w:val="left"/>
      </w:pPr>
      <w:r>
        <w:rPr/>
        <w:t>Rotación de activos totales</w:t>
      </w:r>
    </w:p>
    <w:p>
      <w:pPr>
        <w:pStyle w:val="BodyText"/>
        <w:rPr>
          <w:b/>
          <w:sz w:val="20"/>
        </w:rPr>
      </w:pPr>
    </w:p>
    <w:p>
      <w:pPr>
        <w:pStyle w:val="BodyText"/>
        <w:rPr>
          <w:b/>
          <w:sz w:val="20"/>
        </w:rPr>
      </w:pPr>
    </w:p>
    <w:p>
      <w:pPr>
        <w:pStyle w:val="BodyText"/>
        <w:spacing w:before="10"/>
        <w:rPr>
          <w:b/>
          <w:sz w:val="15"/>
        </w:rPr>
      </w:pPr>
    </w:p>
    <w:p>
      <w:pPr>
        <w:spacing w:after="0"/>
        <w:rPr>
          <w:sz w:val="15"/>
        </w:rPr>
        <w:sectPr>
          <w:footerReference w:type="default" r:id="rId206"/>
          <w:pgSz w:w="11910" w:h="16840"/>
          <w:pgMar w:footer="724" w:header="755" w:top="960" w:bottom="920" w:left="1600" w:right="1580"/>
          <w:pgNumType w:start="101"/>
        </w:sectPr>
      </w:pPr>
    </w:p>
    <w:p>
      <w:pPr>
        <w:pStyle w:val="BodyText"/>
        <w:spacing w:before="8"/>
        <w:rPr>
          <w:b/>
          <w:sz w:val="21"/>
        </w:rPr>
      </w:pPr>
    </w:p>
    <w:p>
      <w:pPr>
        <w:pStyle w:val="BodyText"/>
        <w:ind w:left="1865"/>
        <w:rPr>
          <w:rFonts w:ascii="Cambria Math" w:hAnsi="Cambria Math" w:eastAsia="Cambria Math"/>
        </w:rPr>
      </w:pPr>
      <w:r>
        <w:rPr>
          <w:rFonts w:ascii="Cambria Math" w:hAnsi="Cambria Math" w:eastAsia="Cambria Math"/>
          <w:spacing w:val="-64"/>
        </w:rPr>
        <w:t>𝑅𝑜𝑡𝑎𝑐𝑖ó𝑛 </w:t>
      </w:r>
      <w:r>
        <w:rPr>
          <w:rFonts w:ascii="Cambria Math" w:hAnsi="Cambria Math" w:eastAsia="Cambria Math"/>
          <w:spacing w:val="-63"/>
        </w:rPr>
        <w:t>𝑑𝑒 </w:t>
      </w:r>
      <w:r>
        <w:rPr>
          <w:rFonts w:ascii="Cambria Math" w:hAnsi="Cambria Math" w:eastAsia="Cambria Math"/>
          <w:spacing w:val="-34"/>
        </w:rPr>
        <w:t>𝑎𝑐𝑡𝑖𝑣𝑜𝑠 </w:t>
      </w:r>
      <w:r>
        <w:rPr>
          <w:rFonts w:ascii="Cambria Math" w:hAnsi="Cambria Math" w:eastAsia="Cambria Math"/>
          <w:spacing w:val="-100"/>
        </w:rPr>
        <w:t>𝑡𝑜𝑡𝑎𝑙𝑒𝑠</w:t>
      </w:r>
      <w:r>
        <w:rPr>
          <w:rFonts w:ascii="Cambria Math" w:hAnsi="Cambria Math" w:eastAsia="Cambria Math"/>
          <w:spacing w:val="-24"/>
        </w:rPr>
        <w:t> </w:t>
      </w:r>
      <w:r>
        <w:rPr>
          <w:rFonts w:ascii="Cambria Math" w:hAnsi="Cambria Math" w:eastAsia="Cambria Math"/>
          <w:spacing w:val="-99"/>
        </w:rPr>
        <w:t>=</w:t>
      </w:r>
    </w:p>
    <w:p>
      <w:pPr>
        <w:pStyle w:val="BodyText"/>
        <w:spacing w:before="67"/>
        <w:ind w:left="384" w:right="2172"/>
        <w:jc w:val="center"/>
        <w:rPr>
          <w:rFonts w:ascii="Cambria Math" w:eastAsia="Cambria Math"/>
        </w:rPr>
      </w:pPr>
      <w:r>
        <w:rPr/>
        <w:br w:type="column"/>
      </w:r>
      <w:r>
        <w:rPr>
          <w:rFonts w:ascii="Cambria Math" w:eastAsia="Cambria Math"/>
          <w:spacing w:val="-91"/>
        </w:rPr>
        <w:t>𝑣𝑒𝑛𝑡𝑎𝑠</w:t>
      </w:r>
    </w:p>
    <w:p>
      <w:pPr>
        <w:pStyle w:val="BodyText"/>
        <w:spacing w:before="5"/>
        <w:rPr>
          <w:rFonts w:ascii="Cambria Math"/>
          <w:sz w:val="4"/>
        </w:rPr>
      </w:pPr>
    </w:p>
    <w:p>
      <w:pPr>
        <w:pStyle w:val="BodyText"/>
        <w:spacing w:line="20" w:lineRule="exact"/>
        <w:ind w:left="74"/>
        <w:rPr>
          <w:rFonts w:ascii="Cambria Math"/>
          <w:sz w:val="2"/>
        </w:rPr>
      </w:pPr>
      <w:r>
        <w:rPr>
          <w:rFonts w:ascii="Cambria Math"/>
          <w:sz w:val="2"/>
        </w:rPr>
        <w:pict>
          <v:group style="width:85.5pt;height:.75pt;mso-position-horizontal-relative:char;mso-position-vertical-relative:line" coordorigin="0,0" coordsize="1710,15">
            <v:line style="position:absolute" from="8,8" to="1702,8" stroked="true" strokeweight=".72pt" strokecolor="#000000"/>
          </v:group>
        </w:pict>
      </w:r>
      <w:r>
        <w:rPr>
          <w:rFonts w:ascii="Cambria Math"/>
          <w:sz w:val="2"/>
        </w:rPr>
      </w:r>
    </w:p>
    <w:p>
      <w:pPr>
        <w:pStyle w:val="BodyText"/>
        <w:ind w:left="384" w:right="2172"/>
        <w:jc w:val="center"/>
        <w:rPr>
          <w:rFonts w:ascii="Cambria Math" w:eastAsia="Cambria Math"/>
        </w:rPr>
      </w:pPr>
      <w:r>
        <w:rPr>
          <w:rFonts w:ascii="Cambria Math" w:eastAsia="Cambria Math"/>
          <w:spacing w:val="-94"/>
        </w:rPr>
        <w:t>𝑡𝑜𝑡𝑎𝑙</w:t>
      </w:r>
      <w:r>
        <w:rPr>
          <w:rFonts w:ascii="Cambria Math" w:eastAsia="Cambria Math"/>
          <w:spacing w:val="-32"/>
        </w:rPr>
        <w:t> </w:t>
      </w:r>
      <w:r>
        <w:rPr>
          <w:rFonts w:ascii="Cambria Math" w:eastAsia="Cambria Math"/>
          <w:spacing w:val="-93"/>
        </w:rPr>
        <w:t>𝑑𝑒</w:t>
      </w:r>
      <w:r>
        <w:rPr>
          <w:rFonts w:ascii="Cambria Math" w:eastAsia="Cambria Math"/>
          <w:spacing w:val="-51"/>
        </w:rPr>
        <w:t> </w:t>
      </w:r>
      <w:r>
        <w:rPr>
          <w:rFonts w:ascii="Cambria Math" w:eastAsia="Cambria Math"/>
          <w:spacing w:val="-105"/>
        </w:rPr>
        <w:t>𝑎𝑐𝑡𝑖𝑣𝑜𝑠</w:t>
      </w:r>
    </w:p>
    <w:p>
      <w:pPr>
        <w:spacing w:after="0"/>
        <w:jc w:val="center"/>
        <w:rPr>
          <w:rFonts w:ascii="Cambria Math" w:eastAsia="Cambria Math"/>
        </w:rPr>
        <w:sectPr>
          <w:type w:val="continuous"/>
          <w:pgSz w:w="11910" w:h="16840"/>
          <w:pgMar w:top="1380" w:bottom="280" w:left="1600" w:right="1580"/>
          <w:cols w:num="2" w:equalWidth="0">
            <w:col w:w="5049" w:space="40"/>
            <w:col w:w="3641"/>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7"/>
        <w:rPr>
          <w:rFonts w:ascii="Cambria Math"/>
        </w:rPr>
      </w:pPr>
    </w:p>
    <w:p>
      <w:pPr>
        <w:pStyle w:val="BodyText"/>
        <w:ind w:left="105"/>
        <w:rPr>
          <w:rFonts w:ascii="Cambria Math"/>
          <w:sz w:val="20"/>
        </w:rPr>
      </w:pPr>
      <w:r>
        <w:rPr>
          <w:rFonts w:ascii="Cambria Math"/>
          <w:sz w:val="20"/>
        </w:rPr>
        <w:pict>
          <v:group style="width:425.95pt;height:290pt;mso-position-horizontal-relative:char;mso-position-vertical-relative:line" coordorigin="0,0" coordsize="8519,5800">
            <v:line style="position:absolute" from="1039,4097" to="8511,4097" stroked="true" strokeweight=".75pt" strokecolor="#989898"/>
            <v:line style="position:absolute" from="1039,3310" to="8511,3310" stroked="true" strokeweight=".75pt" strokecolor="#989898"/>
            <v:line style="position:absolute" from="1039,2528" to="8511,2528" stroked="true" strokeweight=".75pt" strokecolor="#989898"/>
            <v:line style="position:absolute" from="1039,1740" to="8511,1740" stroked="true" strokeweight=".75pt" strokecolor="#989898"/>
            <v:line style="position:absolute" from="1039,953" to="8511,953" stroked="true" strokeweight=".75pt" strokecolor="#989898"/>
            <v:line style="position:absolute" from="1038,4886" to="1038,952" stroked="true" strokeweight=".75pt" strokecolor="#989898"/>
            <v:line style="position:absolute" from="1038,4886" to="8511,4886" stroked="true" strokeweight=".75pt" strokecolor="#989898"/>
            <v:line style="position:absolute" from="1971,1471" to="3843,4783" stroked="true" strokeweight="2.25pt" strokecolor="#727272"/>
            <v:line style="position:absolute" from="3843,4783" to="5710,2609" stroked="true" strokeweight="2.25pt" strokecolor="#727272"/>
            <v:line style="position:absolute" from="5710,2609" to="7577,3007" stroked="true" strokeweight="2.25pt" strokecolor="#727272"/>
            <v:shape style="position:absolute;left:1892;top:1394;width:158;height:158" type="#_x0000_t75" stroked="false">
              <v:imagedata r:id="rId207" o:title=""/>
            </v:shape>
            <v:shape style="position:absolute;left:3764;top:4706;width:158;height:158" type="#_x0000_t75" stroked="false">
              <v:imagedata r:id="rId207" o:title=""/>
            </v:shape>
            <v:shape style="position:absolute;left:5631;top:2531;width:158;height:158" type="#_x0000_t75" stroked="false">
              <v:imagedata r:id="rId207" o:title=""/>
            </v:shape>
            <v:shape style="position:absolute;left:7498;top:2930;width:158;height:158" type="#_x0000_t75" stroked="false">
              <v:imagedata r:id="rId207" o:title=""/>
            </v:shape>
            <v:rect style="position:absolute;left:7;top:7;width:8504;height:5785" filled="false" stroked="true" strokeweight=".75pt" strokecolor="#989898"/>
            <v:shape style="position:absolute;left:2227;top:139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1.37</w:t>
                    </w:r>
                  </w:p>
                </w:txbxContent>
              </v:textbox>
              <w10:wrap type="none"/>
            </v:shape>
            <v:shape style="position:absolute;left:5964;top:253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1.29</w:t>
                    </w:r>
                  </w:p>
                </w:txbxContent>
              </v:textbox>
              <w10:wrap type="none"/>
            </v:shape>
            <v:shape style="position:absolute;left:7833;top:293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1.27</w:t>
                    </w:r>
                  </w:p>
                </w:txbxContent>
              </v:textbox>
              <w10:wrap type="none"/>
            </v:shape>
            <v:shape style="position:absolute;left:4096;top:470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1.16</w:t>
                    </w:r>
                  </w:p>
                </w:txbxContent>
              </v:textbox>
              <w10:wrap type="none"/>
            </v:shape>
            <v:shape style="position:absolute;left:453;top:87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1.40</w:t>
                    </w:r>
                  </w:p>
                </w:txbxContent>
              </v:textbox>
              <w10:wrap type="none"/>
            </v:shape>
            <v:shape style="position:absolute;left:2247;top:277;width:4024;height:780" type="#_x0000_t202" filled="false" stroked="false">
              <v:textbox inset="0,0,0,0">
                <w:txbxContent>
                  <w:p>
                    <w:pPr>
                      <w:spacing w:line="368" w:lineRule="exact" w:before="0"/>
                      <w:ind w:left="0" w:right="0" w:firstLine="0"/>
                      <w:jc w:val="center"/>
                      <w:rPr>
                        <w:rFonts w:ascii="Calibri"/>
                        <w:b/>
                        <w:sz w:val="36"/>
                      </w:rPr>
                    </w:pPr>
                    <w:r>
                      <w:rPr>
                        <w:rFonts w:ascii="Calibri"/>
                        <w:b/>
                        <w:sz w:val="36"/>
                      </w:rPr>
                      <w:t>Valeo</w:t>
                    </w:r>
                  </w:p>
                  <w:p>
                    <w:pPr>
                      <w:spacing w:line="412" w:lineRule="exact" w:before="0"/>
                      <w:ind w:left="0" w:right="0" w:firstLine="0"/>
                      <w:jc w:val="center"/>
                      <w:rPr>
                        <w:rFonts w:ascii="Calibri" w:hAnsi="Calibri"/>
                        <w:b/>
                        <w:sz w:val="36"/>
                      </w:rPr>
                    </w:pPr>
                    <w:r>
                      <w:rPr>
                        <w:rFonts w:ascii="Calibri" w:hAnsi="Calibri"/>
                        <w:b/>
                        <w:sz w:val="36"/>
                      </w:rPr>
                      <w:t>Rotación de activos</w:t>
                    </w:r>
                    <w:r>
                      <w:rPr>
                        <w:rFonts w:ascii="Calibri" w:hAnsi="Calibri"/>
                        <w:b/>
                        <w:spacing w:val="-3"/>
                        <w:sz w:val="36"/>
                      </w:rPr>
                      <w:t> </w:t>
                    </w:r>
                    <w:r>
                      <w:rPr>
                        <w:rFonts w:ascii="Calibri" w:hAnsi="Calibri"/>
                        <w:b/>
                        <w:sz w:val="36"/>
                      </w:rPr>
                      <w:t>totales</w:t>
                    </w:r>
                  </w:p>
                </w:txbxContent>
              </v:textbox>
              <w10:wrap type="none"/>
            </v:shape>
            <v:shape style="position:absolute;left:453;top:166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1.35</w:t>
                    </w:r>
                  </w:p>
                </w:txbxContent>
              </v:textbox>
              <w10:wrap type="none"/>
            </v:shape>
            <v:shape style="position:absolute;left:453;top:244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1.30</w:t>
                    </w:r>
                  </w:p>
                </w:txbxContent>
              </v:textbox>
              <w10:wrap type="none"/>
            </v:shape>
            <v:shape style="position:absolute;left:453;top:323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1.25</w:t>
                    </w:r>
                  </w:p>
                </w:txbxContent>
              </v:textbox>
              <w10:wrap type="none"/>
            </v:shape>
            <v:shape style="position:absolute;left:453;top:402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1.20</w:t>
                    </w:r>
                  </w:p>
                </w:txbxContent>
              </v:textbox>
              <w10:wrap type="none"/>
            </v:shape>
            <v:shape style="position:absolute;left:453;top:481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1.15</w:t>
                    </w:r>
                  </w:p>
                </w:txbxContent>
              </v:textbox>
              <w10:wrap type="none"/>
            </v:shape>
            <v:shape style="position:absolute;left:1769;top:50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3638;top:50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506;top:50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7375;top:505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spacing w:line="276" w:lineRule="auto" w:before="69"/>
        <w:ind w:left="110" w:right="108"/>
        <w:jc w:val="both"/>
      </w:pPr>
      <w:r>
        <w:rPr/>
        <w:t>Durante el año 2008 por cada euro que se tenía en activos, la empresa pudo generar ventas de 1.37 euros; en el año 2009 se observa una disminución en el uso eficiente de los recursos para generar ingresos, pues de cada euro de activos de la compañía, se lograron generar 1.16 euros de ventas. Durante el año 2010 se observa una mejora con respecto al año anterior, generando ventas de 1.29 euros por cada euro en los activos. Al cierre del año 2011 se reporta 1.27 euros de ventas por 1 euro que la empresa posee en activos.</w:t>
      </w:r>
    </w:p>
    <w:p>
      <w:pPr>
        <w:spacing w:after="0" w:line="276" w:lineRule="auto"/>
        <w:jc w:val="both"/>
        <w:sectPr>
          <w:type w:val="continuous"/>
          <w:pgSz w:w="11910" w:h="16840"/>
          <w:pgMar w:top="1380" w:bottom="280" w:left="1600" w:right="1580"/>
        </w:sect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2"/>
        <w:numPr>
          <w:ilvl w:val="2"/>
          <w:numId w:val="27"/>
        </w:numPr>
        <w:tabs>
          <w:tab w:pos="831" w:val="left" w:leader="none"/>
        </w:tabs>
        <w:spacing w:line="722" w:lineRule="auto" w:before="69" w:after="0"/>
        <w:ind w:left="110" w:right="4718" w:firstLine="0"/>
        <w:jc w:val="left"/>
      </w:pPr>
      <w:r>
        <w:rPr/>
        <w:t>Razones de endeudamiento Índice de endeudamiento</w:t>
      </w:r>
    </w:p>
    <w:p>
      <w:pPr>
        <w:pStyle w:val="BodyText"/>
        <w:spacing w:before="2"/>
        <w:rPr>
          <w:b/>
          <w:sz w:val="11"/>
        </w:rPr>
      </w:pPr>
    </w:p>
    <w:p>
      <w:pPr>
        <w:spacing w:after="0"/>
        <w:rPr>
          <w:sz w:val="11"/>
        </w:rPr>
        <w:sectPr>
          <w:pgSz w:w="11910" w:h="16840"/>
          <w:pgMar w:header="755" w:footer="724" w:top="960" w:bottom="920" w:left="1600" w:right="1580"/>
        </w:sectPr>
      </w:pPr>
    </w:p>
    <w:p>
      <w:pPr>
        <w:pStyle w:val="BodyText"/>
        <w:spacing w:before="7"/>
        <w:rPr>
          <w:b/>
          <w:sz w:val="21"/>
        </w:rPr>
      </w:pPr>
    </w:p>
    <w:p>
      <w:pPr>
        <w:pStyle w:val="BodyText"/>
        <w:ind w:left="1946" w:right="-156"/>
        <w:rPr>
          <w:rFonts w:ascii="Cambria Math" w:eastAsia="Cambria Math"/>
        </w:rPr>
      </w:pPr>
      <w:r>
        <w:rPr>
          <w:rFonts w:ascii="Cambria Math" w:eastAsia="Cambria Math"/>
        </w:rPr>
        <w:t>𝐼𝑛𝑑𝑖𝑐𝑒</w:t>
      </w:r>
      <w:r>
        <w:rPr>
          <w:rFonts w:ascii="Cambria Math" w:eastAsia="Cambria Math"/>
          <w:spacing w:val="5"/>
        </w:rPr>
        <w:t> </w:t>
      </w:r>
      <w:r>
        <w:rPr>
          <w:rFonts w:ascii="Cambria Math" w:eastAsia="Cambria Math"/>
        </w:rPr>
        <w:t>𝑑𝑒</w:t>
      </w:r>
      <w:r>
        <w:rPr>
          <w:rFonts w:ascii="Cambria Math" w:eastAsia="Cambria Math"/>
          <w:spacing w:val="5"/>
        </w:rPr>
        <w:t> </w:t>
      </w:r>
      <w:r>
        <w:rPr>
          <w:rFonts w:ascii="Cambria Math" w:eastAsia="Cambria Math"/>
        </w:rPr>
        <w:t>𝑒𝑛</w:t>
      </w:r>
      <w:r>
        <w:rPr>
          <w:rFonts w:ascii="Cambria Math" w:eastAsia="Cambria Math"/>
          <w:spacing w:val="-1"/>
        </w:rPr>
        <w:t>𝑑</w:t>
      </w:r>
      <w:r>
        <w:rPr>
          <w:rFonts w:ascii="Cambria Math" w:eastAsia="Cambria Math"/>
        </w:rPr>
        <w:t>𝑒𝑢</w:t>
      </w:r>
      <w:r>
        <w:rPr>
          <w:rFonts w:ascii="Cambria Math" w:eastAsia="Cambria Math"/>
          <w:spacing w:val="-1"/>
        </w:rPr>
        <w:t>𝑑</w:t>
      </w:r>
      <w:r>
        <w:rPr>
          <w:rFonts w:ascii="Cambria Math" w:eastAsia="Cambria Math"/>
        </w:rPr>
        <w:t>𝑎𝑚𝑖𝑒𝑛𝑡𝑜</w:t>
      </w:r>
      <w:r>
        <w:rPr>
          <w:rFonts w:ascii="Cambria Math" w:eastAsia="Cambria Math"/>
          <w:spacing w:val="19"/>
        </w:rPr>
        <w:t> </w:t>
      </w:r>
      <w:r>
        <w:rPr>
          <w:rFonts w:ascii="Cambria Math" w:eastAsia="Cambria Math"/>
        </w:rPr>
        <w:t>=</w:t>
      </w:r>
    </w:p>
    <w:p>
      <w:pPr>
        <w:pStyle w:val="BodyText"/>
        <w:spacing w:before="66"/>
        <w:ind w:left="79"/>
        <w:rPr>
          <w:rFonts w:ascii="Cambria Math" w:eastAsia="Cambria Math"/>
        </w:rPr>
      </w:pPr>
      <w:r>
        <w:rPr/>
        <w:br w:type="column"/>
      </w:r>
      <w:r>
        <w:rPr>
          <w:rFonts w:ascii="Cambria Math" w:eastAsia="Cambria Math"/>
          <w:spacing w:val="-103"/>
        </w:rPr>
        <w:t>𝑡𝑜𝑡𝑎𝑙</w:t>
      </w:r>
      <w:r>
        <w:rPr>
          <w:rFonts w:ascii="Cambria Math" w:eastAsia="Cambria Math"/>
          <w:spacing w:val="-29"/>
        </w:rPr>
        <w:t> </w:t>
      </w:r>
      <w:r>
        <w:rPr>
          <w:rFonts w:ascii="Cambria Math" w:eastAsia="Cambria Math"/>
          <w:spacing w:val="-103"/>
        </w:rPr>
        <w:t>𝑑𝑒</w:t>
      </w:r>
      <w:r>
        <w:rPr>
          <w:rFonts w:ascii="Cambria Math" w:eastAsia="Cambria Math"/>
          <w:spacing w:val="-30"/>
        </w:rPr>
        <w:t> </w:t>
      </w:r>
      <w:r>
        <w:rPr>
          <w:rFonts w:ascii="Cambria Math" w:eastAsia="Cambria Math"/>
          <w:spacing w:val="-103"/>
        </w:rPr>
        <w:t>𝑝𝑎𝑠𝑖𝑣𝑜𝑠</w:t>
      </w:r>
    </w:p>
    <w:p>
      <w:pPr>
        <w:pStyle w:val="BodyText"/>
        <w:spacing w:before="5"/>
        <w:rPr>
          <w:rFonts w:ascii="Cambria Math"/>
          <w:sz w:val="4"/>
        </w:rPr>
      </w:pPr>
    </w:p>
    <w:p>
      <w:pPr>
        <w:pStyle w:val="BodyText"/>
        <w:spacing w:line="20" w:lineRule="exact"/>
        <w:ind w:left="70"/>
        <w:rPr>
          <w:rFonts w:ascii="Cambria Math"/>
          <w:sz w:val="2"/>
        </w:rPr>
      </w:pPr>
      <w:r>
        <w:rPr>
          <w:rFonts w:ascii="Cambria Math"/>
          <w:sz w:val="2"/>
        </w:rPr>
        <w:pict>
          <v:group style="width:87.4pt;height:.75pt;mso-position-horizontal-relative:char;mso-position-vertical-relative:line" coordorigin="0,0" coordsize="1748,15">
            <v:line style="position:absolute" from="8,8" to="1740,8" stroked="true" strokeweight=".72pt" strokecolor="#000000"/>
          </v:group>
        </w:pict>
      </w:r>
      <w:r>
        <w:rPr>
          <w:rFonts w:ascii="Cambria Math"/>
          <w:sz w:val="2"/>
        </w:rPr>
      </w:r>
    </w:p>
    <w:p>
      <w:pPr>
        <w:pStyle w:val="BodyText"/>
        <w:ind w:left="99"/>
        <w:rPr>
          <w:rFonts w:ascii="Cambria Math" w:eastAsia="Cambria Math"/>
        </w:rPr>
      </w:pP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p>
    <w:p>
      <w:pPr>
        <w:spacing w:after="0"/>
        <w:rPr>
          <w:rFonts w:ascii="Cambria Math" w:eastAsia="Cambria Math"/>
        </w:rPr>
        <w:sectPr>
          <w:type w:val="continuous"/>
          <w:pgSz w:w="11910" w:h="16840"/>
          <w:pgMar w:top="1380" w:bottom="280" w:left="1600" w:right="1580"/>
          <w:cols w:num="2" w:equalWidth="0">
            <w:col w:w="4928" w:space="40"/>
            <w:col w:w="3762"/>
          </w:cols>
        </w:sectPr>
      </w:pPr>
    </w:p>
    <w:p>
      <w:pPr>
        <w:pStyle w:val="BodyText"/>
        <w:rPr>
          <w:rFonts w:ascii="Cambria Math"/>
          <w:sz w:val="20"/>
        </w:rPr>
      </w:pPr>
    </w:p>
    <w:p>
      <w:pPr>
        <w:pStyle w:val="BodyText"/>
        <w:rPr>
          <w:rFonts w:ascii="Cambria Math"/>
          <w:sz w:val="20"/>
        </w:rPr>
      </w:pPr>
    </w:p>
    <w:p>
      <w:pPr>
        <w:pStyle w:val="BodyText"/>
        <w:spacing w:before="7"/>
        <w:rPr>
          <w:rFonts w:ascii="Cambria Math"/>
          <w:sz w:val="20"/>
        </w:rPr>
      </w:pPr>
    </w:p>
    <w:p>
      <w:pPr>
        <w:pStyle w:val="BodyText"/>
        <w:ind w:left="105"/>
        <w:rPr>
          <w:rFonts w:ascii="Cambria Math"/>
          <w:sz w:val="20"/>
        </w:rPr>
      </w:pPr>
      <w:r>
        <w:rPr>
          <w:rFonts w:ascii="Cambria Math"/>
          <w:sz w:val="20"/>
        </w:rPr>
        <w:pict>
          <v:group style="width:425.95pt;height:290pt;mso-position-horizontal-relative:char;mso-position-vertical-relative:line" coordorigin="0,0" coordsize="8519,5800">
            <v:line style="position:absolute" from="780,4630" to="8251,4630" stroked="true" strokeweight=".75pt" strokecolor="#989898"/>
            <v:line style="position:absolute" from="780,3972" to="8251,3972" stroked="true" strokeweight=".75pt" strokecolor="#989898"/>
            <v:line style="position:absolute" from="780,3319" to="8251,3319" stroked="true" strokeweight=".75pt" strokecolor="#989898"/>
            <v:line style="position:absolute" from="780,2662" to="8251,2662" stroked="true" strokeweight=".75pt" strokecolor="#989898"/>
            <v:line style="position:absolute" from="780,2009" to="8251,2009" stroked="true" strokeweight=".75pt" strokecolor="#989898"/>
            <v:line style="position:absolute" from="780,1351" to="8251,1351" stroked="true" strokeweight=".75pt" strokecolor="#989898"/>
            <v:line style="position:absolute" from="778,5286" to="778,1351" stroked="true" strokeweight=".75pt" strokecolor="#989898"/>
            <v:line style="position:absolute" from="778,5286" to="8251,5286" stroked="true" strokeweight=".75pt" strokecolor="#989898"/>
            <v:line style="position:absolute" from="1712,4452" to="3579,3910" stroked="true" strokeweight="2.25pt" strokecolor="#727272"/>
            <v:line style="position:absolute" from="3579,3910" to="5451,5215" stroked="true" strokeweight="2.25pt" strokecolor="#727272"/>
            <v:line style="position:absolute" from="5451,5215" to="7317,1639" stroked="true" strokeweight="2.25pt" strokecolor="#727272"/>
            <v:shape style="position:absolute;left:1633;top:4372;width:158;height:158" type="#_x0000_t75" stroked="false">
              <v:imagedata r:id="rId208" o:title=""/>
            </v:shape>
            <v:shape style="position:absolute;left:3500;top:3830;width:158;height:158" type="#_x0000_t75" stroked="false">
              <v:imagedata r:id="rId208" o:title=""/>
            </v:shape>
            <v:shape style="position:absolute;left:5372;top:5135;width:158;height:158" type="#_x0000_t75" stroked="false">
              <v:imagedata r:id="rId208" o:title=""/>
            </v:shape>
            <v:shape style="position:absolute;left:7239;top:1559;width:158;height:158" type="#_x0000_t75" stroked="false">
              <v:imagedata r:id="rId208" o:title=""/>
            </v:shape>
            <v:rect style="position:absolute;left:7;top:8;width:8504;height:5785" filled="false" stroked="true" strokeweight=".75pt" strokecolor="#989898"/>
            <v:shape style="position:absolute;left:2346;top:277;width:3828;height:780" type="#_x0000_t202" filled="false" stroked="false">
              <v:textbox inset="0,0,0,0">
                <w:txbxContent>
                  <w:p>
                    <w:pPr>
                      <w:spacing w:line="368" w:lineRule="exact" w:before="0"/>
                      <w:ind w:left="0" w:right="1" w:firstLine="0"/>
                      <w:jc w:val="center"/>
                      <w:rPr>
                        <w:rFonts w:ascii="Calibri"/>
                        <w:b/>
                        <w:sz w:val="36"/>
                      </w:rPr>
                    </w:pPr>
                    <w:r>
                      <w:rPr>
                        <w:rFonts w:ascii="Calibri"/>
                        <w:b/>
                        <w:sz w:val="36"/>
                      </w:rPr>
                      <w:t>Valeo</w:t>
                    </w:r>
                  </w:p>
                  <w:p>
                    <w:pPr>
                      <w:spacing w:line="412" w:lineRule="exact" w:before="0"/>
                      <w:ind w:left="0" w:right="0" w:firstLine="0"/>
                      <w:jc w:val="center"/>
                      <w:rPr>
                        <w:rFonts w:ascii="Calibri" w:hAnsi="Calibri"/>
                        <w:b/>
                        <w:sz w:val="36"/>
                      </w:rPr>
                    </w:pPr>
                    <w:r>
                      <w:rPr>
                        <w:rFonts w:ascii="Calibri" w:hAnsi="Calibri"/>
                        <w:b/>
                        <w:sz w:val="36"/>
                      </w:rPr>
                      <w:t>Índice de endeudamiento</w:t>
                    </w:r>
                  </w:p>
                </w:txbxContent>
              </v:textbox>
              <w10:wrap type="none"/>
            </v:shape>
            <v:shape style="position:absolute;left:193;top:127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0.88</w:t>
                    </w:r>
                  </w:p>
                </w:txbxContent>
              </v:textbox>
              <w10:wrap type="none"/>
            </v:shape>
            <v:shape style="position:absolute;left:7573;top:156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0.87</w:t>
                    </w:r>
                  </w:p>
                </w:txbxContent>
              </v:textbox>
              <w10:wrap type="none"/>
            </v:shape>
            <v:shape style="position:absolute;left:193;top:193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0.86</w:t>
                    </w:r>
                  </w:p>
                </w:txbxContent>
              </v:textbox>
              <w10:wrap type="none"/>
            </v:shape>
            <v:shape style="position:absolute;left:193;top:258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0.84</w:t>
                    </w:r>
                  </w:p>
                </w:txbxContent>
              </v:textbox>
              <w10:wrap type="none"/>
            </v:shape>
            <v:shape style="position:absolute;left:193;top:324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0.82</w:t>
                    </w:r>
                  </w:p>
                </w:txbxContent>
              </v:textbox>
              <w10:wrap type="none"/>
            </v:shape>
            <v:shape style="position:absolute;left:193;top:389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0.80</w:t>
                    </w:r>
                  </w:p>
                </w:txbxContent>
              </v:textbox>
              <w10:wrap type="none"/>
            </v:shape>
            <v:shape style="position:absolute;left:3836;top:383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0.80</w:t>
                    </w:r>
                  </w:p>
                </w:txbxContent>
              </v:textbox>
              <w10:wrap type="none"/>
            </v:shape>
            <v:shape style="position:absolute;left:1967;top:437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0.79</w:t>
                    </w:r>
                  </w:p>
                </w:txbxContent>
              </v:textbox>
              <w10:wrap type="none"/>
            </v:shape>
            <v:shape style="position:absolute;left:193;top:455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0.78</w:t>
                    </w:r>
                  </w:p>
                </w:txbxContent>
              </v:textbox>
              <w10:wrap type="none"/>
            </v:shape>
            <v:shape style="position:absolute;left:193;top:521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0.76</w:t>
                    </w:r>
                  </w:p>
                </w:txbxContent>
              </v:textbox>
              <w10:wrap type="none"/>
            </v:shape>
            <v:shape style="position:absolute;left:5704;top:514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0.76</w:t>
                    </w:r>
                  </w:p>
                </w:txbxContent>
              </v:textbox>
              <w10:wrap type="none"/>
            </v:shape>
            <v:shape style="position:absolute;left:1509;top:5456;width:6011;height:200" type="#_x0000_t202" filled="false" stroked="false">
              <v:textbox inset="0,0,0,0">
                <w:txbxContent>
                  <w:p>
                    <w:pPr>
                      <w:tabs>
                        <w:tab w:pos="1868" w:val="left" w:leader="none"/>
                        <w:tab w:pos="3736" w:val="left" w:leader="none"/>
                        <w:tab w:pos="5605" w:val="left" w:leader="none"/>
                      </w:tabs>
                      <w:spacing w:line="200" w:lineRule="exact" w:before="0"/>
                      <w:ind w:left="0" w:right="0" w:firstLine="0"/>
                      <w:jc w:val="left"/>
                      <w:rPr>
                        <w:rFonts w:ascii="Calibri"/>
                        <w:sz w:val="20"/>
                      </w:rPr>
                    </w:pPr>
                    <w:r>
                      <w:rPr>
                        <w:rFonts w:ascii="Calibri"/>
                        <w:sz w:val="20"/>
                      </w:rPr>
                      <w:t>2008</w:t>
                      <w:tab/>
                      <w:t>2009</w:t>
                      <w:tab/>
                      <w:t>2010</w:t>
                      <w:tab/>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2"/>
        <w:rPr>
          <w:rFonts w:ascii="Cambria Math"/>
          <w:sz w:val="20"/>
        </w:rPr>
      </w:pPr>
    </w:p>
    <w:p>
      <w:pPr>
        <w:pStyle w:val="BodyText"/>
        <w:spacing w:line="276" w:lineRule="auto" w:before="69"/>
        <w:ind w:left="110" w:right="108"/>
        <w:jc w:val="both"/>
      </w:pPr>
      <w:r>
        <w:rPr/>
        <w:t>Durante el año 2008, el 79% de los activos de la empresa fueron financiados con deuda. Al cierre del año 2009 el 80% de los activos de la empresa fueron financiados a través de la deuda. Durante el año 2010 el 76% de los activos de la empresa fueron sufragados por terceros para generar utilidades. El año 2011 reporto el 87% de los activos de la empresa financiados por los acreedores y el resto por los propietarios.</w:t>
      </w:r>
    </w:p>
    <w:p>
      <w:pPr>
        <w:spacing w:after="0" w:line="276"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Heading2"/>
        <w:jc w:val="left"/>
      </w:pPr>
      <w:r>
        <w:rPr/>
        <w:t>Razón de cargos de interés fijo</w:t>
      </w:r>
    </w:p>
    <w:p>
      <w:pPr>
        <w:pStyle w:val="BodyText"/>
        <w:rPr>
          <w:b/>
          <w:sz w:val="20"/>
        </w:rPr>
      </w:pPr>
    </w:p>
    <w:p>
      <w:pPr>
        <w:pStyle w:val="BodyText"/>
        <w:rPr>
          <w:b/>
          <w:sz w:val="20"/>
        </w:rPr>
      </w:pPr>
    </w:p>
    <w:p>
      <w:pPr>
        <w:pStyle w:val="BodyText"/>
        <w:spacing w:before="5"/>
        <w:rPr>
          <w:b/>
          <w:sz w:val="18"/>
        </w:rPr>
      </w:pPr>
    </w:p>
    <w:p>
      <w:pPr>
        <w:spacing w:after="0"/>
        <w:rPr>
          <w:sz w:val="18"/>
        </w:rPr>
        <w:sectPr>
          <w:pgSz w:w="11910" w:h="16840"/>
          <w:pgMar w:header="755" w:footer="724" w:top="960" w:bottom="920" w:left="1600" w:right="920"/>
        </w:sectPr>
      </w:pPr>
    </w:p>
    <w:p>
      <w:pPr>
        <w:pStyle w:val="BodyText"/>
        <w:spacing w:before="7"/>
        <w:rPr>
          <w:b/>
          <w:sz w:val="21"/>
        </w:rPr>
      </w:pPr>
    </w:p>
    <w:p>
      <w:pPr>
        <w:pStyle w:val="BodyText"/>
        <w:ind w:left="222"/>
        <w:rPr>
          <w:rFonts w:ascii="Cambria Math" w:hAnsi="Cambria Math" w:eastAsia="Cambria Math"/>
        </w:rPr>
      </w:pPr>
      <w:r>
        <w:rPr>
          <w:rFonts w:ascii="Cambria Math" w:hAnsi="Cambria Math" w:eastAsia="Cambria Math"/>
          <w:spacing w:val="-92"/>
        </w:rPr>
        <w:t>𝑅𝑎𝑧ó𝑛</w:t>
      </w:r>
      <w:r>
        <w:rPr>
          <w:rFonts w:ascii="Cambria Math" w:hAnsi="Cambria Math" w:eastAsia="Cambria Math"/>
          <w:spacing w:val="-34"/>
        </w:rPr>
        <w:t> </w:t>
      </w:r>
      <w:r>
        <w:rPr>
          <w:rFonts w:ascii="Cambria Math" w:hAnsi="Cambria Math" w:eastAsia="Cambria Math"/>
          <w:spacing w:val="-92"/>
        </w:rPr>
        <w:t>𝑑𝑒</w:t>
      </w:r>
      <w:r>
        <w:rPr>
          <w:rFonts w:ascii="Cambria Math" w:hAnsi="Cambria Math" w:eastAsia="Cambria Math"/>
          <w:spacing w:val="-34"/>
        </w:rPr>
        <w:t> </w:t>
      </w:r>
      <w:r>
        <w:rPr>
          <w:rFonts w:ascii="Cambria Math" w:hAnsi="Cambria Math" w:eastAsia="Cambria Math"/>
          <w:spacing w:val="-91"/>
        </w:rPr>
        <w:t>𝑐𝑎𝑟𝑔𝑜𝑠</w:t>
      </w:r>
      <w:r>
        <w:rPr>
          <w:rFonts w:ascii="Cambria Math" w:hAnsi="Cambria Math" w:eastAsia="Cambria Math"/>
          <w:spacing w:val="-34"/>
        </w:rPr>
        <w:t> </w:t>
      </w:r>
      <w:r>
        <w:rPr>
          <w:rFonts w:ascii="Cambria Math" w:hAnsi="Cambria Math" w:eastAsia="Cambria Math"/>
          <w:spacing w:val="-91"/>
        </w:rPr>
        <w:t>𝑑𝑒</w:t>
      </w:r>
      <w:r>
        <w:rPr>
          <w:rFonts w:ascii="Cambria Math" w:hAnsi="Cambria Math" w:eastAsia="Cambria Math"/>
          <w:spacing w:val="5"/>
        </w:rPr>
        <w:t> </w:t>
      </w:r>
      <w:r>
        <w:rPr>
          <w:rFonts w:ascii="Cambria Math" w:hAnsi="Cambria Math" w:eastAsia="Cambria Math"/>
          <w:spacing w:val="-92"/>
        </w:rPr>
        <w:t>𝑖𝑛𝑡𝑒𝑟é𝑠</w:t>
      </w:r>
      <w:r>
        <w:rPr>
          <w:rFonts w:ascii="Cambria Math" w:hAnsi="Cambria Math" w:eastAsia="Cambria Math"/>
          <w:spacing w:val="-32"/>
        </w:rPr>
        <w:t> </w:t>
      </w:r>
      <w:r>
        <w:rPr>
          <w:rFonts w:ascii="Cambria Math" w:hAnsi="Cambria Math" w:eastAsia="Cambria Math"/>
          <w:spacing w:val="-92"/>
        </w:rPr>
        <w:t>𝑓𝑖𝑗𝑜</w:t>
      </w:r>
      <w:r>
        <w:rPr>
          <w:rFonts w:ascii="Cambria Math" w:hAnsi="Cambria Math" w:eastAsia="Cambria Math"/>
          <w:spacing w:val="-27"/>
        </w:rPr>
        <w:t> </w:t>
      </w:r>
      <w:r>
        <w:rPr>
          <w:rFonts w:ascii="Cambria Math" w:hAnsi="Cambria Math" w:eastAsia="Cambria Math"/>
          <w:spacing w:val="-91"/>
        </w:rPr>
        <w:t>=</w:t>
      </w:r>
    </w:p>
    <w:p>
      <w:pPr>
        <w:pStyle w:val="BodyText"/>
        <w:spacing w:before="66"/>
        <w:ind w:left="267" w:right="1071"/>
        <w:jc w:val="center"/>
        <w:rPr>
          <w:rFonts w:ascii="Cambria Math" w:eastAsia="Cambria Math"/>
        </w:rPr>
      </w:pPr>
      <w:r>
        <w:rPr/>
        <w:br w:type="column"/>
      </w:r>
      <w:r>
        <w:rPr>
          <w:rFonts w:ascii="Cambria Math" w:eastAsia="Cambria Math"/>
          <w:spacing w:val="-97"/>
        </w:rPr>
        <w:t>𝑔𝑎𝑛𝑎𝑛𝑐𝑖𝑎𝑠</w:t>
      </w:r>
      <w:r>
        <w:rPr>
          <w:rFonts w:ascii="Cambria Math" w:eastAsia="Cambria Math"/>
          <w:spacing w:val="-34"/>
        </w:rPr>
        <w:t> </w:t>
      </w:r>
      <w:r>
        <w:rPr>
          <w:rFonts w:ascii="Cambria Math" w:eastAsia="Cambria Math"/>
          <w:spacing w:val="-97"/>
        </w:rPr>
        <w:t>𝑎𝑛𝑡𝑒𝑠</w:t>
      </w:r>
      <w:r>
        <w:rPr>
          <w:rFonts w:ascii="Cambria Math" w:eastAsia="Cambria Math"/>
          <w:spacing w:val="-34"/>
        </w:rPr>
        <w:t> </w:t>
      </w:r>
      <w:r>
        <w:rPr>
          <w:rFonts w:ascii="Cambria Math" w:eastAsia="Cambria Math"/>
          <w:spacing w:val="-96"/>
        </w:rPr>
        <w:t>𝑑𝑒 </w:t>
      </w:r>
      <w:r>
        <w:rPr>
          <w:rFonts w:ascii="Cambria Math" w:eastAsia="Cambria Math"/>
          <w:spacing w:val="-64"/>
        </w:rPr>
        <w:t>𝑖𝑛𝑡𝑒𝑟𝑒𝑠𝑒𝑠 </w:t>
      </w:r>
      <w:r>
        <w:rPr>
          <w:rFonts w:ascii="Cambria Math" w:eastAsia="Cambria Math"/>
          <w:spacing w:val="-63"/>
        </w:rPr>
        <w:t>𝑒</w:t>
      </w:r>
      <w:r>
        <w:rPr>
          <w:rFonts w:ascii="Cambria Math" w:eastAsia="Cambria Math"/>
          <w:spacing w:val="-51"/>
        </w:rPr>
        <w:t> </w:t>
      </w:r>
      <w:r>
        <w:rPr>
          <w:rFonts w:ascii="Cambria Math" w:eastAsia="Cambria Math"/>
          <w:spacing w:val="-40"/>
        </w:rPr>
        <w:t>𝑖𝑚𝑝𝑢𝑒𝑠𝑡𝑜𝑠</w:t>
      </w:r>
    </w:p>
    <w:p>
      <w:pPr>
        <w:pStyle w:val="BodyText"/>
        <w:spacing w:before="5"/>
        <w:rPr>
          <w:rFonts w:ascii="Cambria Math"/>
          <w:sz w:val="4"/>
        </w:rPr>
      </w:pPr>
    </w:p>
    <w:p>
      <w:pPr>
        <w:pStyle w:val="BodyText"/>
        <w:spacing w:line="20" w:lineRule="exact"/>
        <w:ind w:left="74"/>
        <w:rPr>
          <w:rFonts w:ascii="Cambria Math"/>
          <w:sz w:val="2"/>
        </w:rPr>
      </w:pPr>
      <w:r>
        <w:rPr>
          <w:rFonts w:ascii="Cambria Math"/>
          <w:sz w:val="2"/>
        </w:rPr>
        <w:pict>
          <v:group style="width:225.9pt;height:.75pt;mso-position-horizontal-relative:char;mso-position-vertical-relative:line" coordorigin="0,0" coordsize="4518,15">
            <v:line style="position:absolute" from="8,8" to="4510,8" stroked="true" strokeweight=".72pt" strokecolor="#000000"/>
          </v:group>
        </w:pict>
      </w:r>
      <w:r>
        <w:rPr>
          <w:rFonts w:ascii="Cambria Math"/>
          <w:sz w:val="2"/>
        </w:rPr>
      </w:r>
    </w:p>
    <w:p>
      <w:pPr>
        <w:pStyle w:val="BodyText"/>
        <w:ind w:left="266" w:right="1071"/>
        <w:jc w:val="center"/>
        <w:rPr>
          <w:rFonts w:ascii="Cambria Math" w:eastAsia="Cambria Math"/>
        </w:rPr>
      </w:pPr>
      <w:r>
        <w:rPr>
          <w:rFonts w:ascii="Cambria Math" w:eastAsia="Cambria Math"/>
        </w:rPr>
        <w:t>𝑖𝑛𝑡𝑒𝑟𝑒𝑠𝑒𝑠</w:t>
      </w:r>
    </w:p>
    <w:p>
      <w:pPr>
        <w:spacing w:after="0"/>
        <w:jc w:val="center"/>
        <w:rPr>
          <w:rFonts w:ascii="Cambria Math" w:eastAsia="Cambria Math"/>
        </w:rPr>
        <w:sectPr>
          <w:type w:val="continuous"/>
          <w:pgSz w:w="11910" w:h="16840"/>
          <w:pgMar w:top="1380" w:bottom="280" w:left="1600" w:right="920"/>
          <w:cols w:num="2" w:equalWidth="0">
            <w:col w:w="3882" w:space="40"/>
            <w:col w:w="5468"/>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3"/>
        <w:rPr>
          <w:rFonts w:ascii="Cambria Math"/>
          <w:sz w:val="27"/>
        </w:rPr>
      </w:pPr>
    </w:p>
    <w:p>
      <w:pPr>
        <w:pStyle w:val="BodyText"/>
        <w:ind w:left="139"/>
        <w:rPr>
          <w:rFonts w:ascii="Cambria Math"/>
          <w:sz w:val="20"/>
        </w:rPr>
      </w:pPr>
      <w:r>
        <w:rPr>
          <w:rFonts w:ascii="Cambria Math"/>
          <w:sz w:val="20"/>
        </w:rPr>
        <w:pict>
          <v:group style="width:456.5pt;height:175.2pt;mso-position-horizontal-relative:char;mso-position-vertical-relative:line" coordorigin="0,0" coordsize="9130,3504">
            <v:line style="position:absolute" from="351,3386" to="9015,3386" stroked="true" strokeweight=".430265pt" strokecolor="#989898"/>
            <v:line style="position:absolute" from="351,2767" to="9015,2767" stroked="true" strokeweight=".430265pt" strokecolor="#989898"/>
            <v:line style="position:absolute" from="351,2448" to="9015,2448" stroked="true" strokeweight=".430265pt" strokecolor="#989898"/>
            <v:line style="position:absolute" from="351,2139" to="9015,2139" stroked="true" strokeweight=".430265pt" strokecolor="#989898"/>
            <v:line style="position:absolute" from="351,1829" to="9015,1829" stroked="true" strokeweight=".430265pt" strokecolor="#989898"/>
            <v:line style="position:absolute" from="351,1519" to="9015,1519" stroked="true" strokeweight=".430265pt" strokecolor="#989898"/>
            <v:line style="position:absolute" from="351,1209" to="9015,1209" stroked="true" strokeweight=".430265pt" strokecolor="#989898"/>
            <v:line style="position:absolute" from="351,891" to="9015,891" stroked="true" strokeweight=".430265pt" strokecolor="#989898"/>
            <v:line style="position:absolute" from="351,581" to="9015,581" stroked="true" strokeweight=".430265pt" strokecolor="#989898"/>
            <v:line style="position:absolute" from="354,3387" to="354,583" stroked="true" strokeweight=".412938pt" strokecolor="#989898"/>
            <v:line style="position:absolute" from="354,3076" to="9018,3076" stroked="true" strokeweight=".430265pt" strokecolor="#989898"/>
            <v:line style="position:absolute" from="1433,3314" to="3605,2698" stroked="true" strokeweight=".965195pt" strokecolor="#727272"/>
            <v:line style="position:absolute" from="3605,2698" to="5769,856" stroked="true" strokeweight=".95172pt" strokecolor="#727272"/>
            <v:line style="position:absolute" from="5769,856" to="7933,641" stroked="true" strokeweight=".967715pt" strokecolor="#727272"/>
            <v:shape style="position:absolute;left:1400;top:3283;width:66;height:69" type="#_x0000_t75" stroked="false">
              <v:imagedata r:id="rId209" o:title=""/>
            </v:shape>
            <v:shape style="position:absolute;left:3572;top:2664;width:66;height:69" type="#_x0000_t75" stroked="false">
              <v:imagedata r:id="rId209" o:title=""/>
            </v:shape>
            <v:shape style="position:absolute;left:5736;top:822;width:66;height:69" type="#_x0000_t75" stroked="false">
              <v:imagedata r:id="rId209" o:title=""/>
            </v:shape>
            <v:shape style="position:absolute;left:7900;top:607;width:66;height:69" type="#_x0000_t75" stroked="false">
              <v:imagedata r:id="rId209" o:title=""/>
            </v:shape>
            <v:rect style="position:absolute;left:4;top:4;width:9121;height:3494" filled="false" stroked="true" strokeweight=".428047pt" strokecolor="#989898"/>
            <v:shape style="position:absolute;left:3624;top:120;width:1882;height:336" type="#_x0000_t202" filled="false" stroked="false">
              <v:textbox inset="0,0,0,0">
                <w:txbxContent>
                  <w:p>
                    <w:pPr>
                      <w:spacing w:line="160" w:lineRule="exact" w:before="0"/>
                      <w:ind w:left="0" w:right="0" w:firstLine="0"/>
                      <w:jc w:val="center"/>
                      <w:rPr>
                        <w:rFonts w:ascii="Calibri"/>
                        <w:b/>
                        <w:sz w:val="15"/>
                      </w:rPr>
                    </w:pPr>
                    <w:r>
                      <w:rPr>
                        <w:rFonts w:ascii="Calibri"/>
                        <w:b/>
                        <w:sz w:val="15"/>
                      </w:rPr>
                      <w:t>Valeo</w:t>
                    </w:r>
                  </w:p>
                  <w:p>
                    <w:pPr>
                      <w:spacing w:line="176" w:lineRule="exact" w:before="0"/>
                      <w:ind w:left="0" w:right="0" w:firstLine="0"/>
                      <w:jc w:val="center"/>
                      <w:rPr>
                        <w:rFonts w:ascii="Calibri" w:hAnsi="Calibri"/>
                        <w:b/>
                        <w:sz w:val="15"/>
                      </w:rPr>
                    </w:pPr>
                    <w:r>
                      <w:rPr>
                        <w:rFonts w:ascii="Calibri" w:hAnsi="Calibri"/>
                        <w:b/>
                        <w:sz w:val="15"/>
                      </w:rPr>
                      <w:t>Razón de cargos de interés</w:t>
                    </w:r>
                    <w:r>
                      <w:rPr>
                        <w:rFonts w:ascii="Calibri" w:hAnsi="Calibri"/>
                        <w:b/>
                        <w:spacing w:val="-21"/>
                        <w:sz w:val="15"/>
                      </w:rPr>
                      <w:t> </w:t>
                    </w:r>
                    <w:r>
                      <w:rPr>
                        <w:rFonts w:ascii="Calibri" w:hAnsi="Calibri"/>
                        <w:b/>
                        <w:sz w:val="15"/>
                      </w:rPr>
                      <w:t>ﬁjo</w:t>
                    </w:r>
                  </w:p>
                </w:txbxContent>
              </v:textbox>
              <w10:wrap type="none"/>
            </v:shape>
            <v:shape style="position:absolute;left:112;top:550;width:147;height:87" type="#_x0000_t202" filled="false" stroked="false">
              <v:textbox inset="0,0,0,0">
                <w:txbxContent>
                  <w:p>
                    <w:pPr>
                      <w:spacing w:line="86" w:lineRule="exact" w:before="0"/>
                      <w:ind w:left="0" w:right="-15" w:firstLine="0"/>
                      <w:jc w:val="left"/>
                      <w:rPr>
                        <w:rFonts w:ascii="Calibri"/>
                        <w:sz w:val="8"/>
                      </w:rPr>
                    </w:pPr>
                    <w:r>
                      <w:rPr>
                        <w:rFonts w:ascii="Calibri"/>
                        <w:sz w:val="8"/>
                      </w:rPr>
                      <w:t>8.00</w:t>
                    </w:r>
                  </w:p>
                </w:txbxContent>
              </v:textbox>
              <w10:wrap type="none"/>
            </v:shape>
            <v:shape style="position:absolute;left:8040;top:605;width:147;height:87" type="#_x0000_t202" filled="false" stroked="false">
              <v:textbox inset="0,0,0,0">
                <w:txbxContent>
                  <w:p>
                    <w:pPr>
                      <w:spacing w:line="86" w:lineRule="exact" w:before="0"/>
                      <w:ind w:left="0" w:right="-15" w:firstLine="0"/>
                      <w:jc w:val="left"/>
                      <w:rPr>
                        <w:rFonts w:ascii="Calibri"/>
                        <w:sz w:val="8"/>
                      </w:rPr>
                    </w:pPr>
                    <w:r>
                      <w:rPr>
                        <w:rFonts w:ascii="Calibri"/>
                        <w:sz w:val="8"/>
                      </w:rPr>
                      <w:t>7.82</w:t>
                    </w:r>
                  </w:p>
                </w:txbxContent>
              </v:textbox>
              <w10:wrap type="none"/>
            </v:shape>
            <v:shape style="position:absolute;left:112;top:862;width:147;height:87" type="#_x0000_t202" filled="false" stroked="false">
              <v:textbox inset="0,0,0,0">
                <w:txbxContent>
                  <w:p>
                    <w:pPr>
                      <w:spacing w:line="86" w:lineRule="exact" w:before="0"/>
                      <w:ind w:left="0" w:right="-15" w:firstLine="0"/>
                      <w:jc w:val="left"/>
                      <w:rPr>
                        <w:rFonts w:ascii="Calibri"/>
                        <w:sz w:val="8"/>
                      </w:rPr>
                    </w:pPr>
                    <w:r>
                      <w:rPr>
                        <w:rFonts w:ascii="Calibri"/>
                        <w:sz w:val="8"/>
                      </w:rPr>
                      <w:t>7.00</w:t>
                    </w:r>
                  </w:p>
                </w:txbxContent>
              </v:textbox>
              <w10:wrap type="none"/>
            </v:shape>
            <v:shape style="position:absolute;left:5874;top:828;width:147;height:87" type="#_x0000_t202" filled="false" stroked="false">
              <v:textbox inset="0,0,0,0">
                <w:txbxContent>
                  <w:p>
                    <w:pPr>
                      <w:spacing w:line="86" w:lineRule="exact" w:before="0"/>
                      <w:ind w:left="0" w:right="-15" w:firstLine="0"/>
                      <w:jc w:val="left"/>
                      <w:rPr>
                        <w:rFonts w:ascii="Calibri"/>
                        <w:sz w:val="8"/>
                      </w:rPr>
                    </w:pPr>
                    <w:r>
                      <w:rPr>
                        <w:rFonts w:ascii="Calibri"/>
                        <w:sz w:val="8"/>
                      </w:rPr>
                      <w:t>7.11</w:t>
                    </w:r>
                  </w:p>
                </w:txbxContent>
              </v:textbox>
              <w10:wrap type="none"/>
            </v:shape>
            <v:shape style="position:absolute;left:112;top:1173;width:147;height:1333" type="#_x0000_t202" filled="false" stroked="false">
              <v:textbox inset="0,0,0,0">
                <w:txbxContent>
                  <w:p>
                    <w:pPr>
                      <w:spacing w:line="89" w:lineRule="exact" w:before="0"/>
                      <w:ind w:left="0" w:right="-15" w:firstLine="0"/>
                      <w:jc w:val="left"/>
                      <w:rPr>
                        <w:rFonts w:ascii="Calibri"/>
                        <w:sz w:val="8"/>
                      </w:rPr>
                    </w:pPr>
                    <w:r>
                      <w:rPr>
                        <w:rFonts w:ascii="Calibri"/>
                        <w:sz w:val="8"/>
                      </w:rPr>
                      <w:t>6.00</w:t>
                    </w:r>
                  </w:p>
                  <w:p>
                    <w:pPr>
                      <w:spacing w:line="240" w:lineRule="auto" w:before="0"/>
                      <w:rPr>
                        <w:rFonts w:ascii="Cambria Math"/>
                        <w:sz w:val="8"/>
                      </w:rPr>
                    </w:pPr>
                  </w:p>
                  <w:p>
                    <w:pPr>
                      <w:spacing w:line="240" w:lineRule="auto" w:before="2"/>
                      <w:rPr>
                        <w:rFonts w:ascii="Cambria Math"/>
                        <w:sz w:val="10"/>
                      </w:rPr>
                    </w:pPr>
                  </w:p>
                  <w:p>
                    <w:pPr>
                      <w:spacing w:before="1"/>
                      <w:ind w:left="0" w:right="-15" w:firstLine="0"/>
                      <w:jc w:val="left"/>
                      <w:rPr>
                        <w:rFonts w:ascii="Calibri"/>
                        <w:sz w:val="8"/>
                      </w:rPr>
                    </w:pPr>
                    <w:r>
                      <w:rPr>
                        <w:rFonts w:ascii="Calibri"/>
                        <w:sz w:val="8"/>
                      </w:rPr>
                      <w:t>5.00</w:t>
                    </w:r>
                  </w:p>
                  <w:p>
                    <w:pPr>
                      <w:spacing w:line="240" w:lineRule="auto" w:before="0"/>
                      <w:rPr>
                        <w:rFonts w:ascii="Cambria Math"/>
                        <w:sz w:val="8"/>
                      </w:rPr>
                    </w:pPr>
                  </w:p>
                  <w:p>
                    <w:pPr>
                      <w:spacing w:line="240" w:lineRule="auto" w:before="2"/>
                      <w:rPr>
                        <w:rFonts w:ascii="Cambria Math"/>
                        <w:sz w:val="10"/>
                      </w:rPr>
                    </w:pPr>
                  </w:p>
                  <w:p>
                    <w:pPr>
                      <w:spacing w:before="1"/>
                      <w:ind w:left="0" w:right="-15" w:firstLine="0"/>
                      <w:jc w:val="left"/>
                      <w:rPr>
                        <w:rFonts w:ascii="Calibri"/>
                        <w:sz w:val="8"/>
                      </w:rPr>
                    </w:pPr>
                    <w:r>
                      <w:rPr>
                        <w:rFonts w:ascii="Calibri"/>
                        <w:sz w:val="8"/>
                      </w:rPr>
                      <w:t>4.00</w:t>
                    </w:r>
                  </w:p>
                  <w:p>
                    <w:pPr>
                      <w:spacing w:line="240" w:lineRule="auto" w:before="0"/>
                      <w:rPr>
                        <w:rFonts w:ascii="Cambria Math"/>
                        <w:sz w:val="8"/>
                      </w:rPr>
                    </w:pPr>
                  </w:p>
                  <w:p>
                    <w:pPr>
                      <w:spacing w:line="240" w:lineRule="auto" w:before="2"/>
                      <w:rPr>
                        <w:rFonts w:ascii="Cambria Math"/>
                        <w:sz w:val="10"/>
                      </w:rPr>
                    </w:pPr>
                  </w:p>
                  <w:p>
                    <w:pPr>
                      <w:spacing w:before="1"/>
                      <w:ind w:left="0" w:right="-15" w:firstLine="0"/>
                      <w:jc w:val="left"/>
                      <w:rPr>
                        <w:rFonts w:ascii="Calibri"/>
                        <w:sz w:val="8"/>
                      </w:rPr>
                    </w:pPr>
                    <w:r>
                      <w:rPr>
                        <w:rFonts w:ascii="Calibri"/>
                        <w:sz w:val="8"/>
                      </w:rPr>
                      <w:t>3.00</w:t>
                    </w:r>
                  </w:p>
                  <w:p>
                    <w:pPr>
                      <w:spacing w:line="240" w:lineRule="auto" w:before="0"/>
                      <w:rPr>
                        <w:rFonts w:ascii="Cambria Math"/>
                        <w:sz w:val="8"/>
                      </w:rPr>
                    </w:pPr>
                  </w:p>
                  <w:p>
                    <w:pPr>
                      <w:spacing w:line="240" w:lineRule="auto" w:before="2"/>
                      <w:rPr>
                        <w:rFonts w:ascii="Cambria Math"/>
                        <w:sz w:val="10"/>
                      </w:rPr>
                    </w:pPr>
                  </w:p>
                  <w:p>
                    <w:pPr>
                      <w:spacing w:line="95" w:lineRule="exact" w:before="1"/>
                      <w:ind w:left="0" w:right="-15" w:firstLine="0"/>
                      <w:jc w:val="left"/>
                      <w:rPr>
                        <w:rFonts w:ascii="Calibri"/>
                        <w:sz w:val="8"/>
                      </w:rPr>
                    </w:pPr>
                    <w:r>
                      <w:rPr>
                        <w:rFonts w:ascii="Calibri"/>
                        <w:sz w:val="8"/>
                      </w:rPr>
                      <w:t>2.00</w:t>
                    </w:r>
                  </w:p>
                </w:txbxContent>
              </v:textbox>
              <w10:wrap type="none"/>
            </v:shape>
            <v:shape style="position:absolute;left:3708;top:2664;width:147;height:87" type="#_x0000_t202" filled="false" stroked="false">
              <v:textbox inset="0,0,0,0">
                <w:txbxContent>
                  <w:p>
                    <w:pPr>
                      <w:spacing w:line="86" w:lineRule="exact" w:before="0"/>
                      <w:ind w:left="0" w:right="-15" w:firstLine="0"/>
                      <w:jc w:val="left"/>
                      <w:rPr>
                        <w:rFonts w:ascii="Calibri"/>
                        <w:sz w:val="8"/>
                      </w:rPr>
                    </w:pPr>
                    <w:r>
                      <w:rPr>
                        <w:rFonts w:ascii="Calibri"/>
                        <w:sz w:val="8"/>
                      </w:rPr>
                      <w:t>1.22</w:t>
                    </w:r>
                  </w:p>
                </w:txbxContent>
              </v:textbox>
              <w10:wrap type="none"/>
            </v:shape>
            <v:shape style="position:absolute;left:112;top:2731;width:147;height:87" type="#_x0000_t202" filled="false" stroked="false">
              <v:textbox inset="0,0,0,0">
                <w:txbxContent>
                  <w:p>
                    <w:pPr>
                      <w:spacing w:line="86" w:lineRule="exact" w:before="0"/>
                      <w:ind w:left="0" w:right="-15" w:firstLine="0"/>
                      <w:jc w:val="left"/>
                      <w:rPr>
                        <w:rFonts w:ascii="Calibri"/>
                        <w:sz w:val="8"/>
                      </w:rPr>
                    </w:pPr>
                    <w:r>
                      <w:rPr>
                        <w:rFonts w:ascii="Calibri"/>
                        <w:sz w:val="8"/>
                      </w:rPr>
                      <w:t>1.00</w:t>
                    </w:r>
                  </w:p>
                </w:txbxContent>
              </v:textbox>
              <w10:wrap type="none"/>
            </v:shape>
            <v:shape style="position:absolute;left:196;top:3043;width:26;height:87" type="#_x0000_t202" filled="false" stroked="false">
              <v:textbox inset="0,0,0,0">
                <w:txbxContent>
                  <w:p>
                    <w:pPr>
                      <w:spacing w:line="86" w:lineRule="exact" w:before="0"/>
                      <w:ind w:left="0" w:right="0" w:firstLine="0"/>
                      <w:jc w:val="left"/>
                      <w:rPr>
                        <w:rFonts w:ascii="Calibri"/>
                        <w:sz w:val="8"/>
                      </w:rPr>
                    </w:pPr>
                    <w:r>
                      <w:rPr>
                        <w:rFonts w:ascii="Calibri"/>
                        <w:w w:val="63"/>
                        <w:sz w:val="8"/>
                      </w:rPr>
                      <w:t>+</w:t>
                    </w:r>
                  </w:p>
                </w:txbxContent>
              </v:textbox>
              <w10:wrap type="none"/>
            </v:shape>
            <v:shape style="position:absolute;left:1353;top:3149;width:168;height:87" type="#_x0000_t202" filled="false" stroked="false">
              <v:textbox inset="0,0,0,0">
                <w:txbxContent>
                  <w:p>
                    <w:pPr>
                      <w:spacing w:line="86" w:lineRule="exact" w:before="0"/>
                      <w:ind w:left="0" w:right="-15" w:firstLine="0"/>
                      <w:jc w:val="left"/>
                      <w:rPr>
                        <w:rFonts w:ascii="Calibri"/>
                        <w:sz w:val="8"/>
                      </w:rPr>
                    </w:pPr>
                    <w:r>
                      <w:rPr>
                        <w:rFonts w:ascii="Calibri"/>
                        <w:sz w:val="8"/>
                      </w:rPr>
                      <w:t>2008</w:t>
                    </w:r>
                  </w:p>
                </w:txbxContent>
              </v:textbox>
              <w10:wrap type="none"/>
            </v:shape>
            <v:shape style="position:absolute;left:3519;top:3149;width:168;height:87" type="#_x0000_t202" filled="false" stroked="false">
              <v:textbox inset="0,0,0,0">
                <w:txbxContent>
                  <w:p>
                    <w:pPr>
                      <w:spacing w:line="86" w:lineRule="exact" w:before="0"/>
                      <w:ind w:left="0" w:right="-15" w:firstLine="0"/>
                      <w:jc w:val="left"/>
                      <w:rPr>
                        <w:rFonts w:ascii="Calibri"/>
                        <w:sz w:val="8"/>
                      </w:rPr>
                    </w:pPr>
                    <w:r>
                      <w:rPr>
                        <w:rFonts w:ascii="Calibri"/>
                        <w:sz w:val="8"/>
                      </w:rPr>
                      <w:t>2009</w:t>
                    </w:r>
                  </w:p>
                </w:txbxContent>
              </v:textbox>
              <w10:wrap type="none"/>
            </v:shape>
            <v:shape style="position:absolute;left:5685;top:3149;width:168;height:87" type="#_x0000_t202" filled="false" stroked="false">
              <v:textbox inset="0,0,0,0">
                <w:txbxContent>
                  <w:p>
                    <w:pPr>
                      <w:spacing w:line="86" w:lineRule="exact" w:before="0"/>
                      <w:ind w:left="0" w:right="-15" w:firstLine="0"/>
                      <w:jc w:val="left"/>
                      <w:rPr>
                        <w:rFonts w:ascii="Calibri"/>
                        <w:sz w:val="8"/>
                      </w:rPr>
                    </w:pPr>
                    <w:r>
                      <w:rPr>
                        <w:rFonts w:ascii="Calibri"/>
                        <w:sz w:val="8"/>
                      </w:rPr>
                      <w:t>2010</w:t>
                    </w:r>
                  </w:p>
                </w:txbxContent>
              </v:textbox>
              <w10:wrap type="none"/>
            </v:shape>
            <v:shape style="position:absolute;left:7851;top:3149;width:168;height:87" type="#_x0000_t202" filled="false" stroked="false">
              <v:textbox inset="0,0,0,0">
                <w:txbxContent>
                  <w:p>
                    <w:pPr>
                      <w:spacing w:line="86" w:lineRule="exact" w:before="0"/>
                      <w:ind w:left="0" w:right="-15" w:firstLine="0"/>
                      <w:jc w:val="left"/>
                      <w:rPr>
                        <w:rFonts w:ascii="Calibri"/>
                        <w:sz w:val="8"/>
                      </w:rPr>
                    </w:pPr>
                    <w:r>
                      <w:rPr>
                        <w:rFonts w:ascii="Calibri"/>
                        <w:sz w:val="8"/>
                      </w:rPr>
                      <w:t>2011</w:t>
                    </w:r>
                  </w:p>
                </w:txbxContent>
              </v:textbox>
              <w10:wrap type="none"/>
            </v:shape>
            <v:shape style="position:absolute;left:1542;top:3281;width:197;height:87" type="#_x0000_t202" filled="false" stroked="false">
              <v:textbox inset="0,0,0,0">
                <w:txbxContent>
                  <w:p>
                    <w:pPr>
                      <w:spacing w:line="86" w:lineRule="exact" w:before="0"/>
                      <w:ind w:left="0" w:right="-17" w:firstLine="0"/>
                      <w:jc w:val="left"/>
                      <w:rPr>
                        <w:rFonts w:ascii="Calibri"/>
                        <w:sz w:val="8"/>
                      </w:rPr>
                    </w:pPr>
                    <w:r>
                      <w:rPr>
                        <w:rFonts w:ascii="Calibri"/>
                        <w:spacing w:val="-1"/>
                        <w:w w:val="105"/>
                        <w:sz w:val="8"/>
                      </w:rPr>
                      <w:t>(0.76)</w:t>
                    </w:r>
                  </w:p>
                </w:txbxContent>
              </v:textbox>
              <w10:wrap type="none"/>
            </v:shape>
            <v:shape style="position:absolute;left:81;top:3354;width:197;height:87" type="#_x0000_t202" filled="false" stroked="false">
              <v:textbox inset="0,0,0,0">
                <w:txbxContent>
                  <w:p>
                    <w:pPr>
                      <w:spacing w:line="86" w:lineRule="exact" w:before="0"/>
                      <w:ind w:left="0" w:right="-17" w:firstLine="0"/>
                      <w:jc w:val="left"/>
                      <w:rPr>
                        <w:rFonts w:ascii="Calibri"/>
                        <w:sz w:val="8"/>
                      </w:rPr>
                    </w:pPr>
                    <w:r>
                      <w:rPr>
                        <w:rFonts w:ascii="Calibri"/>
                        <w:spacing w:val="-1"/>
                        <w:w w:val="105"/>
                        <w:sz w:val="8"/>
                      </w:rPr>
                      <w:t>(1.00)</w:t>
                    </w:r>
                  </w:p>
                </w:txbxContent>
              </v:textbox>
              <w10:wrap type="none"/>
            </v:shape>
          </v:group>
        </w:pict>
      </w:r>
      <w:r>
        <w:rPr>
          <w:rFonts w:ascii="Cambria Math"/>
          <w:sz w:val="20"/>
        </w:rPr>
      </w:r>
    </w:p>
    <w:p>
      <w:pPr>
        <w:pStyle w:val="BodyText"/>
        <w:rPr>
          <w:rFonts w:ascii="Cambria Math"/>
          <w:sz w:val="20"/>
        </w:rPr>
      </w:pPr>
    </w:p>
    <w:p>
      <w:pPr>
        <w:pStyle w:val="BodyText"/>
        <w:spacing w:before="3"/>
        <w:rPr>
          <w:rFonts w:ascii="Cambria Math"/>
          <w:sz w:val="19"/>
        </w:rPr>
      </w:pPr>
    </w:p>
    <w:p>
      <w:pPr>
        <w:pStyle w:val="BodyText"/>
        <w:spacing w:line="273" w:lineRule="auto" w:before="69"/>
        <w:ind w:left="110" w:right="768"/>
        <w:jc w:val="both"/>
      </w:pPr>
      <w:r>
        <w:rPr/>
        <w:t>En el año 2008 el indicador es negativo debido a que hubo pérdidas a nivel operativo, reportando un total de margen de operación de 52 millones de euros de perdidas; por lo tanto, la empresa no tuvo la capacidad de pagar  sus deudas.</w:t>
      </w:r>
    </w:p>
    <w:p>
      <w:pPr>
        <w:pStyle w:val="BodyText"/>
        <w:spacing w:line="276" w:lineRule="auto" w:before="209"/>
        <w:ind w:left="110" w:right="768" w:firstLine="66"/>
        <w:jc w:val="both"/>
      </w:pPr>
      <w:r>
        <w:rPr/>
        <w:t>Al fin del año 2009 se muestra un incremento de 1.98 puntos, por lo que la empresa recuperó su capacidad de realizar los pagos de intereses contractuales; en otros términos, la empresa pudo pagar 1.98 veces los intereses a través del margen de operación.</w:t>
      </w:r>
    </w:p>
    <w:p>
      <w:pPr>
        <w:pStyle w:val="BodyText"/>
        <w:spacing w:line="276" w:lineRule="auto" w:before="202"/>
        <w:ind w:left="110" w:right="768"/>
        <w:jc w:val="both"/>
      </w:pPr>
      <w:r>
        <w:rPr/>
        <w:t>En el año 2010, este indicador llegó a 7.11; esto indica que con respecto al año 2008 la empresa tuvo una recuperación del margen de operación que le permitió cubrir el pago de los intereses de las deudas 7.11 veces.</w:t>
      </w:r>
    </w:p>
    <w:p>
      <w:pPr>
        <w:pStyle w:val="BodyText"/>
        <w:spacing w:line="276" w:lineRule="auto" w:before="202"/>
        <w:ind w:left="110" w:right="768"/>
        <w:jc w:val="both"/>
      </w:pPr>
      <w:r>
        <w:rPr/>
        <w:t>Finalmente, el año 2011 reporta un ratio de 7.82, es decir un aumento de 0.71 con respecto al año anterior. La empresa fue capaz de pagar los intereses de sus deudas 7.82 veces.</w:t>
      </w:r>
    </w:p>
    <w:p>
      <w:pPr>
        <w:spacing w:after="0" w:line="276" w:lineRule="auto"/>
        <w:jc w:val="both"/>
        <w:sectPr>
          <w:type w:val="continuous"/>
          <w:pgSz w:w="11910" w:h="16840"/>
          <w:pgMar w:top="1380" w:bottom="280" w:left="1600" w:right="920"/>
        </w:sectPr>
      </w:pPr>
    </w:p>
    <w:p>
      <w:pPr>
        <w:pStyle w:val="BodyText"/>
        <w:rPr>
          <w:sz w:val="20"/>
        </w:rPr>
      </w:pPr>
    </w:p>
    <w:p>
      <w:pPr>
        <w:pStyle w:val="BodyText"/>
        <w:spacing w:before="3"/>
        <w:rPr>
          <w:sz w:val="19"/>
        </w:rPr>
      </w:pPr>
    </w:p>
    <w:p>
      <w:pPr>
        <w:pStyle w:val="Heading2"/>
        <w:numPr>
          <w:ilvl w:val="2"/>
          <w:numId w:val="27"/>
        </w:numPr>
        <w:tabs>
          <w:tab w:pos="831" w:val="left" w:leader="none"/>
        </w:tabs>
        <w:spacing w:line="722" w:lineRule="auto" w:before="0" w:after="0"/>
        <w:ind w:left="110" w:right="5292" w:firstLine="0"/>
        <w:jc w:val="left"/>
      </w:pPr>
      <w:r>
        <w:rPr/>
        <w:t>Índices de rentabilidad Margen de utilidad bruta</w:t>
      </w:r>
    </w:p>
    <w:p>
      <w:pPr>
        <w:pStyle w:val="BodyText"/>
        <w:spacing w:before="6"/>
        <w:rPr>
          <w:b/>
          <w:sz w:val="11"/>
        </w:rPr>
      </w:pPr>
    </w:p>
    <w:p>
      <w:pPr>
        <w:spacing w:after="0"/>
        <w:rPr>
          <w:sz w:val="11"/>
        </w:rPr>
        <w:sectPr>
          <w:pgSz w:w="11910" w:h="16840"/>
          <w:pgMar w:header="755" w:footer="724" w:top="960" w:bottom="920" w:left="1600" w:right="1580"/>
        </w:sectPr>
      </w:pPr>
    </w:p>
    <w:p>
      <w:pPr>
        <w:pStyle w:val="BodyText"/>
        <w:spacing w:before="8"/>
        <w:rPr>
          <w:b/>
          <w:sz w:val="21"/>
        </w:rPr>
      </w:pPr>
    </w:p>
    <w:p>
      <w:pPr>
        <w:pStyle w:val="BodyText"/>
        <w:ind w:left="942"/>
        <w:rPr>
          <w:rFonts w:ascii="Cambria Math" w:eastAsia="Cambria Math"/>
        </w:rPr>
      </w:pPr>
      <w:r>
        <w:rPr>
          <w:rFonts w:ascii="Cambria Math" w:eastAsia="Cambria Math"/>
          <w:spacing w:val="-51"/>
        </w:rPr>
        <w:t>𝑀𝑎𝑟𝑔𝑒𝑛 </w:t>
      </w:r>
      <w:r>
        <w:rPr>
          <w:rFonts w:ascii="Cambria Math" w:eastAsia="Cambria Math"/>
          <w:spacing w:val="-50"/>
        </w:rPr>
        <w:t>𝑑𝑒 </w:t>
      </w:r>
      <w:r>
        <w:rPr>
          <w:rFonts w:ascii="Cambria Math" w:eastAsia="Cambria Math"/>
          <w:spacing w:val="-63"/>
        </w:rPr>
        <w:t>𝑢𝑡𝑖𝑙𝑖𝑑𝑎𝑑</w:t>
      </w:r>
      <w:r>
        <w:rPr>
          <w:rFonts w:ascii="Cambria Math" w:eastAsia="Cambria Math"/>
          <w:spacing w:val="-51"/>
        </w:rPr>
        <w:t> </w:t>
      </w:r>
      <w:r>
        <w:rPr>
          <w:rFonts w:ascii="Cambria Math" w:eastAsia="Cambria Math"/>
          <w:spacing w:val="-92"/>
        </w:rPr>
        <w:t>𝑏𝑟𝑢𝑡𝑎</w:t>
      </w:r>
      <w:r>
        <w:rPr>
          <w:rFonts w:ascii="Cambria Math" w:eastAsia="Cambria Math"/>
          <w:spacing w:val="-24"/>
        </w:rPr>
        <w:t> </w:t>
      </w:r>
      <w:r>
        <w:rPr>
          <w:rFonts w:ascii="Cambria Math" w:eastAsia="Cambria Math"/>
          <w:spacing w:val="-91"/>
        </w:rPr>
        <w:t>=</w:t>
      </w:r>
    </w:p>
    <w:p>
      <w:pPr>
        <w:pStyle w:val="BodyText"/>
        <w:spacing w:before="67"/>
        <w:ind w:left="472" w:right="1337"/>
        <w:jc w:val="center"/>
        <w:rPr>
          <w:rFonts w:ascii="Cambria Math" w:hAnsi="Cambria Math" w:eastAsia="Cambria Math"/>
        </w:rPr>
      </w:pPr>
      <w:r>
        <w:rPr/>
        <w:br w:type="column"/>
      </w:r>
      <w:r>
        <w:rPr>
          <w:rFonts w:ascii="Cambria Math" w:hAnsi="Cambria Math" w:eastAsia="Cambria Math"/>
          <w:spacing w:val="-90"/>
        </w:rPr>
        <w:t>𝑣𝑒𝑛𝑡𝑎𝑠</w:t>
      </w:r>
      <w:r>
        <w:rPr>
          <w:rFonts w:ascii="Cambria Math" w:hAnsi="Cambria Math" w:eastAsia="Cambria Math"/>
          <w:spacing w:val="-34"/>
        </w:rPr>
        <w:t> </w:t>
      </w:r>
      <w:r>
        <w:rPr>
          <w:rFonts w:ascii="Cambria Math" w:hAnsi="Cambria Math" w:eastAsia="Cambria Math"/>
          <w:spacing w:val="-90"/>
        </w:rPr>
        <w:t>−</w:t>
      </w:r>
      <w:r>
        <w:rPr>
          <w:rFonts w:ascii="Cambria Math" w:hAnsi="Cambria Math" w:eastAsia="Cambria Math"/>
          <w:spacing w:val="-35"/>
        </w:rPr>
        <w:t> </w:t>
      </w:r>
      <w:r>
        <w:rPr>
          <w:rFonts w:ascii="Cambria Math" w:hAnsi="Cambria Math" w:eastAsia="Cambria Math"/>
          <w:spacing w:val="-90"/>
        </w:rPr>
        <w:t>𝑐𝑜𝑠𝑡𝑜</w:t>
      </w:r>
      <w:r>
        <w:rPr>
          <w:rFonts w:ascii="Cambria Math" w:hAnsi="Cambria Math" w:eastAsia="Cambria Math"/>
          <w:spacing w:val="-34"/>
        </w:rPr>
        <w:t> </w:t>
      </w:r>
      <w:r>
        <w:rPr>
          <w:rFonts w:ascii="Cambria Math" w:hAnsi="Cambria Math" w:eastAsia="Cambria Math"/>
          <w:spacing w:val="-90"/>
        </w:rPr>
        <w:t>𝑑𝑒 </w:t>
      </w:r>
      <w:r>
        <w:rPr>
          <w:rFonts w:ascii="Cambria Math" w:hAnsi="Cambria Math" w:eastAsia="Cambria Math"/>
          <w:spacing w:val="-110"/>
        </w:rPr>
        <w:t>𝑏𝑖𝑒𝑛𝑒𝑠</w:t>
      </w:r>
      <w:r>
        <w:rPr>
          <w:rFonts w:ascii="Cambria Math" w:hAnsi="Cambria Math" w:eastAsia="Cambria Math"/>
          <w:spacing w:val="-31"/>
        </w:rPr>
        <w:t> </w:t>
      </w:r>
      <w:r>
        <w:rPr>
          <w:rFonts w:ascii="Cambria Math" w:hAnsi="Cambria Math" w:eastAsia="Cambria Math"/>
          <w:spacing w:val="-109"/>
        </w:rPr>
        <w:t>𝑣𝑒𝑛𝑑𝑖𝑑𝑜𝑠</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85.8pt;height:.75pt;mso-position-horizontal-relative:char;mso-position-vertical-relative:line" coordorigin="0,0" coordsize="3716,15">
            <v:line style="position:absolute" from="8,8" to="3708,8" stroked="true" strokeweight=".72pt" strokecolor="#000000"/>
          </v:group>
        </w:pict>
      </w:r>
      <w:r>
        <w:rPr>
          <w:rFonts w:ascii="Cambria Math"/>
          <w:sz w:val="2"/>
        </w:rPr>
      </w:r>
    </w:p>
    <w:p>
      <w:pPr>
        <w:pStyle w:val="BodyText"/>
        <w:spacing w:line="265" w:lineRule="exact"/>
        <w:ind w:left="472" w:right="1337"/>
        <w:jc w:val="center"/>
        <w:rPr>
          <w:rFonts w:ascii="Cambria Math" w:eastAsia="Cambria Math"/>
        </w:rPr>
      </w:pPr>
      <w:r>
        <w:rPr>
          <w:rFonts w:ascii="Cambria Math" w:eastAsia="Cambria Math"/>
        </w:rPr>
        <w:t>𝑣𝑒𝑛𝑡𝑎𝑠</w:t>
      </w:r>
    </w:p>
    <w:p>
      <w:pPr>
        <w:spacing w:after="0" w:line="265" w:lineRule="exact"/>
        <w:jc w:val="center"/>
        <w:rPr>
          <w:rFonts w:ascii="Cambria Math" w:eastAsia="Cambria Math"/>
        </w:rPr>
        <w:sectPr>
          <w:type w:val="continuous"/>
          <w:pgSz w:w="11910" w:h="16840"/>
          <w:pgMar w:top="1380" w:bottom="280" w:left="1600" w:right="1580"/>
          <w:cols w:num="2" w:equalWidth="0">
            <w:col w:w="3966" w:space="40"/>
            <w:col w:w="4724"/>
          </w:cols>
        </w:sectPr>
      </w:pPr>
    </w:p>
    <w:p>
      <w:pPr>
        <w:pStyle w:val="BodyText"/>
        <w:spacing w:line="198" w:lineRule="exact"/>
        <w:ind w:left="2681"/>
        <w:rPr>
          <w:rFonts w:ascii="Cambria Math" w:eastAsia="Cambria Math"/>
        </w:rPr>
      </w:pPr>
      <w:r>
        <w:rPr>
          <w:rFonts w:ascii="Cambria Math" w:eastAsia="Cambria Math"/>
          <w:spacing w:val="-109"/>
        </w:rPr>
        <w:t>𝑢𝑡𝑖𝑙𝑖𝑑𝑎𝑑</w:t>
      </w:r>
      <w:r>
        <w:rPr>
          <w:rFonts w:ascii="Cambria Math" w:eastAsia="Cambria Math"/>
          <w:spacing w:val="-28"/>
        </w:rPr>
        <w:t> </w:t>
      </w:r>
      <w:r>
        <w:rPr>
          <w:rFonts w:ascii="Cambria Math" w:eastAsia="Cambria Math"/>
          <w:spacing w:val="-108"/>
        </w:rPr>
        <w:t>𝑏𝑟𝑢𝑡𝑎</w:t>
      </w:r>
    </w:p>
    <w:p>
      <w:pPr>
        <w:pStyle w:val="BodyText"/>
        <w:tabs>
          <w:tab w:pos="3089" w:val="left" w:leader="none"/>
        </w:tabs>
        <w:spacing w:line="391" w:lineRule="exact"/>
        <w:ind w:left="2382"/>
        <w:rPr>
          <w:rFonts w:ascii="Cambria Math" w:eastAsia="Cambria Math"/>
        </w:rPr>
      </w:pPr>
      <w:r>
        <w:rPr/>
        <w:pict>
          <v:line style="position:absolute;mso-position-horizontal-relative:page;mso-position-vertical-relative:paragraph;z-index:-236152" from="213.943893pt,5.488183pt" to="291.463893pt,5.488183pt" stroked="true" strokeweight=".72pt" strokecolor="#000000">
            <w10:wrap type="none"/>
          </v:line>
        </w:pict>
      </w:r>
      <w:r>
        <w:rPr>
          <w:rFonts w:ascii="Cambria Math" w:eastAsia="Cambria Math"/>
          <w:position w:val="16"/>
        </w:rPr>
        <w:t>=</w:t>
        <w:tab/>
      </w:r>
      <w:r>
        <w:rPr>
          <w:rFonts w:ascii="Cambria Math" w:eastAsia="Cambria Math"/>
        </w:rPr>
        <w:t>𝑣𝑒𝑛𝑡𝑎𝑠</w:t>
      </w:r>
    </w:p>
    <w:p>
      <w:pPr>
        <w:pStyle w:val="BodyText"/>
        <w:rPr>
          <w:rFonts w:ascii="Cambria Math"/>
          <w:sz w:val="20"/>
        </w:rPr>
      </w:pPr>
    </w:p>
    <w:p>
      <w:pPr>
        <w:pStyle w:val="BodyText"/>
        <w:rPr>
          <w:rFonts w:ascii="Cambria Math"/>
          <w:sz w:val="20"/>
        </w:rPr>
      </w:pPr>
    </w:p>
    <w:p>
      <w:pPr>
        <w:pStyle w:val="BodyText"/>
        <w:spacing w:before="3"/>
        <w:rPr>
          <w:rFonts w:ascii="Cambria Math"/>
          <w:sz w:val="17"/>
        </w:rPr>
      </w:pPr>
      <w:r>
        <w:rPr/>
        <w:pict>
          <v:group style="position:absolute;margin-left:85.25898pt;margin-top:12.068924pt;width:425.95pt;height:290pt;mso-position-horizontal-relative:page;mso-position-vertical-relative:paragraph;z-index:8776;mso-wrap-distance-left:0;mso-wrap-distance-right:0" coordorigin="1705,241" coordsize="8519,5800">
            <v:line style="position:absolute" from="2485,5092" to="7122,5092" stroked="true" strokeweight=".75pt" strokecolor="#989898"/>
            <v:line style="position:absolute" from="2485,4655" to="7122,4655" stroked="true" strokeweight=".75pt" strokecolor="#989898"/>
            <v:line style="position:absolute" from="2485,4218" to="7122,4218" stroked="true" strokeweight=".75pt" strokecolor="#989898"/>
            <v:line style="position:absolute" from="2485,3782" to="7122,3782" stroked="true" strokeweight=".75pt" strokecolor="#989898"/>
            <v:line style="position:absolute" from="2485,3345" to="7122,3345" stroked="true" strokeweight=".75pt" strokecolor="#989898"/>
            <v:line style="position:absolute" from="2485,2908" to="7122,2908" stroked="true" strokeweight=".75pt" strokecolor="#989898"/>
            <v:line style="position:absolute" from="2485,2471" to="7122,2471" stroked="true" strokeweight=".75pt" strokecolor="#989898"/>
            <v:line style="position:absolute" from="2485,2034" to="7122,2034" stroked="true" strokeweight=".75pt" strokecolor="#989898"/>
            <v:line style="position:absolute" from="2485,1598" to="7122,1598" stroked="true" strokeweight=".75pt" strokecolor="#989898"/>
            <v:line style="position:absolute" from="2485,1161" to="7122,1161" stroked="true" strokeweight=".75pt" strokecolor="#989898"/>
            <v:line style="position:absolute" from="2483,5527" to="2483,1161" stroked="true" strokeweight=".75pt" strokecolor="#989898"/>
            <v:line style="position:absolute" from="2418,5527" to="2483,5527" stroked="true" strokeweight=".75pt" strokecolor="#989898"/>
            <v:line style="position:absolute" from="2418,5092" to="2483,5092" stroked="true" strokeweight=".75pt" strokecolor="#989898"/>
            <v:line style="position:absolute" from="2418,4655" to="2483,4655" stroked="true" strokeweight=".75pt" strokecolor="#989898"/>
            <v:line style="position:absolute" from="2418,4218" to="2483,4218" stroked="true" strokeweight=".75pt" strokecolor="#989898"/>
            <v:line style="position:absolute" from="2418,3782" to="2483,3782" stroked="true" strokeweight=".75pt" strokecolor="#989898"/>
            <v:line style="position:absolute" from="2418,3345" to="2483,3345" stroked="true" strokeweight=".75pt" strokecolor="#989898"/>
            <v:line style="position:absolute" from="2418,2908" to="2483,2908" stroked="true" strokeweight=".75pt" strokecolor="#989898"/>
            <v:line style="position:absolute" from="2418,2471" to="2483,2471" stroked="true" strokeweight=".75pt" strokecolor="#989898"/>
            <v:line style="position:absolute" from="2418,2034" to="2483,2034" stroked="true" strokeweight=".75pt" strokecolor="#989898"/>
            <v:line style="position:absolute" from="2418,1598" to="2483,1598" stroked="true" strokeweight=".75pt" strokecolor="#989898"/>
            <v:line style="position:absolute" from="2418,1161" to="2483,1161" stroked="true" strokeweight=".75pt" strokecolor="#989898"/>
            <v:line style="position:absolute" from="2483,5527" to="7124,5527" stroked="true" strokeweight=".75pt" strokecolor="#989898"/>
            <v:line style="position:absolute" from="2485,5529" to="2485,5590" stroked="true" strokeweight=".75pt" strokecolor="#989898"/>
            <v:line style="position:absolute" from="3642,5529" to="3642,5590" stroked="true" strokeweight=".75pt" strokecolor="#989898"/>
            <v:line style="position:absolute" from="4804,5529" to="4804,5590" stroked="true" strokeweight=".75pt" strokecolor="#989898"/>
            <v:line style="position:absolute" from="5965,5529" to="5965,5590" stroked="true" strokeweight=".75pt" strokecolor="#989898"/>
            <v:line style="position:absolute" from="7122,5529" to="7122,5590" stroked="true" strokeweight=".75pt" strokecolor="#989898"/>
            <v:line style="position:absolute" from="3061,3959" to="4223,4064" stroked="true" strokeweight="3.75pt" strokecolor="#727272"/>
            <v:line style="position:absolute" from="4223,4064" to="5385,1588" stroked="true" strokeweight="3.75pt" strokecolor="#727272"/>
            <v:line style="position:absolute" from="5385,1588" to="6544,2510" stroked="true" strokeweight="3.75pt" strokecolor="#727272"/>
            <v:line style="position:absolute" from="7492,3467" to="7876,3467" stroked="true" strokeweight="3.75pt" strokecolor="#727272"/>
            <v:rect style="position:absolute;left:1713;top:249;width:8504;height:5785" filled="false" stroked="true" strokeweight=".75pt" strokecolor="#989898"/>
            <v:shape style="position:absolute;left:4092;top:518;width:3746;height:360" type="#_x0000_t202" filled="false" stroked="false">
              <v:textbox inset="0,0,0,0">
                <w:txbxContent>
                  <w:p>
                    <w:pPr>
                      <w:spacing w:line="360" w:lineRule="exact" w:before="0"/>
                      <w:ind w:left="0" w:right="-20" w:firstLine="0"/>
                      <w:jc w:val="left"/>
                      <w:rPr>
                        <w:rFonts w:ascii="Calibri"/>
                        <w:b/>
                        <w:sz w:val="36"/>
                      </w:rPr>
                    </w:pPr>
                    <w:r>
                      <w:rPr>
                        <w:rFonts w:ascii="Calibri"/>
                        <w:b/>
                        <w:sz w:val="36"/>
                      </w:rPr>
                      <w:t>Margen de utilidad</w:t>
                    </w:r>
                    <w:r>
                      <w:rPr>
                        <w:rFonts w:ascii="Calibri"/>
                        <w:b/>
                        <w:spacing w:val="-3"/>
                        <w:sz w:val="36"/>
                      </w:rPr>
                      <w:t> </w:t>
                    </w:r>
                    <w:r>
                      <w:rPr>
                        <w:rFonts w:ascii="Calibri"/>
                        <w:b/>
                        <w:sz w:val="36"/>
                      </w:rPr>
                      <w:t>bruta</w:t>
                    </w:r>
                  </w:p>
                </w:txbxContent>
              </v:textbox>
              <w10:wrap type="none"/>
            </v:shape>
            <v:shape style="position:absolute;left:1898;top:1085;width:355;height:637" type="#_x0000_t202" filled="false" stroked="false">
              <v:textbox inset="0,0,0,0">
                <w:txbxContent>
                  <w:p>
                    <w:pPr>
                      <w:spacing w:line="210" w:lineRule="exact" w:before="0"/>
                      <w:ind w:left="0" w:right="-20" w:firstLine="0"/>
                      <w:jc w:val="left"/>
                      <w:rPr>
                        <w:rFonts w:ascii="Calibri"/>
                        <w:sz w:val="20"/>
                      </w:rPr>
                    </w:pPr>
                    <w:r>
                      <w:rPr>
                        <w:rFonts w:ascii="Calibri"/>
                        <w:sz w:val="20"/>
                      </w:rPr>
                      <w:t>0.19</w:t>
                    </w:r>
                  </w:p>
                  <w:p>
                    <w:pPr>
                      <w:spacing w:line="240" w:lineRule="auto" w:before="4"/>
                      <w:rPr>
                        <w:rFonts w:ascii="Cambria Math"/>
                        <w:sz w:val="16"/>
                      </w:rPr>
                    </w:pPr>
                  </w:p>
                  <w:p>
                    <w:pPr>
                      <w:spacing w:line="234" w:lineRule="exact" w:before="1"/>
                      <w:ind w:left="0" w:right="-20" w:firstLine="0"/>
                      <w:jc w:val="left"/>
                      <w:rPr>
                        <w:rFonts w:ascii="Calibri"/>
                        <w:sz w:val="20"/>
                      </w:rPr>
                    </w:pPr>
                    <w:r>
                      <w:rPr>
                        <w:rFonts w:ascii="Calibri"/>
                        <w:sz w:val="20"/>
                      </w:rPr>
                      <w:t>0.18</w:t>
                    </w:r>
                  </w:p>
                </w:txbxContent>
              </v:textbox>
              <w10:wrap type="none"/>
            </v:shape>
            <v:shape style="position:absolute;left:5619;top:151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0.18</w:t>
                    </w:r>
                  </w:p>
                </w:txbxContent>
              </v:textbox>
              <w10:wrap type="none"/>
            </v:shape>
            <v:shape style="position:absolute;left:1898;top:1958;width:355;height:637" type="#_x0000_t202" filled="false" stroked="false">
              <v:textbox inset="0,0,0,0">
                <w:txbxContent>
                  <w:p>
                    <w:pPr>
                      <w:spacing w:line="210" w:lineRule="exact" w:before="0"/>
                      <w:ind w:left="0" w:right="-20" w:firstLine="0"/>
                      <w:jc w:val="left"/>
                      <w:rPr>
                        <w:rFonts w:ascii="Calibri"/>
                        <w:sz w:val="20"/>
                      </w:rPr>
                    </w:pPr>
                    <w:r>
                      <w:rPr>
                        <w:rFonts w:ascii="Calibri"/>
                        <w:sz w:val="20"/>
                      </w:rPr>
                      <w:t>0.18</w:t>
                    </w:r>
                  </w:p>
                  <w:p>
                    <w:pPr>
                      <w:spacing w:line="240" w:lineRule="auto" w:before="4"/>
                      <w:rPr>
                        <w:rFonts w:ascii="Cambria Math"/>
                        <w:sz w:val="16"/>
                      </w:rPr>
                    </w:pPr>
                  </w:p>
                  <w:p>
                    <w:pPr>
                      <w:spacing w:line="234" w:lineRule="exact" w:before="1"/>
                      <w:ind w:left="0" w:right="-20" w:firstLine="0"/>
                      <w:jc w:val="left"/>
                      <w:rPr>
                        <w:rFonts w:ascii="Calibri"/>
                        <w:sz w:val="20"/>
                      </w:rPr>
                    </w:pPr>
                    <w:r>
                      <w:rPr>
                        <w:rFonts w:ascii="Calibri"/>
                        <w:sz w:val="20"/>
                      </w:rPr>
                      <w:t>0.17</w:t>
                    </w:r>
                  </w:p>
                </w:txbxContent>
              </v:textbox>
              <w10:wrap type="none"/>
            </v:shape>
            <v:shape style="position:absolute;left:6779;top:243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0.17</w:t>
                    </w:r>
                  </w:p>
                </w:txbxContent>
              </v:textbox>
              <w10:wrap type="none"/>
            </v:shape>
            <v:shape style="position:absolute;left:1898;top:2831;width:355;height:637" type="#_x0000_t202" filled="false" stroked="false">
              <v:textbox inset="0,0,0,0">
                <w:txbxContent>
                  <w:p>
                    <w:pPr>
                      <w:spacing w:line="210" w:lineRule="exact" w:before="0"/>
                      <w:ind w:left="0" w:right="-20" w:firstLine="0"/>
                      <w:jc w:val="left"/>
                      <w:rPr>
                        <w:rFonts w:ascii="Calibri"/>
                        <w:sz w:val="20"/>
                      </w:rPr>
                    </w:pPr>
                    <w:r>
                      <w:rPr>
                        <w:rFonts w:ascii="Calibri"/>
                        <w:sz w:val="20"/>
                      </w:rPr>
                      <w:t>0.17</w:t>
                    </w:r>
                  </w:p>
                  <w:p>
                    <w:pPr>
                      <w:spacing w:line="240" w:lineRule="auto" w:before="4"/>
                      <w:rPr>
                        <w:rFonts w:ascii="Cambria Math"/>
                        <w:sz w:val="16"/>
                      </w:rPr>
                    </w:pPr>
                  </w:p>
                  <w:p>
                    <w:pPr>
                      <w:spacing w:line="234" w:lineRule="exact" w:before="1"/>
                      <w:ind w:left="0" w:right="-20" w:firstLine="0"/>
                      <w:jc w:val="left"/>
                      <w:rPr>
                        <w:rFonts w:ascii="Calibri"/>
                        <w:sz w:val="20"/>
                      </w:rPr>
                    </w:pPr>
                    <w:r>
                      <w:rPr>
                        <w:rFonts w:ascii="Calibri"/>
                        <w:sz w:val="20"/>
                      </w:rPr>
                      <w:t>0.16</w:t>
                    </w:r>
                  </w:p>
                </w:txbxContent>
              </v:textbox>
              <w10:wrap type="none"/>
            </v:shape>
            <v:shape style="position:absolute;left:7914;top:3389;width:2033;height:200" type="#_x0000_t202" filled="false" stroked="false">
              <v:textbox inset="0,0,0,0">
                <w:txbxContent>
                  <w:p>
                    <w:pPr>
                      <w:spacing w:line="200" w:lineRule="exact" w:before="0"/>
                      <w:ind w:left="0" w:right="-19" w:firstLine="0"/>
                      <w:jc w:val="left"/>
                      <w:rPr>
                        <w:rFonts w:ascii="Calibri"/>
                        <w:sz w:val="20"/>
                      </w:rPr>
                    </w:pPr>
                    <w:r>
                      <w:rPr>
                        <w:rFonts w:ascii="Calibri"/>
                        <w:sz w:val="20"/>
                      </w:rPr>
                      <w:t>Margen de utilidad</w:t>
                    </w:r>
                    <w:r>
                      <w:rPr>
                        <w:rFonts w:ascii="Calibri"/>
                        <w:spacing w:val="-2"/>
                        <w:sz w:val="20"/>
                      </w:rPr>
                      <w:t> </w:t>
                    </w:r>
                    <w:r>
                      <w:rPr>
                        <w:rFonts w:ascii="Calibri"/>
                        <w:sz w:val="20"/>
                      </w:rPr>
                      <w:t>bruta</w:t>
                    </w:r>
                  </w:p>
                </w:txbxContent>
              </v:textbox>
              <w10:wrap type="none"/>
            </v:shape>
            <v:shape style="position:absolute;left:1898;top:370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0.16</w:t>
                    </w:r>
                  </w:p>
                </w:txbxContent>
              </v:textbox>
              <w10:wrap type="none"/>
            </v:shape>
            <v:shape style="position:absolute;left:3299;top:388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0.15</w:t>
                    </w:r>
                  </w:p>
                </w:txbxContent>
              </v:textbox>
              <w10:wrap type="none"/>
            </v:shape>
            <v:shape style="position:absolute;left:1898;top:414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0.15</w:t>
                    </w:r>
                  </w:p>
                </w:txbxContent>
              </v:textbox>
              <w10:wrap type="none"/>
            </v:shape>
            <v:shape style="position:absolute;left:4459;top:398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0.15</w:t>
                    </w:r>
                  </w:p>
                </w:txbxContent>
              </v:textbox>
              <w10:wrap type="none"/>
            </v:shape>
            <v:shape style="position:absolute;left:1898;top:4578;width:355;height:1074" type="#_x0000_t202" filled="false" stroked="false">
              <v:textbox inset="0,0,0,0">
                <w:txbxContent>
                  <w:p>
                    <w:pPr>
                      <w:spacing w:line="210" w:lineRule="exact" w:before="0"/>
                      <w:ind w:left="0" w:right="-20" w:firstLine="0"/>
                      <w:jc w:val="left"/>
                      <w:rPr>
                        <w:rFonts w:ascii="Calibri"/>
                        <w:sz w:val="20"/>
                      </w:rPr>
                    </w:pPr>
                    <w:r>
                      <w:rPr>
                        <w:rFonts w:ascii="Calibri"/>
                        <w:sz w:val="20"/>
                      </w:rPr>
                      <w:t>0.15</w:t>
                    </w:r>
                  </w:p>
                  <w:p>
                    <w:pPr>
                      <w:spacing w:line="240" w:lineRule="auto" w:before="4"/>
                      <w:rPr>
                        <w:rFonts w:ascii="Cambria Math"/>
                        <w:sz w:val="16"/>
                      </w:rPr>
                    </w:pPr>
                  </w:p>
                  <w:p>
                    <w:pPr>
                      <w:spacing w:before="1"/>
                      <w:ind w:left="0" w:right="-20" w:firstLine="0"/>
                      <w:jc w:val="left"/>
                      <w:rPr>
                        <w:rFonts w:ascii="Calibri"/>
                        <w:sz w:val="20"/>
                      </w:rPr>
                    </w:pPr>
                    <w:r>
                      <w:rPr>
                        <w:rFonts w:ascii="Calibri"/>
                        <w:sz w:val="20"/>
                      </w:rPr>
                      <w:t>0.14</w:t>
                    </w:r>
                  </w:p>
                  <w:p>
                    <w:pPr>
                      <w:spacing w:line="240" w:lineRule="auto" w:before="4"/>
                      <w:rPr>
                        <w:rFonts w:ascii="Cambria Math"/>
                        <w:sz w:val="16"/>
                      </w:rPr>
                    </w:pPr>
                  </w:p>
                  <w:p>
                    <w:pPr>
                      <w:spacing w:line="234" w:lineRule="exact" w:before="1"/>
                      <w:ind w:left="0" w:right="-20" w:firstLine="0"/>
                      <w:jc w:val="left"/>
                      <w:rPr>
                        <w:rFonts w:ascii="Calibri"/>
                        <w:sz w:val="20"/>
                      </w:rPr>
                    </w:pPr>
                    <w:r>
                      <w:rPr>
                        <w:rFonts w:ascii="Calibri"/>
                        <w:sz w:val="20"/>
                      </w:rPr>
                      <w:t>0.14</w:t>
                    </w:r>
                  </w:p>
                </w:txbxContent>
              </v:textbox>
              <w10:wrap type="none"/>
            </v:shape>
            <v:shape style="position:absolute;left:2861;top:5698;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4021;top:5698;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181;top:5698;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6341;top:5698;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w10:wrap type="topAndBottom"/>
          </v:group>
        </w:pict>
      </w:r>
    </w:p>
    <w:p>
      <w:pPr>
        <w:pStyle w:val="BodyText"/>
        <w:rPr>
          <w:rFonts w:ascii="Cambria Math"/>
          <w:sz w:val="16"/>
        </w:rPr>
      </w:pPr>
    </w:p>
    <w:p>
      <w:pPr>
        <w:pStyle w:val="BodyText"/>
        <w:spacing w:line="276" w:lineRule="auto" w:before="70"/>
        <w:ind w:left="110" w:right="108"/>
        <w:jc w:val="both"/>
      </w:pPr>
      <w:r>
        <w:rPr/>
        <w:t>Por cada euro vendido, la empresa obtuvo una ganancia de alrededor de 15% durante 2008 y 2009, es decir, de cada dólar de ganancias el 17% permite pagar los gastos generales. En el 2010 hubo un incremento de 3% con  respecto al año anterior; de cada euro de ganancias, el 18% permitió cubrir los gastos de ventas y gastos generales. En 2011 por cada euro vendido, la empresa obtuvo una utilidad bruta de 17%, que le permitió pagar sus gastos de venta y producción.</w:t>
      </w:r>
    </w:p>
    <w:p>
      <w:pPr>
        <w:spacing w:after="0" w:line="276"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BodyText"/>
        <w:ind w:left="2815"/>
      </w:pPr>
      <w:r>
        <w:rPr/>
        <w:t>Margen de utilidad operativa.</w:t>
      </w:r>
    </w:p>
    <w:p>
      <w:pPr>
        <w:pStyle w:val="BodyText"/>
        <w:rPr>
          <w:sz w:val="20"/>
        </w:rPr>
      </w:pPr>
    </w:p>
    <w:p>
      <w:pPr>
        <w:pStyle w:val="BodyText"/>
        <w:rPr>
          <w:sz w:val="20"/>
        </w:rPr>
      </w:pPr>
    </w:p>
    <w:p>
      <w:pPr>
        <w:pStyle w:val="BodyText"/>
        <w:spacing w:before="5"/>
        <w:rPr>
          <w:sz w:val="18"/>
        </w:rPr>
      </w:pPr>
    </w:p>
    <w:p>
      <w:pPr>
        <w:spacing w:after="0"/>
        <w:rPr>
          <w:sz w:val="18"/>
        </w:rPr>
        <w:sectPr>
          <w:pgSz w:w="11910" w:h="16840"/>
          <w:pgMar w:header="755" w:footer="724" w:top="960" w:bottom="920" w:left="1600" w:right="1580"/>
        </w:sectPr>
      </w:pPr>
    </w:p>
    <w:p>
      <w:pPr>
        <w:pStyle w:val="BodyText"/>
        <w:spacing w:before="7"/>
        <w:rPr>
          <w:sz w:val="21"/>
        </w:rPr>
      </w:pPr>
    </w:p>
    <w:p>
      <w:pPr>
        <w:pStyle w:val="BodyText"/>
        <w:ind w:left="1563"/>
        <w:rPr>
          <w:rFonts w:ascii="Cambria Math" w:eastAsia="Cambria Math"/>
        </w:rPr>
      </w:pPr>
      <w:r>
        <w:rPr>
          <w:rFonts w:ascii="Cambria Math" w:eastAsia="Cambria Math"/>
          <w:spacing w:val="-29"/>
        </w:rPr>
        <w:t>𝑀𝑎𝑟𝑔𝑒𝑛 </w:t>
      </w:r>
      <w:r>
        <w:rPr>
          <w:rFonts w:ascii="Cambria Math" w:eastAsia="Cambria Math"/>
          <w:spacing w:val="-28"/>
        </w:rPr>
        <w:t>𝑑𝑒 </w:t>
      </w:r>
      <w:r>
        <w:rPr>
          <w:rFonts w:ascii="Cambria Math" w:eastAsia="Cambria Math"/>
          <w:spacing w:val="-43"/>
        </w:rPr>
        <w:t>𝑢𝑡𝑖𝑙𝑖𝑑𝑎𝑑 </w:t>
      </w:r>
      <w:r>
        <w:rPr>
          <w:rFonts w:ascii="Cambria Math" w:eastAsia="Cambria Math"/>
          <w:spacing w:val="-105"/>
        </w:rPr>
        <w:t>𝑜𝑝𝑒𝑟𝑎𝑡𝑖𝑣𝑎</w:t>
      </w:r>
      <w:r>
        <w:rPr>
          <w:rFonts w:ascii="Cambria Math" w:eastAsia="Cambria Math"/>
          <w:spacing w:val="-12"/>
        </w:rPr>
        <w:t> </w:t>
      </w:r>
      <w:r>
        <w:rPr>
          <w:rFonts w:ascii="Cambria Math" w:eastAsia="Cambria Math"/>
          <w:spacing w:val="-104"/>
        </w:rPr>
        <w:t>=</w:t>
      </w:r>
    </w:p>
    <w:p>
      <w:pPr>
        <w:pStyle w:val="BodyText"/>
        <w:spacing w:before="66"/>
        <w:ind w:left="489" w:right="1976"/>
        <w:jc w:val="center"/>
        <w:rPr>
          <w:rFonts w:ascii="Cambria Math" w:eastAsia="Cambria Math"/>
        </w:rPr>
      </w:pPr>
      <w:r>
        <w:rPr/>
        <w:br w:type="column"/>
      </w:r>
      <w:r>
        <w:rPr>
          <w:rFonts w:ascii="Cambria Math" w:eastAsia="Cambria Math"/>
          <w:spacing w:val="-107"/>
        </w:rPr>
        <w:t>𝑢𝑡𝑖𝑙𝑖𝑑𝑎𝑑</w:t>
      </w:r>
      <w:r>
        <w:rPr>
          <w:rFonts w:ascii="Cambria Math" w:eastAsia="Cambria Math"/>
          <w:spacing w:val="-51"/>
        </w:rPr>
        <w:t> </w:t>
      </w:r>
      <w:r>
        <w:rPr>
          <w:rFonts w:ascii="Cambria Math" w:eastAsia="Cambria Math"/>
          <w:spacing w:val="-113"/>
        </w:rPr>
        <w:t>𝑜𝑝𝑒𝑟𝑎𝑡𝑖𝑣𝑎</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100.85pt;height:.75pt;mso-position-horizontal-relative:char;mso-position-vertical-relative:line" coordorigin="0,0" coordsize="2017,15">
            <v:line style="position:absolute" from="8,8" to="2009,8" stroked="true" strokeweight=".72pt" strokecolor="#000000"/>
          </v:group>
        </w:pict>
      </w:r>
      <w:r>
        <w:rPr>
          <w:rFonts w:ascii="Cambria Math"/>
          <w:sz w:val="2"/>
        </w:rPr>
      </w:r>
    </w:p>
    <w:p>
      <w:pPr>
        <w:pStyle w:val="BodyText"/>
        <w:ind w:left="489" w:right="1975"/>
        <w:jc w:val="center"/>
        <w:rPr>
          <w:rFonts w:ascii="Cambria Math" w:eastAsia="Cambria Math"/>
        </w:rPr>
      </w:pPr>
      <w:r>
        <w:rPr>
          <w:rFonts w:ascii="Cambria Math" w:eastAsia="Cambria Math"/>
          <w:spacing w:val="-77"/>
        </w:rPr>
        <w:t>𝑣𝑒𝑛𝑡𝑎𝑠</w:t>
      </w:r>
    </w:p>
    <w:p>
      <w:pPr>
        <w:spacing w:after="0"/>
        <w:jc w:val="center"/>
        <w:rPr>
          <w:rFonts w:ascii="Cambria Math" w:eastAsia="Cambria Math"/>
        </w:rPr>
        <w:sectPr>
          <w:type w:val="continuous"/>
          <w:pgSz w:w="11910" w:h="16840"/>
          <w:pgMar w:top="1380" w:bottom="280" w:left="1600" w:right="1580"/>
          <w:cols w:num="2" w:equalWidth="0">
            <w:col w:w="5041" w:space="40"/>
            <w:col w:w="3649"/>
          </w:cols>
        </w:sectPr>
      </w:pPr>
    </w:p>
    <w:p>
      <w:pPr>
        <w:pStyle w:val="BodyText"/>
        <w:rPr>
          <w:rFonts w:ascii="Cambria Math"/>
          <w:sz w:val="20"/>
        </w:rPr>
      </w:pPr>
    </w:p>
    <w:p>
      <w:pPr>
        <w:pStyle w:val="BodyText"/>
        <w:rPr>
          <w:rFonts w:ascii="Cambria Math"/>
          <w:sz w:val="20"/>
        </w:rPr>
      </w:pPr>
    </w:p>
    <w:p>
      <w:pPr>
        <w:pStyle w:val="BodyText"/>
        <w:spacing w:before="3"/>
        <w:rPr>
          <w:rFonts w:ascii="Cambria Math"/>
          <w:sz w:val="20"/>
        </w:rPr>
      </w:pPr>
    </w:p>
    <w:p>
      <w:pPr>
        <w:pStyle w:val="BodyText"/>
        <w:ind w:left="105"/>
        <w:rPr>
          <w:rFonts w:ascii="Cambria Math"/>
          <w:sz w:val="20"/>
        </w:rPr>
      </w:pPr>
      <w:r>
        <w:rPr>
          <w:rFonts w:ascii="Cambria Math"/>
          <w:sz w:val="20"/>
        </w:rPr>
        <w:pict>
          <v:group style="width:425.95pt;height:289.850pt;mso-position-horizontal-relative:char;mso-position-vertical-relative:line" coordorigin="0,0" coordsize="8519,5797">
            <v:line style="position:absolute" from="780,4659" to="5907,4659" stroked="true" strokeweight=".75pt" strokecolor="#989898"/>
            <v:line style="position:absolute" from="780,4035" to="5907,4035" stroked="true" strokeweight=".75pt" strokecolor="#989898"/>
            <v:line style="position:absolute" from="780,3411" to="5907,3411" stroked="true" strokeweight=".75pt" strokecolor="#989898"/>
            <v:line style="position:absolute" from="780,2792" to="5907,2792" stroked="true" strokeweight=".75pt" strokecolor="#989898"/>
            <v:line style="position:absolute" from="780,2168" to="5907,2168" stroked="true" strokeweight=".75pt" strokecolor="#989898"/>
            <v:line style="position:absolute" from="780,1544" to="5907,1544" stroked="true" strokeweight=".75pt" strokecolor="#989898"/>
            <v:line style="position:absolute" from="780,920" to="5907,920" stroked="true" strokeweight=".75pt" strokecolor="#989898"/>
            <v:line style="position:absolute" from="778,5283" to="778,920" stroked="true" strokeweight=".75pt" strokecolor="#989898"/>
            <v:line style="position:absolute" from="713,5283" to="778,5283" stroked="true" strokeweight=".75pt" strokecolor="#989898"/>
            <v:line style="position:absolute" from="713,4659" to="778,4659" stroked="true" strokeweight=".75pt" strokecolor="#989898"/>
            <v:line style="position:absolute" from="713,4035" to="778,4035" stroked="true" strokeweight=".75pt" strokecolor="#989898"/>
            <v:line style="position:absolute" from="713,3411" to="778,3411" stroked="true" strokeweight=".75pt" strokecolor="#989898"/>
            <v:line style="position:absolute" from="713,2792" to="778,2792" stroked="true" strokeweight=".75pt" strokecolor="#989898"/>
            <v:line style="position:absolute" from="713,2168" to="778,2168" stroked="true" strokeweight=".75pt" strokecolor="#989898"/>
            <v:line style="position:absolute" from="713,1544" to="778,1544" stroked="true" strokeweight=".75pt" strokecolor="#989898"/>
            <v:line style="position:absolute" from="713,920" to="778,920" stroked="true" strokeweight=".75pt" strokecolor="#989898"/>
            <v:line style="position:absolute" from="778,5283" to="5907,5283" stroked="true" strokeweight=".75pt" strokecolor="#989898"/>
            <v:line style="position:absolute" from="780,5283" to="780,5345" stroked="true" strokeweight=".75pt" strokecolor="#989898"/>
            <v:line style="position:absolute" from="2062,5283" to="2062,5345" stroked="true" strokeweight=".75pt" strokecolor="#989898"/>
            <v:line style="position:absolute" from="3343,5283" to="3343,5345" stroked="true" strokeweight=".75pt" strokecolor="#989898"/>
            <v:line style="position:absolute" from="4625,5283" to="4625,5345" stroked="true" strokeweight=".75pt" strokecolor="#989898"/>
            <v:line style="position:absolute" from="5907,5283" to="5907,5345" stroked="true" strokeweight=".75pt" strokecolor="#989898"/>
            <v:line style="position:absolute" from="1419,3632" to="2700,4177" stroked="true" strokeweight="3.75pt" strokecolor="#727272"/>
            <v:line style="position:absolute" from="2700,4177" to="3982,1467" stroked="true" strokeweight="3.75pt" strokecolor="#727272"/>
            <v:line style="position:absolute" from="3982,1467" to="5264,1246" stroked="true" strokeweight="3.75pt" strokecolor="#727272"/>
            <v:line style="position:absolute" from="6275,3104" to="6659,3104" stroked="true" strokeweight="3.75pt" strokecolor="#727272"/>
            <v:rect style="position:absolute;left:7;top:7;width:8504;height:5782" filled="false" stroked="true" strokeweight=".75pt" strokecolor="#989898"/>
            <v:shape style="position:absolute;left:2079;top:277;width:4362;height:360" type="#_x0000_t202" filled="false" stroked="false">
              <v:textbox inset="0,0,0,0">
                <w:txbxContent>
                  <w:p>
                    <w:pPr>
                      <w:spacing w:line="360" w:lineRule="exact" w:before="0"/>
                      <w:ind w:left="0" w:right="-20" w:firstLine="0"/>
                      <w:jc w:val="left"/>
                      <w:rPr>
                        <w:rFonts w:ascii="Calibri"/>
                        <w:b/>
                        <w:sz w:val="36"/>
                      </w:rPr>
                    </w:pPr>
                    <w:r>
                      <w:rPr>
                        <w:rFonts w:ascii="Calibri"/>
                        <w:b/>
                        <w:sz w:val="36"/>
                      </w:rPr>
                      <w:t>Margen de utilidad</w:t>
                    </w:r>
                    <w:r>
                      <w:rPr>
                        <w:rFonts w:ascii="Calibri"/>
                        <w:b/>
                        <w:spacing w:val="-5"/>
                        <w:sz w:val="36"/>
                      </w:rPr>
                      <w:t> </w:t>
                    </w:r>
                    <w:r>
                      <w:rPr>
                        <w:rFonts w:ascii="Calibri"/>
                        <w:b/>
                        <w:sz w:val="36"/>
                      </w:rPr>
                      <w:t>operativa</w:t>
                    </w:r>
                  </w:p>
                </w:txbxContent>
              </v:textbox>
              <w10:wrap type="none"/>
            </v:shape>
            <v:shape style="position:absolute;left:193;top:84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0.07</w:t>
                    </w:r>
                  </w:p>
                </w:txbxContent>
              </v:textbox>
              <w10:wrap type="none"/>
            </v:shape>
            <v:shape style="position:absolute;left:5501;top:116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0.06</w:t>
                    </w:r>
                  </w:p>
                </w:txbxContent>
              </v:textbox>
              <w10:wrap type="none"/>
            </v:shape>
            <v:shape style="position:absolute;left:193;top:146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0.06</w:t>
                    </w:r>
                  </w:p>
                </w:txbxContent>
              </v:textbox>
              <w10:wrap type="none"/>
            </v:shape>
            <v:shape style="position:absolute;left:4219;top:138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0.06</w:t>
                    </w:r>
                  </w:p>
                </w:txbxContent>
              </v:textbox>
              <w10:wrap type="none"/>
            </v:shape>
            <v:shape style="position:absolute;left:193;top:209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0.05</w:t>
                    </w:r>
                  </w:p>
                </w:txbxContent>
              </v:textbox>
              <w10:wrap type="none"/>
            </v:shape>
            <v:shape style="position:absolute;left:193;top:271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v:shape style="position:absolute;left:193;top:333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6697;top:3026;width:1545;height:440" type="#_x0000_t202" filled="false" stroked="false">
              <v:textbox inset="0,0,0,0">
                <w:txbxContent>
                  <w:p>
                    <w:pPr>
                      <w:spacing w:line="208" w:lineRule="exact" w:before="0"/>
                      <w:ind w:left="0" w:right="-19" w:firstLine="0"/>
                      <w:jc w:val="left"/>
                      <w:rPr>
                        <w:rFonts w:ascii="Calibri"/>
                        <w:sz w:val="20"/>
                      </w:rPr>
                    </w:pPr>
                    <w:r>
                      <w:rPr>
                        <w:rFonts w:ascii="Calibri"/>
                        <w:sz w:val="20"/>
                      </w:rPr>
                      <w:t>Margen de</w:t>
                    </w:r>
                    <w:r>
                      <w:rPr>
                        <w:rFonts w:ascii="Calibri"/>
                        <w:spacing w:val="-2"/>
                        <w:sz w:val="20"/>
                      </w:rPr>
                      <w:t> </w:t>
                    </w:r>
                    <w:r>
                      <w:rPr>
                        <w:rFonts w:ascii="Calibri"/>
                        <w:sz w:val="20"/>
                      </w:rPr>
                      <w:t>utilidad</w:t>
                    </w:r>
                  </w:p>
                  <w:p>
                    <w:pPr>
                      <w:spacing w:line="232" w:lineRule="exact" w:before="0"/>
                      <w:ind w:left="0" w:right="-19" w:firstLine="0"/>
                      <w:jc w:val="left"/>
                      <w:rPr>
                        <w:rFonts w:ascii="Calibri"/>
                        <w:sz w:val="20"/>
                      </w:rPr>
                    </w:pPr>
                    <w:r>
                      <w:rPr>
                        <w:rFonts w:ascii="Calibri"/>
                        <w:sz w:val="20"/>
                      </w:rPr>
                      <w:t>operativa</w:t>
                    </w:r>
                  </w:p>
                </w:txbxContent>
              </v:textbox>
              <w10:wrap type="none"/>
            </v:shape>
            <v:shape style="position:absolute;left:1654;top:355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193;top:396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2937;top:410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193;top:458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0.01</w:t>
                    </w:r>
                  </w:p>
                </w:txbxContent>
              </v:textbox>
              <w10:wrap type="none"/>
            </v:shape>
            <v:shape style="position:absolute;left:396;top:5207;width:62;height:200" type="#_x0000_t202" filled="false" stroked="false">
              <v:textbox inset="0,0,0,0">
                <w:txbxContent>
                  <w:p>
                    <w:pPr>
                      <w:spacing w:line="200" w:lineRule="exact" w:before="0"/>
                      <w:ind w:left="0" w:right="-14" w:firstLine="0"/>
                      <w:jc w:val="left"/>
                      <w:rPr>
                        <w:rFonts w:ascii="Calibri" w:hAnsi="Calibri"/>
                        <w:sz w:val="20"/>
                      </w:rPr>
                    </w:pPr>
                    <w:r>
                      <w:rPr>
                        <w:rFonts w:ascii="Calibri" w:hAnsi="Calibri"/>
                        <w:w w:val="30"/>
                        <w:sz w:val="20"/>
                      </w:rPr>
                      <w:t>-­‐</w:t>
                    </w:r>
                  </w:p>
                </w:txbxContent>
              </v:textbox>
              <w10:wrap type="none"/>
            </v:shape>
            <v:shape style="position:absolute;left:1216;top:545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2499;top:545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3781;top:545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5063;top:545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5"/>
        <w:rPr>
          <w:rFonts w:ascii="Cambria Math"/>
          <w:sz w:val="20"/>
        </w:rPr>
      </w:pPr>
    </w:p>
    <w:p>
      <w:pPr>
        <w:pStyle w:val="BodyText"/>
        <w:spacing w:line="273" w:lineRule="auto" w:before="70"/>
        <w:ind w:left="110" w:right="108"/>
        <w:jc w:val="both"/>
      </w:pPr>
      <w:r>
        <w:rPr/>
        <w:t>En 2008, de cada euro de ventas después de deducir los costos y gastos de operación, se obtuvieron tres centavos de utilidad operativa. En 2009 la utilidad operativa fue de dos centavos por cada euro de ventas. Para el año 2010 y 2011 de cada euro vendido, se obtuvo una utilidad de seis centavos.</w:t>
      </w:r>
    </w:p>
    <w:p>
      <w:pPr>
        <w:spacing w:after="0" w:line="273"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BodyText"/>
        <w:ind w:left="110"/>
      </w:pPr>
      <w:r>
        <w:rPr/>
        <w:t>Margen de utilidad neta</w:t>
      </w:r>
    </w:p>
    <w:p>
      <w:pPr>
        <w:pStyle w:val="BodyText"/>
      </w:pPr>
    </w:p>
    <w:p>
      <w:pPr>
        <w:pStyle w:val="BodyText"/>
      </w:pPr>
    </w:p>
    <w:p>
      <w:pPr>
        <w:pStyle w:val="BodyText"/>
        <w:spacing w:before="215"/>
        <w:ind w:left="669"/>
        <w:rPr>
          <w:rFonts w:ascii="Cambria Math" w:eastAsia="Cambria Math"/>
        </w:rPr>
      </w:pPr>
      <w:r>
        <w:rPr>
          <w:rFonts w:ascii="Cambria Math" w:eastAsia="Cambria Math"/>
          <w:spacing w:val="-104"/>
        </w:rPr>
        <w:t>𝑀𝑎𝑟𝑔𝑒𝑛</w:t>
      </w:r>
      <w:r>
        <w:rPr>
          <w:rFonts w:ascii="Cambria Math" w:eastAsia="Cambria Math"/>
          <w:spacing w:val="-30"/>
        </w:rPr>
        <w:t> </w:t>
      </w:r>
      <w:r>
        <w:rPr>
          <w:rFonts w:ascii="Cambria Math" w:eastAsia="Cambria Math"/>
          <w:spacing w:val="-104"/>
        </w:rPr>
        <w:t>𝑑𝑒</w:t>
      </w:r>
      <w:r>
        <w:rPr>
          <w:rFonts w:ascii="Cambria Math" w:eastAsia="Cambria Math"/>
          <w:spacing w:val="-30"/>
        </w:rPr>
        <w:t> </w:t>
      </w:r>
      <w:r>
        <w:rPr>
          <w:rFonts w:ascii="Cambria Math" w:eastAsia="Cambria Math"/>
          <w:spacing w:val="-104"/>
        </w:rPr>
        <w:t>𝑢𝑡𝑖𝑙𝑖𝑑𝑎𝑑</w:t>
      </w:r>
      <w:r>
        <w:rPr>
          <w:rFonts w:ascii="Cambria Math" w:eastAsia="Cambria Math"/>
          <w:spacing w:val="-29"/>
        </w:rPr>
        <w:t> </w:t>
      </w:r>
      <w:r>
        <w:rPr>
          <w:rFonts w:ascii="Cambria Math" w:eastAsia="Cambria Math"/>
          <w:spacing w:val="-103"/>
        </w:rPr>
        <w:t>𝑛𝑒𝑡𝑎</w:t>
      </w:r>
    </w:p>
    <w:p>
      <w:pPr>
        <w:pStyle w:val="BodyText"/>
        <w:spacing w:line="216" w:lineRule="exact" w:before="11"/>
        <w:ind w:left="2407"/>
        <w:rPr>
          <w:rFonts w:ascii="Cambria Math" w:eastAsia="Cambria Math"/>
        </w:rPr>
      </w:pPr>
      <w:r>
        <w:rPr>
          <w:rFonts w:ascii="Cambria Math" w:eastAsia="Cambria Math"/>
          <w:spacing w:val="-104"/>
        </w:rPr>
        <w:t>𝑔𝑎𝑛𝑎𝑛𝑐𝑖𝑎𝑠</w:t>
      </w:r>
      <w:r>
        <w:rPr>
          <w:rFonts w:ascii="Cambria Math" w:eastAsia="Cambria Math"/>
          <w:spacing w:val="-34"/>
        </w:rPr>
        <w:t> </w:t>
      </w:r>
      <w:r>
        <w:rPr>
          <w:rFonts w:ascii="Cambria Math" w:eastAsia="Cambria Math"/>
          <w:spacing w:val="-104"/>
        </w:rPr>
        <w:t>𝑑𝑖𝑠𝑝𝑜𝑛𝑖𝑏𝑙𝑒𝑠</w:t>
      </w:r>
      <w:r>
        <w:rPr>
          <w:rFonts w:ascii="Cambria Math" w:eastAsia="Cambria Math"/>
          <w:spacing w:val="-34"/>
        </w:rPr>
        <w:t> </w:t>
      </w:r>
      <w:r>
        <w:rPr>
          <w:rFonts w:ascii="Cambria Math" w:eastAsia="Cambria Math"/>
          <w:spacing w:val="-103"/>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4866" w:val="left" w:leader="none"/>
        </w:tabs>
        <w:spacing w:line="406" w:lineRule="exact"/>
        <w:ind w:left="2109"/>
        <w:rPr>
          <w:rFonts w:ascii="Cambria Math" w:eastAsia="Cambria Math"/>
        </w:rPr>
      </w:pPr>
      <w:r>
        <w:rPr/>
        <w:pict>
          <v:line style="position:absolute;mso-position-horizontal-relative:page;mso-position-vertical-relative:paragraph;z-index:-235168" from="200.503906pt,6.245947pt" to="482.983906pt,6.245947pt" stroked="true" strokeweight=".72pt" strokecolor="#000000">
            <w10:wrap type="none"/>
          </v:line>
        </w:pict>
      </w:r>
      <w:r>
        <w:rPr>
          <w:rFonts w:ascii="Cambria Math" w:eastAsia="Cambria Math"/>
          <w:position w:val="16"/>
        </w:rPr>
        <w:t>=</w:t>
        <w:tab/>
      </w:r>
      <w:r>
        <w:rPr>
          <w:rFonts w:ascii="Cambria Math" w:eastAsia="Cambria Math"/>
        </w:rPr>
        <w:t>𝑣𝑒𝑛𝑡𝑎𝑠</w:t>
      </w:r>
    </w:p>
    <w:p>
      <w:pPr>
        <w:pStyle w:val="BodyText"/>
        <w:rPr>
          <w:rFonts w:ascii="Cambria Math"/>
          <w:sz w:val="20"/>
        </w:rPr>
      </w:pPr>
    </w:p>
    <w:p>
      <w:pPr>
        <w:pStyle w:val="BodyText"/>
        <w:rPr>
          <w:rFonts w:ascii="Cambria Math"/>
          <w:sz w:val="20"/>
        </w:rPr>
      </w:pPr>
    </w:p>
    <w:p>
      <w:pPr>
        <w:pStyle w:val="BodyText"/>
        <w:spacing w:before="1"/>
        <w:rPr>
          <w:rFonts w:ascii="Cambria Math"/>
          <w:sz w:val="17"/>
        </w:rPr>
      </w:pPr>
      <w:r>
        <w:rPr/>
        <w:pict>
          <v:group style="position:absolute;margin-left:85.25898pt;margin-top:12.00841pt;width:425.95pt;height:289.850pt;mso-position-horizontal-relative:page;mso-position-vertical-relative:paragraph;z-index:9760;mso-wrap-distance-left:0;mso-wrap-distance-right:0" coordorigin="1705,240" coordsize="8519,5797">
            <v:line style="position:absolute" from="2557,5768" to="7199,5768" stroked="true" strokeweight=".75pt" strokecolor="#989898"/>
            <v:line style="position:absolute" from="2557,5192" to="7199,5192" stroked="true" strokeweight=".75pt" strokecolor="#989898"/>
            <v:line style="position:absolute" from="2557,4616" to="7199,4616" stroked="true" strokeweight=".75pt" strokecolor="#989898"/>
            <v:line style="position:absolute" from="2557,3464" to="7199,3464" stroked="true" strokeweight=".75pt" strokecolor="#989898"/>
            <v:line style="position:absolute" from="2557,2888" to="7199,2888" stroked="true" strokeweight=".75pt" strokecolor="#989898"/>
            <v:line style="position:absolute" from="2557,2312" to="7199,2312" stroked="true" strokeweight=".75pt" strokecolor="#989898"/>
            <v:line style="position:absolute" from="2557,1736" to="7199,1736" stroked="true" strokeweight=".75pt" strokecolor="#989898"/>
            <v:line style="position:absolute" from="2557,1160" to="7199,1160" stroked="true" strokeweight=".75pt" strokecolor="#989898"/>
            <v:line style="position:absolute" from="2559,5770" to="2559,1160" stroked="true" strokeweight=".75pt" strokecolor="#989898"/>
            <v:line style="position:absolute" from="2495,5768" to="2557,5768" stroked="true" strokeweight=".75pt" strokecolor="#989898"/>
            <v:line style="position:absolute" from="2495,5192" to="2557,5192" stroked="true" strokeweight=".75pt" strokecolor="#989898"/>
            <v:line style="position:absolute" from="2495,4616" to="2557,4616" stroked="true" strokeweight=".75pt" strokecolor="#989898"/>
            <v:line style="position:absolute" from="2495,4040" to="2557,4040" stroked="true" strokeweight=".75pt" strokecolor="#989898"/>
            <v:line style="position:absolute" from="2495,3464" to="2557,3464" stroked="true" strokeweight=".75pt" strokecolor="#989898"/>
            <v:line style="position:absolute" from="2495,2888" to="2557,2888" stroked="true" strokeweight=".75pt" strokecolor="#989898"/>
            <v:line style="position:absolute" from="2495,2312" to="2557,2312" stroked="true" strokeweight=".75pt" strokecolor="#989898"/>
            <v:line style="position:absolute" from="2495,1736" to="2557,1736" stroked="true" strokeweight=".75pt" strokecolor="#989898"/>
            <v:line style="position:absolute" from="2495,1160" to="2557,1160" stroked="true" strokeweight=".75pt" strokecolor="#989898"/>
            <v:line style="position:absolute" from="2559,4041" to="7200,4041" stroked="true" strokeweight=".75pt" strokecolor="#989898"/>
            <v:line style="position:absolute" from="2557,4040" to="2557,4102" stroked="true" strokeweight=".75pt" strokecolor="#989898"/>
            <v:line style="position:absolute" from="3719,4040" to="3719,4102" stroked="true" strokeweight=".75pt" strokecolor="#989898"/>
            <v:line style="position:absolute" from="4881,4040" to="4881,4102" stroked="true" strokeweight=".75pt" strokecolor="#989898"/>
            <v:line style="position:absolute" from="6037,4040" to="6037,4102" stroked="true" strokeweight=".75pt" strokecolor="#989898"/>
            <v:line style="position:absolute" from="7199,4040" to="7199,4102" stroked="true" strokeweight=".75pt" strokecolor="#989898"/>
            <v:line style="position:absolute" from="3138,5416" to="4300,5216" stroked="true" strokeweight="3.75pt" strokecolor="#727272"/>
            <v:line style="position:absolute" from="4300,5216" to="5461,1856" stroked="true" strokeweight="3.75pt" strokecolor="#727272"/>
            <v:line style="position:absolute" from="5461,1856" to="6618,1779" stroked="true" strokeweight="3.75pt" strokecolor="#727272"/>
            <v:line style="position:absolute" from="7568,3465" to="7952,3465" stroked="true" strokeweight="3.75pt" strokecolor="#727272"/>
            <v:rect style="position:absolute;left:1713;top:248;width:8504;height:5782" filled="false" stroked="true" strokeweight=".75pt" strokecolor="#989898"/>
            <v:shape style="position:absolute;left:4162;top:517;width:3606;height:360" type="#_x0000_t202" filled="false" stroked="false">
              <v:textbox inset="0,0,0,0">
                <w:txbxContent>
                  <w:p>
                    <w:pPr>
                      <w:spacing w:line="360" w:lineRule="exact" w:before="0"/>
                      <w:ind w:left="0" w:right="-20" w:firstLine="0"/>
                      <w:jc w:val="left"/>
                      <w:rPr>
                        <w:rFonts w:ascii="Calibri"/>
                        <w:b/>
                        <w:sz w:val="36"/>
                      </w:rPr>
                    </w:pPr>
                    <w:r>
                      <w:rPr>
                        <w:rFonts w:ascii="Calibri"/>
                        <w:b/>
                        <w:sz w:val="36"/>
                      </w:rPr>
                      <w:t>Margen de utilidad</w:t>
                    </w:r>
                    <w:r>
                      <w:rPr>
                        <w:rFonts w:ascii="Calibri"/>
                        <w:b/>
                        <w:spacing w:val="-3"/>
                        <w:sz w:val="36"/>
                      </w:rPr>
                      <w:t> </w:t>
                    </w:r>
                    <w:r>
                      <w:rPr>
                        <w:rFonts w:ascii="Calibri"/>
                        <w:b/>
                        <w:sz w:val="36"/>
                      </w:rPr>
                      <w:t>neta</w:t>
                    </w:r>
                  </w:p>
                </w:txbxContent>
              </v:textbox>
              <w10:wrap type="none"/>
            </v:shape>
            <v:shape style="position:absolute;left:1974;top:108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0.05</w:t>
                    </w:r>
                  </w:p>
                </w:txbxContent>
              </v:textbox>
              <w10:wrap type="none"/>
            </v:shape>
            <v:shape style="position:absolute;left:1974;top:166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v:shape style="position:absolute;left:5695;top:178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v:shape style="position:absolute;left:6855;top:170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v:shape style="position:absolute;left:1974;top:223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1974;top:281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1974;top:338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0.01</w:t>
                    </w:r>
                  </w:p>
                </w:txbxContent>
              </v:textbox>
              <w10:wrap type="none"/>
            </v:shape>
            <v:shape style="position:absolute;left:7990;top:3387;width:1958;height:200" type="#_x0000_t202" filled="false" stroked="false">
              <v:textbox inset="0,0,0,0">
                <w:txbxContent>
                  <w:p>
                    <w:pPr>
                      <w:spacing w:line="200" w:lineRule="exact" w:before="0"/>
                      <w:ind w:left="0" w:right="-19" w:firstLine="0"/>
                      <w:jc w:val="left"/>
                      <w:rPr>
                        <w:rFonts w:ascii="Calibri"/>
                        <w:sz w:val="20"/>
                      </w:rPr>
                    </w:pPr>
                    <w:r>
                      <w:rPr>
                        <w:rFonts w:ascii="Calibri"/>
                        <w:sz w:val="20"/>
                      </w:rPr>
                      <w:t>Margen de utilidad</w:t>
                    </w:r>
                    <w:r>
                      <w:rPr>
                        <w:rFonts w:ascii="Calibri"/>
                        <w:spacing w:val="-2"/>
                        <w:sz w:val="20"/>
                      </w:rPr>
                      <w:t> </w:t>
                    </w:r>
                    <w:r>
                      <w:rPr>
                        <w:rFonts w:ascii="Calibri"/>
                        <w:sz w:val="20"/>
                      </w:rPr>
                      <w:t>neta</w:t>
                    </w:r>
                  </w:p>
                </w:txbxContent>
              </v:textbox>
              <w10:wrap type="none"/>
            </v:shape>
            <v:shape style="position:absolute;left:2177;top:3965;width:62;height:200" type="#_x0000_t202" filled="false" stroked="false">
              <v:textbox inset="0,0,0,0">
                <w:txbxContent>
                  <w:p>
                    <w:pPr>
                      <w:spacing w:line="200" w:lineRule="exact" w:before="0"/>
                      <w:ind w:left="0" w:right="-14" w:firstLine="0"/>
                      <w:jc w:val="left"/>
                      <w:rPr>
                        <w:rFonts w:ascii="Calibri" w:hAnsi="Calibri"/>
                        <w:sz w:val="20"/>
                      </w:rPr>
                    </w:pPr>
                    <w:r>
                      <w:rPr>
                        <w:rFonts w:ascii="Calibri" w:hAnsi="Calibri"/>
                        <w:w w:val="30"/>
                        <w:sz w:val="20"/>
                      </w:rPr>
                      <w:t>-­‐</w:t>
                    </w:r>
                  </w:p>
                </w:txbxContent>
              </v:textbox>
              <w10:wrap type="none"/>
            </v:shape>
            <v:shape style="position:absolute;left:2937;top:4212;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4097;top:4212;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257;top:4212;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6417;top:4212;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shape style="position:absolute;left:1898;top:4541;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(0.01)</w:t>
                    </w:r>
                  </w:p>
                </w:txbxContent>
              </v:textbox>
              <w10:wrap type="none"/>
            </v:shape>
            <v:shape style="position:absolute;left:1898;top:5117;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4535;top:5141;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3375;top:5340;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1898;top:5694;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w10:wrap type="topAndBottom"/>
          </v:group>
        </w:pict>
      </w:r>
    </w:p>
    <w:p>
      <w:pPr>
        <w:pStyle w:val="BodyText"/>
        <w:rPr>
          <w:rFonts w:ascii="Cambria Math"/>
          <w:sz w:val="20"/>
        </w:rPr>
      </w:pPr>
    </w:p>
    <w:p>
      <w:pPr>
        <w:pStyle w:val="BodyText"/>
        <w:rPr>
          <w:rFonts w:ascii="Cambria Math"/>
          <w:sz w:val="20"/>
        </w:rPr>
      </w:pPr>
    </w:p>
    <w:p>
      <w:pPr>
        <w:pStyle w:val="BodyText"/>
        <w:spacing w:before="2"/>
        <w:rPr>
          <w:rFonts w:ascii="Cambria Math"/>
          <w:sz w:val="20"/>
        </w:rPr>
      </w:pPr>
    </w:p>
    <w:p>
      <w:pPr>
        <w:pStyle w:val="BodyText"/>
        <w:spacing w:line="276" w:lineRule="auto" w:before="70"/>
        <w:ind w:left="110" w:right="108"/>
        <w:jc w:val="both"/>
      </w:pPr>
      <w:r>
        <w:rPr/>
        <w:t>En 2008 y 2009 de cada euro de ventas después de deducir costos y gastos, intereses, impuestos, así como dividendos por acciones preferentes; se obtuvo una pérdida de -2%, o bien dos centavos de euro. En el año 2010 y 2011 se obtuvo una utilidad neta de 4%, es decir cuatro centavos de euro.</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10"/>
        <w:rPr>
          <w:sz w:val="18"/>
        </w:rPr>
      </w:pPr>
    </w:p>
    <w:p>
      <w:pPr>
        <w:pStyle w:val="Heading2"/>
        <w:ind w:left="242" w:right="243"/>
        <w:jc w:val="center"/>
      </w:pPr>
      <w:r>
        <w:rPr/>
        <w:t>Ganancias por acciones</w:t>
      </w:r>
    </w:p>
    <w:p>
      <w:pPr>
        <w:pStyle w:val="BodyText"/>
        <w:spacing w:before="4"/>
        <w:rPr>
          <w:b/>
          <w:sz w:val="13"/>
        </w:rPr>
      </w:pPr>
    </w:p>
    <w:p>
      <w:pPr>
        <w:spacing w:after="0"/>
        <w:rPr>
          <w:sz w:val="13"/>
        </w:rPr>
        <w:sectPr>
          <w:pgSz w:w="11910" w:h="16840"/>
          <w:pgMar w:header="755" w:footer="724" w:top="960" w:bottom="920" w:left="1600" w:right="1580"/>
        </w:sectPr>
      </w:pPr>
    </w:p>
    <w:p>
      <w:pPr>
        <w:pStyle w:val="BodyText"/>
        <w:spacing w:before="7"/>
        <w:rPr>
          <w:b/>
          <w:sz w:val="21"/>
        </w:rPr>
      </w:pPr>
    </w:p>
    <w:p>
      <w:pPr>
        <w:pStyle w:val="BodyText"/>
        <w:ind w:left="302"/>
        <w:rPr>
          <w:rFonts w:ascii="Cambria Math" w:hAnsi="Cambria Math" w:eastAsia="Cambria Math"/>
        </w:rPr>
      </w:pPr>
      <w:r>
        <w:rPr>
          <w:rFonts w:ascii="Cambria Math" w:hAnsi="Cambria Math" w:eastAsia="Cambria Math"/>
          <w:spacing w:val="-105"/>
        </w:rPr>
        <w:t>𝐺𝑎𝑛𝑎𝑛𝑐𝑖𝑎𝑠</w:t>
      </w:r>
      <w:r>
        <w:rPr>
          <w:rFonts w:ascii="Cambria Math" w:hAnsi="Cambria Math" w:eastAsia="Cambria Math"/>
          <w:spacing w:val="-51"/>
        </w:rPr>
        <w:t> </w:t>
      </w:r>
      <w:r>
        <w:rPr>
          <w:rFonts w:ascii="Cambria Math" w:hAnsi="Cambria Math" w:eastAsia="Cambria Math"/>
          <w:spacing w:val="-97"/>
        </w:rPr>
        <w:t>𝑝𝑜𝑟</w:t>
      </w:r>
      <w:r>
        <w:rPr>
          <w:rFonts w:ascii="Cambria Math" w:hAnsi="Cambria Math" w:eastAsia="Cambria Math"/>
          <w:spacing w:val="-22"/>
        </w:rPr>
        <w:t> </w:t>
      </w:r>
      <w:r>
        <w:rPr>
          <w:rFonts w:ascii="Cambria Math" w:hAnsi="Cambria Math" w:eastAsia="Cambria Math"/>
          <w:spacing w:val="-97"/>
        </w:rPr>
        <w:t>𝑎𝑐𝑐𝑖ó𝑛:</w:t>
      </w:r>
    </w:p>
    <w:p>
      <w:pPr>
        <w:pStyle w:val="BodyText"/>
        <w:spacing w:before="67"/>
        <w:ind w:left="164" w:right="415"/>
        <w:jc w:val="center"/>
        <w:rPr>
          <w:rFonts w:ascii="Cambria Math" w:eastAsia="Cambria Math"/>
        </w:rPr>
      </w:pPr>
      <w:r>
        <w:rPr/>
        <w:br w:type="column"/>
      </w:r>
      <w:r>
        <w:rPr>
          <w:rFonts w:ascii="Cambria Math" w:eastAsia="Cambria Math"/>
          <w:spacing w:val="-105"/>
        </w:rPr>
        <w:t>𝑔𝑎𝑛𝑎𝑛𝑐𝑖𝑎𝑠</w:t>
      </w:r>
      <w:r>
        <w:rPr>
          <w:rFonts w:ascii="Cambria Math" w:eastAsia="Cambria Math"/>
          <w:spacing w:val="-34"/>
        </w:rPr>
        <w:t> </w:t>
      </w:r>
      <w:r>
        <w:rPr>
          <w:rFonts w:ascii="Cambria Math" w:eastAsia="Cambria Math"/>
          <w:spacing w:val="-105"/>
        </w:rPr>
        <w:t>𝑑𝑖𝑠𝑝𝑜𝑛𝑖𝑏𝑙𝑒𝑠</w:t>
      </w:r>
      <w:r>
        <w:rPr>
          <w:rFonts w:ascii="Cambria Math" w:eastAsia="Cambria Math"/>
          <w:spacing w:val="-51"/>
        </w:rPr>
        <w:t> </w:t>
      </w:r>
      <w:r>
        <w:rPr>
          <w:rFonts w:ascii="Cambria Math" w:eastAsia="Cambria Math"/>
          <w:spacing w:val="-94"/>
        </w:rPr>
        <w:t>𝑝𝑎𝑟𝑎</w:t>
      </w:r>
      <w:r>
        <w:rPr>
          <w:rFonts w:ascii="Cambria Math" w:eastAsia="Cambria Math"/>
          <w:spacing w:val="-33"/>
        </w:rPr>
        <w:t> </w:t>
      </w:r>
      <w:r>
        <w:rPr>
          <w:rFonts w:ascii="Cambria Math" w:eastAsia="Cambria Math"/>
          <w:spacing w:val="-94"/>
        </w:rPr>
        <w:t>𝑙𝑜𝑠</w:t>
      </w:r>
      <w:r>
        <w:rPr>
          <w:rFonts w:ascii="Cambria Math" w:eastAsia="Cambria Math"/>
          <w:spacing w:val="-33"/>
        </w:rPr>
        <w:t> </w:t>
      </w:r>
      <w:r>
        <w:rPr>
          <w:rFonts w:ascii="Cambria Math" w:eastAsia="Cambria Math"/>
          <w:spacing w:val="-94"/>
        </w:rPr>
        <w:t>𝑎𝑐𝑐𝑖𝑜𝑛𝑖𝑠𝑡𝑎𝑠</w:t>
      </w:r>
      <w:r>
        <w:rPr>
          <w:rFonts w:ascii="Cambria Math" w:eastAsia="Cambria Math"/>
          <w:spacing w:val="-51"/>
        </w:rPr>
        <w:t> </w:t>
      </w:r>
      <w:r>
        <w:rPr>
          <w:rFonts w:ascii="Cambria Math" w:eastAsia="Cambria Math"/>
        </w:rPr>
        <w:t>𝑐𝑜𝑚𝑢𝑛𝑒𝑠</w:t>
      </w:r>
    </w:p>
    <w:p>
      <w:pPr>
        <w:pStyle w:val="BodyText"/>
        <w:spacing w:before="5"/>
        <w:rPr>
          <w:rFonts w:ascii="Cambria Math"/>
          <w:sz w:val="4"/>
        </w:rPr>
      </w:pPr>
    </w:p>
    <w:p>
      <w:pPr>
        <w:pStyle w:val="BodyText"/>
        <w:spacing w:line="20" w:lineRule="exact"/>
        <w:ind w:left="45"/>
        <w:rPr>
          <w:rFonts w:ascii="Cambria Math"/>
          <w:sz w:val="2"/>
        </w:rPr>
      </w:pPr>
      <w:r>
        <w:rPr>
          <w:rFonts w:ascii="Cambria Math"/>
          <w:sz w:val="2"/>
        </w:rPr>
        <w:pict>
          <v:group style="width:283.25pt;height:.75pt;mso-position-horizontal-relative:char;mso-position-vertical-relative:line" coordorigin="0,0" coordsize="5665,15">
            <v:line style="position:absolute" from="8,8" to="5657,8" stroked="true" strokeweight=".72pt" strokecolor="#000000"/>
          </v:group>
        </w:pict>
      </w:r>
      <w:r>
        <w:rPr>
          <w:rFonts w:ascii="Cambria Math"/>
          <w:sz w:val="2"/>
        </w:rPr>
      </w:r>
    </w:p>
    <w:p>
      <w:pPr>
        <w:pStyle w:val="BodyText"/>
        <w:ind w:left="164" w:right="415"/>
        <w:jc w:val="center"/>
        <w:rPr>
          <w:rFonts w:ascii="Cambria Math" w:hAnsi="Cambria Math" w:eastAsia="Cambria Math"/>
        </w:rPr>
      </w:pPr>
      <w:r>
        <w:rPr>
          <w:rFonts w:ascii="Cambria Math" w:hAnsi="Cambria Math" w:eastAsia="Cambria Math"/>
          <w:spacing w:val="-102"/>
        </w:rPr>
        <w:t>𝑛ú𝑚𝑒𝑟𝑜</w:t>
      </w:r>
      <w:r>
        <w:rPr>
          <w:rFonts w:ascii="Cambria Math" w:hAnsi="Cambria Math" w:eastAsia="Cambria Math"/>
          <w:spacing w:val="-33"/>
        </w:rPr>
        <w:t> </w:t>
      </w:r>
      <w:r>
        <w:rPr>
          <w:rFonts w:ascii="Cambria Math" w:hAnsi="Cambria Math" w:eastAsia="Cambria Math"/>
          <w:spacing w:val="-101"/>
        </w:rPr>
        <w:t>𝑑𝑒</w:t>
      </w:r>
      <w:r>
        <w:rPr>
          <w:rFonts w:ascii="Cambria Math" w:hAnsi="Cambria Math" w:eastAsia="Cambria Math"/>
          <w:spacing w:val="-33"/>
        </w:rPr>
        <w:t> </w:t>
      </w:r>
      <w:r>
        <w:rPr>
          <w:rFonts w:ascii="Cambria Math" w:hAnsi="Cambria Math" w:eastAsia="Cambria Math"/>
          <w:spacing w:val="-101"/>
        </w:rPr>
        <w:t>𝑎𝑐𝑐𝑖𝑜𝑛𝑒𝑠</w:t>
      </w:r>
      <w:r>
        <w:rPr>
          <w:rFonts w:ascii="Cambria Math" w:hAnsi="Cambria Math" w:eastAsia="Cambria Math"/>
          <w:spacing w:val="-34"/>
        </w:rPr>
        <w:t> </w:t>
      </w:r>
      <w:r>
        <w:rPr>
          <w:rFonts w:ascii="Cambria Math" w:hAnsi="Cambria Math" w:eastAsia="Cambria Math"/>
          <w:spacing w:val="-101"/>
        </w:rPr>
        <w:t>𝑐𝑜𝑚𝑢𝑛𝑒𝑠</w:t>
      </w:r>
      <w:r>
        <w:rPr>
          <w:rFonts w:ascii="Cambria Math" w:hAnsi="Cambria Math" w:eastAsia="Cambria Math"/>
          <w:spacing w:val="-51"/>
        </w:rPr>
        <w:t> </w:t>
      </w:r>
      <w:r>
        <w:rPr>
          <w:rFonts w:ascii="Cambria Math" w:hAnsi="Cambria Math" w:eastAsia="Cambria Math"/>
          <w:spacing w:val="-103"/>
        </w:rPr>
        <w:t>𝑒𝑛</w:t>
      </w:r>
      <w:r>
        <w:rPr>
          <w:rFonts w:ascii="Cambria Math" w:hAnsi="Cambria Math" w:eastAsia="Cambria Math"/>
          <w:spacing w:val="-27"/>
        </w:rPr>
        <w:t> </w:t>
      </w:r>
      <w:r>
        <w:rPr>
          <w:rFonts w:ascii="Cambria Math" w:hAnsi="Cambria Math" w:eastAsia="Cambria Math"/>
          <w:spacing w:val="-103"/>
        </w:rPr>
        <w:t>𝑐𝑖𝑟𝑐𝑢𝑙𝑎𝑐𝑖ó𝑛</w:t>
      </w:r>
    </w:p>
    <w:p>
      <w:pPr>
        <w:spacing w:after="0"/>
        <w:jc w:val="center"/>
        <w:rPr>
          <w:rFonts w:ascii="Cambria Math" w:hAnsi="Cambria Math" w:eastAsia="Cambria Math"/>
        </w:rPr>
        <w:sectPr>
          <w:type w:val="continuous"/>
          <w:pgSz w:w="11910" w:h="16840"/>
          <w:pgMar w:top="1380" w:bottom="280" w:left="1600" w:right="1580"/>
          <w:cols w:num="2" w:equalWidth="0">
            <w:col w:w="2682" w:space="40"/>
            <w:col w:w="6008"/>
          </w:cols>
        </w:sectPr>
      </w:pP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ind w:left="105"/>
        <w:rPr>
          <w:rFonts w:ascii="Cambria Math"/>
          <w:sz w:val="20"/>
        </w:rPr>
      </w:pPr>
      <w:r>
        <w:rPr>
          <w:rFonts w:ascii="Cambria Math"/>
          <w:sz w:val="20"/>
        </w:rPr>
        <w:pict>
          <v:group style="width:425.95pt;height:289.850pt;mso-position-horizontal-relative:char;mso-position-vertical-relative:line" coordorigin="0,0" coordsize="8519,5797">
            <v:line style="position:absolute" from="852,5528" to="5727,5528" stroked="true" strokeweight=".75pt" strokecolor="#989898"/>
            <v:line style="position:absolute" from="852,5110" to="5727,5110" stroked="true" strokeweight=".75pt" strokecolor="#989898"/>
            <v:line style="position:absolute" from="852,4692" to="5727,4692" stroked="true" strokeweight=".75pt" strokecolor="#989898"/>
            <v:line style="position:absolute" from="852,4270" to="5727,4270" stroked="true" strokeweight=".75pt" strokecolor="#989898"/>
            <v:line style="position:absolute" from="852,3435" to="5727,3435" stroked="true" strokeweight=".75pt" strokecolor="#989898"/>
            <v:line style="position:absolute" from="852,3017" to="5727,3017" stroked="true" strokeweight=".75pt" strokecolor="#989898"/>
            <v:line style="position:absolute" from="852,2595" to="5727,2595" stroked="true" strokeweight=".75pt" strokecolor="#989898"/>
            <v:line style="position:absolute" from="852,2177" to="5727,2177" stroked="true" strokeweight=".75pt" strokecolor="#989898"/>
            <v:line style="position:absolute" from="852,1759" to="5727,1759" stroked="true" strokeweight=".75pt" strokecolor="#989898"/>
            <v:line style="position:absolute" from="852,1337" to="5727,1337" stroked="true" strokeweight=".75pt" strokecolor="#989898"/>
            <v:line style="position:absolute" from="852,919" to="5727,919" stroked="true" strokeweight=".75pt" strokecolor="#989898"/>
            <v:line style="position:absolute" from="854,5529" to="854,919" stroked="true" strokeweight=".75pt" strokecolor="#989898"/>
            <v:line style="position:absolute" from="790,5528" to="852,5528" stroked="true" strokeweight=".75pt" strokecolor="#989898"/>
            <v:line style="position:absolute" from="790,5110" to="852,5110" stroked="true" strokeweight=".75pt" strokecolor="#989898"/>
            <v:line style="position:absolute" from="790,4692" to="852,4692" stroked="true" strokeweight=".75pt" strokecolor="#989898"/>
            <v:line style="position:absolute" from="790,4270" to="852,4270" stroked="true" strokeweight=".75pt" strokecolor="#989898"/>
            <v:line style="position:absolute" from="790,3852" to="852,3852" stroked="true" strokeweight=".75pt" strokecolor="#989898"/>
            <v:line style="position:absolute" from="790,3435" to="852,3435" stroked="true" strokeweight=".75pt" strokecolor="#989898"/>
            <v:line style="position:absolute" from="790,3017" to="852,3017" stroked="true" strokeweight=".75pt" strokecolor="#989898"/>
            <v:line style="position:absolute" from="790,2595" to="852,2595" stroked="true" strokeweight=".75pt" strokecolor="#989898"/>
            <v:line style="position:absolute" from="790,2177" to="852,2177" stroked="true" strokeweight=".75pt" strokecolor="#989898"/>
            <v:line style="position:absolute" from="790,1759" to="852,1759" stroked="true" strokeweight=".75pt" strokecolor="#989898"/>
            <v:line style="position:absolute" from="790,1337" to="852,1337" stroked="true" strokeweight=".75pt" strokecolor="#989898"/>
            <v:line style="position:absolute" from="790,919" to="852,919" stroked="true" strokeweight=".75pt" strokecolor="#989898"/>
            <v:line style="position:absolute" from="854,3853" to="5727,3853" stroked="true" strokeweight=".75pt" strokecolor="#989898"/>
            <v:line style="position:absolute" from="852,3852" to="852,3915" stroked="true" strokeweight=".75pt" strokecolor="#989898"/>
            <v:line style="position:absolute" from="2071,3852" to="2071,3915" stroked="true" strokeweight=".75pt" strokecolor="#989898"/>
            <v:line style="position:absolute" from="3291,3852" to="3291,3915" stroked="true" strokeweight=".75pt" strokecolor="#989898"/>
            <v:line style="position:absolute" from="4510,3852" to="4510,3915" stroked="true" strokeweight=".75pt" strokecolor="#989898"/>
            <v:line style="position:absolute" from="5727,3852" to="5727,3915" stroked="true" strokeweight=".75pt" strokecolor="#989898"/>
            <v:line style="position:absolute" from="1462,4997" to="2681,4707" stroked="true" strokeweight="3.75pt" strokecolor="#727272"/>
            <v:line style="position:absolute" from="2681,4707" to="3900,1817" stroked="true" strokeweight="3.75pt" strokecolor="#727272"/>
            <v:line style="position:absolute" from="3900,1817" to="5118,1471" stroked="true" strokeweight="3.75pt" strokecolor="#727272"/>
            <v:line style="position:absolute" from="6095,3224" to="6479,3224" stroked="true" strokeweight="3.75pt" strokecolor="#727272"/>
            <v:rect style="position:absolute;left:7;top:8;width:8504;height:5782" filled="false" stroked="true" strokeweight=".75pt" strokecolor="#989898"/>
            <v:shape style="position:absolute;left:2678;top:277;width:3162;height:360" type="#_x0000_t202" filled="false" stroked="false">
              <v:textbox inset="0,0,0,0">
                <w:txbxContent>
                  <w:p>
                    <w:pPr>
                      <w:spacing w:line="360" w:lineRule="exact" w:before="0"/>
                      <w:ind w:left="0" w:right="-7" w:firstLine="0"/>
                      <w:jc w:val="left"/>
                      <w:rPr>
                        <w:rFonts w:ascii="Calibri" w:hAnsi="Calibri"/>
                        <w:b/>
                        <w:sz w:val="36"/>
                      </w:rPr>
                    </w:pPr>
                    <w:r>
                      <w:rPr>
                        <w:rFonts w:ascii="Calibri" w:hAnsi="Calibri"/>
                        <w:b/>
                        <w:sz w:val="36"/>
                      </w:rPr>
                      <w:t>Ganancias por</w:t>
                    </w:r>
                    <w:r>
                      <w:rPr>
                        <w:rFonts w:ascii="Calibri" w:hAnsi="Calibri"/>
                        <w:b/>
                        <w:spacing w:val="-15"/>
                        <w:sz w:val="36"/>
                      </w:rPr>
                      <w:t> </w:t>
                    </w:r>
                    <w:r>
                      <w:rPr>
                        <w:rFonts w:ascii="Calibri" w:hAnsi="Calibri"/>
                        <w:b/>
                        <w:sz w:val="36"/>
                      </w:rPr>
                      <w:t>acción</w:t>
                    </w:r>
                  </w:p>
                </w:txbxContent>
              </v:textbox>
              <w10:wrap type="none"/>
            </v:shape>
            <v:shape style="position:absolute;left:269;top:843;width:355;height:620" type="#_x0000_t202" filled="false" stroked="false">
              <v:textbox inset="0,0,0,0">
                <w:txbxContent>
                  <w:p>
                    <w:pPr>
                      <w:spacing w:line="210" w:lineRule="exact" w:before="0"/>
                      <w:ind w:left="0" w:right="-20" w:firstLine="0"/>
                      <w:jc w:val="left"/>
                      <w:rPr>
                        <w:rFonts w:ascii="Calibri"/>
                        <w:sz w:val="20"/>
                      </w:rPr>
                    </w:pPr>
                    <w:r>
                      <w:rPr>
                        <w:rFonts w:ascii="Calibri"/>
                        <w:sz w:val="20"/>
                      </w:rPr>
                      <w:t>7.00</w:t>
                    </w:r>
                  </w:p>
                  <w:p>
                    <w:pPr>
                      <w:spacing w:line="234" w:lineRule="exact" w:before="175"/>
                      <w:ind w:left="0" w:right="-20" w:firstLine="0"/>
                      <w:jc w:val="left"/>
                      <w:rPr>
                        <w:rFonts w:ascii="Calibri"/>
                        <w:sz w:val="20"/>
                      </w:rPr>
                    </w:pPr>
                    <w:r>
                      <w:rPr>
                        <w:rFonts w:ascii="Calibri"/>
                        <w:sz w:val="20"/>
                      </w:rPr>
                      <w:t>6.00</w:t>
                    </w:r>
                  </w:p>
                </w:txbxContent>
              </v:textbox>
              <w10:wrap type="none"/>
            </v:shape>
            <v:shape style="position:absolute;left:5353;top:139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5.68</w:t>
                    </w:r>
                  </w:p>
                </w:txbxContent>
              </v:textbox>
              <w10:wrap type="none"/>
            </v:shape>
            <v:shape style="position:absolute;left:269;top:168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5.00</w:t>
                    </w:r>
                  </w:p>
                </w:txbxContent>
              </v:textbox>
              <w10:wrap type="none"/>
            </v:shape>
            <v:shape style="position:absolute;left:4135;top:174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4.86</w:t>
                    </w:r>
                  </w:p>
                </w:txbxContent>
              </v:textbox>
              <w10:wrap type="none"/>
            </v:shape>
            <v:shape style="position:absolute;left:269;top:2101;width:355;height:1039" type="#_x0000_t202" filled="false" stroked="false">
              <v:textbox inset="0,0,0,0">
                <w:txbxContent>
                  <w:p>
                    <w:pPr>
                      <w:spacing w:line="210" w:lineRule="exact" w:before="0"/>
                      <w:ind w:left="0" w:right="-20" w:firstLine="0"/>
                      <w:jc w:val="left"/>
                      <w:rPr>
                        <w:rFonts w:ascii="Calibri"/>
                        <w:sz w:val="20"/>
                      </w:rPr>
                    </w:pPr>
                    <w:r>
                      <w:rPr>
                        <w:rFonts w:ascii="Calibri"/>
                        <w:sz w:val="20"/>
                      </w:rPr>
                      <w:t>4.00</w:t>
                    </w:r>
                  </w:p>
                  <w:p>
                    <w:pPr>
                      <w:spacing w:before="175"/>
                      <w:ind w:left="0" w:right="-20" w:firstLine="0"/>
                      <w:jc w:val="left"/>
                      <w:rPr>
                        <w:rFonts w:ascii="Calibri"/>
                        <w:sz w:val="20"/>
                      </w:rPr>
                    </w:pPr>
                    <w:r>
                      <w:rPr>
                        <w:rFonts w:ascii="Calibri"/>
                        <w:sz w:val="20"/>
                      </w:rPr>
                      <w:t>3.00</w:t>
                    </w:r>
                  </w:p>
                  <w:p>
                    <w:pPr>
                      <w:spacing w:line="234" w:lineRule="exact" w:before="175"/>
                      <w:ind w:left="0" w:right="-20" w:firstLine="0"/>
                      <w:jc w:val="left"/>
                      <w:rPr>
                        <w:rFonts w:ascii="Calibri"/>
                        <w:sz w:val="20"/>
                      </w:rPr>
                    </w:pPr>
                    <w:r>
                      <w:rPr>
                        <w:rFonts w:ascii="Calibri"/>
                        <w:sz w:val="20"/>
                      </w:rPr>
                      <w:t>2.00</w:t>
                    </w:r>
                  </w:p>
                </w:txbxContent>
              </v:textbox>
              <w10:wrap type="none"/>
            </v:shape>
            <v:shape style="position:absolute;left:6517;top:3146;width:1725;height:200" type="#_x0000_t202" filled="false" stroked="false">
              <v:textbox inset="0,0,0,0">
                <w:txbxContent>
                  <w:p>
                    <w:pPr>
                      <w:spacing w:line="200" w:lineRule="exact" w:before="0"/>
                      <w:ind w:left="0" w:right="-20" w:firstLine="0"/>
                      <w:jc w:val="left"/>
                      <w:rPr>
                        <w:rFonts w:ascii="Calibri" w:hAnsi="Calibri"/>
                        <w:sz w:val="20"/>
                      </w:rPr>
                    </w:pPr>
                    <w:r>
                      <w:rPr>
                        <w:rFonts w:ascii="Calibri" w:hAnsi="Calibri"/>
                        <w:sz w:val="20"/>
                      </w:rPr>
                      <w:t>Ganancias por acción</w:t>
                    </w:r>
                  </w:p>
                </w:txbxContent>
              </v:textbox>
              <w10:wrap type="none"/>
            </v:shape>
            <v:shape style="position:absolute;left:193;top:3358;width:476;height:1039" type="#_x0000_t202" filled="false" stroked="false">
              <v:textbox inset="0,0,0,0">
                <w:txbxContent>
                  <w:p>
                    <w:pPr>
                      <w:spacing w:line="210" w:lineRule="exact" w:before="0"/>
                      <w:ind w:left="76" w:right="-20" w:firstLine="0"/>
                      <w:jc w:val="left"/>
                      <w:rPr>
                        <w:rFonts w:ascii="Calibri"/>
                        <w:sz w:val="20"/>
                      </w:rPr>
                    </w:pPr>
                    <w:r>
                      <w:rPr>
                        <w:rFonts w:ascii="Calibri"/>
                        <w:sz w:val="20"/>
                      </w:rPr>
                      <w:t>1.00</w:t>
                    </w:r>
                  </w:p>
                  <w:p>
                    <w:pPr>
                      <w:spacing w:line="420" w:lineRule="atLeast" w:before="0"/>
                      <w:ind w:left="0" w:right="-20" w:firstLine="279"/>
                      <w:jc w:val="left"/>
                      <w:rPr>
                        <w:rFonts w:ascii="Calibri" w:hAnsi="Calibri"/>
                        <w:sz w:val="20"/>
                      </w:rPr>
                    </w:pPr>
                    <w:r>
                      <w:rPr>
                        <w:rFonts w:ascii="Calibri" w:hAnsi="Calibri"/>
                        <w:w w:val="90"/>
                        <w:sz w:val="20"/>
                      </w:rPr>
                      <w:t>-­‐ (1.00)</w:t>
                    </w:r>
                  </w:p>
                </w:txbxContent>
              </v:textbox>
              <w10:wrap type="none"/>
            </v:shape>
            <v:shape style="position:absolute;left:1260;top:402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2479;top:402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3695;top:402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4915;top:4024;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shape style="position:absolute;left:193;top:4615;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(2.00)</w:t>
                    </w:r>
                  </w:p>
                </w:txbxContent>
              </v:textbox>
              <w10:wrap type="none"/>
            </v:shape>
            <v:shape style="position:absolute;left:2917;top:4632;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(2.04)</w:t>
                    </w:r>
                  </w:p>
                </w:txbxContent>
              </v:textbox>
              <w10:wrap type="none"/>
            </v:shape>
            <v:shape style="position:absolute;left:193;top:4921;width:1982;height:733" type="#_x0000_t202" filled="false" stroked="false">
              <v:textbox inset="0,0,0,0">
                <w:txbxContent>
                  <w:p>
                    <w:pPr>
                      <w:tabs>
                        <w:tab w:pos="1505" w:val="left" w:leader="none"/>
                      </w:tabs>
                      <w:spacing w:line="320" w:lineRule="exact" w:before="0"/>
                      <w:ind w:left="0" w:right="0" w:firstLine="0"/>
                      <w:jc w:val="left"/>
                      <w:rPr>
                        <w:rFonts w:ascii="Calibri"/>
                        <w:sz w:val="20"/>
                      </w:rPr>
                    </w:pPr>
                    <w:r>
                      <w:rPr>
                        <w:rFonts w:ascii="Calibri"/>
                        <w:position w:val="-10"/>
                        <w:sz w:val="20"/>
                      </w:rPr>
                      <w:t>(3.00)</w:t>
                      <w:tab/>
                    </w:r>
                    <w:r>
                      <w:rPr>
                        <w:rFonts w:ascii="Calibri"/>
                        <w:spacing w:val="-1"/>
                        <w:sz w:val="20"/>
                      </w:rPr>
                      <w:t>(2.73)</w:t>
                    </w:r>
                  </w:p>
                  <w:p>
                    <w:pPr>
                      <w:spacing w:line="234" w:lineRule="exact" w:before="178"/>
                      <w:ind w:left="0" w:right="0" w:firstLine="0"/>
                      <w:jc w:val="left"/>
                      <w:rPr>
                        <w:rFonts w:ascii="Calibri"/>
                        <w:sz w:val="20"/>
                      </w:rPr>
                    </w:pPr>
                    <w:r>
                      <w:rPr>
                        <w:rFonts w:ascii="Calibri"/>
                        <w:sz w:val="20"/>
                      </w:rPr>
                      <w:t>(4.00)</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spacing w:line="276" w:lineRule="auto" w:before="70"/>
        <w:ind w:left="110" w:right="108"/>
        <w:jc w:val="both"/>
      </w:pPr>
      <w:r>
        <w:rPr/>
        <w:t>Al final del año 2008 por cada acción se obtuvo una pérdida de 2.73 euros, al final del año 2009, por cada acción se obtuvo una pérdida de 2.04 euros. El  año 2010 mostro una mejora en las ganancias por acción, obteniendo una ganancia total de 4.86 euros por acción. En 2011 la recuperación del mercado se vio reflejada en las ganancias por acción, con un monto total de 5.68 euros por acción.</w:t>
      </w:r>
    </w:p>
    <w:p>
      <w:pPr>
        <w:spacing w:after="0" w:line="276" w:lineRule="auto"/>
        <w:jc w:val="both"/>
        <w:sectPr>
          <w:type w:val="continuous"/>
          <w:pgSz w:w="11910" w:h="16840"/>
          <w:pgMar w:top="1380" w:bottom="280" w:left="1600" w:right="1580"/>
        </w:sectPr>
      </w:pPr>
    </w:p>
    <w:p>
      <w:pPr>
        <w:pStyle w:val="BodyText"/>
        <w:rPr>
          <w:sz w:val="20"/>
        </w:rPr>
      </w:pPr>
    </w:p>
    <w:p>
      <w:pPr>
        <w:pStyle w:val="BodyText"/>
        <w:spacing w:before="10"/>
        <w:rPr>
          <w:sz w:val="18"/>
        </w:rPr>
      </w:pPr>
    </w:p>
    <w:p>
      <w:pPr>
        <w:pStyle w:val="Heading2"/>
        <w:ind w:left="2168"/>
        <w:jc w:val="left"/>
      </w:pPr>
      <w:r>
        <w:rPr/>
        <w:t>Rendimiento sobre los activos totales.</w:t>
      </w:r>
    </w:p>
    <w:p>
      <w:pPr>
        <w:pStyle w:val="BodyText"/>
        <w:rPr>
          <w:b/>
        </w:rPr>
      </w:pPr>
    </w:p>
    <w:p>
      <w:pPr>
        <w:pStyle w:val="BodyText"/>
        <w:rPr>
          <w:b/>
        </w:rPr>
      </w:pPr>
    </w:p>
    <w:p>
      <w:pPr>
        <w:pStyle w:val="BodyText"/>
        <w:spacing w:before="215"/>
        <w:ind w:left="669"/>
        <w:rPr>
          <w:rFonts w:ascii="Cambria Math" w:eastAsia="Cambria Math"/>
        </w:rPr>
      </w:pPr>
      <w:r>
        <w:rPr>
          <w:rFonts w:ascii="Cambria Math" w:eastAsia="Cambria Math"/>
          <w:spacing w:val="-85"/>
        </w:rPr>
        <w:t>𝑟𝑒𝑛𝑑𝑖𝑚𝑖𝑒𝑛𝑡𝑜</w:t>
      </w:r>
      <w:r>
        <w:rPr>
          <w:rFonts w:ascii="Cambria Math" w:eastAsia="Cambria Math"/>
          <w:spacing w:val="-34"/>
        </w:rPr>
        <w:t> </w:t>
      </w:r>
      <w:r>
        <w:rPr>
          <w:rFonts w:ascii="Cambria Math" w:eastAsia="Cambria Math"/>
          <w:spacing w:val="-85"/>
        </w:rPr>
        <w:t>𝑠𝑜𝑏𝑟𝑒</w:t>
      </w:r>
      <w:r>
        <w:rPr>
          <w:rFonts w:ascii="Cambria Math" w:eastAsia="Cambria Math"/>
          <w:spacing w:val="-34"/>
        </w:rPr>
        <w:t> </w:t>
      </w:r>
      <w:r>
        <w:rPr>
          <w:rFonts w:ascii="Cambria Math" w:eastAsia="Cambria Math"/>
          <w:spacing w:val="-85"/>
        </w:rPr>
        <w:t>𝑙𝑜𝑠</w:t>
      </w:r>
      <w:r>
        <w:rPr>
          <w:rFonts w:ascii="Cambria Math" w:eastAsia="Cambria Math"/>
          <w:spacing w:val="-34"/>
        </w:rPr>
        <w:t> </w:t>
      </w:r>
      <w:r>
        <w:rPr>
          <w:rFonts w:ascii="Cambria Math" w:eastAsia="Cambria Math"/>
          <w:spacing w:val="-85"/>
        </w:rPr>
        <w:t>𝑎𝑐𝑡𝑖𝑣𝑜𝑠 </w:t>
      </w:r>
      <w:r>
        <w:rPr>
          <w:rFonts w:ascii="Cambria Math" w:eastAsia="Cambria Math"/>
        </w:rPr>
        <w:t>𝑡𝑜𝑡𝑎𝑙𝑒𝑠</w:t>
      </w:r>
    </w:p>
    <w:p>
      <w:pPr>
        <w:pStyle w:val="BodyText"/>
        <w:spacing w:line="216" w:lineRule="exact" w:before="11"/>
        <w:ind w:left="2407"/>
        <w:rPr>
          <w:rFonts w:ascii="Cambria Math" w:eastAsia="Cambria Math"/>
        </w:rPr>
      </w:pPr>
      <w:r>
        <w:rPr>
          <w:rFonts w:ascii="Cambria Math" w:eastAsia="Cambria Math"/>
          <w:spacing w:val="-104"/>
        </w:rPr>
        <w:t>𝑔𝑎𝑛𝑎𝑛𝑐𝑖𝑎𝑠</w:t>
      </w:r>
      <w:r>
        <w:rPr>
          <w:rFonts w:ascii="Cambria Math" w:eastAsia="Cambria Math"/>
          <w:spacing w:val="-34"/>
        </w:rPr>
        <w:t> </w:t>
      </w:r>
      <w:r>
        <w:rPr>
          <w:rFonts w:ascii="Cambria Math" w:eastAsia="Cambria Math"/>
          <w:spacing w:val="-104"/>
        </w:rPr>
        <w:t>𝑑𝑖𝑠𝑝𝑜𝑛𝑖𝑏𝑙𝑒𝑠</w:t>
      </w:r>
      <w:r>
        <w:rPr>
          <w:rFonts w:ascii="Cambria Math" w:eastAsia="Cambria Math"/>
          <w:spacing w:val="-33"/>
        </w:rPr>
        <w:t> </w:t>
      </w:r>
      <w:r>
        <w:rPr>
          <w:rFonts w:ascii="Cambria Math" w:eastAsia="Cambria Math"/>
          <w:spacing w:val="-103"/>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tabs>
          <w:tab w:pos="4385" w:val="left" w:leader="none"/>
        </w:tabs>
        <w:spacing w:line="406" w:lineRule="exact"/>
        <w:ind w:left="2109"/>
        <w:rPr>
          <w:rFonts w:ascii="Cambria Math" w:eastAsia="Cambria Math"/>
        </w:rPr>
      </w:pPr>
      <w:r>
        <w:rPr/>
        <w:pict>
          <v:line style="position:absolute;mso-position-horizontal-relative:page;mso-position-vertical-relative:paragraph;z-index:-234208" from="200.503906pt,6.245947pt" to="482.983906pt,6.245947pt" stroked="true" strokeweight=".72pt" strokecolor="#000000">
            <w10:wrap type="none"/>
          </v:line>
        </w:pict>
      </w:r>
      <w:r>
        <w:rPr>
          <w:rFonts w:ascii="Cambria Math" w:eastAsia="Cambria Math"/>
          <w:position w:val="16"/>
        </w:rPr>
        <w:t>=</w:t>
        <w:tab/>
      </w:r>
      <w:r>
        <w:rPr>
          <w:rFonts w:ascii="Cambria Math" w:eastAsia="Cambria Math"/>
          <w:spacing w:val="-103"/>
        </w:rPr>
        <w:t>𝑡𝑜𝑡𝑎𝑙</w:t>
      </w:r>
      <w:r>
        <w:rPr>
          <w:rFonts w:ascii="Cambria Math" w:eastAsia="Cambria Math"/>
          <w:spacing w:val="-33"/>
        </w:rPr>
        <w:t> </w:t>
      </w:r>
      <w:r>
        <w:rPr>
          <w:rFonts w:ascii="Cambria Math" w:eastAsia="Cambria Math"/>
          <w:spacing w:val="-103"/>
        </w:rPr>
        <w:t>𝑑𝑒</w:t>
      </w:r>
      <w:r>
        <w:rPr>
          <w:rFonts w:ascii="Cambria Math" w:eastAsia="Cambria Math"/>
          <w:spacing w:val="-34"/>
        </w:rPr>
        <w:t> </w:t>
      </w:r>
      <w:r>
        <w:rPr>
          <w:rFonts w:ascii="Cambria Math" w:eastAsia="Cambria Math"/>
          <w:spacing w:val="-102"/>
        </w:rPr>
        <w:t>𝑎𝑐𝑡𝑖𝑣𝑜𝑠</w:t>
      </w:r>
    </w:p>
    <w:p>
      <w:pPr>
        <w:pStyle w:val="BodyText"/>
        <w:rPr>
          <w:rFonts w:ascii="Cambria Math"/>
          <w:sz w:val="20"/>
        </w:rPr>
      </w:pPr>
    </w:p>
    <w:p>
      <w:pPr>
        <w:pStyle w:val="BodyText"/>
        <w:rPr>
          <w:rFonts w:ascii="Cambria Math"/>
          <w:sz w:val="20"/>
        </w:rPr>
      </w:pPr>
    </w:p>
    <w:p>
      <w:pPr>
        <w:pStyle w:val="BodyText"/>
        <w:spacing w:before="1"/>
        <w:rPr>
          <w:rFonts w:ascii="Cambria Math"/>
          <w:sz w:val="17"/>
        </w:rPr>
      </w:pPr>
      <w:r>
        <w:rPr/>
        <w:pict>
          <v:group style="position:absolute;margin-left:85.25898pt;margin-top:12.00841pt;width:425.95pt;height:289.850pt;mso-position-horizontal-relative:page;mso-position-vertical-relative:paragraph;z-index:10720;mso-wrap-distance-left:0;mso-wrap-distance-right:0" coordorigin="1705,240" coordsize="8519,5797">
            <v:line style="position:absolute" from="2557,5768" to="6996,5768" stroked="true" strokeweight=".75pt" strokecolor="#989898"/>
            <v:line style="position:absolute" from="2557,5307" to="6996,5307" stroked="true" strokeweight=".75pt" strokecolor="#989898"/>
            <v:line style="position:absolute" from="2557,4846" to="6996,4846" stroked="true" strokeweight=".75pt" strokecolor="#989898"/>
            <v:line style="position:absolute" from="2557,4385" to="6996,4385" stroked="true" strokeweight=".75pt" strokecolor="#989898"/>
            <v:line style="position:absolute" from="2557,3464" to="6996,3464" stroked="true" strokeweight=".75pt" strokecolor="#989898"/>
            <v:line style="position:absolute" from="2557,3003" to="6996,3003" stroked="true" strokeweight=".75pt" strokecolor="#989898"/>
            <v:line style="position:absolute" from="2557,2542" to="6996,2542" stroked="true" strokeweight=".75pt" strokecolor="#989898"/>
            <v:line style="position:absolute" from="2557,2081" to="6996,2081" stroked="true" strokeweight=".75pt" strokecolor="#989898"/>
            <v:line style="position:absolute" from="2557,1620" to="6996,1620" stroked="true" strokeweight=".75pt" strokecolor="#989898"/>
            <v:line style="position:absolute" from="2557,1160" to="6996,1160" stroked="true" strokeweight=".75pt" strokecolor="#989898"/>
            <v:line style="position:absolute" from="2559,5770" to="2559,1160" stroked="true" strokeweight=".75pt" strokecolor="#989898"/>
            <v:line style="position:absolute" from="2495,5768" to="2557,5768" stroked="true" strokeweight=".75pt" strokecolor="#989898"/>
            <v:line style="position:absolute" from="2495,5307" to="2557,5307" stroked="true" strokeweight=".75pt" strokecolor="#989898"/>
            <v:line style="position:absolute" from="2495,4846" to="2557,4846" stroked="true" strokeweight=".75pt" strokecolor="#989898"/>
            <v:line style="position:absolute" from="2495,4385" to="2557,4385" stroked="true" strokeweight=".75pt" strokecolor="#989898"/>
            <v:line style="position:absolute" from="2495,3924" to="2557,3924" stroked="true" strokeweight=".75pt" strokecolor="#989898"/>
            <v:line style="position:absolute" from="2495,3464" to="2557,3464" stroked="true" strokeweight=".75pt" strokecolor="#989898"/>
            <v:line style="position:absolute" from="2495,3003" to="2557,3003" stroked="true" strokeweight=".75pt" strokecolor="#989898"/>
            <v:line style="position:absolute" from="2495,2542" to="2557,2542" stroked="true" strokeweight=".75pt" strokecolor="#989898"/>
            <v:line style="position:absolute" from="2495,2081" to="2557,2081" stroked="true" strokeweight=".75pt" strokecolor="#989898"/>
            <v:line style="position:absolute" from="2495,1620" to="2557,1620" stroked="true" strokeweight=".75pt" strokecolor="#989898"/>
            <v:line style="position:absolute" from="2495,1160" to="2557,1160" stroked="true" strokeweight=".75pt" strokecolor="#989898"/>
            <v:line style="position:absolute" from="2559,3926" to="6996,3926" stroked="true" strokeweight=".75pt" strokecolor="#989898"/>
            <v:line style="position:absolute" from="2557,3924" to="2557,3987" stroked="true" strokeweight=".75pt" strokecolor="#989898"/>
            <v:line style="position:absolute" from="3666,3924" to="3666,3987" stroked="true" strokeweight=".75pt" strokecolor="#989898"/>
            <v:line style="position:absolute" from="4775,3924" to="4775,3987" stroked="true" strokeweight=".75pt" strokecolor="#989898"/>
            <v:line style="position:absolute" from="5889,3924" to="5889,3987" stroked="true" strokeweight=".75pt" strokecolor="#989898"/>
            <v:line style="position:absolute" from="6996,3924" to="6996,3987" stroked="true" strokeweight=".75pt" strokecolor="#989898"/>
            <v:line style="position:absolute" from="3114,5427" to="4223,5014" stroked="true" strokeweight="3.75pt" strokecolor="#727272"/>
            <v:line style="position:absolute" from="4223,5014" to="5332,1664" stroked="true" strokeweight="3.75pt" strokecolor="#727272"/>
            <v:line style="position:absolute" from="5332,1664" to="6441,1625" stroked="true" strokeweight="3.75pt" strokecolor="#727272"/>
            <v:line style="position:absolute" from="7364,3344" to="7748,3344" stroked="true" strokeweight="3.75pt" strokecolor="#727272"/>
            <v:rect style="position:absolute;left:1713;top:248;width:8504;height:5782" filled="false" stroked="true" strokeweight=".75pt" strokecolor="#989898"/>
            <v:shape style="position:absolute;left:3414;top:517;width:5098;height:360" type="#_x0000_t202" filled="false" stroked="false">
              <v:textbox inset="0,0,0,0">
                <w:txbxContent>
                  <w:p>
                    <w:pPr>
                      <w:spacing w:line="360" w:lineRule="exact" w:before="0"/>
                      <w:ind w:left="0" w:right="-19" w:firstLine="0"/>
                      <w:jc w:val="left"/>
                      <w:rPr>
                        <w:rFonts w:ascii="Calibri"/>
                        <w:b/>
                        <w:sz w:val="36"/>
                      </w:rPr>
                    </w:pPr>
                    <w:r>
                      <w:rPr>
                        <w:rFonts w:ascii="Calibri"/>
                        <w:b/>
                        <w:sz w:val="36"/>
                      </w:rPr>
                      <w:t>Rendimiento sobre activos</w:t>
                    </w:r>
                    <w:r>
                      <w:rPr>
                        <w:rFonts w:ascii="Calibri"/>
                        <w:b/>
                        <w:spacing w:val="-3"/>
                        <w:sz w:val="36"/>
                      </w:rPr>
                      <w:t> </w:t>
                    </w:r>
                    <w:r>
                      <w:rPr>
                        <w:rFonts w:ascii="Calibri"/>
                        <w:b/>
                        <w:sz w:val="36"/>
                      </w:rPr>
                      <w:t>totales</w:t>
                    </w:r>
                  </w:p>
                </w:txbxContent>
              </v:textbox>
              <w10:wrap type="none"/>
            </v:shape>
            <v:shape style="position:absolute;left:1974;top:108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0.06</w:t>
                    </w:r>
                  </w:p>
                </w:txbxContent>
              </v:textbox>
              <w10:wrap type="none"/>
            </v:shape>
            <v:shape style="position:absolute;left:1974;top:154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0.05</w:t>
                    </w:r>
                  </w:p>
                </w:txbxContent>
              </v:textbox>
              <w10:wrap type="none"/>
            </v:shape>
            <v:shape style="position:absolute;left:5567;top:158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0.05</w:t>
                    </w:r>
                  </w:p>
                </w:txbxContent>
              </v:textbox>
              <w10:wrap type="none"/>
            </v:shape>
            <v:shape style="position:absolute;left:6676;top:155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0.05</w:t>
                    </w:r>
                  </w:p>
                </w:txbxContent>
              </v:textbox>
              <w10:wrap type="none"/>
            </v:shape>
            <v:shape style="position:absolute;left:1974;top:2006;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v:shape style="position:absolute;left:1974;top:246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1974;top:292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1974;top:338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0.01</w:t>
                    </w:r>
                  </w:p>
                </w:txbxContent>
              </v:textbox>
              <w10:wrap type="none"/>
            </v:shape>
            <v:shape style="position:absolute;left:7786;top:3266;width:2162;height:440" type="#_x0000_t202" filled="false" stroked="false">
              <v:textbox inset="0,0,0,0">
                <w:txbxContent>
                  <w:p>
                    <w:pPr>
                      <w:spacing w:line="208" w:lineRule="exact" w:before="0"/>
                      <w:ind w:left="0" w:right="-19" w:firstLine="0"/>
                      <w:jc w:val="left"/>
                      <w:rPr>
                        <w:rFonts w:ascii="Calibri"/>
                        <w:sz w:val="20"/>
                      </w:rPr>
                    </w:pPr>
                    <w:r>
                      <w:rPr>
                        <w:rFonts w:ascii="Calibri"/>
                        <w:sz w:val="20"/>
                      </w:rPr>
                      <w:t>Rendimiento sobre</w:t>
                    </w:r>
                    <w:r>
                      <w:rPr>
                        <w:rFonts w:ascii="Calibri"/>
                        <w:spacing w:val="-2"/>
                        <w:sz w:val="20"/>
                      </w:rPr>
                      <w:t> </w:t>
                    </w:r>
                    <w:r>
                      <w:rPr>
                        <w:rFonts w:ascii="Calibri"/>
                        <w:sz w:val="20"/>
                      </w:rPr>
                      <w:t>activos</w:t>
                    </w:r>
                  </w:p>
                  <w:p>
                    <w:pPr>
                      <w:spacing w:line="232" w:lineRule="exact" w:before="0"/>
                      <w:ind w:left="0" w:right="-19" w:firstLine="0"/>
                      <w:jc w:val="left"/>
                      <w:rPr>
                        <w:rFonts w:ascii="Calibri"/>
                        <w:sz w:val="20"/>
                      </w:rPr>
                    </w:pPr>
                    <w:r>
                      <w:rPr>
                        <w:rFonts w:ascii="Calibri"/>
                        <w:sz w:val="20"/>
                      </w:rPr>
                      <w:t>totales</w:t>
                    </w:r>
                  </w:p>
                </w:txbxContent>
              </v:textbox>
              <w10:wrap type="none"/>
            </v:shape>
            <v:shape style="position:absolute;left:2177;top:3850;width:62;height:200" type="#_x0000_t202" filled="false" stroked="false">
              <v:textbox inset="0,0,0,0">
                <w:txbxContent>
                  <w:p>
                    <w:pPr>
                      <w:spacing w:line="200" w:lineRule="exact" w:before="0"/>
                      <w:ind w:left="0" w:right="-14" w:firstLine="0"/>
                      <w:jc w:val="left"/>
                      <w:rPr>
                        <w:rFonts w:ascii="Calibri" w:hAnsi="Calibri"/>
                        <w:sz w:val="20"/>
                      </w:rPr>
                    </w:pPr>
                    <w:r>
                      <w:rPr>
                        <w:rFonts w:ascii="Calibri" w:hAnsi="Calibri"/>
                        <w:w w:val="30"/>
                        <w:sz w:val="20"/>
                      </w:rPr>
                      <w:t>-­‐</w:t>
                    </w:r>
                  </w:p>
                </w:txbxContent>
              </v:textbox>
              <w10:wrap type="none"/>
            </v:shape>
            <v:shape style="position:absolute;left:2911;top:409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4020;top:409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5129;top:409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6238;top:4097;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shape style="position:absolute;left:1898;top:4311;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(0.01)</w:t>
                    </w:r>
                  </w:p>
                </w:txbxContent>
              </v:textbox>
              <w10:wrap type="none"/>
            </v:shape>
            <v:shape style="position:absolute;left:1898;top:4772;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4458;top:4937;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(0.02)</w:t>
                    </w:r>
                  </w:p>
                </w:txbxContent>
              </v:textbox>
              <w10:wrap type="none"/>
            </v:shape>
            <v:shape style="position:absolute;left:1898;top:5233;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3349;top:5353;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(0.03)</w:t>
                    </w:r>
                  </w:p>
                </w:txbxContent>
              </v:textbox>
              <w10:wrap type="none"/>
            </v:shape>
            <v:shape style="position:absolute;left:1898;top:5694;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(0.04)</w:t>
                    </w:r>
                  </w:p>
                </w:txbxContent>
              </v:textbox>
              <w10:wrap type="none"/>
            </v:shape>
            <w10:wrap type="topAndBottom"/>
          </v:group>
        </w:pict>
      </w:r>
    </w:p>
    <w:p>
      <w:pPr>
        <w:pStyle w:val="BodyText"/>
        <w:spacing w:before="11"/>
        <w:rPr>
          <w:rFonts w:ascii="Cambria Math"/>
          <w:sz w:val="15"/>
        </w:rPr>
      </w:pPr>
    </w:p>
    <w:p>
      <w:pPr>
        <w:pStyle w:val="BodyText"/>
        <w:spacing w:line="276" w:lineRule="auto" w:before="70"/>
        <w:ind w:left="110" w:right="108"/>
        <w:jc w:val="both"/>
      </w:pPr>
      <w:r>
        <w:rPr/>
        <w:t>De cada euro que se tiene invertido en activos, se obtuvieron perdidas en 2008 y 2009 de tres centavos de euro y dos centavos de euro respectivamente. En 2010 y 2011 se obtuvieron rendimientos de cinco centavos por cada euro en activos; por lo tanto, podemos inferir que los activos fueron utilizados eficientemente a partir del año 2010.</w:t>
      </w:r>
    </w:p>
    <w:p>
      <w:pPr>
        <w:spacing w:after="0" w:line="276" w:lineRule="auto"/>
        <w:jc w:val="both"/>
        <w:sectPr>
          <w:pgSz w:w="11910" w:h="16840"/>
          <w:pgMar w:header="755" w:footer="724" w:top="960" w:bottom="920" w:left="1600" w:right="1580"/>
        </w:sectPr>
      </w:pPr>
    </w:p>
    <w:p>
      <w:pPr>
        <w:pStyle w:val="BodyText"/>
        <w:rPr>
          <w:sz w:val="20"/>
        </w:rPr>
      </w:pPr>
    </w:p>
    <w:p>
      <w:pPr>
        <w:pStyle w:val="BodyText"/>
        <w:spacing w:before="10"/>
        <w:rPr>
          <w:sz w:val="18"/>
        </w:rPr>
      </w:pPr>
    </w:p>
    <w:p>
      <w:pPr>
        <w:pStyle w:val="Heading2"/>
        <w:ind w:left="2722"/>
        <w:jc w:val="left"/>
      </w:pPr>
      <w:r>
        <w:rPr/>
        <w:t>Retorno sobre el patrimonio.</w:t>
      </w:r>
    </w:p>
    <w:p>
      <w:pPr>
        <w:pStyle w:val="BodyText"/>
        <w:rPr>
          <w:b/>
          <w:sz w:val="20"/>
        </w:rPr>
      </w:pPr>
    </w:p>
    <w:p>
      <w:pPr>
        <w:pStyle w:val="BodyText"/>
        <w:rPr>
          <w:b/>
          <w:sz w:val="20"/>
        </w:rPr>
      </w:pPr>
    </w:p>
    <w:p>
      <w:pPr>
        <w:pStyle w:val="BodyText"/>
        <w:spacing w:before="5"/>
        <w:rPr>
          <w:b/>
          <w:sz w:val="18"/>
        </w:rPr>
      </w:pPr>
    </w:p>
    <w:p>
      <w:pPr>
        <w:spacing w:after="0"/>
        <w:rPr>
          <w:sz w:val="18"/>
        </w:rPr>
        <w:sectPr>
          <w:pgSz w:w="11910" w:h="16840"/>
          <w:pgMar w:header="755" w:footer="724" w:top="960" w:bottom="920" w:left="1600" w:right="1580"/>
        </w:sectPr>
      </w:pPr>
    </w:p>
    <w:p>
      <w:pPr>
        <w:pStyle w:val="BodyText"/>
        <w:spacing w:before="7"/>
        <w:rPr>
          <w:b/>
          <w:sz w:val="21"/>
        </w:rPr>
      </w:pPr>
    </w:p>
    <w:p>
      <w:pPr>
        <w:pStyle w:val="BodyText"/>
        <w:ind w:left="122"/>
        <w:rPr>
          <w:rFonts w:ascii="Cambria Math" w:eastAsia="Cambria Math"/>
        </w:rPr>
      </w:pPr>
      <w:r>
        <w:rPr>
          <w:rFonts w:ascii="Cambria Math" w:eastAsia="Cambria Math"/>
          <w:spacing w:val="-104"/>
        </w:rPr>
        <w:t>𝑅𝑒𝑡𝑜𝑟𝑛𝑜</w:t>
      </w:r>
      <w:r>
        <w:rPr>
          <w:rFonts w:ascii="Cambria Math" w:eastAsia="Cambria Math"/>
          <w:spacing w:val="-33"/>
        </w:rPr>
        <w:t> </w:t>
      </w:r>
      <w:r>
        <w:rPr>
          <w:rFonts w:ascii="Cambria Math" w:eastAsia="Cambria Math"/>
          <w:spacing w:val="-103"/>
        </w:rPr>
        <w:t>𝑠𝑜𝑏𝑟𝑒</w:t>
      </w:r>
      <w:r>
        <w:rPr>
          <w:rFonts w:ascii="Cambria Math" w:eastAsia="Cambria Math"/>
          <w:spacing w:val="-51"/>
        </w:rPr>
        <w:t> </w:t>
      </w:r>
      <w:r>
        <w:rPr>
          <w:rFonts w:ascii="Cambria Math" w:eastAsia="Cambria Math"/>
          <w:spacing w:val="-106"/>
        </w:rPr>
        <w:t>𝑝𝑎𝑡𝑟𝑖𝑚𝑜𝑛𝑖𝑜</w:t>
      </w:r>
      <w:r>
        <w:rPr>
          <w:rFonts w:ascii="Cambria Math" w:eastAsia="Cambria Math"/>
          <w:spacing w:val="-26"/>
        </w:rPr>
        <w:t> </w:t>
      </w:r>
      <w:r>
        <w:rPr>
          <w:rFonts w:ascii="Cambria Math" w:eastAsia="Cambria Math"/>
          <w:spacing w:val="-105"/>
        </w:rPr>
        <w:t>=</w:t>
      </w:r>
    </w:p>
    <w:p>
      <w:pPr>
        <w:pStyle w:val="BodyText"/>
        <w:spacing w:before="66"/>
        <w:ind w:left="356" w:right="401"/>
        <w:jc w:val="center"/>
        <w:rPr>
          <w:rFonts w:ascii="Cambria Math" w:eastAsia="Cambria Math"/>
        </w:rPr>
      </w:pPr>
      <w:r>
        <w:rPr/>
        <w:br w:type="column"/>
      </w:r>
      <w:r>
        <w:rPr>
          <w:rFonts w:ascii="Cambria Math" w:eastAsia="Cambria Math"/>
          <w:spacing w:val="-107"/>
        </w:rPr>
        <w:t>𝑔𝑎𝑛𝑎𝑛𝑐𝑖𝑎𝑠</w:t>
      </w:r>
      <w:r>
        <w:rPr>
          <w:rFonts w:ascii="Cambria Math" w:eastAsia="Cambria Math"/>
          <w:spacing w:val="-33"/>
        </w:rPr>
        <w:t> </w:t>
      </w:r>
      <w:r>
        <w:rPr>
          <w:rFonts w:ascii="Cambria Math" w:eastAsia="Cambria Math"/>
          <w:spacing w:val="-106"/>
        </w:rPr>
        <w:t>𝑝𝑜𝑠𝑖𝑏𝑙𝑒𝑠</w:t>
      </w:r>
      <w:r>
        <w:rPr>
          <w:rFonts w:ascii="Cambria Math" w:eastAsia="Cambria Math"/>
          <w:spacing w:val="-33"/>
        </w:rPr>
        <w:t> </w:t>
      </w:r>
      <w:r>
        <w:rPr>
          <w:rFonts w:ascii="Cambria Math" w:eastAsia="Cambria Math"/>
          <w:spacing w:val="-106"/>
        </w:rPr>
        <w:t>𝑝𝑎𝑟𝑎</w:t>
      </w:r>
      <w:r>
        <w:rPr>
          <w:rFonts w:ascii="Cambria Math" w:eastAsia="Cambria Math"/>
          <w:spacing w:val="-51"/>
        </w:rPr>
        <w:t> </w:t>
      </w:r>
      <w:r>
        <w:rPr>
          <w:rFonts w:ascii="Cambria Math" w:eastAsia="Cambria Math"/>
          <w:spacing w:val="-109"/>
        </w:rPr>
        <w:t>𝑙𝑜𝑠</w:t>
      </w:r>
      <w:r>
        <w:rPr>
          <w:rFonts w:ascii="Cambria Math" w:eastAsia="Cambria Math"/>
          <w:spacing w:val="-31"/>
        </w:rPr>
        <w:t> </w:t>
      </w:r>
      <w:r>
        <w:rPr>
          <w:rFonts w:ascii="Cambria Math" w:eastAsia="Cambria Math"/>
          <w:spacing w:val="-109"/>
        </w:rPr>
        <w:t>𝑎𝑐𝑐𝑖𝑜𝑛𝑖𝑠𝑡𝑎𝑠</w:t>
      </w:r>
      <w:r>
        <w:rPr>
          <w:rFonts w:ascii="Cambria Math" w:eastAsia="Cambria Math"/>
          <w:spacing w:val="-31"/>
        </w:rPr>
        <w:t> </w:t>
      </w:r>
      <w:r>
        <w:rPr>
          <w:rFonts w:ascii="Cambria Math" w:eastAsia="Cambria Math"/>
          <w:spacing w:val="-109"/>
        </w:rPr>
        <w:t>𝑐𝑜𝑚𝑢𝑛𝑒𝑠</w:t>
      </w:r>
    </w:p>
    <w:p>
      <w:pPr>
        <w:pStyle w:val="BodyText"/>
        <w:spacing w:before="5"/>
        <w:rPr>
          <w:rFonts w:ascii="Cambria Math"/>
          <w:sz w:val="4"/>
        </w:rPr>
      </w:pPr>
    </w:p>
    <w:p>
      <w:pPr>
        <w:pStyle w:val="BodyText"/>
        <w:spacing w:line="20" w:lineRule="exact"/>
        <w:ind w:left="72"/>
        <w:rPr>
          <w:rFonts w:ascii="Cambria Math"/>
          <w:sz w:val="2"/>
        </w:rPr>
      </w:pPr>
      <w:r>
        <w:rPr>
          <w:rFonts w:ascii="Cambria Math"/>
          <w:sz w:val="2"/>
        </w:rPr>
        <w:pict>
          <v:group style="width:265.5pt;height:.75pt;mso-position-horizontal-relative:char;mso-position-vertical-relative:line" coordorigin="0,0" coordsize="5310,15">
            <v:line style="position:absolute" from="8,8" to="5302,8" stroked="true" strokeweight=".72pt" strokecolor="#000000"/>
          </v:group>
        </w:pict>
      </w:r>
      <w:r>
        <w:rPr>
          <w:rFonts w:ascii="Cambria Math"/>
          <w:sz w:val="2"/>
        </w:rPr>
      </w:r>
    </w:p>
    <w:p>
      <w:pPr>
        <w:pStyle w:val="BodyText"/>
        <w:ind w:left="356" w:right="401"/>
        <w:jc w:val="center"/>
        <w:rPr>
          <w:rFonts w:ascii="Cambria Math" w:eastAsia="Cambria Math"/>
        </w:rPr>
      </w:pPr>
      <w:r>
        <w:rPr>
          <w:rFonts w:ascii="Cambria Math" w:eastAsia="Cambria Math"/>
          <w:spacing w:val="-93"/>
        </w:rPr>
        <w:t>𝑐𝑎𝑝𝑖𝑡𝑎𝑙</w:t>
      </w:r>
      <w:r>
        <w:rPr>
          <w:rFonts w:ascii="Cambria Math" w:eastAsia="Cambria Math"/>
          <w:spacing w:val="-33"/>
        </w:rPr>
        <w:t> </w:t>
      </w:r>
      <w:r>
        <w:rPr>
          <w:rFonts w:ascii="Cambria Math" w:eastAsia="Cambria Math"/>
          <w:spacing w:val="-92"/>
        </w:rPr>
        <w:t>𝑒𝑛</w:t>
      </w:r>
      <w:r>
        <w:rPr>
          <w:rFonts w:ascii="Cambria Math" w:eastAsia="Cambria Math"/>
          <w:spacing w:val="-34"/>
        </w:rPr>
        <w:t> </w:t>
      </w:r>
      <w:r>
        <w:rPr>
          <w:rFonts w:ascii="Cambria Math" w:eastAsia="Cambria Math"/>
          <w:spacing w:val="-92"/>
        </w:rPr>
        <w:t>𝑎𝑐𝑐𝑖𝑜𝑛𝑒𝑠 </w:t>
      </w:r>
      <w:r>
        <w:rPr>
          <w:rFonts w:ascii="Cambria Math" w:eastAsia="Cambria Math"/>
        </w:rPr>
        <w:t>𝑐𝑜𝑚𝑢𝑛𝑒𝑠</w:t>
      </w:r>
    </w:p>
    <w:p>
      <w:pPr>
        <w:spacing w:after="0"/>
        <w:jc w:val="center"/>
        <w:rPr>
          <w:rFonts w:ascii="Cambria Math" w:eastAsia="Cambria Math"/>
        </w:rPr>
        <w:sectPr>
          <w:type w:val="continuous"/>
          <w:pgSz w:w="11910" w:h="16840"/>
          <w:pgMar w:top="1380" w:bottom="280" w:left="1600" w:right="1580"/>
          <w:cols w:num="2" w:equalWidth="0">
            <w:col w:w="3189" w:space="40"/>
            <w:col w:w="5501"/>
          </w:cols>
        </w:sectPr>
      </w:pPr>
    </w:p>
    <w:p>
      <w:pPr>
        <w:pStyle w:val="BodyText"/>
        <w:spacing w:before="3"/>
        <w:rPr>
          <w:rFonts w:ascii="Cambria Math"/>
          <w:sz w:val="20"/>
        </w:rPr>
      </w:pPr>
    </w:p>
    <w:p>
      <w:pPr>
        <w:pStyle w:val="BodyText"/>
        <w:ind w:left="105"/>
        <w:rPr>
          <w:rFonts w:ascii="Cambria Math"/>
          <w:sz w:val="20"/>
        </w:rPr>
      </w:pPr>
      <w:r>
        <w:rPr>
          <w:rFonts w:ascii="Cambria Math"/>
          <w:sz w:val="20"/>
        </w:rPr>
        <w:pict>
          <v:group style="width:425.95pt;height:289.850pt;mso-position-horizontal-relative:char;mso-position-vertical-relative:line" coordorigin="0,0" coordsize="8519,5797">
            <v:line style="position:absolute" from="852,5528" to="5177,5528" stroked="true" strokeweight=".75pt" strokecolor="#989898"/>
            <v:line style="position:absolute" from="852,4870" to="5177,4870" stroked="true" strokeweight=".75pt" strokecolor="#989898"/>
            <v:line style="position:absolute" from="852,3555" to="5177,3555" stroked="true" strokeweight=".75pt" strokecolor="#989898"/>
            <v:line style="position:absolute" from="852,2897" to="5177,2897" stroked="true" strokeweight=".75pt" strokecolor="#989898"/>
            <v:line style="position:absolute" from="852,2235" to="5177,2235" stroked="true" strokeweight=".75pt" strokecolor="#989898"/>
            <v:line style="position:absolute" from="852,1577" to="5177,1577" stroked="true" strokeweight=".75pt" strokecolor="#989898"/>
            <v:line style="position:absolute" from="852,919" to="5177,919" stroked="true" strokeweight=".75pt" strokecolor="#989898"/>
            <v:line style="position:absolute" from="854,5530" to="854,919" stroked="true" strokeweight=".75pt" strokecolor="#989898"/>
            <v:line style="position:absolute" from="790,5528" to="852,5528" stroked="true" strokeweight=".75pt" strokecolor="#989898"/>
            <v:line style="position:absolute" from="790,4870" to="852,4870" stroked="true" strokeweight=".75pt" strokecolor="#989898"/>
            <v:line style="position:absolute" from="790,4212" to="852,4212" stroked="true" strokeweight=".75pt" strokecolor="#989898"/>
            <v:line style="position:absolute" from="790,3555" to="852,3555" stroked="true" strokeweight=".75pt" strokecolor="#989898"/>
            <v:line style="position:absolute" from="790,2897" to="852,2897" stroked="true" strokeweight=".75pt" strokecolor="#989898"/>
            <v:line style="position:absolute" from="790,2235" to="852,2235" stroked="true" strokeweight=".75pt" strokecolor="#989898"/>
            <v:line style="position:absolute" from="790,1577" to="852,1577" stroked="true" strokeweight=".75pt" strokecolor="#989898"/>
            <v:line style="position:absolute" from="790,919" to="852,919" stroked="true" strokeweight=".75pt" strokecolor="#989898"/>
            <v:line style="position:absolute" from="854,4212" to="5177,4212" stroked="true" strokeweight=".75pt" strokecolor="#989898"/>
            <v:line style="position:absolute" from="852,4212" to="852,4275" stroked="true" strokeweight=".75pt" strokecolor="#989898"/>
            <v:line style="position:absolute" from="1937,4212" to="1937,4275" stroked="true" strokeweight=".75pt" strokecolor="#989898"/>
            <v:line style="position:absolute" from="3017,4212" to="3017,4275" stroked="true" strokeweight=".75pt" strokecolor="#989898"/>
            <v:line style="position:absolute" from="4097,4212" to="4097,4275" stroked="true" strokeweight=".75pt" strokecolor="#989898"/>
            <v:line style="position:absolute" from="5177,4212" to="5177,4275" stroked="true" strokeweight=".75pt" strokecolor="#989898"/>
            <v:line style="position:absolute" from="1395,5326" to="2475,5028" stroked="true" strokeweight="3.75pt" strokecolor="#727272"/>
            <v:line style="position:absolute" from="2475,5028" to="3555,2072" stroked="true" strokeweight="3.75pt" strokecolor="#727272"/>
            <v:line style="position:absolute" from="3555,2072" to="4635,1716" stroked="true" strokeweight="3.75pt" strokecolor="#727272"/>
            <v:line style="position:absolute" from="5545,3224" to="5929,3224" stroked="true" strokeweight="3.75pt" strokecolor="#727272"/>
            <v:rect style="position:absolute;left:7;top:8;width:8504;height:5782" filled="false" stroked="true" strokeweight=".75pt" strokecolor="#989898"/>
            <v:shape style="position:absolute;left:2138;top:277;width:4244;height:360" type="#_x0000_t202" filled="false" stroked="false">
              <v:textbox inset="0,0,0,0">
                <w:txbxContent>
                  <w:p>
                    <w:pPr>
                      <w:spacing w:line="360" w:lineRule="exact" w:before="0"/>
                      <w:ind w:left="0" w:right="-20" w:firstLine="0"/>
                      <w:jc w:val="left"/>
                      <w:rPr>
                        <w:rFonts w:ascii="Calibri"/>
                        <w:b/>
                        <w:sz w:val="36"/>
                      </w:rPr>
                    </w:pPr>
                    <w:r>
                      <w:rPr>
                        <w:rFonts w:ascii="Calibri"/>
                        <w:b/>
                        <w:sz w:val="36"/>
                      </w:rPr>
                      <w:t>Retorno sobre el patrimonio</w:t>
                    </w:r>
                  </w:p>
                </w:txbxContent>
              </v:textbox>
              <w10:wrap type="none"/>
            </v:shape>
            <v:shape style="position:absolute;left:269;top:844;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2.50</w:t>
                    </w:r>
                  </w:p>
                </w:txbxContent>
              </v:textbox>
              <w10:wrap type="none"/>
            </v:shape>
            <v:shape style="position:absolute;left:269;top:1502;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2.00</w:t>
                    </w:r>
                  </w:p>
                </w:txbxContent>
              </v:textbox>
              <w10:wrap type="none"/>
            </v:shape>
            <v:shape style="position:absolute;left:4872;top:164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1.89</w:t>
                    </w:r>
                  </w:p>
                </w:txbxContent>
              </v:textbox>
              <w10:wrap type="none"/>
            </v:shape>
            <v:shape style="position:absolute;left:269;top:216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1.50</w:t>
                    </w:r>
                  </w:p>
                </w:txbxContent>
              </v:textbox>
              <w10:wrap type="none"/>
            </v:shape>
            <v:shape style="position:absolute;left:3791;top:1993;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1.63</w:t>
                    </w:r>
                  </w:p>
                </w:txbxContent>
              </v:textbox>
              <w10:wrap type="none"/>
            </v:shape>
            <v:shape style="position:absolute;left:269;top:281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1.00</w:t>
                    </w:r>
                  </w:p>
                </w:txbxContent>
              </v:textbox>
              <w10:wrap type="none"/>
            </v:shape>
            <v:shape style="position:absolute;left:5967;top:3146;width:2306;height:200" type="#_x0000_t202" filled="false" stroked="false">
              <v:textbox inset="0,0,0,0">
                <w:txbxContent>
                  <w:p>
                    <w:pPr>
                      <w:spacing w:line="200" w:lineRule="exact" w:before="0"/>
                      <w:ind w:left="0" w:right="-20" w:firstLine="0"/>
                      <w:jc w:val="left"/>
                      <w:rPr>
                        <w:rFonts w:ascii="Calibri"/>
                        <w:sz w:val="20"/>
                      </w:rPr>
                    </w:pPr>
                    <w:r>
                      <w:rPr>
                        <w:rFonts w:ascii="Calibri"/>
                        <w:sz w:val="20"/>
                      </w:rPr>
                      <w:t>Retorno sobre el patrimonio</w:t>
                    </w:r>
                  </w:p>
                </w:txbxContent>
              </v:textbox>
              <w10:wrap type="none"/>
            </v:shape>
            <v:shape style="position:absolute;left:269;top:3478;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0.50</w:t>
                    </w:r>
                  </w:p>
                </w:txbxContent>
              </v:textbox>
              <w10:wrap type="none"/>
            </v:shape>
            <v:shape style="position:absolute;left:472;top:4136;width:62;height:200" type="#_x0000_t202" filled="false" stroked="false">
              <v:textbox inset="0,0,0,0">
                <w:txbxContent>
                  <w:p>
                    <w:pPr>
                      <w:spacing w:line="200" w:lineRule="exact" w:before="0"/>
                      <w:ind w:left="0" w:right="-14" w:firstLine="0"/>
                      <w:jc w:val="left"/>
                      <w:rPr>
                        <w:rFonts w:ascii="Calibri" w:hAnsi="Calibri"/>
                        <w:sz w:val="20"/>
                      </w:rPr>
                    </w:pPr>
                    <w:r>
                      <w:rPr>
                        <w:rFonts w:ascii="Calibri" w:hAnsi="Calibri"/>
                        <w:w w:val="30"/>
                        <w:sz w:val="20"/>
                      </w:rPr>
                      <w:t>-­‐</w:t>
                    </w:r>
                  </w:p>
                </w:txbxContent>
              </v:textbox>
              <w10:wrap type="none"/>
            </v:shape>
            <v:shape style="position:absolute;left:1192;top:438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2008</w:t>
                    </w:r>
                  </w:p>
                </w:txbxContent>
              </v:textbox>
              <w10:wrap type="none"/>
            </v:shape>
            <v:shape style="position:absolute;left:2272;top:438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2009</w:t>
                    </w:r>
                  </w:p>
                </w:txbxContent>
              </v:textbox>
              <w10:wrap type="none"/>
            </v:shape>
            <v:shape style="position:absolute;left:3353;top:438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2010</w:t>
                    </w:r>
                  </w:p>
                </w:txbxContent>
              </v:textbox>
              <w10:wrap type="none"/>
            </v:shape>
            <v:shape style="position:absolute;left:4434;top:4383;width:406;height:200" type="#_x0000_t202" filled="false" stroked="false">
              <v:textbox inset="0,0,0,0">
                <w:txbxContent>
                  <w:p>
                    <w:pPr>
                      <w:spacing w:line="200" w:lineRule="exact" w:before="0"/>
                      <w:ind w:left="0" w:right="-20" w:firstLine="0"/>
                      <w:jc w:val="left"/>
                      <w:rPr>
                        <w:rFonts w:ascii="Calibri"/>
                        <w:sz w:val="20"/>
                      </w:rPr>
                    </w:pPr>
                    <w:r>
                      <w:rPr>
                        <w:rFonts w:ascii="Calibri"/>
                        <w:sz w:val="20"/>
                      </w:rPr>
                      <w:t>2011</w:t>
                    </w:r>
                  </w:p>
                </w:txbxContent>
              </v:textbox>
              <w10:wrap type="none"/>
            </v:shape>
            <v:shape style="position:absolute;left:193;top:4795;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(0.50)</w:t>
                    </w:r>
                  </w:p>
                </w:txbxContent>
              </v:textbox>
              <w10:wrap type="none"/>
            </v:shape>
            <v:shape style="position:absolute;left:2710;top:4955;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(0.62)</w:t>
                    </w:r>
                  </w:p>
                </w:txbxContent>
              </v:textbox>
              <w10:wrap type="none"/>
            </v:shape>
            <v:shape style="position:absolute;left:1630;top:5252;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(0.85)</w:t>
                    </w:r>
                  </w:p>
                </w:txbxContent>
              </v:textbox>
              <w10:wrap type="none"/>
            </v:shape>
            <v:shape style="position:absolute;left:193;top:5454;width:476;height:200" type="#_x0000_t202" filled="false" stroked="false">
              <v:textbox inset="0,0,0,0">
                <w:txbxContent>
                  <w:p>
                    <w:pPr>
                      <w:spacing w:line="200" w:lineRule="exact" w:before="0"/>
                      <w:ind w:left="0" w:right="-20" w:firstLine="0"/>
                      <w:jc w:val="left"/>
                      <w:rPr>
                        <w:rFonts w:ascii="Calibri"/>
                        <w:sz w:val="20"/>
                      </w:rPr>
                    </w:pPr>
                    <w:r>
                      <w:rPr>
                        <w:rFonts w:ascii="Calibri"/>
                        <w:sz w:val="20"/>
                      </w:rPr>
                      <w:t>(1.00)</w:t>
                    </w:r>
                  </w:p>
                </w:txbxContent>
              </v:textbox>
              <w10:wrap type="none"/>
            </v:shape>
          </v:group>
        </w:pict>
      </w:r>
      <w:r>
        <w:rPr>
          <w:rFonts w:ascii="Cambria Math"/>
          <w:sz w:val="20"/>
        </w:rPr>
      </w:r>
    </w:p>
    <w:p>
      <w:pPr>
        <w:pStyle w:val="BodyText"/>
        <w:rPr>
          <w:rFonts w:ascii="Cambria Math"/>
          <w:sz w:val="20"/>
        </w:rPr>
      </w:pPr>
    </w:p>
    <w:p>
      <w:pPr>
        <w:pStyle w:val="BodyText"/>
        <w:rPr>
          <w:rFonts w:ascii="Cambria Math"/>
          <w:sz w:val="20"/>
        </w:rPr>
      </w:pPr>
    </w:p>
    <w:p>
      <w:pPr>
        <w:pStyle w:val="BodyText"/>
        <w:spacing w:before="4"/>
        <w:rPr>
          <w:rFonts w:ascii="Cambria Math"/>
          <w:sz w:val="20"/>
        </w:rPr>
      </w:pPr>
    </w:p>
    <w:p>
      <w:pPr>
        <w:pStyle w:val="BodyText"/>
        <w:spacing w:line="273" w:lineRule="auto" w:before="69"/>
        <w:ind w:left="110" w:right="166"/>
        <w:jc w:val="both"/>
      </w:pPr>
      <w:r>
        <w:rPr/>
        <w:t>Durante el año 2008, por cada euro invertido por los accionistas, se obtuvo una pérdida de 85 centavos de euro. En el año 2009, se muestra una pérdida de 62 centavos por cada euro invertido.</w:t>
      </w:r>
    </w:p>
    <w:p>
      <w:pPr>
        <w:pStyle w:val="BodyText"/>
        <w:spacing w:line="273" w:lineRule="auto" w:before="209"/>
        <w:ind w:left="110" w:right="340"/>
        <w:jc w:val="both"/>
      </w:pPr>
      <w:r>
        <w:rPr/>
        <w:t>A fin del año 2010, por cada euro que los accionistas invierten en la empresa, se genera una ganancia neta de 1.63 centavos, a fin del 2011, esta ganancia se vio incrementada de 0.26 centavos con respecto al año anterior.</w:t>
      </w:r>
    </w:p>
    <w:p>
      <w:pPr>
        <w:spacing w:after="0" w:line="273" w:lineRule="auto"/>
        <w:jc w:val="both"/>
        <w:sectPr>
          <w:type w:val="continuous"/>
          <w:pgSz w:w="11910" w:h="16840"/>
          <w:pgMar w:top="1380" w:bottom="280" w:left="1600" w:right="1580"/>
        </w:sectPr>
      </w:pPr>
    </w:p>
    <w:p>
      <w:pPr>
        <w:pStyle w:val="BodyText"/>
        <w:rPr>
          <w:sz w:val="20"/>
        </w:rPr>
      </w:pPr>
    </w:p>
    <w:p>
      <w:pPr>
        <w:pStyle w:val="BodyText"/>
        <w:spacing w:before="3"/>
        <w:rPr>
          <w:sz w:val="19"/>
        </w:rPr>
      </w:pPr>
    </w:p>
    <w:p>
      <w:pPr>
        <w:pStyle w:val="Heading2"/>
        <w:numPr>
          <w:ilvl w:val="1"/>
          <w:numId w:val="27"/>
        </w:numPr>
        <w:tabs>
          <w:tab w:pos="686" w:val="left" w:leader="none"/>
          <w:tab w:pos="687" w:val="left" w:leader="none"/>
        </w:tabs>
        <w:spacing w:line="240" w:lineRule="auto" w:before="0" w:after="0"/>
        <w:ind w:left="686" w:right="0" w:hanging="576"/>
        <w:jc w:val="left"/>
      </w:pPr>
      <w:bookmarkStart w:name="_TOC_250003" w:id="64"/>
      <w:r>
        <w:rPr/>
        <w:t>Análisis</w:t>
      </w:r>
      <w:r>
        <w:rPr>
          <w:spacing w:val="-12"/>
        </w:rPr>
        <w:t> </w:t>
      </w:r>
      <w:bookmarkEnd w:id="64"/>
      <w:r>
        <w:rPr/>
        <w:t>Dupont.</w:t>
      </w:r>
    </w:p>
    <w:p>
      <w:pPr>
        <w:pStyle w:val="BodyText"/>
        <w:rPr>
          <w:b/>
          <w:sz w:val="20"/>
        </w:rPr>
      </w:pPr>
    </w:p>
    <w:p>
      <w:pPr>
        <w:pStyle w:val="BodyText"/>
        <w:rPr>
          <w:b/>
          <w:sz w:val="20"/>
        </w:rPr>
      </w:pPr>
    </w:p>
    <w:p>
      <w:pPr>
        <w:pStyle w:val="BodyText"/>
        <w:rPr>
          <w:b/>
          <w:sz w:val="20"/>
        </w:rPr>
      </w:pPr>
    </w:p>
    <w:p>
      <w:pPr>
        <w:pStyle w:val="BodyText"/>
        <w:spacing w:before="7"/>
        <w:rPr>
          <w:b/>
          <w:sz w:val="28"/>
        </w:rPr>
      </w:pPr>
      <w:r>
        <w:rPr/>
        <w:drawing>
          <wp:anchor distT="0" distB="0" distL="0" distR="0" allowOverlap="1" layoutInCell="1" locked="0" behindDoc="0" simplePos="0" relativeHeight="11248">
            <wp:simplePos x="0" y="0"/>
            <wp:positionH relativeFrom="page">
              <wp:posOffset>1086407</wp:posOffset>
            </wp:positionH>
            <wp:positionV relativeFrom="paragraph">
              <wp:posOffset>233679</wp:posOffset>
            </wp:positionV>
            <wp:extent cx="5337048" cy="682751"/>
            <wp:effectExtent l="0" t="0" r="0" b="0"/>
            <wp:wrapTopAndBottom/>
            <wp:docPr id="63" name="image168.png" descr=""/>
            <wp:cNvGraphicFramePr>
              <a:graphicFrameLocks noChangeAspect="1"/>
            </wp:cNvGraphicFramePr>
            <a:graphic>
              <a:graphicData uri="http://schemas.openxmlformats.org/drawingml/2006/picture">
                <pic:pic>
                  <pic:nvPicPr>
                    <pic:cNvPr id="64" name="image168.png"/>
                    <pic:cNvPicPr/>
                  </pic:nvPicPr>
                  <pic:blipFill>
                    <a:blip r:embed="rId211" cstate="print"/>
                    <a:stretch>
                      <a:fillRect/>
                    </a:stretch>
                  </pic:blipFill>
                  <pic:spPr>
                    <a:xfrm>
                      <a:off x="0" y="0"/>
                      <a:ext cx="5337048" cy="682751"/>
                    </a:xfrm>
                    <a:prstGeom prst="rect">
                      <a:avLst/>
                    </a:prstGeom>
                  </pic:spPr>
                </pic:pic>
              </a:graphicData>
            </a:graphic>
          </wp:anchor>
        </w:drawing>
      </w:r>
    </w:p>
    <w:p>
      <w:pPr>
        <w:spacing w:after="0"/>
        <w:rPr>
          <w:sz w:val="28"/>
        </w:rPr>
        <w:sectPr>
          <w:footerReference w:type="default" r:id="rId210"/>
          <w:pgSz w:w="11910" w:h="16840"/>
          <w:pgMar w:footer="724" w:header="755" w:top="960" w:bottom="920" w:left="160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numPr>
          <w:ilvl w:val="0"/>
          <w:numId w:val="27"/>
        </w:numPr>
        <w:tabs>
          <w:tab w:pos="2484" w:val="left" w:leader="none"/>
          <w:tab w:pos="2485" w:val="left" w:leader="none"/>
        </w:tabs>
        <w:spacing w:line="240" w:lineRule="auto" w:before="219" w:after="0"/>
        <w:ind w:left="2484" w:right="0" w:hanging="432"/>
        <w:jc w:val="left"/>
      </w:pPr>
      <w:bookmarkStart w:name="_TOC_250002" w:id="65"/>
      <w:r>
        <w:rPr/>
        <w:t>CAPÍTULO V</w:t>
      </w:r>
      <w:r>
        <w:rPr>
          <w:spacing w:val="-9"/>
        </w:rPr>
        <w:t> </w:t>
      </w:r>
      <w:bookmarkEnd w:id="65"/>
      <w:r>
        <w:rPr/>
        <w:t>CONCLUSIONES</w:t>
      </w:r>
    </w:p>
    <w:p>
      <w:pPr>
        <w:spacing w:after="0" w:line="240" w:lineRule="auto"/>
        <w:jc w:val="left"/>
        <w:sectPr>
          <w:headerReference w:type="default" r:id="rId212"/>
          <w:footerReference w:type="default" r:id="rId213"/>
          <w:pgSz w:w="11910" w:h="16840"/>
          <w:pgMar w:header="755" w:footer="0" w:top="960" w:bottom="280" w:left="1680" w:right="1580"/>
        </w:sectPr>
      </w:pPr>
    </w:p>
    <w:p>
      <w:pPr>
        <w:pStyle w:val="BodyText"/>
        <w:rPr>
          <w:b/>
          <w:sz w:val="20"/>
        </w:rPr>
      </w:pPr>
    </w:p>
    <w:p>
      <w:pPr>
        <w:pStyle w:val="BodyText"/>
        <w:spacing w:before="3"/>
        <w:rPr>
          <w:b/>
          <w:sz w:val="19"/>
        </w:rPr>
      </w:pPr>
    </w:p>
    <w:p>
      <w:pPr>
        <w:pStyle w:val="Heading2"/>
      </w:pPr>
      <w:bookmarkStart w:name="_TOC_250001" w:id="66"/>
      <w:bookmarkEnd w:id="66"/>
      <w:r>
        <w:rPr/>
        <w:t>5.1   Conclusiones</w:t>
      </w:r>
    </w:p>
    <w:p>
      <w:pPr>
        <w:pStyle w:val="BodyText"/>
        <w:rPr>
          <w:b/>
        </w:rPr>
      </w:pPr>
    </w:p>
    <w:p>
      <w:pPr>
        <w:pStyle w:val="BodyText"/>
        <w:spacing w:before="6"/>
        <w:rPr>
          <w:b/>
          <w:sz w:val="22"/>
        </w:rPr>
      </w:pPr>
    </w:p>
    <w:p>
      <w:pPr>
        <w:pStyle w:val="BodyText"/>
        <w:spacing w:line="276" w:lineRule="auto"/>
        <w:ind w:left="110" w:right="108"/>
        <w:jc w:val="both"/>
      </w:pPr>
      <w:r>
        <w:rPr/>
        <w:t>Durante el año 2008 el mercado de automóviles se vio impactado por la crisis financiera, lo que llevo a la contracción del crédito de los consumidores y por consiguiente a la crisis económica. En septiembre del 2008, las ventas de vehículos nuevos en Europa alcanzaron su nivel más bajo en una década. La disminución de la producción de automóviles se aceleró en el cuarto trimestre de 2008. Como estrategia de control de costos y a fin de mantener la competitividad, la empresa Valeo redujo la plantilla de personal de 5000 empleados en todo el mundo, principalmente en los países europeos de alto costo; nuevos programas de reducción de costos fueron implantados, se estableció una nueva política de gestión rigurosa del efectivo. La pérdida reportada al cierre fiscal del año 2008 fue de un total de 199 millones de euros.</w:t>
      </w:r>
    </w:p>
    <w:p>
      <w:pPr>
        <w:pStyle w:val="BodyText"/>
      </w:pPr>
    </w:p>
    <w:p>
      <w:pPr>
        <w:pStyle w:val="BodyText"/>
      </w:pPr>
    </w:p>
    <w:p>
      <w:pPr>
        <w:pStyle w:val="BodyText"/>
        <w:spacing w:line="276" w:lineRule="auto" w:before="168"/>
        <w:ind w:left="110" w:right="108"/>
        <w:jc w:val="both"/>
      </w:pPr>
      <w:r>
        <w:rPr/>
        <w:t>Con respecto al año 2007, los ingresos por la operación se vieron reducidos de 9%; debido principalmente a impactos en precios y volúmenes de los  productos, al tipo de cambio y cambios en el perímetro de operación. Las ventas</w:t>
      </w:r>
      <w:r>
        <w:rPr>
          <w:spacing w:val="25"/>
        </w:rPr>
        <w:t> </w:t>
      </w:r>
      <w:r>
        <w:rPr/>
        <w:t>registraron</w:t>
      </w:r>
      <w:r>
        <w:rPr>
          <w:spacing w:val="24"/>
        </w:rPr>
        <w:t> </w:t>
      </w:r>
      <w:r>
        <w:rPr/>
        <w:t>pérdidas</w:t>
      </w:r>
      <w:r>
        <w:rPr>
          <w:spacing w:val="24"/>
        </w:rPr>
        <w:t> </w:t>
      </w:r>
      <w:r>
        <w:rPr/>
        <w:t>en</w:t>
      </w:r>
      <w:r>
        <w:rPr>
          <w:spacing w:val="25"/>
        </w:rPr>
        <w:t> </w:t>
      </w:r>
      <w:r>
        <w:rPr/>
        <w:t>Norteamérica</w:t>
      </w:r>
      <w:r>
        <w:rPr>
          <w:spacing w:val="25"/>
        </w:rPr>
        <w:t> </w:t>
      </w:r>
      <w:r>
        <w:rPr/>
        <w:t>y</w:t>
      </w:r>
      <w:r>
        <w:rPr>
          <w:spacing w:val="25"/>
        </w:rPr>
        <w:t> </w:t>
      </w:r>
      <w:r>
        <w:rPr/>
        <w:t>Europa</w:t>
      </w:r>
      <w:r>
        <w:rPr>
          <w:spacing w:val="25"/>
        </w:rPr>
        <w:t> </w:t>
      </w:r>
      <w:r>
        <w:rPr/>
        <w:t>por</w:t>
      </w:r>
      <w:r>
        <w:rPr>
          <w:spacing w:val="25"/>
        </w:rPr>
        <w:t> </w:t>
      </w:r>
      <w:r>
        <w:rPr/>
        <w:t>un</w:t>
      </w:r>
      <w:r>
        <w:rPr>
          <w:spacing w:val="25"/>
        </w:rPr>
        <w:t> </w:t>
      </w:r>
      <w:r>
        <w:rPr/>
        <w:t>total</w:t>
      </w:r>
      <w:r>
        <w:rPr>
          <w:spacing w:val="25"/>
        </w:rPr>
        <w:t> </w:t>
      </w:r>
      <w:r>
        <w:rPr/>
        <w:t>de</w:t>
      </w:r>
      <w:r>
        <w:rPr>
          <w:spacing w:val="24"/>
        </w:rPr>
        <w:t> </w:t>
      </w:r>
      <w:r>
        <w:rPr/>
        <w:t>-14%</w:t>
      </w:r>
      <w:r>
        <w:rPr>
          <w:spacing w:val="25"/>
        </w:rPr>
        <w:t> </w:t>
      </w:r>
      <w:r>
        <w:rPr/>
        <w:t>y</w:t>
      </w:r>
    </w:p>
    <w:p>
      <w:pPr>
        <w:pStyle w:val="BodyText"/>
        <w:spacing w:line="271" w:lineRule="auto"/>
        <w:ind w:left="110" w:right="108"/>
        <w:jc w:val="both"/>
      </w:pPr>
      <w:r>
        <w:rPr/>
        <w:t>-12% respectivamente. Los principales clientes impactados fueron Chrysler y General Motors.</w:t>
      </w:r>
    </w:p>
    <w:p>
      <w:pPr>
        <w:pStyle w:val="BodyText"/>
        <w:spacing w:line="273" w:lineRule="auto" w:before="212"/>
        <w:ind w:left="110" w:right="108"/>
        <w:jc w:val="both"/>
      </w:pPr>
      <w:r>
        <w:rPr/>
        <w:t>Los gastos de R&amp;D, ventas y gastos de producción se vieron reducidos en promedio de 5.9%. Al final del año 2008, los inventarios se vieron reducidos de 66 millones de euros, los gastos de capital aumentaron por 56 millones de euros. El patrimonio neto de los accionistas se vio reducido por 420 millones de euros y la deuda neta aumento de 22 millones con respecto al 2007.</w:t>
      </w:r>
    </w:p>
    <w:p>
      <w:pPr>
        <w:pStyle w:val="BodyText"/>
      </w:pPr>
    </w:p>
    <w:p>
      <w:pPr>
        <w:pStyle w:val="BodyText"/>
      </w:pPr>
    </w:p>
    <w:p>
      <w:pPr>
        <w:pStyle w:val="BodyText"/>
        <w:spacing w:line="276" w:lineRule="auto" w:before="176"/>
        <w:ind w:left="110" w:right="108"/>
        <w:jc w:val="both"/>
      </w:pPr>
      <w:r>
        <w:rPr/>
        <w:t>Para el año 2009, las ventas se redujeron de 18% con respecto al año 2008, después de un difícil primer trimestre del año 2009, durante el cual Valeo registro una caída de 33% de las ventas ,el grupo se benefició de un cambio en la producción de automóviles que comenzó en el segundo trimestre del año gracias a la implementación del esquema de bonos al programa de renovación de la flota vehicular en Europa, así como al crecimiento acelerado en los países emergentes y en particular Asia.</w:t>
      </w:r>
    </w:p>
    <w:p>
      <w:pPr>
        <w:pStyle w:val="BodyText"/>
      </w:pPr>
    </w:p>
    <w:p>
      <w:pPr>
        <w:pStyle w:val="BodyText"/>
      </w:pPr>
    </w:p>
    <w:p>
      <w:pPr>
        <w:pStyle w:val="BodyText"/>
        <w:spacing w:line="276" w:lineRule="auto" w:before="168"/>
        <w:ind w:left="110" w:right="108"/>
        <w:jc w:val="both"/>
      </w:pPr>
      <w:r>
        <w:rPr/>
        <w:t>El margen de utilidades de Valeo en el último cuarto del 2009 registro el margen más alto después de 2004, con un total de 17.7%. Los gastos de R&amp;D representaron 6.3% de las ventas netas. El margen de operación al cierre del año fue de 1.8%, reportando una pérdida de -153 millones de euros y perdidas por acción de 2.04 euros. El capital social fue de 722 millones de</w:t>
      </w:r>
      <w:r>
        <w:rPr>
          <w:spacing w:val="-1"/>
        </w:rPr>
        <w:t> </w:t>
      </w:r>
      <w:r>
        <w:rPr/>
        <w:t>euros.</w:t>
      </w:r>
    </w:p>
    <w:p>
      <w:pPr>
        <w:spacing w:after="0" w:line="276" w:lineRule="auto"/>
        <w:jc w:val="both"/>
        <w:sectPr>
          <w:headerReference w:type="default" r:id="rId214"/>
          <w:footerReference w:type="default" r:id="rId215"/>
          <w:pgSz w:w="11910" w:h="16840"/>
          <w:pgMar w:header="755" w:footer="724" w:top="960" w:bottom="920" w:left="1600" w:right="1580"/>
          <w:pgNumType w:start="112"/>
        </w:sectPr>
      </w:pPr>
    </w:p>
    <w:p>
      <w:pPr>
        <w:pStyle w:val="BodyText"/>
        <w:rPr>
          <w:sz w:val="20"/>
        </w:rPr>
      </w:pPr>
    </w:p>
    <w:p>
      <w:pPr>
        <w:pStyle w:val="BodyText"/>
        <w:spacing w:before="3"/>
        <w:rPr>
          <w:sz w:val="19"/>
        </w:rPr>
      </w:pPr>
    </w:p>
    <w:p>
      <w:pPr>
        <w:pStyle w:val="BodyText"/>
        <w:spacing w:line="360" w:lineRule="auto"/>
        <w:ind w:left="110" w:right="108"/>
        <w:jc w:val="both"/>
      </w:pPr>
      <w:r>
        <w:rPr/>
        <w:t>El año 2010 registro ventas totales 9,632 millones de euros, es decir, un incremento de 28%, con respecto al año anterior; estos impactos se vieron reflejados principalmente en Norteamérica y Asia. El margen de utilidades reportado fue de 18%, es decir +2.8 puntos con respecto al 2009. El resultado de operación fue de 617 millones de euros. Los impactos en el margen de utilidad bruta en el año 2010 se debieron principalmente al incremento en los volúmenes de producción y a las productividades en la maño de obra directa, el impacto negativo en el costo de la materia prima fue principalmente en el aluminio y el cobre. Los ingresos netos mejoraron de 3.8% con respecto al 2009, reportando un total de 365 millones de euros; esto se explica, entre otras razones, debido al estricto control de las inversiones de capital. Las ganancias por acción reportadas al cierre del año 2010 fueron de 4.86 euros por acción.</w:t>
      </w:r>
    </w:p>
    <w:p>
      <w:pPr>
        <w:pStyle w:val="BodyText"/>
      </w:pPr>
    </w:p>
    <w:p>
      <w:pPr>
        <w:pStyle w:val="BodyText"/>
      </w:pPr>
    </w:p>
    <w:p>
      <w:pPr>
        <w:pStyle w:val="BodyText"/>
        <w:spacing w:before="7"/>
        <w:rPr>
          <w:sz w:val="23"/>
        </w:rPr>
      </w:pPr>
    </w:p>
    <w:p>
      <w:pPr>
        <w:pStyle w:val="BodyText"/>
        <w:spacing w:line="360" w:lineRule="auto"/>
        <w:ind w:left="110" w:right="108"/>
        <w:jc w:val="both"/>
      </w:pPr>
      <w:r>
        <w:rPr/>
        <w:t>Al cierre del año 2011, Valeo reporto un aumento en las ventas más rápido que en el mercado en cada una de las regiones donde se encuentra ubicado, esto se explica gracias a el mix de productos favorable, así como el posicionamiento con los clientes; en Norte América por ejemplo, se registró un crecimiento de  21 puntos porcentuales por encima del crecimiento del mercado. Otra de las razones que explica este crecimiento, fue la adquisición de Niles por 227 millones de euros. El margen de utilidad bruta fue de 1,843 millones de euros o 17% de las ventas; el impacto de -1.1% vs 2010 se debió principalmente al incremento en el costo de la materia prima, principalmente de las tierras raras (rare earth elements en inglés) provenientes principalmente de China, y utilizadas en distintas aleaciones para productos Valeo. Hubo también, eventos no recurrentes como el terremoto en Japón y las inundaciones en Tailandia que provocaron temporalmente disminución de la capacidad de producción de las plantas instaladas en estos</w:t>
      </w:r>
      <w:r>
        <w:rPr>
          <w:spacing w:val="-1"/>
        </w:rPr>
        <w:t> </w:t>
      </w:r>
      <w:r>
        <w:rPr/>
        <w:t>países.</w:t>
      </w:r>
    </w:p>
    <w:p>
      <w:pPr>
        <w:pStyle w:val="BodyText"/>
        <w:spacing w:line="360" w:lineRule="auto" w:before="209"/>
        <w:ind w:left="110" w:right="108"/>
        <w:jc w:val="both"/>
      </w:pPr>
      <w:r>
        <w:rPr/>
        <w:t>El margen de operación aumentó 14% con respecto al año 2010 reportando un total de 704 millones de euros. Valeo continuó invirtiendo en investigación y desarrollo aumentando los gastos en 4%. La utilidad neta reportada fue de 427 millones de euros +3.9% con respecto al año anterior. Las ganancias  por acción fueron de 5.68 euros.</w:t>
      </w:r>
    </w:p>
    <w:p>
      <w:pPr>
        <w:spacing w:after="0" w:line="360" w:lineRule="auto"/>
        <w:jc w:val="both"/>
        <w:sectPr>
          <w:pgSz w:w="11910" w:h="16840"/>
          <w:pgMar w:header="755" w:footer="724" w:top="960" w:bottom="920" w:left="1600" w:right="1580"/>
        </w:sectPr>
      </w:pPr>
    </w:p>
    <w:p>
      <w:pPr>
        <w:pStyle w:val="BodyText"/>
        <w:rPr>
          <w:sz w:val="20"/>
        </w:rPr>
      </w:pPr>
    </w:p>
    <w:p>
      <w:pPr>
        <w:pStyle w:val="BodyText"/>
        <w:spacing w:before="3"/>
        <w:rPr>
          <w:sz w:val="19"/>
        </w:rPr>
      </w:pPr>
    </w:p>
    <w:p>
      <w:pPr>
        <w:pStyle w:val="Heading2"/>
        <w:ind w:left="686"/>
        <w:jc w:val="left"/>
      </w:pPr>
      <w:bookmarkStart w:name="_TOC_250000" w:id="67"/>
      <w:bookmarkEnd w:id="67"/>
      <w:r>
        <w:rPr/>
        <w:t>BIBLIOGRAFÍA</w:t>
      </w:r>
    </w:p>
    <w:p>
      <w:pPr>
        <w:pStyle w:val="BodyText"/>
        <w:rPr>
          <w:b/>
        </w:rPr>
      </w:pPr>
    </w:p>
    <w:p>
      <w:pPr>
        <w:pStyle w:val="BodyText"/>
        <w:rPr>
          <w:b/>
        </w:rPr>
      </w:pPr>
    </w:p>
    <w:p>
      <w:pPr>
        <w:pStyle w:val="BodyText"/>
        <w:rPr>
          <w:b/>
        </w:rPr>
      </w:pPr>
    </w:p>
    <w:p>
      <w:pPr>
        <w:pStyle w:val="BodyText"/>
        <w:spacing w:before="9"/>
        <w:rPr>
          <w:b/>
          <w:sz w:val="28"/>
        </w:rPr>
      </w:pPr>
    </w:p>
    <w:p>
      <w:pPr>
        <w:spacing w:line="271" w:lineRule="auto" w:before="0"/>
        <w:ind w:left="110" w:right="0" w:firstLine="0"/>
        <w:jc w:val="left"/>
        <w:rPr>
          <w:sz w:val="24"/>
        </w:rPr>
      </w:pPr>
      <w:r>
        <w:rPr>
          <w:sz w:val="24"/>
        </w:rPr>
        <w:t>Álvarez Medina, M. d. (2008). </w:t>
      </w:r>
      <w:r>
        <w:rPr>
          <w:i/>
          <w:sz w:val="24"/>
        </w:rPr>
        <w:t>Cambios en la industria automotriz frente a la </w:t>
      </w:r>
      <w:r>
        <w:rPr>
          <w:i/>
          <w:sz w:val="24"/>
        </w:rPr>
        <w:t>globalización. </w:t>
      </w:r>
      <w:r>
        <w:rPr>
          <w:sz w:val="24"/>
        </w:rPr>
        <w:t>México: UNAM.</w:t>
      </w:r>
    </w:p>
    <w:p>
      <w:pPr>
        <w:spacing w:line="276" w:lineRule="auto" w:before="207"/>
        <w:ind w:left="110" w:right="341" w:firstLine="0"/>
        <w:jc w:val="left"/>
        <w:rPr>
          <w:sz w:val="24"/>
        </w:rPr>
      </w:pPr>
      <w:r>
        <w:rPr>
          <w:sz w:val="24"/>
        </w:rPr>
        <w:t>Amat, O. (2008). </w:t>
      </w:r>
      <w:r>
        <w:rPr>
          <w:i/>
          <w:sz w:val="24"/>
        </w:rPr>
        <w:t>Analisis Economico - Financiero. </w:t>
      </w:r>
      <w:r>
        <w:rPr>
          <w:sz w:val="24"/>
        </w:rPr>
        <w:t>Barcelona: Ediciones Gestion 2000.</w:t>
      </w:r>
    </w:p>
    <w:p>
      <w:pPr>
        <w:tabs>
          <w:tab w:pos="1022" w:val="left" w:leader="none"/>
          <w:tab w:pos="2454" w:val="left" w:leader="none"/>
          <w:tab w:pos="2913" w:val="left" w:leader="none"/>
          <w:tab w:pos="3891" w:val="left" w:leader="none"/>
          <w:tab w:pos="4936" w:val="left" w:leader="none"/>
          <w:tab w:pos="6342" w:val="left" w:leader="none"/>
          <w:tab w:pos="7347" w:val="left" w:leader="none"/>
        </w:tabs>
        <w:spacing w:line="271" w:lineRule="auto" w:before="202"/>
        <w:ind w:left="110" w:right="108" w:firstLine="0"/>
        <w:jc w:val="left"/>
        <w:rPr>
          <w:sz w:val="24"/>
        </w:rPr>
      </w:pPr>
      <w:r>
        <w:rPr>
          <w:sz w:val="24"/>
        </w:rPr>
        <w:t>Arzate</w:t>
        <w:tab/>
        <w:t>Fernandez,</w:t>
        <w:tab/>
        <w:t>R.</w:t>
        <w:tab/>
        <w:t>(2009).</w:t>
        <w:tab/>
      </w:r>
      <w:r>
        <w:rPr>
          <w:i/>
          <w:sz w:val="24"/>
        </w:rPr>
        <w:t>Analisis</w:t>
        <w:tab/>
        <w:t>Financiero.</w:t>
        <w:tab/>
      </w:r>
      <w:r>
        <w:rPr>
          <w:sz w:val="24"/>
        </w:rPr>
        <w:t>Toluca:</w:t>
        <w:tab/>
        <w:t>Universidad Autonoma del Estado de Mexico.</w:t>
      </w:r>
    </w:p>
    <w:p>
      <w:pPr>
        <w:pStyle w:val="BodyText"/>
        <w:spacing w:line="276" w:lineRule="auto" w:before="212"/>
        <w:ind w:left="110" w:right="108"/>
      </w:pPr>
      <w:r>
        <w:rPr/>
        <w:t>BANXICO. (2011-09-04). </w:t>
      </w:r>
      <w:r>
        <w:rPr>
          <w:i/>
        </w:rPr>
        <w:t>Banxico. </w:t>
      </w:r>
      <w:r>
        <w:rPr/>
        <w:t>Recuperado el 04-09-2011 de Banxico: </w:t>
      </w:r>
      <w:hyperlink r:id="rId216">
        <w:r>
          <w:rPr/>
          <w:t>http://www.banxico.org.mx/material-educativo/informacion-</w:t>
        </w:r>
      </w:hyperlink>
      <w:r>
        <w:rPr/>
        <w:t> general/%7BD39ED7CA-298E-DA68-1FD3-221694AF1774%7D.pdf</w:t>
      </w:r>
    </w:p>
    <w:p>
      <w:pPr>
        <w:spacing w:line="271" w:lineRule="auto" w:before="202"/>
        <w:ind w:left="110" w:right="0" w:firstLine="0"/>
        <w:jc w:val="left"/>
        <w:rPr>
          <w:sz w:val="24"/>
        </w:rPr>
      </w:pPr>
      <w:r>
        <w:rPr>
          <w:sz w:val="24"/>
        </w:rPr>
        <w:t>BMV. (2011-09-04). </w:t>
      </w:r>
      <w:r>
        <w:rPr>
          <w:i/>
          <w:sz w:val="24"/>
        </w:rPr>
        <w:t>Bolsa Mexicana de Valores. </w:t>
      </w:r>
      <w:r>
        <w:rPr>
          <w:sz w:val="24"/>
        </w:rPr>
        <w:t>Recuperado el 04-09-2013 de </w:t>
      </w:r>
      <w:hyperlink r:id="rId217">
        <w:r>
          <w:rPr>
            <w:sz w:val="24"/>
          </w:rPr>
          <w:t>Bolsa Mexicana de Valores: http://www.bmv.com.mx/</w:t>
        </w:r>
      </w:hyperlink>
    </w:p>
    <w:p>
      <w:pPr>
        <w:spacing w:line="451" w:lineRule="auto" w:before="207"/>
        <w:ind w:left="110" w:right="716" w:firstLine="0"/>
        <w:jc w:val="left"/>
        <w:rPr>
          <w:sz w:val="24"/>
        </w:rPr>
      </w:pPr>
      <w:r>
        <w:rPr>
          <w:sz w:val="24"/>
        </w:rPr>
        <w:t>Bodie, Z. (2007). </w:t>
      </w:r>
      <w:r>
        <w:rPr>
          <w:i/>
          <w:sz w:val="24"/>
        </w:rPr>
        <w:t>Finanzas Corporativas. </w:t>
      </w:r>
      <w:r>
        <w:rPr>
          <w:sz w:val="24"/>
        </w:rPr>
        <w:t>México: Pearson Education. Díaz Mata, A. (2008). </w:t>
      </w:r>
      <w:r>
        <w:rPr>
          <w:i/>
          <w:sz w:val="24"/>
        </w:rPr>
        <w:t>Matemáticas Financieras </w:t>
      </w:r>
      <w:r>
        <w:rPr>
          <w:sz w:val="24"/>
        </w:rPr>
        <w:t>(4a ed.). Ed. McGraw Hill</w:t>
      </w:r>
      <w:r>
        <w:rPr>
          <w:spacing w:val="-2"/>
          <w:sz w:val="24"/>
        </w:rPr>
        <w:t> </w:t>
      </w:r>
      <w:r>
        <w:rPr>
          <w:sz w:val="24"/>
        </w:rPr>
        <w:t>.</w:t>
      </w:r>
    </w:p>
    <w:p>
      <w:pPr>
        <w:pStyle w:val="BodyText"/>
        <w:spacing w:line="271" w:lineRule="auto" w:before="11"/>
        <w:ind w:left="110"/>
      </w:pPr>
      <w:r>
        <w:rPr>
          <w:i/>
        </w:rPr>
        <w:t>Economia es</w:t>
      </w:r>
      <w:r>
        <w:rPr/>
        <w:t>. (01 de 01 de 2012). Recuperado el 25-08-2013 de Finanzas </w:t>
      </w:r>
      <w:hyperlink r:id="rId218">
        <w:r>
          <w:rPr/>
          <w:t>Publicas Economia es: http://economiaes.com/finanzas/publicas.html</w:t>
        </w:r>
      </w:hyperlink>
    </w:p>
    <w:p>
      <w:pPr>
        <w:pStyle w:val="BodyText"/>
        <w:spacing w:line="273" w:lineRule="auto" w:before="212"/>
        <w:ind w:left="110" w:right="108"/>
        <w:jc w:val="both"/>
      </w:pPr>
      <w:r>
        <w:rPr>
          <w:i/>
        </w:rPr>
        <w:t>Enciclopedia Financiera</w:t>
      </w:r>
      <w:r>
        <w:rPr/>
        <w:t>. (01 de 01 de 2012). Recuperado el 08-08-2013 de Enciclopedia Financiera: </w:t>
      </w:r>
      <w:hyperlink r:id="rId219">
        <w:r>
          <w:rPr/>
          <w:t>http://www.enciclopediafinanciera.com/finanzas-</w:t>
        </w:r>
      </w:hyperlink>
      <w:r>
        <w:rPr/>
        <w:t> publicas.htm</w:t>
      </w:r>
    </w:p>
    <w:p>
      <w:pPr>
        <w:pStyle w:val="BodyText"/>
        <w:tabs>
          <w:tab w:pos="1907" w:val="left" w:leader="none"/>
          <w:tab w:pos="2491" w:val="left" w:leader="none"/>
          <w:tab w:pos="2994" w:val="left" w:leader="none"/>
          <w:tab w:pos="3497" w:val="left" w:leader="none"/>
          <w:tab w:pos="4000" w:val="left" w:leader="none"/>
          <w:tab w:pos="4917" w:val="left" w:leader="none"/>
          <w:tab w:pos="6461" w:val="left" w:leader="none"/>
          <w:tab w:pos="6884" w:val="left" w:leader="none"/>
          <w:tab w:pos="8347" w:val="left" w:leader="none"/>
        </w:tabs>
        <w:spacing w:line="271" w:lineRule="auto" w:before="209"/>
        <w:ind w:left="110" w:right="108"/>
      </w:pPr>
      <w:r>
        <w:rPr>
          <w:i/>
        </w:rPr>
        <w:t>Gerencie.com</w:t>
      </w:r>
      <w:r>
        <w:rPr/>
        <w:t>.</w:t>
        <w:tab/>
        <w:t>(12</w:t>
        <w:tab/>
        <w:t>de</w:t>
        <w:tab/>
        <w:t>06</w:t>
        <w:tab/>
        <w:t>de</w:t>
        <w:tab/>
        <w:t>2010).</w:t>
        <w:tab/>
        <w:t>Recuperado</w:t>
        <w:tab/>
        <w:t>el</w:t>
        <w:tab/>
        <w:t>15-08-2013</w:t>
        <w:tab/>
        <w:t>de </w:t>
      </w:r>
      <w:hyperlink r:id="rId220">
        <w:r>
          <w:rPr/>
          <w:t>Gerencie.com:</w:t>
        </w:r>
        <w:r>
          <w:rPr>
            <w:spacing w:val="-2"/>
          </w:rPr>
          <w:t> </w:t>
        </w:r>
        <w:r>
          <w:rPr/>
          <w:t>http://www.gerencie.com/pasivos-corrientes.html</w:t>
        </w:r>
      </w:hyperlink>
    </w:p>
    <w:p>
      <w:pPr>
        <w:spacing w:before="207"/>
        <w:ind w:left="110" w:right="0" w:firstLine="0"/>
        <w:jc w:val="left"/>
        <w:rPr>
          <w:sz w:val="24"/>
        </w:rPr>
      </w:pPr>
      <w:r>
        <w:rPr>
          <w:sz w:val="24"/>
        </w:rPr>
        <w:t>Gitman, L. (2007). </w:t>
      </w:r>
      <w:r>
        <w:rPr>
          <w:i/>
          <w:sz w:val="24"/>
        </w:rPr>
        <w:t>Administración Financiera. </w:t>
      </w:r>
      <w:r>
        <w:rPr>
          <w:sz w:val="24"/>
        </w:rPr>
        <w:t>México: Pearson Education.</w:t>
      </w:r>
    </w:p>
    <w:p>
      <w:pPr>
        <w:pStyle w:val="BodyText"/>
        <w:rPr>
          <w:sz w:val="21"/>
        </w:rPr>
      </w:pPr>
    </w:p>
    <w:p>
      <w:pPr>
        <w:spacing w:line="276" w:lineRule="auto" w:before="1"/>
        <w:ind w:left="110" w:right="341" w:firstLine="0"/>
        <w:jc w:val="left"/>
        <w:rPr>
          <w:sz w:val="24"/>
        </w:rPr>
      </w:pPr>
      <w:r>
        <w:rPr>
          <w:sz w:val="24"/>
        </w:rPr>
        <w:t>Heizer, J. (2009). </w:t>
      </w:r>
      <w:r>
        <w:rPr>
          <w:i/>
          <w:sz w:val="24"/>
        </w:rPr>
        <w:t>Principios de Administración de Operaciones</w:t>
      </w:r>
      <w:r>
        <w:rPr>
          <w:sz w:val="24"/>
        </w:rPr>
        <w:t>. México: Pearson Education.</w:t>
      </w:r>
    </w:p>
    <w:p>
      <w:pPr>
        <w:spacing w:line="271" w:lineRule="auto" w:before="202"/>
        <w:ind w:left="110" w:right="341" w:firstLine="0"/>
        <w:jc w:val="left"/>
        <w:rPr>
          <w:sz w:val="24"/>
        </w:rPr>
      </w:pPr>
      <w:r>
        <w:rPr>
          <w:sz w:val="24"/>
        </w:rPr>
        <w:t>Hernandez Sampieri, R. (2004). </w:t>
      </w:r>
      <w:r>
        <w:rPr>
          <w:i/>
          <w:sz w:val="24"/>
        </w:rPr>
        <w:t>Metodología de la investigación </w:t>
      </w:r>
      <w:r>
        <w:rPr>
          <w:sz w:val="24"/>
        </w:rPr>
        <w:t>(3ª ed.). McGraw Hill .</w:t>
      </w:r>
    </w:p>
    <w:p>
      <w:pPr>
        <w:spacing w:before="207"/>
        <w:ind w:left="110" w:right="0" w:firstLine="0"/>
        <w:jc w:val="left"/>
        <w:rPr>
          <w:sz w:val="24"/>
        </w:rPr>
      </w:pPr>
      <w:r>
        <w:rPr>
          <w:sz w:val="24"/>
        </w:rPr>
        <w:t>Kozikowski, Z. (2007). </w:t>
      </w:r>
      <w:r>
        <w:rPr>
          <w:i/>
          <w:sz w:val="24"/>
        </w:rPr>
        <w:t>Finanzas Internacionales </w:t>
      </w:r>
      <w:r>
        <w:rPr>
          <w:sz w:val="24"/>
        </w:rPr>
        <w:t>(2 ed.). McGraw-Hill.</w:t>
      </w:r>
    </w:p>
    <w:p>
      <w:pPr>
        <w:pStyle w:val="BodyText"/>
        <w:spacing w:before="5"/>
        <w:rPr>
          <w:sz w:val="21"/>
        </w:rPr>
      </w:pPr>
    </w:p>
    <w:p>
      <w:pPr>
        <w:spacing w:before="0"/>
        <w:ind w:left="110" w:right="0" w:firstLine="0"/>
        <w:jc w:val="left"/>
        <w:rPr>
          <w:i/>
          <w:sz w:val="24"/>
        </w:rPr>
      </w:pPr>
      <w:r>
        <w:rPr>
          <w:sz w:val="24"/>
        </w:rPr>
        <w:t>Perdomo Moreno, A. (2000). </w:t>
      </w:r>
      <w:r>
        <w:rPr>
          <w:i/>
          <w:sz w:val="24"/>
        </w:rPr>
        <w:t>Análisis e interpretación de estados financieros.</w:t>
      </w:r>
    </w:p>
    <w:p>
      <w:pPr>
        <w:pStyle w:val="BodyText"/>
        <w:spacing w:before="36"/>
        <w:ind w:left="110"/>
      </w:pPr>
      <w:r>
        <w:rPr/>
        <w:t>México: International Thomson Editors.</w:t>
      </w:r>
    </w:p>
    <w:p>
      <w:pPr>
        <w:pStyle w:val="BodyText"/>
        <w:spacing w:before="5"/>
        <w:rPr>
          <w:sz w:val="21"/>
        </w:rPr>
      </w:pPr>
    </w:p>
    <w:p>
      <w:pPr>
        <w:spacing w:line="271" w:lineRule="auto" w:before="0"/>
        <w:ind w:left="110" w:right="0" w:firstLine="0"/>
        <w:jc w:val="left"/>
        <w:rPr>
          <w:sz w:val="24"/>
        </w:rPr>
      </w:pPr>
      <w:r>
        <w:rPr>
          <w:sz w:val="24"/>
        </w:rPr>
        <w:t>Perdomo, A. (2002). </w:t>
      </w:r>
      <w:r>
        <w:rPr>
          <w:i/>
          <w:sz w:val="24"/>
        </w:rPr>
        <w:t>Elementos básicos de administración financiera. </w:t>
      </w:r>
      <w:r>
        <w:rPr>
          <w:sz w:val="24"/>
        </w:rPr>
        <w:t>México: Thomson Education.</w:t>
      </w:r>
    </w:p>
    <w:p>
      <w:pPr>
        <w:spacing w:after="0" w:line="271" w:lineRule="auto"/>
        <w:jc w:val="left"/>
        <w:rPr>
          <w:sz w:val="24"/>
        </w:rPr>
        <w:sectPr>
          <w:pgSz w:w="11910" w:h="16840"/>
          <w:pgMar w:header="755" w:footer="724" w:top="960" w:bottom="920" w:left="1600" w:right="1580"/>
        </w:sectPr>
      </w:pPr>
    </w:p>
    <w:p>
      <w:pPr>
        <w:pStyle w:val="BodyText"/>
        <w:rPr>
          <w:sz w:val="20"/>
        </w:rPr>
      </w:pPr>
    </w:p>
    <w:p>
      <w:pPr>
        <w:pStyle w:val="BodyText"/>
        <w:spacing w:before="3"/>
        <w:rPr>
          <w:sz w:val="19"/>
        </w:rPr>
      </w:pPr>
    </w:p>
    <w:p>
      <w:pPr>
        <w:pStyle w:val="BodyText"/>
        <w:spacing w:line="273" w:lineRule="auto"/>
        <w:ind w:left="110" w:right="108"/>
        <w:jc w:val="both"/>
      </w:pPr>
      <w:r>
        <w:rPr>
          <w:i/>
        </w:rPr>
        <w:t>Proyectos para invertir</w:t>
      </w:r>
      <w:r>
        <w:rPr/>
        <w:t>. (01 de 05 de 2012). Recuperado el 10-08-2013 from Proyectos para invertir: </w:t>
      </w:r>
      <w:hyperlink r:id="rId221">
        <w:r>
          <w:rPr/>
          <w:t>http://www.proyectosparainvertir.com/ideas-de-</w:t>
        </w:r>
      </w:hyperlink>
      <w:r>
        <w:rPr/>
        <w:t> negocios/valores-negociable-y-valores-no-negociables</w:t>
      </w:r>
    </w:p>
    <w:p>
      <w:pPr>
        <w:spacing w:line="271" w:lineRule="auto" w:before="209"/>
        <w:ind w:left="110" w:right="108" w:firstLine="0"/>
        <w:jc w:val="both"/>
        <w:rPr>
          <w:sz w:val="24"/>
        </w:rPr>
      </w:pPr>
      <w:r>
        <w:rPr>
          <w:sz w:val="24"/>
        </w:rPr>
        <w:t>Robles, G. (2000). </w:t>
      </w:r>
      <w:r>
        <w:rPr>
          <w:i/>
          <w:sz w:val="24"/>
        </w:rPr>
        <w:t>Hacienda Pública: Un enfoque económico. </w:t>
      </w:r>
      <w:r>
        <w:rPr>
          <w:sz w:val="24"/>
        </w:rPr>
        <w:t>México: Pearson Educación México S.A. de C.V.</w:t>
      </w:r>
    </w:p>
    <w:p>
      <w:pPr>
        <w:tabs>
          <w:tab w:pos="1967" w:val="left" w:leader="none"/>
          <w:tab w:pos="3490" w:val="left" w:leader="none"/>
          <w:tab w:pos="5573" w:val="left" w:leader="none"/>
        </w:tabs>
        <w:spacing w:line="273" w:lineRule="auto" w:before="212"/>
        <w:ind w:left="110" w:right="108" w:firstLine="0"/>
        <w:jc w:val="both"/>
        <w:rPr>
          <w:sz w:val="24"/>
        </w:rPr>
      </w:pPr>
      <w:r>
        <w:rPr>
          <w:sz w:val="24"/>
        </w:rPr>
        <w:t>Rodríguez, M. A. (28 de 05 de 2013). </w:t>
      </w:r>
      <w:r>
        <w:rPr>
          <w:i/>
          <w:sz w:val="24"/>
        </w:rPr>
        <w:t>Metodología para realizar análisis </w:t>
      </w:r>
      <w:r>
        <w:rPr>
          <w:i/>
          <w:sz w:val="24"/>
        </w:rPr>
        <w:t>económico financiero en una entidad económica. </w:t>
      </w:r>
      <w:r>
        <w:rPr>
          <w:sz w:val="24"/>
        </w:rPr>
        <w:t>Recuperado el 28 de 05 de 2013,</w:t>
        <w:tab/>
        <w:t>de</w:t>
        <w:tab/>
        <w:t>Eumed:</w:t>
        <w:tab/>
      </w:r>
      <w:hyperlink r:id="rId222">
        <w:r>
          <w:rPr>
            <w:sz w:val="24"/>
          </w:rPr>
          <w:t>http://www.eumed.net/libros-</w:t>
        </w:r>
      </w:hyperlink>
      <w:r>
        <w:rPr>
          <w:sz w:val="24"/>
        </w:rPr>
        <w:t> gratis/2009b/554/Razones%20Financieras%20Basicas.htm</w:t>
      </w:r>
    </w:p>
    <w:p>
      <w:pPr>
        <w:spacing w:line="271" w:lineRule="auto" w:before="209"/>
        <w:ind w:left="110" w:right="108" w:firstLine="0"/>
        <w:jc w:val="both"/>
        <w:rPr>
          <w:sz w:val="24"/>
        </w:rPr>
      </w:pPr>
      <w:r>
        <w:rPr>
          <w:sz w:val="24"/>
        </w:rPr>
        <w:t>Secretaría de Economía. (2012). </w:t>
      </w:r>
      <w:r>
        <w:rPr>
          <w:i/>
          <w:sz w:val="24"/>
        </w:rPr>
        <w:t>Industria Automotriz. Monografía . </w:t>
      </w:r>
      <w:r>
        <w:rPr>
          <w:sz w:val="24"/>
        </w:rPr>
        <w:t>México: Secretaría de Economía.</w:t>
      </w:r>
    </w:p>
    <w:p>
      <w:pPr>
        <w:pStyle w:val="BodyText"/>
        <w:spacing w:line="271" w:lineRule="auto" w:before="212"/>
        <w:ind w:left="110" w:right="108"/>
        <w:jc w:val="both"/>
      </w:pPr>
      <w:r>
        <w:rPr/>
        <w:t>Valeo. (23 de 06 de 2013). </w:t>
      </w:r>
      <w:r>
        <w:rPr>
          <w:i/>
        </w:rPr>
        <w:t>Valeo</w:t>
      </w:r>
      <w:r>
        <w:rPr/>
        <w:t>. Recuperado el 23-06-2013 from </w:t>
      </w:r>
      <w:hyperlink r:id="rId223">
        <w:r>
          <w:rPr/>
          <w:t>www.valeo.com:</w:t>
        </w:r>
      </w:hyperlink>
      <w:r>
        <w:rPr/>
        <w:t> </w:t>
      </w:r>
      <w:hyperlink r:id="rId224">
        <w:r>
          <w:rPr/>
          <w:t>http://www.valeo.com/le-groupe/</w:t>
        </w:r>
      </w:hyperlink>
    </w:p>
    <w:sectPr>
      <w:pgSz w:w="11910" w:h="16840"/>
      <w:pgMar w:header="755" w:footer="724" w:top="960" w:bottom="9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Cambria Math">
    <w:altName w:val="Cambria Math"/>
    <w:charset w:val="0"/>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303986pt;margin-top:794.679504pt;width:9.5pt;height:12.8pt;mso-position-horizontal-relative:page;mso-position-vertical-relative:page;z-index:-2439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68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664" type="#_x0000_t202" filled="false" stroked="false">
          <v:textbox inset="0,0,0,0">
            <w:txbxContent>
              <w:p>
                <w:pPr>
                  <w:spacing w:line="245" w:lineRule="exact" w:before="0"/>
                  <w:ind w:left="20" w:right="-1" w:firstLine="0"/>
                  <w:jc w:val="left"/>
                  <w:rPr>
                    <w:rFonts w:ascii="Calibri"/>
                    <w:sz w:val="21"/>
                  </w:rPr>
                </w:pPr>
                <w:r>
                  <w:rPr>
                    <w:rFonts w:ascii="Calibri"/>
                    <w:w w:val="105"/>
                    <w:sz w:val="21"/>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6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616" type="#_x0000_t202" filled="false" stroked="false">
          <v:textbox inset="0,0,0,0">
            <w:txbxContent>
              <w:p>
                <w:pPr>
                  <w:spacing w:line="245" w:lineRule="exact" w:before="0"/>
                  <w:ind w:left="20" w:right="-1" w:firstLine="0"/>
                  <w:jc w:val="left"/>
                  <w:rPr>
                    <w:rFonts w:ascii="Calibri"/>
                    <w:sz w:val="21"/>
                  </w:rPr>
                </w:pPr>
                <w:r>
                  <w:rPr>
                    <w:rFonts w:ascii="Calibri"/>
                    <w:w w:val="105"/>
                    <w:sz w:val="21"/>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5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568" type="#_x0000_t202" filled="false" stroked="false">
          <v:textbox inset="0,0,0,0">
            <w:txbxContent>
              <w:p>
                <w:pPr>
                  <w:spacing w:line="245" w:lineRule="exact" w:before="0"/>
                  <w:ind w:left="20" w:right="-1" w:firstLine="0"/>
                  <w:jc w:val="left"/>
                  <w:rPr>
                    <w:rFonts w:ascii="Calibri"/>
                    <w:sz w:val="21"/>
                  </w:rPr>
                </w:pPr>
                <w:r>
                  <w:rPr>
                    <w:rFonts w:ascii="Calibri"/>
                    <w:w w:val="105"/>
                    <w:sz w:val="21"/>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5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4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472" type="#_x0000_t202" filled="false" stroked="false">
          <v:textbox inset="0,0,0,0">
            <w:txbxContent>
              <w:p>
                <w:pPr>
                  <w:spacing w:line="245" w:lineRule="exact" w:before="0"/>
                  <w:ind w:left="20" w:right="-1" w:firstLine="0"/>
                  <w:jc w:val="left"/>
                  <w:rPr>
                    <w:rFonts w:ascii="Calibri"/>
                    <w:sz w:val="21"/>
                  </w:rPr>
                </w:pPr>
                <w:r>
                  <w:rPr>
                    <w:rFonts w:ascii="Calibri"/>
                    <w:w w:val="105"/>
                    <w:sz w:val="21"/>
                  </w:rPr>
                  <w:t>70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4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376" type="#_x0000_t202" filled="false" stroked="false">
          <v:textbox inset="0,0,0,0">
            <w:txbxContent>
              <w:p>
                <w:pPr>
                  <w:spacing w:line="245" w:lineRule="exact" w:before="0"/>
                  <w:ind w:left="20" w:right="-1" w:firstLine="0"/>
                  <w:jc w:val="left"/>
                  <w:rPr>
                    <w:rFonts w:ascii="Calibri"/>
                    <w:sz w:val="21"/>
                  </w:rPr>
                </w:pPr>
                <w:r>
                  <w:rPr>
                    <w:rFonts w:ascii="Calibri"/>
                    <w:w w:val="105"/>
                    <w:sz w:val="21"/>
                  </w:rPr>
                  <w:t>81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3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82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328" type="#_x0000_t202" filled="false" stroked="false">
          <v:textbox inset="0,0,0,0">
            <w:txbxContent>
              <w:p>
                <w:pPr>
                  <w:spacing w:line="245" w:lineRule="exact" w:before="0"/>
                  <w:ind w:left="20" w:right="-1" w:firstLine="0"/>
                  <w:jc w:val="left"/>
                  <w:rPr>
                    <w:rFonts w:ascii="Calibri"/>
                    <w:sz w:val="21"/>
                  </w:rPr>
                </w:pPr>
                <w:r>
                  <w:rPr>
                    <w:rFonts w:ascii="Calibri"/>
                    <w:w w:val="105"/>
                    <w:sz w:val="21"/>
                  </w:rPr>
                  <w:t>90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3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91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023895pt;margin-top:794.679504pt;width:18.75pt;height:12.8pt;mso-position-horizontal-relative:page;mso-position-vertical-relative:page;z-index:-243280" type="#_x0000_t202" filled="false" stroked="false">
          <v:textbox inset="0,0,0,0">
            <w:txbxContent>
              <w:p>
                <w:pPr>
                  <w:spacing w:line="245" w:lineRule="exact" w:before="0"/>
                  <w:ind w:left="20" w:right="-1" w:firstLine="0"/>
                  <w:jc w:val="left"/>
                  <w:rPr>
                    <w:rFonts w:ascii="Calibri"/>
                    <w:sz w:val="21"/>
                  </w:rPr>
                </w:pPr>
                <w:r>
                  <w:rPr>
                    <w:rFonts w:ascii="Calibri"/>
                    <w:w w:val="105"/>
                    <w:sz w:val="21"/>
                  </w:rPr>
                  <w:t>100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023895pt;margin-top:794.679504pt;width:20.75pt;height:12.8pt;mso-position-horizontal-relative:page;mso-position-vertical-relative:page;z-index:-24325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101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303986pt;margin-top:794.679504pt;width:9.5pt;height:12.8pt;mso-position-horizontal-relative:page;mso-position-vertical-relative:page;z-index:-2438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023895pt;margin-top:794.679504pt;width:18.75pt;height:12.8pt;mso-position-horizontal-relative:page;mso-position-vertical-relative:page;z-index:-243232" type="#_x0000_t202" filled="false" stroked="false">
          <v:textbox inset="0,0,0,0">
            <w:txbxContent>
              <w:p>
                <w:pPr>
                  <w:spacing w:line="245" w:lineRule="exact" w:before="0"/>
                  <w:ind w:left="20" w:right="-1" w:firstLine="0"/>
                  <w:jc w:val="left"/>
                  <w:rPr>
                    <w:rFonts w:ascii="Calibri"/>
                    <w:sz w:val="21"/>
                  </w:rPr>
                </w:pPr>
                <w:r>
                  <w:rPr>
                    <w:rFonts w:ascii="Calibri"/>
                    <w:w w:val="105"/>
                    <w:sz w:val="21"/>
                  </w:rPr>
                  <w:t>110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023895pt;margin-top:794.679504pt;width:20.75pt;height:12.8pt;mso-position-horizontal-relative:page;mso-position-vertical-relative:page;z-index:-24316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856" type="#_x0000_t202" filled="false" stroked="false">
          <v:textbox inset="0,0,0,0">
            <w:txbxContent>
              <w:p>
                <w:pPr>
                  <w:spacing w:line="245" w:lineRule="exact" w:before="0"/>
                  <w:ind w:left="20" w:right="-1" w:firstLine="0"/>
                  <w:jc w:val="left"/>
                  <w:rPr>
                    <w:rFonts w:ascii="Calibri"/>
                    <w:sz w:val="21"/>
                  </w:rPr>
                </w:pPr>
                <w:r>
                  <w:rPr>
                    <w:rFonts w:ascii="Calibri"/>
                    <w:w w:val="105"/>
                    <w:sz w:val="21"/>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83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808" type="#_x0000_t202" filled="false" stroked="false">
          <v:textbox inset="0,0,0,0">
            <w:txbxContent>
              <w:p>
                <w:pPr>
                  <w:spacing w:line="245" w:lineRule="exact" w:before="0"/>
                  <w:ind w:left="20" w:right="-1" w:firstLine="0"/>
                  <w:jc w:val="left"/>
                  <w:rPr>
                    <w:rFonts w:ascii="Calibri"/>
                    <w:sz w:val="21"/>
                  </w:rPr>
                </w:pPr>
                <w:r>
                  <w:rPr>
                    <w:rFonts w:ascii="Calibri"/>
                    <w:w w:val="105"/>
                    <w:sz w:val="21"/>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7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43915pt;margin-top:794.679504pt;width:13.15pt;height:12.8pt;mso-position-horizontal-relative:page;mso-position-vertical-relative:page;z-index:-243760" type="#_x0000_t202" filled="false" stroked="false">
          <v:textbox inset="0,0,0,0">
            <w:txbxContent>
              <w:p>
                <w:pPr>
                  <w:spacing w:line="245" w:lineRule="exact" w:before="0"/>
                  <w:ind w:left="20" w:right="-1" w:firstLine="0"/>
                  <w:jc w:val="left"/>
                  <w:rPr>
                    <w:rFonts w:ascii="Calibri"/>
                    <w:sz w:val="21"/>
                  </w:rPr>
                </w:pPr>
                <w:r>
                  <w:rPr>
                    <w:rFonts w:ascii="Calibri"/>
                    <w:w w:val="105"/>
                    <w:sz w:val="21"/>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43915pt;margin-top:794.679504pt;width:15.2pt;height:12.8pt;mso-position-horizontal-relative:page;mso-position-vertical-relative:page;z-index:-2437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84.130096pt;margin-top:36.759521pt;width:127.5pt;height:12.8pt;mso-position-horizontal-relative:page;mso-position-vertical-relative:page;z-index:-243928" type="#_x0000_t202" filled="false" stroked="false">
          <v:textbox inset="0,0,0,0">
            <w:txbxContent>
              <w:p>
                <w:pPr>
                  <w:spacing w:line="245" w:lineRule="exact" w:before="0"/>
                  <w:ind w:left="20" w:right="-8" w:firstLine="0"/>
                  <w:jc w:val="left"/>
                  <w:rPr>
                    <w:rFonts w:ascii="Calibri" w:hAnsi="Calibri"/>
                    <w:sz w:val="21"/>
                  </w:rPr>
                </w:pPr>
                <w:r>
                  <w:rPr>
                    <w:rFonts w:ascii="Calibri" w:hAnsi="Calibri"/>
                    <w:w w:val="105"/>
                    <w:sz w:val="21"/>
                  </w:rPr>
                  <w:t>CAPÍTULO I – Marco Teórico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6499pt;margin-top:36.759521pt;width:114.85pt;height:12.8pt;mso-position-horizontal-relative:page;mso-position-vertical-relative:page;z-index:-243208" type="#_x0000_t202" filled="false" stroked="false">
          <v:textbox inset="0,0,0,0">
            <w:txbxContent>
              <w:p>
                <w:pPr>
                  <w:spacing w:line="245" w:lineRule="exact" w:before="0"/>
                  <w:ind w:left="20" w:right="0" w:firstLine="0"/>
                  <w:jc w:val="left"/>
                  <w:rPr>
                    <w:rFonts w:ascii="Calibri" w:hAnsi="Calibri"/>
                    <w:sz w:val="21"/>
                  </w:rPr>
                </w:pPr>
                <w:r>
                  <w:rPr>
                    <w:rFonts w:ascii="Calibri" w:hAnsi="Calibri"/>
                    <w:sz w:val="21"/>
                  </w:rPr>
                  <w:t>Capítulo V </w:t>
                </w:r>
                <w:r>
                  <w:rPr>
                    <w:rFonts w:ascii="Calibri" w:hAnsi="Calibri"/>
                    <w:w w:val="75"/>
                    <w:sz w:val="21"/>
                  </w:rPr>
                  <w:t>-­‐ </w:t>
                </w:r>
                <w:r>
                  <w:rPr>
                    <w:rFonts w:ascii="Calibri" w:hAnsi="Calibri"/>
                    <w:sz w:val="21"/>
                  </w:rPr>
                  <w:t>Conclusiones</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240906pt;margin-top:36.759521pt;width:114.45pt;height:12.8pt;mso-position-horizontal-relative:page;mso-position-vertical-relative:page;z-index:-243184" type="#_x0000_t202" filled="false" stroked="false">
          <v:textbox inset="0,0,0,0">
            <w:txbxContent>
              <w:p>
                <w:pPr>
                  <w:spacing w:line="245" w:lineRule="exact" w:before="0"/>
                  <w:ind w:left="20" w:right="-7" w:firstLine="0"/>
                  <w:jc w:val="left"/>
                  <w:rPr>
                    <w:rFonts w:ascii="Calibri" w:hAnsi="Calibri"/>
                    <w:sz w:val="21"/>
                  </w:rPr>
                </w:pPr>
                <w:r>
                  <w:rPr>
                    <w:rFonts w:ascii="Calibri" w:hAnsi="Calibri"/>
                    <w:w w:val="105"/>
                    <w:sz w:val="21"/>
                  </w:rPr>
                  <w:t>Capítulo V– Conclusiones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3.256989pt;margin-top:36.759521pt;width:158.4pt;height:12.8pt;mso-position-horizontal-relative:page;mso-position-vertical-relative:page;z-index:-243712" type="#_x0000_t202" filled="false" stroked="false">
          <v:textbox inset="0,0,0,0">
            <w:txbxContent>
              <w:p>
                <w:pPr>
                  <w:spacing w:line="245" w:lineRule="exact" w:before="0"/>
                  <w:ind w:left="20" w:right="-9" w:firstLine="0"/>
                  <w:jc w:val="left"/>
                  <w:rPr>
                    <w:rFonts w:ascii="Calibri" w:hAnsi="Calibri"/>
                    <w:sz w:val="21"/>
                  </w:rPr>
                </w:pPr>
                <w:r>
                  <w:rPr>
                    <w:rFonts w:ascii="Calibri" w:hAnsi="Calibri"/>
                    <w:w w:val="105"/>
                    <w:sz w:val="21"/>
                  </w:rPr>
                  <w:t>CAPÍTULO II – Marco de Referencia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0.932404pt;margin-top:36.759521pt;width:150.85pt;height:12.8pt;mso-position-horizontal-relative:page;mso-position-vertical-relative:page;z-index:-243520" type="#_x0000_t202" filled="false" stroked="false">
          <v:textbox inset="0,0,0,0">
            <w:txbxContent>
              <w:p>
                <w:pPr>
                  <w:spacing w:line="245" w:lineRule="exact" w:before="0"/>
                  <w:ind w:left="20" w:right="-6" w:firstLine="0"/>
                  <w:jc w:val="left"/>
                  <w:rPr>
                    <w:rFonts w:ascii="Calibri" w:hAnsi="Calibri"/>
                    <w:sz w:val="21"/>
                  </w:rPr>
                </w:pPr>
                <w:r>
                  <w:rPr>
                    <w:rFonts w:ascii="Calibri" w:hAnsi="Calibri"/>
                    <w:w w:val="105"/>
                    <w:sz w:val="21"/>
                  </w:rPr>
                  <w:t>Capitulo III– Industria Automotriz</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6499pt;margin-top:36.759521pt;width:114.85pt;height:12.8pt;mso-position-horizontal-relative:page;mso-position-vertical-relative:page;z-index:-243424" type="#_x0000_t202" filled="false" stroked="false">
          <v:textbox inset="0,0,0,0">
            <w:txbxContent>
              <w:p>
                <w:pPr>
                  <w:spacing w:line="245" w:lineRule="exact" w:before="0"/>
                  <w:ind w:left="20" w:right="0" w:firstLine="0"/>
                  <w:jc w:val="left"/>
                  <w:rPr>
                    <w:rFonts w:ascii="Calibri" w:hAnsi="Calibri"/>
                    <w:sz w:val="21"/>
                  </w:rPr>
                </w:pPr>
                <w:r>
                  <w:rPr>
                    <w:rFonts w:ascii="Calibri" w:hAnsi="Calibri"/>
                    <w:sz w:val="21"/>
                  </w:rPr>
                  <w:t>Capítulo V </w:t>
                </w:r>
                <w:r>
                  <w:rPr>
                    <w:rFonts w:ascii="Calibri" w:hAnsi="Calibri"/>
                    <w:w w:val="75"/>
                    <w:sz w:val="21"/>
                  </w:rPr>
                  <w:t>-­‐ </w:t>
                </w:r>
                <w:r>
                  <w:rPr>
                    <w:rFonts w:ascii="Calibri" w:hAnsi="Calibri"/>
                    <w:sz w:val="21"/>
                  </w:rPr>
                  <w:t>Conclusiones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283386pt;margin-top:36.759521pt;width:141.35pt;height:12.8pt;mso-position-horizontal-relative:page;mso-position-vertical-relative:page;z-index:-243400" type="#_x0000_t202" filled="false" stroked="false">
          <v:textbox inset="0,0,0,0">
            <w:txbxContent>
              <w:p>
                <w:pPr>
                  <w:spacing w:line="245" w:lineRule="exact" w:before="0"/>
                  <w:ind w:left="20" w:right="-9" w:firstLine="0"/>
                  <w:jc w:val="left"/>
                  <w:rPr>
                    <w:rFonts w:ascii="Calibri" w:hAnsi="Calibri"/>
                    <w:sz w:val="21"/>
                  </w:rPr>
                </w:pPr>
                <w:r>
                  <w:rPr>
                    <w:rFonts w:ascii="Calibri" w:hAnsi="Calibri"/>
                    <w:w w:val="105"/>
                    <w:sz w:val="21"/>
                  </w:rPr>
                  <w:t>Capítulo IV– Análisis Financiero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4"/>
      <w:numFmt w:val="decimal"/>
      <w:lvlText w:val="%1"/>
      <w:lvlJc w:val="left"/>
      <w:pPr>
        <w:ind w:left="686" w:hanging="576"/>
        <w:jc w:val="right"/>
      </w:pPr>
      <w:rPr>
        <w:rFonts w:hint="default"/>
      </w:rPr>
    </w:lvl>
    <w:lvl w:ilvl="1">
      <w:start w:val="5"/>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decimal"/>
      <w:lvlText w:val="%1.%2.%3"/>
      <w:lvlJc w:val="left"/>
      <w:pPr>
        <w:ind w:left="110" w:hanging="720"/>
        <w:jc w:val="left"/>
      </w:pPr>
      <w:rPr>
        <w:rFonts w:hint="default" w:ascii="Arial" w:hAnsi="Arial" w:eastAsia="Arial" w:cs="Arial"/>
        <w:b/>
        <w:bCs/>
        <w:spacing w:val="-14"/>
        <w:w w:val="100"/>
        <w:sz w:val="24"/>
        <w:szCs w:val="24"/>
      </w:rPr>
    </w:lvl>
    <w:lvl w:ilvl="3">
      <w:start w:val="1"/>
      <w:numFmt w:val="bullet"/>
      <w:lvlText w:val="•"/>
      <w:lvlJc w:val="left"/>
      <w:pPr>
        <w:ind w:left="2467" w:hanging="720"/>
      </w:pPr>
      <w:rPr>
        <w:rFonts w:hint="default"/>
      </w:rPr>
    </w:lvl>
    <w:lvl w:ilvl="4">
      <w:start w:val="1"/>
      <w:numFmt w:val="bullet"/>
      <w:lvlText w:val="•"/>
      <w:lvlJc w:val="left"/>
      <w:pPr>
        <w:ind w:left="3361" w:hanging="720"/>
      </w:pPr>
      <w:rPr>
        <w:rFonts w:hint="default"/>
      </w:rPr>
    </w:lvl>
    <w:lvl w:ilvl="5">
      <w:start w:val="1"/>
      <w:numFmt w:val="bullet"/>
      <w:lvlText w:val="•"/>
      <w:lvlJc w:val="left"/>
      <w:pPr>
        <w:ind w:left="4255" w:hanging="720"/>
      </w:pPr>
      <w:rPr>
        <w:rFonts w:hint="default"/>
      </w:rPr>
    </w:lvl>
    <w:lvl w:ilvl="6">
      <w:start w:val="1"/>
      <w:numFmt w:val="bullet"/>
      <w:lvlText w:val="•"/>
      <w:lvlJc w:val="left"/>
      <w:pPr>
        <w:ind w:left="5149" w:hanging="720"/>
      </w:pPr>
      <w:rPr>
        <w:rFonts w:hint="default"/>
      </w:rPr>
    </w:lvl>
    <w:lvl w:ilvl="7">
      <w:start w:val="1"/>
      <w:numFmt w:val="bullet"/>
      <w:lvlText w:val="•"/>
      <w:lvlJc w:val="left"/>
      <w:pPr>
        <w:ind w:left="6043" w:hanging="720"/>
      </w:pPr>
      <w:rPr>
        <w:rFonts w:hint="default"/>
      </w:rPr>
    </w:lvl>
    <w:lvl w:ilvl="8">
      <w:start w:val="1"/>
      <w:numFmt w:val="bullet"/>
      <w:lvlText w:val="•"/>
      <w:lvlJc w:val="left"/>
      <w:pPr>
        <w:ind w:left="6937" w:hanging="720"/>
      </w:pPr>
      <w:rPr>
        <w:rFonts w:hint="default"/>
      </w:rPr>
    </w:lvl>
  </w:abstractNum>
  <w:abstractNum w:abstractNumId="25">
    <w:multiLevelType w:val="hybridMultilevel"/>
    <w:lvl w:ilvl="0">
      <w:start w:val="4"/>
      <w:numFmt w:val="decimal"/>
      <w:lvlText w:val="%1"/>
      <w:lvlJc w:val="left"/>
      <w:pPr>
        <w:ind w:left="686" w:hanging="576"/>
        <w:jc w:val="left"/>
      </w:pPr>
      <w:rPr>
        <w:rFonts w:hint="default"/>
      </w:rPr>
    </w:lvl>
    <w:lvl w:ilvl="1">
      <w:start w:val="2"/>
      <w:numFmt w:val="decimal"/>
      <w:lvlText w:val="%1.%2"/>
      <w:lvlJc w:val="left"/>
      <w:pPr>
        <w:ind w:left="686" w:hanging="576"/>
        <w:jc w:val="left"/>
      </w:pPr>
      <w:rPr>
        <w:rFonts w:hint="default" w:ascii="Arial" w:hAnsi="Arial" w:eastAsia="Arial" w:cs="Arial"/>
        <w:b/>
        <w:bCs/>
        <w:spacing w:val="-1"/>
        <w:w w:val="100"/>
        <w:sz w:val="24"/>
        <w:szCs w:val="24"/>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bullet"/>
      <w:lvlText w:val="•"/>
      <w:lvlJc w:val="left"/>
      <w:pPr>
        <w:ind w:left="2592" w:hanging="720"/>
      </w:pPr>
      <w:rPr>
        <w:rFonts w:hint="default"/>
      </w:rPr>
    </w:lvl>
    <w:lvl w:ilvl="4">
      <w:start w:val="1"/>
      <w:numFmt w:val="bullet"/>
      <w:lvlText w:val="•"/>
      <w:lvlJc w:val="left"/>
      <w:pPr>
        <w:ind w:left="3468" w:hanging="720"/>
      </w:pPr>
      <w:rPr>
        <w:rFonts w:hint="default"/>
      </w:rPr>
    </w:lvl>
    <w:lvl w:ilvl="5">
      <w:start w:val="1"/>
      <w:numFmt w:val="bullet"/>
      <w:lvlText w:val="•"/>
      <w:lvlJc w:val="left"/>
      <w:pPr>
        <w:ind w:left="4344" w:hanging="720"/>
      </w:pPr>
      <w:rPr>
        <w:rFonts w:hint="default"/>
      </w:rPr>
    </w:lvl>
    <w:lvl w:ilvl="6">
      <w:start w:val="1"/>
      <w:numFmt w:val="bullet"/>
      <w:lvlText w:val="•"/>
      <w:lvlJc w:val="left"/>
      <w:pPr>
        <w:ind w:left="5220" w:hanging="720"/>
      </w:pPr>
      <w:rPr>
        <w:rFonts w:hint="default"/>
      </w:rPr>
    </w:lvl>
    <w:lvl w:ilvl="7">
      <w:start w:val="1"/>
      <w:numFmt w:val="bullet"/>
      <w:lvlText w:val="•"/>
      <w:lvlJc w:val="left"/>
      <w:pPr>
        <w:ind w:left="6097" w:hanging="720"/>
      </w:pPr>
      <w:rPr>
        <w:rFonts w:hint="default"/>
      </w:rPr>
    </w:lvl>
    <w:lvl w:ilvl="8">
      <w:start w:val="1"/>
      <w:numFmt w:val="bullet"/>
      <w:lvlText w:val="•"/>
      <w:lvlJc w:val="left"/>
      <w:pPr>
        <w:ind w:left="6973" w:hanging="720"/>
      </w:pPr>
      <w:rPr>
        <w:rFonts w:hint="default"/>
      </w:rPr>
    </w:lvl>
  </w:abstractNum>
  <w:abstractNum w:abstractNumId="24">
    <w:multiLevelType w:val="hybridMultilevel"/>
    <w:lvl w:ilvl="0">
      <w:start w:val="4"/>
      <w:numFmt w:val="decimal"/>
      <w:lvlText w:val="%1"/>
      <w:lvlJc w:val="left"/>
      <w:pPr>
        <w:ind w:left="686" w:hanging="576"/>
        <w:jc w:val="left"/>
      </w:pPr>
      <w:rPr>
        <w:rFonts w:hint="default"/>
      </w:rPr>
    </w:lvl>
    <w:lvl w:ilvl="1">
      <w:start w:val="1"/>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bullet"/>
      <w:lvlText w:val="•"/>
      <w:lvlJc w:val="left"/>
      <w:pPr>
        <w:ind w:left="2592" w:hanging="720"/>
      </w:pPr>
      <w:rPr>
        <w:rFonts w:hint="default"/>
      </w:rPr>
    </w:lvl>
    <w:lvl w:ilvl="4">
      <w:start w:val="1"/>
      <w:numFmt w:val="bullet"/>
      <w:lvlText w:val="•"/>
      <w:lvlJc w:val="left"/>
      <w:pPr>
        <w:ind w:left="3468" w:hanging="720"/>
      </w:pPr>
      <w:rPr>
        <w:rFonts w:hint="default"/>
      </w:rPr>
    </w:lvl>
    <w:lvl w:ilvl="5">
      <w:start w:val="1"/>
      <w:numFmt w:val="bullet"/>
      <w:lvlText w:val="•"/>
      <w:lvlJc w:val="left"/>
      <w:pPr>
        <w:ind w:left="4344" w:hanging="720"/>
      </w:pPr>
      <w:rPr>
        <w:rFonts w:hint="default"/>
      </w:rPr>
    </w:lvl>
    <w:lvl w:ilvl="6">
      <w:start w:val="1"/>
      <w:numFmt w:val="bullet"/>
      <w:lvlText w:val="•"/>
      <w:lvlJc w:val="left"/>
      <w:pPr>
        <w:ind w:left="5220" w:hanging="720"/>
      </w:pPr>
      <w:rPr>
        <w:rFonts w:hint="default"/>
      </w:rPr>
    </w:lvl>
    <w:lvl w:ilvl="7">
      <w:start w:val="1"/>
      <w:numFmt w:val="bullet"/>
      <w:lvlText w:val="•"/>
      <w:lvlJc w:val="left"/>
      <w:pPr>
        <w:ind w:left="6097" w:hanging="720"/>
      </w:pPr>
      <w:rPr>
        <w:rFonts w:hint="default"/>
      </w:rPr>
    </w:lvl>
    <w:lvl w:ilvl="8">
      <w:start w:val="1"/>
      <w:numFmt w:val="bullet"/>
      <w:lvlText w:val="•"/>
      <w:lvlJc w:val="left"/>
      <w:pPr>
        <w:ind w:left="6973" w:hanging="720"/>
      </w:pPr>
      <w:rPr>
        <w:rFonts w:hint="default"/>
      </w:rPr>
    </w:lvl>
  </w:abstractNum>
  <w:abstractNum w:abstractNumId="23">
    <w:multiLevelType w:val="hybridMultilevel"/>
    <w:lvl w:ilvl="0">
      <w:start w:val="3"/>
      <w:numFmt w:val="decimal"/>
      <w:lvlText w:val="%1"/>
      <w:lvlJc w:val="left"/>
      <w:pPr>
        <w:ind w:left="830" w:hanging="720"/>
        <w:jc w:val="left"/>
      </w:pPr>
      <w:rPr>
        <w:rFonts w:hint="default"/>
      </w:rPr>
    </w:lvl>
    <w:lvl w:ilvl="1">
      <w:start w:val="2"/>
      <w:numFmt w:val="decimal"/>
      <w:lvlText w:val="%1.%2"/>
      <w:lvlJc w:val="left"/>
      <w:pPr>
        <w:ind w:left="830" w:hanging="720"/>
        <w:jc w:val="left"/>
      </w:pPr>
      <w:rPr>
        <w:rFonts w:hint="default"/>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bullet"/>
      <w:lvlText w:val="•"/>
      <w:lvlJc w:val="left"/>
      <w:pPr>
        <w:ind w:left="3205" w:hanging="720"/>
      </w:pPr>
      <w:rPr>
        <w:rFonts w:hint="default"/>
      </w:rPr>
    </w:lvl>
    <w:lvl w:ilvl="4">
      <w:start w:val="1"/>
      <w:numFmt w:val="bullet"/>
      <w:lvlText w:val="•"/>
      <w:lvlJc w:val="left"/>
      <w:pPr>
        <w:ind w:left="3994" w:hanging="720"/>
      </w:pPr>
      <w:rPr>
        <w:rFonts w:hint="default"/>
      </w:rPr>
    </w:lvl>
    <w:lvl w:ilvl="5">
      <w:start w:val="1"/>
      <w:numFmt w:val="bullet"/>
      <w:lvlText w:val="•"/>
      <w:lvlJc w:val="left"/>
      <w:pPr>
        <w:ind w:left="4782" w:hanging="720"/>
      </w:pPr>
      <w:rPr>
        <w:rFonts w:hint="default"/>
      </w:rPr>
    </w:lvl>
    <w:lvl w:ilvl="6">
      <w:start w:val="1"/>
      <w:numFmt w:val="bullet"/>
      <w:lvlText w:val="•"/>
      <w:lvlJc w:val="left"/>
      <w:pPr>
        <w:ind w:left="5571" w:hanging="720"/>
      </w:pPr>
      <w:rPr>
        <w:rFonts w:hint="default"/>
      </w:rPr>
    </w:lvl>
    <w:lvl w:ilvl="7">
      <w:start w:val="1"/>
      <w:numFmt w:val="bullet"/>
      <w:lvlText w:val="•"/>
      <w:lvlJc w:val="left"/>
      <w:pPr>
        <w:ind w:left="6359" w:hanging="720"/>
      </w:pPr>
      <w:rPr>
        <w:rFonts w:hint="default"/>
      </w:rPr>
    </w:lvl>
    <w:lvl w:ilvl="8">
      <w:start w:val="1"/>
      <w:numFmt w:val="bullet"/>
      <w:lvlText w:val="•"/>
      <w:lvlJc w:val="left"/>
      <w:pPr>
        <w:ind w:left="7148" w:hanging="720"/>
      </w:pPr>
      <w:rPr>
        <w:rFonts w:hint="default"/>
      </w:rPr>
    </w:lvl>
  </w:abstractNum>
  <w:abstractNum w:abstractNumId="22">
    <w:multiLevelType w:val="hybridMultilevel"/>
    <w:lvl w:ilvl="0">
      <w:start w:val="3"/>
      <w:numFmt w:val="decimal"/>
      <w:lvlText w:val="%1"/>
      <w:lvlJc w:val="left"/>
      <w:pPr>
        <w:ind w:left="470" w:hanging="360"/>
        <w:jc w:val="left"/>
      </w:pPr>
      <w:rPr>
        <w:rFonts w:hint="default"/>
      </w:rPr>
    </w:lvl>
    <w:lvl w:ilvl="1">
      <w:start w:val="1"/>
      <w:numFmt w:val="decimal"/>
      <w:lvlText w:val="%1.%2"/>
      <w:lvlJc w:val="left"/>
      <w:pPr>
        <w:ind w:left="470" w:hanging="360"/>
        <w:jc w:val="left"/>
      </w:pPr>
      <w:rPr>
        <w:rFonts w:hint="default" w:ascii="Arial" w:hAnsi="Arial" w:eastAsia="Arial" w:cs="Arial"/>
        <w:b/>
        <w:bCs/>
        <w:w w:val="100"/>
        <w:sz w:val="24"/>
        <w:szCs w:val="24"/>
      </w:rPr>
    </w:lvl>
    <w:lvl w:ilvl="2">
      <w:start w:val="1"/>
      <w:numFmt w:val="bullet"/>
      <w:lvlText w:val="•"/>
      <w:lvlJc w:val="left"/>
      <w:pPr>
        <w:ind w:left="2129" w:hanging="360"/>
      </w:pPr>
      <w:rPr>
        <w:rFonts w:hint="default"/>
      </w:rPr>
    </w:lvl>
    <w:lvl w:ilvl="3">
      <w:start w:val="1"/>
      <w:numFmt w:val="bullet"/>
      <w:lvlText w:val="•"/>
      <w:lvlJc w:val="left"/>
      <w:pPr>
        <w:ind w:left="2953" w:hanging="360"/>
      </w:pPr>
      <w:rPr>
        <w:rFonts w:hint="default"/>
      </w:rPr>
    </w:lvl>
    <w:lvl w:ilvl="4">
      <w:start w:val="1"/>
      <w:numFmt w:val="bullet"/>
      <w:lvlText w:val="•"/>
      <w:lvlJc w:val="left"/>
      <w:pPr>
        <w:ind w:left="3778"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427" w:hanging="360"/>
      </w:pPr>
      <w:rPr>
        <w:rFonts w:hint="default"/>
      </w:rPr>
    </w:lvl>
    <w:lvl w:ilvl="7">
      <w:start w:val="1"/>
      <w:numFmt w:val="bullet"/>
      <w:lvlText w:val="•"/>
      <w:lvlJc w:val="left"/>
      <w:pPr>
        <w:ind w:left="6251" w:hanging="360"/>
      </w:pPr>
      <w:rPr>
        <w:rFonts w:hint="default"/>
      </w:rPr>
    </w:lvl>
    <w:lvl w:ilvl="8">
      <w:start w:val="1"/>
      <w:numFmt w:val="bullet"/>
      <w:lvlText w:val="•"/>
      <w:lvlJc w:val="left"/>
      <w:pPr>
        <w:ind w:left="7076" w:hanging="360"/>
      </w:pPr>
      <w:rPr>
        <w:rFonts w:hint="default"/>
      </w:rPr>
    </w:lvl>
  </w:abstractNum>
  <w:abstractNum w:abstractNumId="21">
    <w:multiLevelType w:val="hybridMultilevel"/>
    <w:lvl w:ilvl="0">
      <w:start w:val="1"/>
      <w:numFmt w:val="bullet"/>
      <w:lvlText w:val="•"/>
      <w:lvlJc w:val="left"/>
      <w:pPr>
        <w:ind w:left="110" w:hanging="154"/>
      </w:pPr>
      <w:rPr>
        <w:rFonts w:hint="default" w:ascii="Arial" w:hAnsi="Arial" w:eastAsia="Arial" w:cs="Arial"/>
        <w:w w:val="100"/>
        <w:sz w:val="24"/>
        <w:szCs w:val="24"/>
      </w:rPr>
    </w:lvl>
    <w:lvl w:ilvl="1">
      <w:start w:val="1"/>
      <w:numFmt w:val="bullet"/>
      <w:lvlText w:val="•"/>
      <w:lvlJc w:val="left"/>
      <w:pPr>
        <w:ind w:left="980" w:hanging="154"/>
      </w:pPr>
      <w:rPr>
        <w:rFonts w:hint="default"/>
      </w:rPr>
    </w:lvl>
    <w:lvl w:ilvl="2">
      <w:start w:val="1"/>
      <w:numFmt w:val="bullet"/>
      <w:lvlText w:val="•"/>
      <w:lvlJc w:val="left"/>
      <w:pPr>
        <w:ind w:left="1841" w:hanging="154"/>
      </w:pPr>
      <w:rPr>
        <w:rFonts w:hint="default"/>
      </w:rPr>
    </w:lvl>
    <w:lvl w:ilvl="3">
      <w:start w:val="1"/>
      <w:numFmt w:val="bullet"/>
      <w:lvlText w:val="•"/>
      <w:lvlJc w:val="left"/>
      <w:pPr>
        <w:ind w:left="2701" w:hanging="154"/>
      </w:pPr>
      <w:rPr>
        <w:rFonts w:hint="default"/>
      </w:rPr>
    </w:lvl>
    <w:lvl w:ilvl="4">
      <w:start w:val="1"/>
      <w:numFmt w:val="bullet"/>
      <w:lvlText w:val="•"/>
      <w:lvlJc w:val="left"/>
      <w:pPr>
        <w:ind w:left="3562" w:hanging="154"/>
      </w:pPr>
      <w:rPr>
        <w:rFonts w:hint="default"/>
      </w:rPr>
    </w:lvl>
    <w:lvl w:ilvl="5">
      <w:start w:val="1"/>
      <w:numFmt w:val="bullet"/>
      <w:lvlText w:val="•"/>
      <w:lvlJc w:val="left"/>
      <w:pPr>
        <w:ind w:left="4422" w:hanging="154"/>
      </w:pPr>
      <w:rPr>
        <w:rFonts w:hint="default"/>
      </w:rPr>
    </w:lvl>
    <w:lvl w:ilvl="6">
      <w:start w:val="1"/>
      <w:numFmt w:val="bullet"/>
      <w:lvlText w:val="•"/>
      <w:lvlJc w:val="left"/>
      <w:pPr>
        <w:ind w:left="5283" w:hanging="154"/>
      </w:pPr>
      <w:rPr>
        <w:rFonts w:hint="default"/>
      </w:rPr>
    </w:lvl>
    <w:lvl w:ilvl="7">
      <w:start w:val="1"/>
      <w:numFmt w:val="bullet"/>
      <w:lvlText w:val="•"/>
      <w:lvlJc w:val="left"/>
      <w:pPr>
        <w:ind w:left="6143" w:hanging="154"/>
      </w:pPr>
      <w:rPr>
        <w:rFonts w:hint="default"/>
      </w:rPr>
    </w:lvl>
    <w:lvl w:ilvl="8">
      <w:start w:val="1"/>
      <w:numFmt w:val="bullet"/>
      <w:lvlText w:val="•"/>
      <w:lvlJc w:val="left"/>
      <w:pPr>
        <w:ind w:left="7004" w:hanging="154"/>
      </w:pPr>
      <w:rPr>
        <w:rFonts w:hint="default"/>
      </w:rPr>
    </w:lvl>
  </w:abstractNum>
  <w:abstractNum w:abstractNumId="20">
    <w:multiLevelType w:val="hybridMultilevel"/>
    <w:lvl w:ilvl="0">
      <w:start w:val="2"/>
      <w:numFmt w:val="decimal"/>
      <w:lvlText w:val="%1"/>
      <w:lvlJc w:val="left"/>
      <w:pPr>
        <w:ind w:left="830" w:hanging="720"/>
        <w:jc w:val="left"/>
      </w:pPr>
      <w:rPr>
        <w:rFonts w:hint="default"/>
      </w:rPr>
    </w:lvl>
    <w:lvl w:ilvl="1">
      <w:start w:val="5"/>
      <w:numFmt w:val="decimal"/>
      <w:lvlText w:val="%1.%2"/>
      <w:lvlJc w:val="left"/>
      <w:pPr>
        <w:ind w:left="830" w:hanging="720"/>
        <w:jc w:val="left"/>
      </w:pPr>
      <w:rPr>
        <w:rFonts w:hint="default"/>
      </w:rPr>
    </w:lvl>
    <w:lvl w:ilvl="2">
      <w:start w:val="1"/>
      <w:numFmt w:val="decimal"/>
      <w:lvlText w:val="%1.%2.%3"/>
      <w:lvlJc w:val="left"/>
      <w:pPr>
        <w:ind w:left="110" w:hanging="720"/>
        <w:jc w:val="left"/>
      </w:pPr>
      <w:rPr>
        <w:rFonts w:hint="default" w:ascii="Arial" w:hAnsi="Arial" w:eastAsia="Arial" w:cs="Arial"/>
        <w:b/>
        <w:bCs/>
        <w:spacing w:val="-14"/>
        <w:w w:val="100"/>
        <w:sz w:val="24"/>
        <w:szCs w:val="24"/>
      </w:rPr>
    </w:lvl>
    <w:lvl w:ilvl="3">
      <w:start w:val="1"/>
      <w:numFmt w:val="bullet"/>
      <w:lvlText w:val=""/>
      <w:lvlJc w:val="left"/>
      <w:pPr>
        <w:ind w:left="830" w:hanging="360"/>
      </w:pPr>
      <w:rPr>
        <w:rFonts w:hint="default" w:ascii="Symbol" w:hAnsi="Symbol" w:eastAsia="Symbol" w:cs="Symbol"/>
        <w:w w:val="100"/>
        <w:sz w:val="24"/>
        <w:szCs w:val="24"/>
      </w:rPr>
    </w:lvl>
    <w:lvl w:ilvl="4">
      <w:start w:val="1"/>
      <w:numFmt w:val="bullet"/>
      <w:lvlText w:val="•"/>
      <w:lvlJc w:val="left"/>
      <w:pPr>
        <w:ind w:left="3468" w:hanging="360"/>
      </w:pPr>
      <w:rPr>
        <w:rFonts w:hint="default"/>
      </w:rPr>
    </w:lvl>
    <w:lvl w:ilvl="5">
      <w:start w:val="1"/>
      <w:numFmt w:val="bullet"/>
      <w:lvlText w:val="•"/>
      <w:lvlJc w:val="left"/>
      <w:pPr>
        <w:ind w:left="4344" w:hanging="360"/>
      </w:pPr>
      <w:rPr>
        <w:rFonts w:hint="default"/>
      </w:rPr>
    </w:lvl>
    <w:lvl w:ilvl="6">
      <w:start w:val="1"/>
      <w:numFmt w:val="bullet"/>
      <w:lvlText w:val="•"/>
      <w:lvlJc w:val="left"/>
      <w:pPr>
        <w:ind w:left="5220" w:hanging="360"/>
      </w:pPr>
      <w:rPr>
        <w:rFonts w:hint="default"/>
      </w:rPr>
    </w:lvl>
    <w:lvl w:ilvl="7">
      <w:start w:val="1"/>
      <w:numFmt w:val="bullet"/>
      <w:lvlText w:val="•"/>
      <w:lvlJc w:val="left"/>
      <w:pPr>
        <w:ind w:left="6097" w:hanging="360"/>
      </w:pPr>
      <w:rPr>
        <w:rFonts w:hint="default"/>
      </w:rPr>
    </w:lvl>
    <w:lvl w:ilvl="8">
      <w:start w:val="1"/>
      <w:numFmt w:val="bullet"/>
      <w:lvlText w:val="•"/>
      <w:lvlJc w:val="left"/>
      <w:pPr>
        <w:ind w:left="6973" w:hanging="360"/>
      </w:pPr>
      <w:rPr>
        <w:rFonts w:hint="default"/>
      </w:rPr>
    </w:lvl>
  </w:abstractNum>
  <w:abstractNum w:abstractNumId="19">
    <w:multiLevelType w:val="hybridMultilevel"/>
    <w:lvl w:ilvl="0">
      <w:start w:val="1"/>
      <w:numFmt w:val="lowerLetter"/>
      <w:lvlText w:val="%1)"/>
      <w:lvlJc w:val="left"/>
      <w:pPr>
        <w:ind w:left="830" w:hanging="360"/>
        <w:jc w:val="left"/>
      </w:pPr>
      <w:rPr>
        <w:rFonts w:hint="default" w:ascii="Arial" w:hAnsi="Arial" w:eastAsia="Arial" w:cs="Arial"/>
        <w:w w:val="100"/>
        <w:sz w:val="24"/>
        <w:szCs w:val="24"/>
      </w:rPr>
    </w:lvl>
    <w:lvl w:ilvl="1">
      <w:start w:val="1"/>
      <w:numFmt w:val="bullet"/>
      <w:lvlText w:val=""/>
      <w:lvlJc w:val="left"/>
      <w:pPr>
        <w:ind w:left="1190" w:hanging="360"/>
      </w:pPr>
      <w:rPr>
        <w:rFonts w:hint="default" w:ascii="Symbol" w:hAnsi="Symbol" w:eastAsia="Symbol" w:cs="Symbol"/>
        <w:w w:val="100"/>
        <w:sz w:val="24"/>
        <w:szCs w:val="24"/>
      </w:rPr>
    </w:lvl>
    <w:lvl w:ilvl="2">
      <w:start w:val="1"/>
      <w:numFmt w:val="bullet"/>
      <w:lvlText w:val="•"/>
      <w:lvlJc w:val="left"/>
      <w:pPr>
        <w:ind w:left="2036" w:hanging="360"/>
      </w:pPr>
      <w:rPr>
        <w:rFonts w:hint="default"/>
      </w:rPr>
    </w:lvl>
    <w:lvl w:ilvl="3">
      <w:start w:val="1"/>
      <w:numFmt w:val="bullet"/>
      <w:lvlText w:val="•"/>
      <w:lvlJc w:val="left"/>
      <w:pPr>
        <w:ind w:left="2872" w:hanging="360"/>
      </w:pPr>
      <w:rPr>
        <w:rFonts w:hint="default"/>
      </w:rPr>
    </w:lvl>
    <w:lvl w:ilvl="4">
      <w:start w:val="1"/>
      <w:numFmt w:val="bullet"/>
      <w:lvlText w:val="•"/>
      <w:lvlJc w:val="left"/>
      <w:pPr>
        <w:ind w:left="3708" w:hanging="360"/>
      </w:pPr>
      <w:rPr>
        <w:rFonts w:hint="default"/>
      </w:rPr>
    </w:lvl>
    <w:lvl w:ilvl="5">
      <w:start w:val="1"/>
      <w:numFmt w:val="bullet"/>
      <w:lvlText w:val="•"/>
      <w:lvlJc w:val="left"/>
      <w:pPr>
        <w:ind w:left="4544" w:hanging="360"/>
      </w:pPr>
      <w:rPr>
        <w:rFonts w:hint="default"/>
      </w:rPr>
    </w:lvl>
    <w:lvl w:ilvl="6">
      <w:start w:val="1"/>
      <w:numFmt w:val="bullet"/>
      <w:lvlText w:val="•"/>
      <w:lvlJc w:val="left"/>
      <w:pPr>
        <w:ind w:left="5380" w:hanging="360"/>
      </w:pPr>
      <w:rPr>
        <w:rFonts w:hint="default"/>
      </w:rPr>
    </w:lvl>
    <w:lvl w:ilvl="7">
      <w:start w:val="1"/>
      <w:numFmt w:val="bullet"/>
      <w:lvlText w:val="•"/>
      <w:lvlJc w:val="left"/>
      <w:pPr>
        <w:ind w:left="6217" w:hanging="360"/>
      </w:pPr>
      <w:rPr>
        <w:rFonts w:hint="default"/>
      </w:rPr>
    </w:lvl>
    <w:lvl w:ilvl="8">
      <w:start w:val="1"/>
      <w:numFmt w:val="bullet"/>
      <w:lvlText w:val="•"/>
      <w:lvlJc w:val="left"/>
      <w:pPr>
        <w:ind w:left="7053" w:hanging="360"/>
      </w:pPr>
      <w:rPr>
        <w:rFonts w:hint="default"/>
      </w:rPr>
    </w:lvl>
  </w:abstractNum>
  <w:abstractNum w:abstractNumId="18">
    <w:multiLevelType w:val="hybridMultilevel"/>
    <w:lvl w:ilvl="0">
      <w:start w:val="2"/>
      <w:numFmt w:val="decimal"/>
      <w:lvlText w:val="%1"/>
      <w:lvlJc w:val="left"/>
      <w:pPr>
        <w:ind w:left="686" w:hanging="576"/>
        <w:jc w:val="left"/>
      </w:pPr>
      <w:rPr>
        <w:rFonts w:hint="default"/>
      </w:rPr>
    </w:lvl>
    <w:lvl w:ilvl="1">
      <w:start w:val="2"/>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bullet"/>
      <w:lvlText w:val=""/>
      <w:lvlJc w:val="left"/>
      <w:pPr>
        <w:ind w:left="830" w:hanging="360"/>
      </w:pPr>
      <w:rPr>
        <w:rFonts w:hint="default" w:ascii="Symbol" w:hAnsi="Symbol" w:eastAsia="Symbol" w:cs="Symbol"/>
        <w:w w:val="100"/>
        <w:sz w:val="24"/>
        <w:szCs w:val="24"/>
      </w:rPr>
    </w:lvl>
    <w:lvl w:ilvl="3">
      <w:start w:val="1"/>
      <w:numFmt w:val="bullet"/>
      <w:lvlText w:val="•"/>
      <w:lvlJc w:val="left"/>
      <w:pPr>
        <w:ind w:left="2592" w:hanging="360"/>
      </w:pPr>
      <w:rPr>
        <w:rFonts w:hint="default"/>
      </w:rPr>
    </w:lvl>
    <w:lvl w:ilvl="4">
      <w:start w:val="1"/>
      <w:numFmt w:val="bullet"/>
      <w:lvlText w:val="•"/>
      <w:lvlJc w:val="left"/>
      <w:pPr>
        <w:ind w:left="3468" w:hanging="360"/>
      </w:pPr>
      <w:rPr>
        <w:rFonts w:hint="default"/>
      </w:rPr>
    </w:lvl>
    <w:lvl w:ilvl="5">
      <w:start w:val="1"/>
      <w:numFmt w:val="bullet"/>
      <w:lvlText w:val="•"/>
      <w:lvlJc w:val="left"/>
      <w:pPr>
        <w:ind w:left="4344" w:hanging="360"/>
      </w:pPr>
      <w:rPr>
        <w:rFonts w:hint="default"/>
      </w:rPr>
    </w:lvl>
    <w:lvl w:ilvl="6">
      <w:start w:val="1"/>
      <w:numFmt w:val="bullet"/>
      <w:lvlText w:val="•"/>
      <w:lvlJc w:val="left"/>
      <w:pPr>
        <w:ind w:left="5220" w:hanging="360"/>
      </w:pPr>
      <w:rPr>
        <w:rFonts w:hint="default"/>
      </w:rPr>
    </w:lvl>
    <w:lvl w:ilvl="7">
      <w:start w:val="1"/>
      <w:numFmt w:val="bullet"/>
      <w:lvlText w:val="•"/>
      <w:lvlJc w:val="left"/>
      <w:pPr>
        <w:ind w:left="6097" w:hanging="360"/>
      </w:pPr>
      <w:rPr>
        <w:rFonts w:hint="default"/>
      </w:rPr>
    </w:lvl>
    <w:lvl w:ilvl="8">
      <w:start w:val="1"/>
      <w:numFmt w:val="bullet"/>
      <w:lvlText w:val="•"/>
      <w:lvlJc w:val="left"/>
      <w:pPr>
        <w:ind w:left="6973" w:hanging="360"/>
      </w:pPr>
      <w:rPr>
        <w:rFonts w:hint="default"/>
      </w:rPr>
    </w:lvl>
  </w:abstractNum>
  <w:abstractNum w:abstractNumId="17">
    <w:multiLevelType w:val="hybridMultilevel"/>
    <w:lvl w:ilvl="0">
      <w:start w:val="1"/>
      <w:numFmt w:val="lowerLetter"/>
      <w:lvlText w:val="%1)"/>
      <w:lvlJc w:val="left"/>
      <w:pPr>
        <w:ind w:left="830" w:hanging="360"/>
        <w:jc w:val="left"/>
      </w:pPr>
      <w:rPr>
        <w:rFonts w:hint="default" w:ascii="Arial" w:hAnsi="Arial" w:eastAsia="Arial" w:cs="Arial"/>
        <w:w w:val="100"/>
        <w:sz w:val="24"/>
        <w:szCs w:val="24"/>
      </w:rPr>
    </w:lvl>
    <w:lvl w:ilvl="1">
      <w:start w:val="1"/>
      <w:numFmt w:val="bullet"/>
      <w:lvlText w:val="•"/>
      <w:lvlJc w:val="left"/>
      <w:pPr>
        <w:ind w:left="162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05" w:hanging="360"/>
      </w:pPr>
      <w:rPr>
        <w:rFonts w:hint="default"/>
      </w:rPr>
    </w:lvl>
    <w:lvl w:ilvl="4">
      <w:start w:val="1"/>
      <w:numFmt w:val="bullet"/>
      <w:lvlText w:val="•"/>
      <w:lvlJc w:val="left"/>
      <w:pPr>
        <w:ind w:left="3994" w:hanging="360"/>
      </w:pPr>
      <w:rPr>
        <w:rFonts w:hint="default"/>
      </w:rPr>
    </w:lvl>
    <w:lvl w:ilvl="5">
      <w:start w:val="1"/>
      <w:numFmt w:val="bullet"/>
      <w:lvlText w:val="•"/>
      <w:lvlJc w:val="left"/>
      <w:pPr>
        <w:ind w:left="4782" w:hanging="360"/>
      </w:pPr>
      <w:rPr>
        <w:rFonts w:hint="default"/>
      </w:rPr>
    </w:lvl>
    <w:lvl w:ilvl="6">
      <w:start w:val="1"/>
      <w:numFmt w:val="bullet"/>
      <w:lvlText w:val="•"/>
      <w:lvlJc w:val="left"/>
      <w:pPr>
        <w:ind w:left="5571" w:hanging="360"/>
      </w:pPr>
      <w:rPr>
        <w:rFonts w:hint="default"/>
      </w:rPr>
    </w:lvl>
    <w:lvl w:ilvl="7">
      <w:start w:val="1"/>
      <w:numFmt w:val="bullet"/>
      <w:lvlText w:val="•"/>
      <w:lvlJc w:val="left"/>
      <w:pPr>
        <w:ind w:left="6359" w:hanging="360"/>
      </w:pPr>
      <w:rPr>
        <w:rFonts w:hint="default"/>
      </w:rPr>
    </w:lvl>
    <w:lvl w:ilvl="8">
      <w:start w:val="1"/>
      <w:numFmt w:val="bullet"/>
      <w:lvlText w:val="•"/>
      <w:lvlJc w:val="left"/>
      <w:pPr>
        <w:ind w:left="7148" w:hanging="360"/>
      </w:pPr>
      <w:rPr>
        <w:rFonts w:hint="default"/>
      </w:rPr>
    </w:lvl>
  </w:abstractNum>
  <w:abstractNum w:abstractNumId="16">
    <w:multiLevelType w:val="hybridMultilevel"/>
    <w:lvl w:ilvl="0">
      <w:start w:val="1"/>
      <w:numFmt w:val="bullet"/>
      <w:lvlText w:val=""/>
      <w:lvlJc w:val="left"/>
      <w:pPr>
        <w:ind w:left="750" w:hanging="360"/>
      </w:pPr>
      <w:rPr>
        <w:rFonts w:hint="default" w:ascii="Symbol" w:hAnsi="Symbol" w:eastAsia="Symbol" w:cs="Symbol"/>
        <w:w w:val="100"/>
        <w:sz w:val="24"/>
        <w:szCs w:val="24"/>
      </w:rPr>
    </w:lvl>
    <w:lvl w:ilvl="1">
      <w:start w:val="1"/>
      <w:numFmt w:val="bullet"/>
      <w:lvlText w:val=""/>
      <w:lvlJc w:val="left"/>
      <w:pPr>
        <w:ind w:left="830" w:hanging="360"/>
      </w:pPr>
      <w:rPr>
        <w:rFonts w:hint="default" w:ascii="Symbol" w:hAnsi="Symbol" w:eastAsia="Symbol" w:cs="Symbol"/>
        <w:w w:val="100"/>
        <w:sz w:val="24"/>
        <w:szCs w:val="24"/>
      </w:rPr>
    </w:lvl>
    <w:lvl w:ilvl="2">
      <w:start w:val="1"/>
      <w:numFmt w:val="bullet"/>
      <w:lvlText w:val="•"/>
      <w:lvlJc w:val="left"/>
      <w:pPr>
        <w:ind w:left="1707" w:hanging="360"/>
      </w:pPr>
      <w:rPr>
        <w:rFonts w:hint="default"/>
      </w:rPr>
    </w:lvl>
    <w:lvl w:ilvl="3">
      <w:start w:val="1"/>
      <w:numFmt w:val="bullet"/>
      <w:lvlText w:val="•"/>
      <w:lvlJc w:val="left"/>
      <w:pPr>
        <w:ind w:left="2574" w:hanging="360"/>
      </w:pPr>
      <w:rPr>
        <w:rFonts w:hint="default"/>
      </w:rPr>
    </w:lvl>
    <w:lvl w:ilvl="4">
      <w:start w:val="1"/>
      <w:numFmt w:val="bullet"/>
      <w:lvlText w:val="•"/>
      <w:lvlJc w:val="left"/>
      <w:pPr>
        <w:ind w:left="3441" w:hanging="360"/>
      </w:pPr>
      <w:rPr>
        <w:rFonts w:hint="default"/>
      </w:rPr>
    </w:lvl>
    <w:lvl w:ilvl="5">
      <w:start w:val="1"/>
      <w:numFmt w:val="bullet"/>
      <w:lvlText w:val="•"/>
      <w:lvlJc w:val="left"/>
      <w:pPr>
        <w:ind w:left="4309" w:hanging="360"/>
      </w:pPr>
      <w:rPr>
        <w:rFonts w:hint="default"/>
      </w:rPr>
    </w:lvl>
    <w:lvl w:ilvl="6">
      <w:start w:val="1"/>
      <w:numFmt w:val="bullet"/>
      <w:lvlText w:val="•"/>
      <w:lvlJc w:val="left"/>
      <w:pPr>
        <w:ind w:left="5176" w:hanging="360"/>
      </w:pPr>
      <w:rPr>
        <w:rFonts w:hint="default"/>
      </w:rPr>
    </w:lvl>
    <w:lvl w:ilvl="7">
      <w:start w:val="1"/>
      <w:numFmt w:val="bullet"/>
      <w:lvlText w:val="•"/>
      <w:lvlJc w:val="left"/>
      <w:pPr>
        <w:ind w:left="6043" w:hanging="360"/>
      </w:pPr>
      <w:rPr>
        <w:rFonts w:hint="default"/>
      </w:rPr>
    </w:lvl>
    <w:lvl w:ilvl="8">
      <w:start w:val="1"/>
      <w:numFmt w:val="bullet"/>
      <w:lvlText w:val="•"/>
      <w:lvlJc w:val="left"/>
      <w:pPr>
        <w:ind w:left="6910" w:hanging="360"/>
      </w:pPr>
      <w:rPr>
        <w:rFonts w:hint="default"/>
      </w:rPr>
    </w:lvl>
  </w:abstractNum>
  <w:abstractNum w:abstractNumId="15">
    <w:multiLevelType w:val="hybridMultilevel"/>
    <w:lvl w:ilvl="0">
      <w:start w:val="1"/>
      <w:numFmt w:val="bullet"/>
      <w:lvlText w:val=""/>
      <w:lvlJc w:val="left"/>
      <w:pPr>
        <w:ind w:left="830" w:hanging="360"/>
      </w:pPr>
      <w:rPr>
        <w:rFonts w:hint="default" w:ascii="Symbol" w:hAnsi="Symbol" w:eastAsia="Symbol" w:cs="Symbol"/>
        <w:w w:val="100"/>
        <w:sz w:val="24"/>
        <w:szCs w:val="24"/>
      </w:rPr>
    </w:lvl>
    <w:lvl w:ilvl="1">
      <w:start w:val="1"/>
      <w:numFmt w:val="bullet"/>
      <w:lvlText w:val="•"/>
      <w:lvlJc w:val="left"/>
      <w:pPr>
        <w:ind w:left="162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05" w:hanging="360"/>
      </w:pPr>
      <w:rPr>
        <w:rFonts w:hint="default"/>
      </w:rPr>
    </w:lvl>
    <w:lvl w:ilvl="4">
      <w:start w:val="1"/>
      <w:numFmt w:val="bullet"/>
      <w:lvlText w:val="•"/>
      <w:lvlJc w:val="left"/>
      <w:pPr>
        <w:ind w:left="3994" w:hanging="360"/>
      </w:pPr>
      <w:rPr>
        <w:rFonts w:hint="default"/>
      </w:rPr>
    </w:lvl>
    <w:lvl w:ilvl="5">
      <w:start w:val="1"/>
      <w:numFmt w:val="bullet"/>
      <w:lvlText w:val="•"/>
      <w:lvlJc w:val="left"/>
      <w:pPr>
        <w:ind w:left="4782" w:hanging="360"/>
      </w:pPr>
      <w:rPr>
        <w:rFonts w:hint="default"/>
      </w:rPr>
    </w:lvl>
    <w:lvl w:ilvl="6">
      <w:start w:val="1"/>
      <w:numFmt w:val="bullet"/>
      <w:lvlText w:val="•"/>
      <w:lvlJc w:val="left"/>
      <w:pPr>
        <w:ind w:left="5571" w:hanging="360"/>
      </w:pPr>
      <w:rPr>
        <w:rFonts w:hint="default"/>
      </w:rPr>
    </w:lvl>
    <w:lvl w:ilvl="7">
      <w:start w:val="1"/>
      <w:numFmt w:val="bullet"/>
      <w:lvlText w:val="•"/>
      <w:lvlJc w:val="left"/>
      <w:pPr>
        <w:ind w:left="6359" w:hanging="360"/>
      </w:pPr>
      <w:rPr>
        <w:rFonts w:hint="default"/>
      </w:rPr>
    </w:lvl>
    <w:lvl w:ilvl="8">
      <w:start w:val="1"/>
      <w:numFmt w:val="bullet"/>
      <w:lvlText w:val="•"/>
      <w:lvlJc w:val="left"/>
      <w:pPr>
        <w:ind w:left="7148" w:hanging="360"/>
      </w:pPr>
      <w:rPr>
        <w:rFonts w:hint="default"/>
      </w:rPr>
    </w:lvl>
  </w:abstractNum>
  <w:abstractNum w:abstractNumId="14">
    <w:multiLevelType w:val="hybridMultilevel"/>
    <w:lvl w:ilvl="0">
      <w:start w:val="2"/>
      <w:numFmt w:val="decimal"/>
      <w:lvlText w:val="%1"/>
      <w:lvlJc w:val="left"/>
      <w:pPr>
        <w:ind w:left="686" w:hanging="576"/>
        <w:jc w:val="left"/>
      </w:pPr>
      <w:rPr>
        <w:rFonts w:hint="default"/>
      </w:rPr>
    </w:lvl>
    <w:lvl w:ilvl="1">
      <w:start w:val="1"/>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decimal"/>
      <w:lvlText w:val="%1.%2.%3"/>
      <w:lvlJc w:val="left"/>
      <w:pPr>
        <w:ind w:left="897" w:hanging="787"/>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830" w:hanging="360"/>
      </w:pPr>
      <w:rPr>
        <w:rFonts w:hint="default" w:ascii="Symbol" w:hAnsi="Symbol" w:eastAsia="Symbol" w:cs="Symbol"/>
        <w:w w:val="100"/>
        <w:sz w:val="24"/>
        <w:szCs w:val="24"/>
      </w:rPr>
    </w:lvl>
    <w:lvl w:ilvl="5">
      <w:start w:val="1"/>
      <w:numFmt w:val="bullet"/>
      <w:lvlText w:val="•"/>
      <w:lvlJc w:val="left"/>
      <w:pPr>
        <w:ind w:left="3193" w:hanging="360"/>
      </w:pPr>
      <w:rPr>
        <w:rFonts w:hint="default"/>
      </w:rPr>
    </w:lvl>
    <w:lvl w:ilvl="6">
      <w:start w:val="1"/>
      <w:numFmt w:val="bullet"/>
      <w:lvlText w:val="•"/>
      <w:lvlJc w:val="left"/>
      <w:pPr>
        <w:ind w:left="4299"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6512" w:hanging="360"/>
      </w:pPr>
      <w:rPr>
        <w:rFonts w:hint="default"/>
      </w:rPr>
    </w:lvl>
  </w:abstractNum>
  <w:abstractNum w:abstractNumId="13">
    <w:multiLevelType w:val="hybridMultilevel"/>
    <w:lvl w:ilvl="0">
      <w:start w:val="1"/>
      <w:numFmt w:val="decimal"/>
      <w:lvlText w:val="%1"/>
      <w:lvlJc w:val="left"/>
      <w:pPr>
        <w:ind w:left="974" w:hanging="864"/>
        <w:jc w:val="left"/>
      </w:pPr>
      <w:rPr>
        <w:rFonts w:hint="default"/>
      </w:rPr>
    </w:lvl>
    <w:lvl w:ilvl="1">
      <w:start w:val="9"/>
      <w:numFmt w:val="decimal"/>
      <w:lvlText w:val="%1.%2"/>
      <w:lvlJc w:val="left"/>
      <w:pPr>
        <w:ind w:left="974" w:hanging="864"/>
        <w:jc w:val="left"/>
      </w:pPr>
      <w:rPr>
        <w:rFonts w:hint="default"/>
      </w:rPr>
    </w:lvl>
    <w:lvl w:ilvl="2">
      <w:start w:val="5"/>
      <w:numFmt w:val="decimal"/>
      <w:lvlText w:val="%1.%2.%3"/>
      <w:lvlJc w:val="left"/>
      <w:pPr>
        <w:ind w:left="974" w:hanging="864"/>
        <w:jc w:val="left"/>
      </w:pPr>
      <w:rPr>
        <w:rFonts w:hint="default"/>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4078" w:hanging="864"/>
      </w:pPr>
      <w:rPr>
        <w:rFonts w:hint="default"/>
      </w:rPr>
    </w:lvl>
    <w:lvl w:ilvl="5">
      <w:start w:val="1"/>
      <w:numFmt w:val="bullet"/>
      <w:lvlText w:val="•"/>
      <w:lvlJc w:val="left"/>
      <w:pPr>
        <w:ind w:left="4852" w:hanging="864"/>
      </w:pPr>
      <w:rPr>
        <w:rFonts w:hint="default"/>
      </w:rPr>
    </w:lvl>
    <w:lvl w:ilvl="6">
      <w:start w:val="1"/>
      <w:numFmt w:val="bullet"/>
      <w:lvlText w:val="•"/>
      <w:lvlJc w:val="left"/>
      <w:pPr>
        <w:ind w:left="5627" w:hanging="864"/>
      </w:pPr>
      <w:rPr>
        <w:rFonts w:hint="default"/>
      </w:rPr>
    </w:lvl>
    <w:lvl w:ilvl="7">
      <w:start w:val="1"/>
      <w:numFmt w:val="bullet"/>
      <w:lvlText w:val="•"/>
      <w:lvlJc w:val="left"/>
      <w:pPr>
        <w:ind w:left="6401" w:hanging="864"/>
      </w:pPr>
      <w:rPr>
        <w:rFonts w:hint="default"/>
      </w:rPr>
    </w:lvl>
    <w:lvl w:ilvl="8">
      <w:start w:val="1"/>
      <w:numFmt w:val="bullet"/>
      <w:lvlText w:val="•"/>
      <w:lvlJc w:val="left"/>
      <w:pPr>
        <w:ind w:left="7176" w:hanging="864"/>
      </w:pPr>
      <w:rPr>
        <w:rFonts w:hint="default"/>
      </w:rPr>
    </w:lvl>
  </w:abstractNum>
  <w:abstractNum w:abstractNumId="12">
    <w:multiLevelType w:val="hybridMultilevel"/>
    <w:lvl w:ilvl="0">
      <w:start w:val="1"/>
      <w:numFmt w:val="decimal"/>
      <w:lvlText w:val="%1"/>
      <w:lvlJc w:val="left"/>
      <w:pPr>
        <w:ind w:left="974" w:hanging="864"/>
        <w:jc w:val="left"/>
      </w:pPr>
      <w:rPr>
        <w:rFonts w:hint="default"/>
      </w:rPr>
    </w:lvl>
    <w:lvl w:ilvl="1">
      <w:start w:val="9"/>
      <w:numFmt w:val="decimal"/>
      <w:lvlText w:val="%1.%2"/>
      <w:lvlJc w:val="left"/>
      <w:pPr>
        <w:ind w:left="974" w:hanging="864"/>
        <w:jc w:val="left"/>
      </w:pPr>
      <w:rPr>
        <w:rFonts w:hint="default"/>
      </w:rPr>
    </w:lvl>
    <w:lvl w:ilvl="2">
      <w:start w:val="4"/>
      <w:numFmt w:val="decimal"/>
      <w:lvlText w:val="%1.%2.%3"/>
      <w:lvlJc w:val="left"/>
      <w:pPr>
        <w:ind w:left="974" w:hanging="864"/>
        <w:jc w:val="left"/>
      </w:pPr>
      <w:rPr>
        <w:rFonts w:hint="default"/>
      </w:rPr>
    </w:lvl>
    <w:lvl w:ilvl="3">
      <w:start w:val="2"/>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4078" w:hanging="864"/>
      </w:pPr>
      <w:rPr>
        <w:rFonts w:hint="default"/>
      </w:rPr>
    </w:lvl>
    <w:lvl w:ilvl="5">
      <w:start w:val="1"/>
      <w:numFmt w:val="bullet"/>
      <w:lvlText w:val="•"/>
      <w:lvlJc w:val="left"/>
      <w:pPr>
        <w:ind w:left="4852" w:hanging="864"/>
      </w:pPr>
      <w:rPr>
        <w:rFonts w:hint="default"/>
      </w:rPr>
    </w:lvl>
    <w:lvl w:ilvl="6">
      <w:start w:val="1"/>
      <w:numFmt w:val="bullet"/>
      <w:lvlText w:val="•"/>
      <w:lvlJc w:val="left"/>
      <w:pPr>
        <w:ind w:left="5627" w:hanging="864"/>
      </w:pPr>
      <w:rPr>
        <w:rFonts w:hint="default"/>
      </w:rPr>
    </w:lvl>
    <w:lvl w:ilvl="7">
      <w:start w:val="1"/>
      <w:numFmt w:val="bullet"/>
      <w:lvlText w:val="•"/>
      <w:lvlJc w:val="left"/>
      <w:pPr>
        <w:ind w:left="6401" w:hanging="864"/>
      </w:pPr>
      <w:rPr>
        <w:rFonts w:hint="default"/>
      </w:rPr>
    </w:lvl>
    <w:lvl w:ilvl="8">
      <w:start w:val="1"/>
      <w:numFmt w:val="bullet"/>
      <w:lvlText w:val="•"/>
      <w:lvlJc w:val="left"/>
      <w:pPr>
        <w:ind w:left="7176" w:hanging="864"/>
      </w:pPr>
      <w:rPr>
        <w:rFonts w:hint="default"/>
      </w:rPr>
    </w:lvl>
  </w:abstractNum>
  <w:abstractNum w:abstractNumId="11">
    <w:multiLevelType w:val="hybridMultilevel"/>
    <w:lvl w:ilvl="0">
      <w:start w:val="1"/>
      <w:numFmt w:val="decimal"/>
      <w:lvlText w:val="%1"/>
      <w:lvlJc w:val="left"/>
      <w:pPr>
        <w:ind w:left="830" w:hanging="720"/>
        <w:jc w:val="left"/>
      </w:pPr>
      <w:rPr>
        <w:rFonts w:hint="default"/>
      </w:rPr>
    </w:lvl>
    <w:lvl w:ilvl="1">
      <w:start w:val="9"/>
      <w:numFmt w:val="decimal"/>
      <w:lvlText w:val="%1.%2"/>
      <w:lvlJc w:val="left"/>
      <w:pPr>
        <w:ind w:left="830" w:hanging="720"/>
        <w:jc w:val="left"/>
      </w:pPr>
      <w:rPr>
        <w:rFonts w:hint="default"/>
      </w:rPr>
    </w:lvl>
    <w:lvl w:ilvl="2">
      <w:start w:val="3"/>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decimal"/>
      <w:lvlText w:val="%1.%2.%3.%4.%5"/>
      <w:lvlJc w:val="left"/>
      <w:pPr>
        <w:ind w:left="1118" w:hanging="1008"/>
        <w:jc w:val="left"/>
      </w:pPr>
      <w:rPr>
        <w:rFonts w:hint="default"/>
        <w:b/>
        <w:bCs/>
        <w:i/>
        <w:w w:val="100"/>
      </w:rPr>
    </w:lvl>
    <w:lvl w:ilvl="5">
      <w:start w:val="1"/>
      <w:numFmt w:val="bullet"/>
      <w:lvlText w:val="•"/>
      <w:lvlJc w:val="left"/>
      <w:pPr>
        <w:ind w:left="3972" w:hanging="1008"/>
      </w:pPr>
      <w:rPr>
        <w:rFonts w:hint="default"/>
      </w:rPr>
    </w:lvl>
    <w:lvl w:ilvl="6">
      <w:start w:val="1"/>
      <w:numFmt w:val="bullet"/>
      <w:lvlText w:val="•"/>
      <w:lvlJc w:val="left"/>
      <w:pPr>
        <w:ind w:left="4922" w:hanging="1008"/>
      </w:pPr>
      <w:rPr>
        <w:rFonts w:hint="default"/>
      </w:rPr>
    </w:lvl>
    <w:lvl w:ilvl="7">
      <w:start w:val="1"/>
      <w:numFmt w:val="bullet"/>
      <w:lvlText w:val="•"/>
      <w:lvlJc w:val="left"/>
      <w:pPr>
        <w:ind w:left="5873" w:hanging="1008"/>
      </w:pPr>
      <w:rPr>
        <w:rFonts w:hint="default"/>
      </w:rPr>
    </w:lvl>
    <w:lvl w:ilvl="8">
      <w:start w:val="1"/>
      <w:numFmt w:val="bullet"/>
      <w:lvlText w:val="•"/>
      <w:lvlJc w:val="left"/>
      <w:pPr>
        <w:ind w:left="6824" w:hanging="1008"/>
      </w:pPr>
      <w:rPr>
        <w:rFonts w:hint="default"/>
      </w:rPr>
    </w:lvl>
  </w:abstractNum>
  <w:abstractNum w:abstractNumId="10">
    <w:multiLevelType w:val="hybridMultilevel"/>
    <w:lvl w:ilvl="0">
      <w:start w:val="1"/>
      <w:numFmt w:val="decimal"/>
      <w:lvlText w:val="%1"/>
      <w:lvlJc w:val="left"/>
      <w:pPr>
        <w:ind w:left="830" w:hanging="720"/>
        <w:jc w:val="left"/>
      </w:pPr>
      <w:rPr>
        <w:rFonts w:hint="default"/>
      </w:rPr>
    </w:lvl>
    <w:lvl w:ilvl="1">
      <w:start w:val="9"/>
      <w:numFmt w:val="decimal"/>
      <w:lvlText w:val="%1.%2"/>
      <w:lvlJc w:val="left"/>
      <w:pPr>
        <w:ind w:left="830" w:hanging="720"/>
        <w:jc w:val="left"/>
      </w:pPr>
      <w:rPr>
        <w:rFonts w:hint="default"/>
      </w:rPr>
    </w:lvl>
    <w:lvl w:ilvl="2">
      <w:start w:val="2"/>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3561" w:hanging="864"/>
      </w:pPr>
      <w:rPr>
        <w:rFonts w:hint="default"/>
      </w:rPr>
    </w:lvl>
    <w:lvl w:ilvl="5">
      <w:start w:val="1"/>
      <w:numFmt w:val="bullet"/>
      <w:lvlText w:val="•"/>
      <w:lvlJc w:val="left"/>
      <w:pPr>
        <w:ind w:left="4422" w:hanging="864"/>
      </w:pPr>
      <w:rPr>
        <w:rFonts w:hint="default"/>
      </w:rPr>
    </w:lvl>
    <w:lvl w:ilvl="6">
      <w:start w:val="1"/>
      <w:numFmt w:val="bullet"/>
      <w:lvlText w:val="•"/>
      <w:lvlJc w:val="left"/>
      <w:pPr>
        <w:ind w:left="5283" w:hanging="864"/>
      </w:pPr>
      <w:rPr>
        <w:rFonts w:hint="default"/>
      </w:rPr>
    </w:lvl>
    <w:lvl w:ilvl="7">
      <w:start w:val="1"/>
      <w:numFmt w:val="bullet"/>
      <w:lvlText w:val="•"/>
      <w:lvlJc w:val="left"/>
      <w:pPr>
        <w:ind w:left="6143" w:hanging="864"/>
      </w:pPr>
      <w:rPr>
        <w:rFonts w:hint="default"/>
      </w:rPr>
    </w:lvl>
    <w:lvl w:ilvl="8">
      <w:start w:val="1"/>
      <w:numFmt w:val="bullet"/>
      <w:lvlText w:val="•"/>
      <w:lvlJc w:val="left"/>
      <w:pPr>
        <w:ind w:left="7004" w:hanging="864"/>
      </w:pPr>
      <w:rPr>
        <w:rFonts w:hint="default"/>
      </w:rPr>
    </w:lvl>
  </w:abstractNum>
  <w:abstractNum w:abstractNumId="9">
    <w:multiLevelType w:val="hybridMultilevel"/>
    <w:lvl w:ilvl="0">
      <w:start w:val="1"/>
      <w:numFmt w:val="decimal"/>
      <w:lvlText w:val="%1"/>
      <w:lvlJc w:val="left"/>
      <w:pPr>
        <w:ind w:left="686" w:hanging="576"/>
        <w:jc w:val="right"/>
      </w:pPr>
      <w:rPr>
        <w:rFonts w:hint="default"/>
      </w:rPr>
    </w:lvl>
    <w:lvl w:ilvl="1">
      <w:start w:val="9"/>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2916" w:hanging="864"/>
      </w:pPr>
      <w:rPr>
        <w:rFonts w:hint="default"/>
      </w:rPr>
    </w:lvl>
    <w:lvl w:ilvl="5">
      <w:start w:val="1"/>
      <w:numFmt w:val="bullet"/>
      <w:lvlText w:val="•"/>
      <w:lvlJc w:val="left"/>
      <w:pPr>
        <w:ind w:left="3884" w:hanging="864"/>
      </w:pPr>
      <w:rPr>
        <w:rFonts w:hint="default"/>
      </w:rPr>
    </w:lvl>
    <w:lvl w:ilvl="6">
      <w:start w:val="1"/>
      <w:numFmt w:val="bullet"/>
      <w:lvlText w:val="•"/>
      <w:lvlJc w:val="left"/>
      <w:pPr>
        <w:ind w:left="4852" w:hanging="864"/>
      </w:pPr>
      <w:rPr>
        <w:rFonts w:hint="default"/>
      </w:rPr>
    </w:lvl>
    <w:lvl w:ilvl="7">
      <w:start w:val="1"/>
      <w:numFmt w:val="bullet"/>
      <w:lvlText w:val="•"/>
      <w:lvlJc w:val="left"/>
      <w:pPr>
        <w:ind w:left="5820" w:hanging="864"/>
      </w:pPr>
      <w:rPr>
        <w:rFonts w:hint="default"/>
      </w:rPr>
    </w:lvl>
    <w:lvl w:ilvl="8">
      <w:start w:val="1"/>
      <w:numFmt w:val="bullet"/>
      <w:lvlText w:val="•"/>
      <w:lvlJc w:val="left"/>
      <w:pPr>
        <w:ind w:left="6789" w:hanging="864"/>
      </w:pPr>
      <w:rPr>
        <w:rFonts w:hint="default"/>
      </w:rPr>
    </w:lvl>
  </w:abstractNum>
  <w:abstractNum w:abstractNumId="8">
    <w:multiLevelType w:val="hybridMultilevel"/>
    <w:lvl w:ilvl="0">
      <w:start w:val="1"/>
      <w:numFmt w:val="decimal"/>
      <w:lvlText w:val="%1"/>
      <w:lvlJc w:val="left"/>
      <w:pPr>
        <w:ind w:left="830" w:hanging="720"/>
        <w:jc w:val="left"/>
      </w:pPr>
      <w:rPr>
        <w:rFonts w:hint="default"/>
      </w:rPr>
    </w:lvl>
    <w:lvl w:ilvl="1">
      <w:start w:val="8"/>
      <w:numFmt w:val="decimal"/>
      <w:lvlText w:val="%1.%2"/>
      <w:lvlJc w:val="left"/>
      <w:pPr>
        <w:ind w:left="830" w:hanging="720"/>
        <w:jc w:val="left"/>
      </w:pPr>
      <w:rPr>
        <w:rFonts w:hint="default"/>
      </w:rPr>
    </w:lvl>
    <w:lvl w:ilvl="2">
      <w:start w:val="3"/>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bullet"/>
      <w:lvlText w:val="•"/>
      <w:lvlJc w:val="left"/>
      <w:pPr>
        <w:ind w:left="3205" w:hanging="720"/>
      </w:pPr>
      <w:rPr>
        <w:rFonts w:hint="default"/>
      </w:rPr>
    </w:lvl>
    <w:lvl w:ilvl="4">
      <w:start w:val="1"/>
      <w:numFmt w:val="bullet"/>
      <w:lvlText w:val="•"/>
      <w:lvlJc w:val="left"/>
      <w:pPr>
        <w:ind w:left="3994" w:hanging="720"/>
      </w:pPr>
      <w:rPr>
        <w:rFonts w:hint="default"/>
      </w:rPr>
    </w:lvl>
    <w:lvl w:ilvl="5">
      <w:start w:val="1"/>
      <w:numFmt w:val="bullet"/>
      <w:lvlText w:val="•"/>
      <w:lvlJc w:val="left"/>
      <w:pPr>
        <w:ind w:left="4782" w:hanging="720"/>
      </w:pPr>
      <w:rPr>
        <w:rFonts w:hint="default"/>
      </w:rPr>
    </w:lvl>
    <w:lvl w:ilvl="6">
      <w:start w:val="1"/>
      <w:numFmt w:val="bullet"/>
      <w:lvlText w:val="•"/>
      <w:lvlJc w:val="left"/>
      <w:pPr>
        <w:ind w:left="5571" w:hanging="720"/>
      </w:pPr>
      <w:rPr>
        <w:rFonts w:hint="default"/>
      </w:rPr>
    </w:lvl>
    <w:lvl w:ilvl="7">
      <w:start w:val="1"/>
      <w:numFmt w:val="bullet"/>
      <w:lvlText w:val="•"/>
      <w:lvlJc w:val="left"/>
      <w:pPr>
        <w:ind w:left="6359" w:hanging="720"/>
      </w:pPr>
      <w:rPr>
        <w:rFonts w:hint="default"/>
      </w:rPr>
    </w:lvl>
    <w:lvl w:ilvl="8">
      <w:start w:val="1"/>
      <w:numFmt w:val="bullet"/>
      <w:lvlText w:val="•"/>
      <w:lvlJc w:val="left"/>
      <w:pPr>
        <w:ind w:left="7148" w:hanging="720"/>
      </w:pPr>
      <w:rPr>
        <w:rFonts w:hint="default"/>
      </w:rPr>
    </w:lvl>
  </w:abstractNum>
  <w:abstractNum w:abstractNumId="7">
    <w:multiLevelType w:val="hybridMultilevel"/>
    <w:lvl w:ilvl="0">
      <w:start w:val="1"/>
      <w:numFmt w:val="decimal"/>
      <w:lvlText w:val="%1"/>
      <w:lvlJc w:val="left"/>
      <w:pPr>
        <w:ind w:left="830" w:hanging="720"/>
        <w:jc w:val="left"/>
      </w:pPr>
      <w:rPr>
        <w:rFonts w:hint="default"/>
      </w:rPr>
    </w:lvl>
    <w:lvl w:ilvl="1">
      <w:start w:val="7"/>
      <w:numFmt w:val="decimal"/>
      <w:lvlText w:val="%1.%2"/>
      <w:lvlJc w:val="left"/>
      <w:pPr>
        <w:ind w:left="830" w:hanging="720"/>
        <w:jc w:val="left"/>
      </w:pPr>
      <w:rPr>
        <w:rFonts w:hint="default"/>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decimal"/>
      <w:lvlText w:val="%1.%2.%3.%4.%5"/>
      <w:lvlJc w:val="left"/>
      <w:pPr>
        <w:ind w:left="1118" w:hanging="1008"/>
        <w:jc w:val="left"/>
      </w:pPr>
      <w:rPr>
        <w:rFonts w:hint="default" w:ascii="Arial" w:hAnsi="Arial" w:eastAsia="Arial" w:cs="Arial"/>
        <w:b/>
        <w:bCs/>
        <w:i/>
        <w:w w:val="100"/>
        <w:sz w:val="24"/>
        <w:szCs w:val="24"/>
      </w:rPr>
    </w:lvl>
    <w:lvl w:ilvl="5">
      <w:start w:val="1"/>
      <w:numFmt w:val="bullet"/>
      <w:lvlText w:val=""/>
      <w:lvlJc w:val="left"/>
      <w:pPr>
        <w:ind w:left="830" w:hanging="360"/>
      </w:pPr>
      <w:rPr>
        <w:rFonts w:hint="default" w:ascii="Symbol" w:hAnsi="Symbol" w:eastAsia="Symbol" w:cs="Symbol"/>
        <w:w w:val="103"/>
        <w:sz w:val="19"/>
        <w:szCs w:val="19"/>
      </w:rPr>
    </w:lvl>
    <w:lvl w:ilvl="6">
      <w:start w:val="1"/>
      <w:numFmt w:val="bullet"/>
      <w:lvlText w:val="•"/>
      <w:lvlJc w:val="left"/>
      <w:pPr>
        <w:ind w:left="4922" w:hanging="360"/>
      </w:pPr>
      <w:rPr>
        <w:rFonts w:hint="default"/>
      </w:rPr>
    </w:lvl>
    <w:lvl w:ilvl="7">
      <w:start w:val="1"/>
      <w:numFmt w:val="bullet"/>
      <w:lvlText w:val="•"/>
      <w:lvlJc w:val="left"/>
      <w:pPr>
        <w:ind w:left="5873" w:hanging="360"/>
      </w:pPr>
      <w:rPr>
        <w:rFonts w:hint="default"/>
      </w:rPr>
    </w:lvl>
    <w:lvl w:ilvl="8">
      <w:start w:val="1"/>
      <w:numFmt w:val="bullet"/>
      <w:lvlText w:val="•"/>
      <w:lvlJc w:val="left"/>
      <w:pPr>
        <w:ind w:left="6824" w:hanging="360"/>
      </w:pPr>
      <w:rPr>
        <w:rFonts w:hint="default"/>
      </w:rPr>
    </w:lvl>
  </w:abstractNum>
  <w:abstractNum w:abstractNumId="6">
    <w:multiLevelType w:val="hybridMultilevel"/>
    <w:lvl w:ilvl="0">
      <w:start w:val="1"/>
      <w:numFmt w:val="decimal"/>
      <w:lvlText w:val="%1"/>
      <w:lvlJc w:val="left"/>
      <w:pPr>
        <w:ind w:left="686" w:hanging="576"/>
        <w:jc w:val="left"/>
      </w:pPr>
      <w:rPr>
        <w:rFonts w:hint="default"/>
      </w:rPr>
    </w:lvl>
    <w:lvl w:ilvl="1">
      <w:start w:val="7"/>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bullet"/>
      <w:lvlText w:val=""/>
      <w:lvlJc w:val="left"/>
      <w:pPr>
        <w:ind w:left="830" w:hanging="360"/>
      </w:pPr>
      <w:rPr>
        <w:rFonts w:hint="default" w:ascii="Symbol" w:hAnsi="Symbol" w:eastAsia="Symbol" w:cs="Symbol"/>
        <w:w w:val="103"/>
        <w:sz w:val="19"/>
        <w:szCs w:val="19"/>
      </w:rPr>
    </w:lvl>
    <w:lvl w:ilvl="3">
      <w:start w:val="1"/>
      <w:numFmt w:val="bullet"/>
      <w:lvlText w:val="•"/>
      <w:lvlJc w:val="left"/>
      <w:pPr>
        <w:ind w:left="2592" w:hanging="360"/>
      </w:pPr>
      <w:rPr>
        <w:rFonts w:hint="default"/>
      </w:rPr>
    </w:lvl>
    <w:lvl w:ilvl="4">
      <w:start w:val="1"/>
      <w:numFmt w:val="bullet"/>
      <w:lvlText w:val="•"/>
      <w:lvlJc w:val="left"/>
      <w:pPr>
        <w:ind w:left="3468" w:hanging="360"/>
      </w:pPr>
      <w:rPr>
        <w:rFonts w:hint="default"/>
      </w:rPr>
    </w:lvl>
    <w:lvl w:ilvl="5">
      <w:start w:val="1"/>
      <w:numFmt w:val="bullet"/>
      <w:lvlText w:val="•"/>
      <w:lvlJc w:val="left"/>
      <w:pPr>
        <w:ind w:left="4344" w:hanging="360"/>
      </w:pPr>
      <w:rPr>
        <w:rFonts w:hint="default"/>
      </w:rPr>
    </w:lvl>
    <w:lvl w:ilvl="6">
      <w:start w:val="1"/>
      <w:numFmt w:val="bullet"/>
      <w:lvlText w:val="•"/>
      <w:lvlJc w:val="left"/>
      <w:pPr>
        <w:ind w:left="5220" w:hanging="360"/>
      </w:pPr>
      <w:rPr>
        <w:rFonts w:hint="default"/>
      </w:rPr>
    </w:lvl>
    <w:lvl w:ilvl="7">
      <w:start w:val="1"/>
      <w:numFmt w:val="bullet"/>
      <w:lvlText w:val="•"/>
      <w:lvlJc w:val="left"/>
      <w:pPr>
        <w:ind w:left="6097" w:hanging="360"/>
      </w:pPr>
      <w:rPr>
        <w:rFonts w:hint="default"/>
      </w:rPr>
    </w:lvl>
    <w:lvl w:ilvl="8">
      <w:start w:val="1"/>
      <w:numFmt w:val="bullet"/>
      <w:lvlText w:val="•"/>
      <w:lvlJc w:val="left"/>
      <w:pPr>
        <w:ind w:left="6973" w:hanging="360"/>
      </w:pPr>
      <w:rPr>
        <w:rFonts w:hint="default"/>
      </w:rPr>
    </w:lvl>
  </w:abstractNum>
  <w:abstractNum w:abstractNumId="5">
    <w:multiLevelType w:val="hybridMultilevel"/>
    <w:lvl w:ilvl="0">
      <w:start w:val="1"/>
      <w:numFmt w:val="decimal"/>
      <w:lvlText w:val="%1"/>
      <w:lvlJc w:val="left"/>
      <w:pPr>
        <w:ind w:left="686" w:hanging="576"/>
        <w:jc w:val="left"/>
      </w:pPr>
      <w:rPr>
        <w:rFonts w:hint="default"/>
      </w:rPr>
    </w:lvl>
    <w:lvl w:ilvl="1">
      <w:start w:val="6"/>
      <w:numFmt w:val="decimal"/>
      <w:lvlText w:val="%1.%2"/>
      <w:lvlJc w:val="left"/>
      <w:pPr>
        <w:ind w:left="686" w:hanging="576"/>
        <w:jc w:val="left"/>
      </w:pPr>
      <w:rPr>
        <w:rFonts w:hint="default" w:ascii="Arial" w:hAnsi="Arial" w:eastAsia="Arial" w:cs="Arial"/>
        <w:b/>
        <w:bCs/>
        <w:spacing w:val="-25"/>
        <w:w w:val="100"/>
        <w:sz w:val="24"/>
        <w:szCs w:val="24"/>
      </w:rPr>
    </w:lvl>
    <w:lvl w:ilvl="2">
      <w:start w:val="1"/>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bullet"/>
      <w:lvlText w:val="•"/>
      <w:lvlJc w:val="left"/>
      <w:pPr>
        <w:ind w:left="2592" w:hanging="720"/>
      </w:pPr>
      <w:rPr>
        <w:rFonts w:hint="default"/>
      </w:rPr>
    </w:lvl>
    <w:lvl w:ilvl="4">
      <w:start w:val="1"/>
      <w:numFmt w:val="bullet"/>
      <w:lvlText w:val="•"/>
      <w:lvlJc w:val="left"/>
      <w:pPr>
        <w:ind w:left="3468" w:hanging="720"/>
      </w:pPr>
      <w:rPr>
        <w:rFonts w:hint="default"/>
      </w:rPr>
    </w:lvl>
    <w:lvl w:ilvl="5">
      <w:start w:val="1"/>
      <w:numFmt w:val="bullet"/>
      <w:lvlText w:val="•"/>
      <w:lvlJc w:val="left"/>
      <w:pPr>
        <w:ind w:left="4344" w:hanging="720"/>
      </w:pPr>
      <w:rPr>
        <w:rFonts w:hint="default"/>
      </w:rPr>
    </w:lvl>
    <w:lvl w:ilvl="6">
      <w:start w:val="1"/>
      <w:numFmt w:val="bullet"/>
      <w:lvlText w:val="•"/>
      <w:lvlJc w:val="left"/>
      <w:pPr>
        <w:ind w:left="5220" w:hanging="720"/>
      </w:pPr>
      <w:rPr>
        <w:rFonts w:hint="default"/>
      </w:rPr>
    </w:lvl>
    <w:lvl w:ilvl="7">
      <w:start w:val="1"/>
      <w:numFmt w:val="bullet"/>
      <w:lvlText w:val="•"/>
      <w:lvlJc w:val="left"/>
      <w:pPr>
        <w:ind w:left="6097" w:hanging="720"/>
      </w:pPr>
      <w:rPr>
        <w:rFonts w:hint="default"/>
      </w:rPr>
    </w:lvl>
    <w:lvl w:ilvl="8">
      <w:start w:val="1"/>
      <w:numFmt w:val="bullet"/>
      <w:lvlText w:val="•"/>
      <w:lvlJc w:val="left"/>
      <w:pPr>
        <w:ind w:left="6973" w:hanging="720"/>
      </w:pPr>
      <w:rPr>
        <w:rFonts w:hint="default"/>
      </w:rPr>
    </w:lvl>
  </w:abstractNum>
  <w:abstractNum w:abstractNumId="4">
    <w:multiLevelType w:val="hybridMultilevel"/>
    <w:lvl w:ilvl="0">
      <w:start w:val="1"/>
      <w:numFmt w:val="bullet"/>
      <w:lvlText w:val=""/>
      <w:lvlJc w:val="left"/>
      <w:pPr>
        <w:ind w:left="830" w:hanging="360"/>
      </w:pPr>
      <w:rPr>
        <w:rFonts w:hint="default" w:ascii="Symbol" w:hAnsi="Symbol" w:eastAsia="Symbol" w:cs="Symbol"/>
        <w:w w:val="100"/>
        <w:sz w:val="24"/>
        <w:szCs w:val="24"/>
      </w:rPr>
    </w:lvl>
    <w:lvl w:ilvl="1">
      <w:start w:val="1"/>
      <w:numFmt w:val="bullet"/>
      <w:lvlText w:val="•"/>
      <w:lvlJc w:val="left"/>
      <w:pPr>
        <w:ind w:left="162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05" w:hanging="360"/>
      </w:pPr>
      <w:rPr>
        <w:rFonts w:hint="default"/>
      </w:rPr>
    </w:lvl>
    <w:lvl w:ilvl="4">
      <w:start w:val="1"/>
      <w:numFmt w:val="bullet"/>
      <w:lvlText w:val="•"/>
      <w:lvlJc w:val="left"/>
      <w:pPr>
        <w:ind w:left="3994" w:hanging="360"/>
      </w:pPr>
      <w:rPr>
        <w:rFonts w:hint="default"/>
      </w:rPr>
    </w:lvl>
    <w:lvl w:ilvl="5">
      <w:start w:val="1"/>
      <w:numFmt w:val="bullet"/>
      <w:lvlText w:val="•"/>
      <w:lvlJc w:val="left"/>
      <w:pPr>
        <w:ind w:left="4782" w:hanging="360"/>
      </w:pPr>
      <w:rPr>
        <w:rFonts w:hint="default"/>
      </w:rPr>
    </w:lvl>
    <w:lvl w:ilvl="6">
      <w:start w:val="1"/>
      <w:numFmt w:val="bullet"/>
      <w:lvlText w:val="•"/>
      <w:lvlJc w:val="left"/>
      <w:pPr>
        <w:ind w:left="5571" w:hanging="360"/>
      </w:pPr>
      <w:rPr>
        <w:rFonts w:hint="default"/>
      </w:rPr>
    </w:lvl>
    <w:lvl w:ilvl="7">
      <w:start w:val="1"/>
      <w:numFmt w:val="bullet"/>
      <w:lvlText w:val="•"/>
      <w:lvlJc w:val="left"/>
      <w:pPr>
        <w:ind w:left="6359" w:hanging="360"/>
      </w:pPr>
      <w:rPr>
        <w:rFonts w:hint="default"/>
      </w:rPr>
    </w:lvl>
    <w:lvl w:ilvl="8">
      <w:start w:val="1"/>
      <w:numFmt w:val="bullet"/>
      <w:lvlText w:val="•"/>
      <w:lvlJc w:val="left"/>
      <w:pPr>
        <w:ind w:left="7148" w:hanging="360"/>
      </w:pPr>
      <w:rPr>
        <w:rFonts w:hint="default"/>
      </w:rPr>
    </w:lvl>
  </w:abstractNum>
  <w:abstractNum w:abstractNumId="3">
    <w:multiLevelType w:val="hybridMultilevel"/>
    <w:lvl w:ilvl="0">
      <w:start w:val="1"/>
      <w:numFmt w:val="decimal"/>
      <w:lvlText w:val="%1"/>
      <w:lvlJc w:val="left"/>
      <w:pPr>
        <w:ind w:left="830" w:hanging="720"/>
        <w:jc w:val="left"/>
      </w:pPr>
      <w:rPr>
        <w:rFonts w:hint="default"/>
      </w:rPr>
    </w:lvl>
    <w:lvl w:ilvl="1">
      <w:start w:val="4"/>
      <w:numFmt w:val="decimal"/>
      <w:lvlText w:val="%1.%2"/>
      <w:lvlJc w:val="left"/>
      <w:pPr>
        <w:ind w:left="830" w:hanging="720"/>
        <w:jc w:val="left"/>
      </w:pPr>
      <w:rPr>
        <w:rFonts w:hint="default"/>
      </w:rPr>
    </w:lvl>
    <w:lvl w:ilvl="2">
      <w:start w:val="4"/>
      <w:numFmt w:val="decimal"/>
      <w:lvlText w:val="%1.%2.%3"/>
      <w:lvlJc w:val="left"/>
      <w:pPr>
        <w:ind w:left="830" w:hanging="720"/>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lowerLetter"/>
      <w:lvlText w:val="%5)"/>
      <w:lvlJc w:val="left"/>
      <w:pPr>
        <w:ind w:left="830" w:hanging="360"/>
        <w:jc w:val="left"/>
      </w:pPr>
      <w:rPr>
        <w:rFonts w:hint="default" w:ascii="Arial" w:hAnsi="Arial" w:eastAsia="Arial" w:cs="Arial"/>
        <w:b/>
        <w:bCs/>
        <w:spacing w:val="-1"/>
        <w:w w:val="100"/>
        <w:sz w:val="24"/>
        <w:szCs w:val="24"/>
      </w:rPr>
    </w:lvl>
    <w:lvl w:ilvl="5">
      <w:start w:val="1"/>
      <w:numFmt w:val="bullet"/>
      <w:lvlText w:val="•"/>
      <w:lvlJc w:val="left"/>
      <w:pPr>
        <w:ind w:left="4422" w:hanging="360"/>
      </w:pPr>
      <w:rPr>
        <w:rFonts w:hint="default"/>
      </w:rPr>
    </w:lvl>
    <w:lvl w:ilvl="6">
      <w:start w:val="1"/>
      <w:numFmt w:val="bullet"/>
      <w:lvlText w:val="•"/>
      <w:lvlJc w:val="left"/>
      <w:pPr>
        <w:ind w:left="5283" w:hanging="360"/>
      </w:pPr>
      <w:rPr>
        <w:rFonts w:hint="default"/>
      </w:rPr>
    </w:lvl>
    <w:lvl w:ilvl="7">
      <w:start w:val="1"/>
      <w:numFmt w:val="bullet"/>
      <w:lvlText w:val="•"/>
      <w:lvlJc w:val="left"/>
      <w:pPr>
        <w:ind w:left="6143" w:hanging="360"/>
      </w:pPr>
      <w:rPr>
        <w:rFonts w:hint="default"/>
      </w:rPr>
    </w:lvl>
    <w:lvl w:ilvl="8">
      <w:start w:val="1"/>
      <w:numFmt w:val="bullet"/>
      <w:lvlText w:val="•"/>
      <w:lvlJc w:val="left"/>
      <w:pPr>
        <w:ind w:left="7004" w:hanging="360"/>
      </w:pPr>
      <w:rPr>
        <w:rFonts w:hint="default"/>
      </w:rPr>
    </w:lvl>
  </w:abstractNum>
  <w:abstractNum w:abstractNumId="2">
    <w:multiLevelType w:val="hybridMultilevel"/>
    <w:lvl w:ilvl="0">
      <w:start w:val="1"/>
      <w:numFmt w:val="decimal"/>
      <w:lvlText w:val="%1"/>
      <w:lvlJc w:val="left"/>
      <w:pPr>
        <w:ind w:left="897" w:hanging="787"/>
        <w:jc w:val="left"/>
      </w:pPr>
      <w:rPr>
        <w:rFonts w:hint="default"/>
      </w:rPr>
    </w:lvl>
    <w:lvl w:ilvl="1">
      <w:start w:val="4"/>
      <w:numFmt w:val="decimal"/>
      <w:lvlText w:val="%1.%2"/>
      <w:lvlJc w:val="left"/>
      <w:pPr>
        <w:ind w:left="897" w:hanging="787"/>
        <w:jc w:val="left"/>
      </w:pPr>
      <w:rPr>
        <w:rFonts w:hint="default"/>
      </w:rPr>
    </w:lvl>
    <w:lvl w:ilvl="2">
      <w:start w:val="1"/>
      <w:numFmt w:val="decimal"/>
      <w:lvlText w:val="%1.%2.%3"/>
      <w:lvlJc w:val="left"/>
      <w:pPr>
        <w:ind w:left="897" w:hanging="787"/>
        <w:jc w:val="left"/>
      </w:pPr>
      <w:rPr>
        <w:rFonts w:hint="default" w:ascii="Arial" w:hAnsi="Arial" w:eastAsia="Arial" w:cs="Arial"/>
        <w:b/>
        <w:bCs/>
        <w:spacing w:val="-14"/>
        <w:w w:val="100"/>
        <w:sz w:val="24"/>
        <w:szCs w:val="24"/>
      </w:rPr>
    </w:lvl>
    <w:lvl w:ilvl="3">
      <w:start w:val="1"/>
      <w:numFmt w:val="decimal"/>
      <w:lvlText w:val="%1.%2.%3.%4"/>
      <w:lvlJc w:val="left"/>
      <w:pPr>
        <w:ind w:left="974" w:hanging="864"/>
        <w:jc w:val="left"/>
      </w:pPr>
      <w:rPr>
        <w:rFonts w:hint="default" w:ascii="Arial" w:hAnsi="Arial" w:eastAsia="Arial" w:cs="Arial"/>
        <w:b/>
        <w:bCs/>
        <w:i/>
        <w:spacing w:val="-4"/>
        <w:w w:val="100"/>
        <w:sz w:val="24"/>
        <w:szCs w:val="24"/>
      </w:rPr>
    </w:lvl>
    <w:lvl w:ilvl="4">
      <w:start w:val="1"/>
      <w:numFmt w:val="bullet"/>
      <w:lvlText w:val=""/>
      <w:lvlJc w:val="left"/>
      <w:pPr>
        <w:ind w:left="830" w:hanging="360"/>
      </w:pPr>
      <w:rPr>
        <w:rFonts w:hint="default" w:ascii="Symbol" w:hAnsi="Symbol" w:eastAsia="Symbol" w:cs="Symbol"/>
        <w:w w:val="103"/>
        <w:sz w:val="19"/>
        <w:szCs w:val="19"/>
      </w:rPr>
    </w:lvl>
    <w:lvl w:ilvl="5">
      <w:start w:val="1"/>
      <w:numFmt w:val="bullet"/>
      <w:lvlText w:val="•"/>
      <w:lvlJc w:val="left"/>
      <w:pPr>
        <w:ind w:left="3884" w:hanging="360"/>
      </w:pPr>
      <w:rPr>
        <w:rFonts w:hint="default"/>
      </w:rPr>
    </w:lvl>
    <w:lvl w:ilvl="6">
      <w:start w:val="1"/>
      <w:numFmt w:val="bullet"/>
      <w:lvlText w:val="•"/>
      <w:lvlJc w:val="left"/>
      <w:pPr>
        <w:ind w:left="4852" w:hanging="360"/>
      </w:pPr>
      <w:rPr>
        <w:rFonts w:hint="default"/>
      </w:rPr>
    </w:lvl>
    <w:lvl w:ilvl="7">
      <w:start w:val="1"/>
      <w:numFmt w:val="bullet"/>
      <w:lvlText w:val="•"/>
      <w:lvlJc w:val="left"/>
      <w:pPr>
        <w:ind w:left="5820" w:hanging="360"/>
      </w:pPr>
      <w:rPr>
        <w:rFonts w:hint="default"/>
      </w:rPr>
    </w:lvl>
    <w:lvl w:ilvl="8">
      <w:start w:val="1"/>
      <w:numFmt w:val="bullet"/>
      <w:lvlText w:val="•"/>
      <w:lvlJc w:val="left"/>
      <w:pPr>
        <w:ind w:left="6789" w:hanging="360"/>
      </w:pPr>
      <w:rPr>
        <w:rFonts w:hint="default"/>
      </w:rPr>
    </w:lvl>
  </w:abstractNum>
  <w:abstractNum w:abstractNumId="1">
    <w:multiLevelType w:val="hybridMultilevel"/>
    <w:lvl w:ilvl="0">
      <w:start w:val="1"/>
      <w:numFmt w:val="decimal"/>
      <w:lvlText w:val="%1"/>
      <w:lvlJc w:val="left"/>
      <w:pPr>
        <w:ind w:left="753" w:hanging="643"/>
        <w:jc w:val="left"/>
      </w:pPr>
      <w:rPr>
        <w:rFonts w:hint="default"/>
      </w:rPr>
    </w:lvl>
    <w:lvl w:ilvl="1">
      <w:start w:val="1"/>
      <w:numFmt w:val="decimal"/>
      <w:lvlText w:val="%1.%2"/>
      <w:lvlJc w:val="left"/>
      <w:pPr>
        <w:ind w:left="753" w:hanging="643"/>
        <w:jc w:val="left"/>
      </w:pPr>
      <w:rPr>
        <w:rFonts w:hint="default" w:ascii="Arial" w:hAnsi="Arial" w:eastAsia="Arial" w:cs="Arial"/>
        <w:b/>
        <w:bCs/>
        <w:spacing w:val="-25"/>
        <w:w w:val="100"/>
        <w:sz w:val="24"/>
        <w:szCs w:val="24"/>
      </w:rPr>
    </w:lvl>
    <w:lvl w:ilvl="2">
      <w:start w:val="1"/>
      <w:numFmt w:val="bullet"/>
      <w:lvlText w:val=""/>
      <w:lvlJc w:val="left"/>
      <w:pPr>
        <w:ind w:left="830" w:hanging="360"/>
      </w:pPr>
      <w:rPr>
        <w:rFonts w:hint="default" w:ascii="Symbol" w:hAnsi="Symbol" w:eastAsia="Symbol" w:cs="Symbol"/>
        <w:w w:val="103"/>
        <w:sz w:val="19"/>
        <w:szCs w:val="19"/>
      </w:rPr>
    </w:lvl>
    <w:lvl w:ilvl="3">
      <w:start w:val="1"/>
      <w:numFmt w:val="bullet"/>
      <w:lvlText w:val="•"/>
      <w:lvlJc w:val="left"/>
      <w:pPr>
        <w:ind w:left="2592" w:hanging="360"/>
      </w:pPr>
      <w:rPr>
        <w:rFonts w:hint="default"/>
      </w:rPr>
    </w:lvl>
    <w:lvl w:ilvl="4">
      <w:start w:val="1"/>
      <w:numFmt w:val="bullet"/>
      <w:lvlText w:val="•"/>
      <w:lvlJc w:val="left"/>
      <w:pPr>
        <w:ind w:left="3468" w:hanging="360"/>
      </w:pPr>
      <w:rPr>
        <w:rFonts w:hint="default"/>
      </w:rPr>
    </w:lvl>
    <w:lvl w:ilvl="5">
      <w:start w:val="1"/>
      <w:numFmt w:val="bullet"/>
      <w:lvlText w:val="•"/>
      <w:lvlJc w:val="left"/>
      <w:pPr>
        <w:ind w:left="4344" w:hanging="360"/>
      </w:pPr>
      <w:rPr>
        <w:rFonts w:hint="default"/>
      </w:rPr>
    </w:lvl>
    <w:lvl w:ilvl="6">
      <w:start w:val="1"/>
      <w:numFmt w:val="bullet"/>
      <w:lvlText w:val="•"/>
      <w:lvlJc w:val="left"/>
      <w:pPr>
        <w:ind w:left="5220" w:hanging="360"/>
      </w:pPr>
      <w:rPr>
        <w:rFonts w:hint="default"/>
      </w:rPr>
    </w:lvl>
    <w:lvl w:ilvl="7">
      <w:start w:val="1"/>
      <w:numFmt w:val="bullet"/>
      <w:lvlText w:val="•"/>
      <w:lvlJc w:val="left"/>
      <w:pPr>
        <w:ind w:left="6097" w:hanging="360"/>
      </w:pPr>
      <w:rPr>
        <w:rFonts w:hint="default"/>
      </w:rPr>
    </w:lvl>
    <w:lvl w:ilvl="8">
      <w:start w:val="1"/>
      <w:numFmt w:val="bullet"/>
      <w:lvlText w:val="•"/>
      <w:lvlJc w:val="left"/>
      <w:pPr>
        <w:ind w:left="6973" w:hanging="360"/>
      </w:pPr>
      <w:rPr>
        <w:rFonts w:hint="default"/>
      </w:rPr>
    </w:lvl>
  </w:abstractNum>
  <w:abstractNum w:abstractNumId="0">
    <w:multiLevelType w:val="hybridMultilevel"/>
    <w:lvl w:ilvl="0">
      <w:start w:val="1"/>
      <w:numFmt w:val="decimal"/>
      <w:lvlText w:val="%1"/>
      <w:lvlJc w:val="left"/>
      <w:pPr>
        <w:ind w:left="472" w:hanging="362"/>
        <w:jc w:val="left"/>
      </w:pPr>
      <w:rPr>
        <w:rFonts w:hint="default" w:ascii="Cambria" w:hAnsi="Cambria" w:eastAsia="Cambria" w:cs="Cambria"/>
        <w:b/>
        <w:bCs/>
        <w:spacing w:val="-1"/>
        <w:w w:val="100"/>
        <w:sz w:val="24"/>
        <w:szCs w:val="24"/>
      </w:rPr>
    </w:lvl>
    <w:lvl w:ilvl="1">
      <w:start w:val="1"/>
      <w:numFmt w:val="decimal"/>
      <w:lvlText w:val="%1.%2"/>
      <w:lvlJc w:val="left"/>
      <w:pPr>
        <w:ind w:left="633" w:hanging="523"/>
        <w:jc w:val="left"/>
      </w:pPr>
      <w:rPr>
        <w:rFonts w:hint="default" w:ascii="Calibri" w:hAnsi="Calibri" w:eastAsia="Calibri" w:cs="Calibri"/>
        <w:b/>
        <w:bCs/>
        <w:spacing w:val="0"/>
        <w:w w:val="103"/>
        <w:sz w:val="19"/>
        <w:szCs w:val="19"/>
      </w:rPr>
    </w:lvl>
    <w:lvl w:ilvl="2">
      <w:start w:val="1"/>
      <w:numFmt w:val="decimal"/>
      <w:lvlText w:val="%1.%2.%3"/>
      <w:lvlJc w:val="left"/>
      <w:pPr>
        <w:ind w:left="984" w:hanging="654"/>
        <w:jc w:val="left"/>
      </w:pPr>
      <w:rPr>
        <w:rFonts w:hint="default" w:ascii="Calibri" w:hAnsi="Calibri" w:eastAsia="Calibri" w:cs="Calibri"/>
        <w:spacing w:val="0"/>
        <w:w w:val="103"/>
        <w:sz w:val="19"/>
        <w:szCs w:val="19"/>
      </w:rPr>
    </w:lvl>
    <w:lvl w:ilvl="3">
      <w:start w:val="1"/>
      <w:numFmt w:val="decimal"/>
      <w:lvlText w:val="%1.%2.%3.%4"/>
      <w:lvlJc w:val="left"/>
      <w:pPr>
        <w:ind w:left="1356" w:hanging="806"/>
        <w:jc w:val="left"/>
      </w:pPr>
      <w:rPr>
        <w:rFonts w:hint="default" w:ascii="Calibri" w:hAnsi="Calibri" w:eastAsia="Calibri" w:cs="Calibri"/>
        <w:spacing w:val="0"/>
        <w:w w:val="103"/>
        <w:sz w:val="19"/>
        <w:szCs w:val="19"/>
      </w:rPr>
    </w:lvl>
    <w:lvl w:ilvl="4">
      <w:start w:val="1"/>
      <w:numFmt w:val="decimal"/>
      <w:lvlText w:val="%1.%2.%3.%4.%5"/>
      <w:lvlJc w:val="left"/>
      <w:pPr>
        <w:ind w:left="1728" w:hanging="958"/>
        <w:jc w:val="left"/>
      </w:pPr>
      <w:rPr>
        <w:rFonts w:hint="default" w:ascii="Calibri" w:hAnsi="Calibri" w:eastAsia="Calibri" w:cs="Calibri"/>
        <w:spacing w:val="0"/>
        <w:w w:val="103"/>
        <w:sz w:val="19"/>
        <w:szCs w:val="19"/>
      </w:rPr>
    </w:lvl>
    <w:lvl w:ilvl="5">
      <w:start w:val="1"/>
      <w:numFmt w:val="bullet"/>
      <w:lvlText w:val="•"/>
      <w:lvlJc w:val="left"/>
      <w:pPr>
        <w:ind w:left="2884" w:hanging="958"/>
      </w:pPr>
      <w:rPr>
        <w:rFonts w:hint="default"/>
      </w:rPr>
    </w:lvl>
    <w:lvl w:ilvl="6">
      <w:start w:val="1"/>
      <w:numFmt w:val="bullet"/>
      <w:lvlText w:val="•"/>
      <w:lvlJc w:val="left"/>
      <w:pPr>
        <w:ind w:left="4048" w:hanging="958"/>
      </w:pPr>
      <w:rPr>
        <w:rFonts w:hint="default"/>
      </w:rPr>
    </w:lvl>
    <w:lvl w:ilvl="7">
      <w:start w:val="1"/>
      <w:numFmt w:val="bullet"/>
      <w:lvlText w:val="•"/>
      <w:lvlJc w:val="left"/>
      <w:pPr>
        <w:ind w:left="5212" w:hanging="958"/>
      </w:pPr>
      <w:rPr>
        <w:rFonts w:hint="default"/>
      </w:rPr>
    </w:lvl>
    <w:lvl w:ilvl="8">
      <w:start w:val="1"/>
      <w:numFmt w:val="bullet"/>
      <w:lvlText w:val="•"/>
      <w:lvlJc w:val="left"/>
      <w:pPr>
        <w:ind w:left="6377" w:hanging="958"/>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97"/>
      <w:ind w:left="472" w:hanging="362"/>
    </w:pPr>
    <w:rPr>
      <w:rFonts w:ascii="Cambria" w:hAnsi="Cambria" w:eastAsia="Cambria" w:cs="Cambria"/>
      <w:b/>
      <w:bCs/>
      <w:sz w:val="24"/>
      <w:szCs w:val="24"/>
    </w:rPr>
  </w:style>
  <w:style w:styleId="TOC2" w:type="paragraph">
    <w:name w:val="TOC 2"/>
    <w:basedOn w:val="Normal"/>
    <w:uiPriority w:val="1"/>
    <w:qFormat/>
    <w:pPr>
      <w:spacing w:before="286"/>
      <w:ind w:left="633" w:hanging="523"/>
    </w:pPr>
    <w:rPr>
      <w:rFonts w:ascii="Calibri" w:hAnsi="Calibri" w:eastAsia="Calibri" w:cs="Calibri"/>
      <w:b/>
      <w:bCs/>
      <w:sz w:val="19"/>
      <w:szCs w:val="19"/>
    </w:rPr>
  </w:style>
  <w:style w:styleId="TOC3" w:type="paragraph">
    <w:name w:val="TOC 3"/>
    <w:basedOn w:val="Normal"/>
    <w:uiPriority w:val="1"/>
    <w:qFormat/>
    <w:pPr>
      <w:spacing w:before="51"/>
      <w:ind w:left="984" w:hanging="654"/>
    </w:pPr>
    <w:rPr>
      <w:rFonts w:ascii="Calibri" w:hAnsi="Calibri" w:eastAsia="Calibri" w:cs="Calibri"/>
      <w:sz w:val="19"/>
      <w:szCs w:val="19"/>
    </w:rPr>
  </w:style>
  <w:style w:styleId="TOC4" w:type="paragraph">
    <w:name w:val="TOC 4"/>
    <w:basedOn w:val="Normal"/>
    <w:uiPriority w:val="1"/>
    <w:qFormat/>
    <w:pPr>
      <w:spacing w:before="46"/>
      <w:ind w:left="1356" w:hanging="806"/>
    </w:pPr>
    <w:rPr>
      <w:rFonts w:ascii="Calibri" w:hAnsi="Calibri" w:eastAsia="Calibri" w:cs="Calibri"/>
      <w:sz w:val="19"/>
      <w:szCs w:val="19"/>
    </w:rPr>
  </w:style>
  <w:style w:styleId="TOC5" w:type="paragraph">
    <w:name w:val="TOC 5"/>
    <w:basedOn w:val="Normal"/>
    <w:uiPriority w:val="1"/>
    <w:qFormat/>
    <w:pPr>
      <w:spacing w:before="51"/>
      <w:ind w:left="1728" w:hanging="958"/>
    </w:pPr>
    <w:rPr>
      <w:rFonts w:ascii="Calibri" w:hAnsi="Calibri" w:eastAsia="Calibri" w:cs="Calibri"/>
      <w:sz w:val="19"/>
      <w:szCs w:val="19"/>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3"/>
      <w:ind w:left="1422"/>
      <w:outlineLvl w:val="1"/>
    </w:pPr>
    <w:rPr>
      <w:rFonts w:ascii="Arial" w:hAnsi="Arial" w:eastAsia="Arial" w:cs="Arial"/>
      <w:b/>
      <w:bCs/>
      <w:sz w:val="28"/>
      <w:szCs w:val="28"/>
    </w:rPr>
  </w:style>
  <w:style w:styleId="Heading2" w:type="paragraph">
    <w:name w:val="Heading 2"/>
    <w:basedOn w:val="Normal"/>
    <w:uiPriority w:val="1"/>
    <w:qFormat/>
    <w:pPr>
      <w:ind w:left="110"/>
      <w:jc w:val="both"/>
      <w:outlineLvl w:val="2"/>
    </w:pPr>
    <w:rPr>
      <w:rFonts w:ascii="Arial" w:hAnsi="Arial" w:eastAsia="Arial" w:cs="Arial"/>
      <w:b/>
      <w:bCs/>
      <w:sz w:val="24"/>
      <w:szCs w:val="24"/>
    </w:rPr>
  </w:style>
  <w:style w:styleId="Heading3" w:type="paragraph">
    <w:name w:val="Heading 3"/>
    <w:basedOn w:val="Normal"/>
    <w:uiPriority w:val="1"/>
    <w:qFormat/>
    <w:pPr>
      <w:ind w:left="974" w:hanging="864"/>
      <w:jc w:val="both"/>
      <w:outlineLvl w:val="3"/>
    </w:pPr>
    <w:rPr>
      <w:rFonts w:ascii="Arial" w:hAnsi="Arial" w:eastAsia="Arial" w:cs="Arial"/>
      <w:b/>
      <w:bCs/>
      <w:i/>
      <w:sz w:val="24"/>
      <w:szCs w:val="24"/>
    </w:rPr>
  </w:style>
  <w:style w:styleId="ListParagraph" w:type="paragraph">
    <w:name w:val="List Paragraph"/>
    <w:basedOn w:val="Normal"/>
    <w:uiPriority w:val="1"/>
    <w:qFormat/>
    <w:pPr>
      <w:ind w:left="830" w:hanging="360"/>
    </w:pPr>
    <w:rPr>
      <w:rFonts w:ascii="Arial" w:hAnsi="Arial" w:eastAsia="Arial" w:cs="Arial"/>
    </w:rPr>
  </w:style>
  <w:style w:styleId="TableParagraph" w:type="paragraph">
    <w:name w:val="Table Paragraph"/>
    <w:basedOn w:val="Normal"/>
    <w:uiPriority w:val="1"/>
    <w:qFormat/>
    <w:pPr>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eader" Target="header2.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header" Target="header3.xml"/><Relationship Id="rId20" Type="http://schemas.openxmlformats.org/officeDocument/2006/relationships/footer" Target="footer10.xml"/><Relationship Id="rId21" Type="http://schemas.openxmlformats.org/officeDocument/2006/relationships/header" Target="header4.xml"/><Relationship Id="rId22" Type="http://schemas.openxmlformats.org/officeDocument/2006/relationships/footer" Target="footer11.xml"/><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image" Target="media/image4.png"/><Relationship Id="rId26" Type="http://schemas.openxmlformats.org/officeDocument/2006/relationships/image" Target="media/image5.png"/><Relationship Id="rId27" Type="http://schemas.openxmlformats.org/officeDocument/2006/relationships/image" Target="media/image6.png"/><Relationship Id="rId28" Type="http://schemas.openxmlformats.org/officeDocument/2006/relationships/image" Target="media/image7.png"/><Relationship Id="rId29" Type="http://schemas.openxmlformats.org/officeDocument/2006/relationships/image" Target="media/image8.png"/><Relationship Id="rId30" Type="http://schemas.openxmlformats.org/officeDocument/2006/relationships/image" Target="media/image9.png"/><Relationship Id="rId31" Type="http://schemas.openxmlformats.org/officeDocument/2006/relationships/image" Target="media/image10.png"/><Relationship Id="rId32" Type="http://schemas.openxmlformats.org/officeDocument/2006/relationships/image" Target="media/image11.png"/><Relationship Id="rId33" Type="http://schemas.openxmlformats.org/officeDocument/2006/relationships/image" Target="media/image12.png"/><Relationship Id="rId34" Type="http://schemas.openxmlformats.org/officeDocument/2006/relationships/image" Target="media/image13.png"/><Relationship Id="rId35" Type="http://schemas.openxmlformats.org/officeDocument/2006/relationships/image" Target="media/image14.jpeg"/><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header" Target="header5.xml"/><Relationship Id="rId41" Type="http://schemas.openxmlformats.org/officeDocument/2006/relationships/footer" Target="footer18.xml"/><Relationship Id="rId42" Type="http://schemas.openxmlformats.org/officeDocument/2006/relationships/header" Target="header6.xml"/><Relationship Id="rId43" Type="http://schemas.openxmlformats.org/officeDocument/2006/relationships/footer" Target="footer19.xml"/><Relationship Id="rId44" Type="http://schemas.openxmlformats.org/officeDocument/2006/relationships/header" Target="header7.xml"/><Relationship Id="rId45" Type="http://schemas.openxmlformats.org/officeDocument/2006/relationships/footer" Target="footer20.xml"/><Relationship Id="rId46" Type="http://schemas.openxmlformats.org/officeDocument/2006/relationships/footer" Target="footer21.xml"/><Relationship Id="rId47" Type="http://schemas.openxmlformats.org/officeDocument/2006/relationships/footer" Target="footer22.xml"/><Relationship Id="rId48" Type="http://schemas.openxmlformats.org/officeDocument/2006/relationships/image" Target="media/image15.png"/><Relationship Id="rId49" Type="http://schemas.openxmlformats.org/officeDocument/2006/relationships/image" Target="media/image16.png"/><Relationship Id="rId50" Type="http://schemas.openxmlformats.org/officeDocument/2006/relationships/image" Target="media/image17.png"/><Relationship Id="rId51" Type="http://schemas.openxmlformats.org/officeDocument/2006/relationships/image" Target="media/image18.png"/><Relationship Id="rId52" Type="http://schemas.openxmlformats.org/officeDocument/2006/relationships/image" Target="media/image19.png"/><Relationship Id="rId53" Type="http://schemas.openxmlformats.org/officeDocument/2006/relationships/image" Target="media/image20.png"/><Relationship Id="rId54" Type="http://schemas.openxmlformats.org/officeDocument/2006/relationships/image" Target="media/image21.png"/><Relationship Id="rId55" Type="http://schemas.openxmlformats.org/officeDocument/2006/relationships/image" Target="media/image22.png"/><Relationship Id="rId56" Type="http://schemas.openxmlformats.org/officeDocument/2006/relationships/image" Target="media/image23.png"/><Relationship Id="rId57" Type="http://schemas.openxmlformats.org/officeDocument/2006/relationships/image" Target="media/image24.png"/><Relationship Id="rId58" Type="http://schemas.openxmlformats.org/officeDocument/2006/relationships/image" Target="media/image25.png"/><Relationship Id="rId59" Type="http://schemas.openxmlformats.org/officeDocument/2006/relationships/image" Target="media/image26.png"/><Relationship Id="rId60" Type="http://schemas.openxmlformats.org/officeDocument/2006/relationships/image" Target="media/image27.png"/><Relationship Id="rId61" Type="http://schemas.openxmlformats.org/officeDocument/2006/relationships/image" Target="media/image28.png"/><Relationship Id="rId62" Type="http://schemas.openxmlformats.org/officeDocument/2006/relationships/image" Target="media/image29.png"/><Relationship Id="rId63" Type="http://schemas.openxmlformats.org/officeDocument/2006/relationships/image" Target="media/image30.png"/><Relationship Id="rId64" Type="http://schemas.openxmlformats.org/officeDocument/2006/relationships/image" Target="media/image31.png"/><Relationship Id="rId65" Type="http://schemas.openxmlformats.org/officeDocument/2006/relationships/image" Target="media/image32.png"/><Relationship Id="rId66" Type="http://schemas.openxmlformats.org/officeDocument/2006/relationships/image" Target="media/image33.png"/><Relationship Id="rId67" Type="http://schemas.openxmlformats.org/officeDocument/2006/relationships/image" Target="media/image34.png"/><Relationship Id="rId68" Type="http://schemas.openxmlformats.org/officeDocument/2006/relationships/image" Target="media/image35.png"/><Relationship Id="rId69" Type="http://schemas.openxmlformats.org/officeDocument/2006/relationships/image" Target="media/image36.png"/><Relationship Id="rId70" Type="http://schemas.openxmlformats.org/officeDocument/2006/relationships/image" Target="media/image37.png"/><Relationship Id="rId71" Type="http://schemas.openxmlformats.org/officeDocument/2006/relationships/image" Target="media/image38.png"/><Relationship Id="rId72" Type="http://schemas.openxmlformats.org/officeDocument/2006/relationships/image" Target="media/image39.png"/><Relationship Id="rId73" Type="http://schemas.openxmlformats.org/officeDocument/2006/relationships/image" Target="media/image40.png"/><Relationship Id="rId74" Type="http://schemas.openxmlformats.org/officeDocument/2006/relationships/image" Target="media/image41.png"/><Relationship Id="rId75" Type="http://schemas.openxmlformats.org/officeDocument/2006/relationships/image" Target="media/image42.png"/><Relationship Id="rId76" Type="http://schemas.openxmlformats.org/officeDocument/2006/relationships/image" Target="media/image43.png"/><Relationship Id="rId77" Type="http://schemas.openxmlformats.org/officeDocument/2006/relationships/image" Target="media/image44.png"/><Relationship Id="rId78" Type="http://schemas.openxmlformats.org/officeDocument/2006/relationships/image" Target="media/image45.png"/><Relationship Id="rId79" Type="http://schemas.openxmlformats.org/officeDocument/2006/relationships/image" Target="media/image46.png"/><Relationship Id="rId80" Type="http://schemas.openxmlformats.org/officeDocument/2006/relationships/image" Target="media/image47.png"/><Relationship Id="rId81" Type="http://schemas.openxmlformats.org/officeDocument/2006/relationships/image" Target="media/image48.png"/><Relationship Id="rId82" Type="http://schemas.openxmlformats.org/officeDocument/2006/relationships/image" Target="media/image49.png"/><Relationship Id="rId83" Type="http://schemas.openxmlformats.org/officeDocument/2006/relationships/image" Target="media/image50.png"/><Relationship Id="rId84" Type="http://schemas.openxmlformats.org/officeDocument/2006/relationships/image" Target="media/image51.png"/><Relationship Id="rId85" Type="http://schemas.openxmlformats.org/officeDocument/2006/relationships/image" Target="media/image52.png"/><Relationship Id="rId86" Type="http://schemas.openxmlformats.org/officeDocument/2006/relationships/image" Target="media/image53.png"/><Relationship Id="rId87" Type="http://schemas.openxmlformats.org/officeDocument/2006/relationships/image" Target="media/image54.png"/><Relationship Id="rId88" Type="http://schemas.openxmlformats.org/officeDocument/2006/relationships/image" Target="media/image55.png"/><Relationship Id="rId89" Type="http://schemas.openxmlformats.org/officeDocument/2006/relationships/image" Target="media/image56.png"/><Relationship Id="rId90" Type="http://schemas.openxmlformats.org/officeDocument/2006/relationships/image" Target="media/image57.png"/><Relationship Id="rId91" Type="http://schemas.openxmlformats.org/officeDocument/2006/relationships/image" Target="media/image58.png"/><Relationship Id="rId92" Type="http://schemas.openxmlformats.org/officeDocument/2006/relationships/image" Target="media/image59.png"/><Relationship Id="rId93" Type="http://schemas.openxmlformats.org/officeDocument/2006/relationships/image" Target="media/image60.png"/><Relationship Id="rId94" Type="http://schemas.openxmlformats.org/officeDocument/2006/relationships/image" Target="media/image61.png"/><Relationship Id="rId95" Type="http://schemas.openxmlformats.org/officeDocument/2006/relationships/image" Target="media/image62.png"/><Relationship Id="rId96" Type="http://schemas.openxmlformats.org/officeDocument/2006/relationships/image" Target="media/image63.png"/><Relationship Id="rId97" Type="http://schemas.openxmlformats.org/officeDocument/2006/relationships/image" Target="media/image64.png"/><Relationship Id="rId98" Type="http://schemas.openxmlformats.org/officeDocument/2006/relationships/image" Target="media/image65.png"/><Relationship Id="rId99" Type="http://schemas.openxmlformats.org/officeDocument/2006/relationships/image" Target="media/image66.png"/><Relationship Id="rId100" Type="http://schemas.openxmlformats.org/officeDocument/2006/relationships/image" Target="media/image67.png"/><Relationship Id="rId101" Type="http://schemas.openxmlformats.org/officeDocument/2006/relationships/image" Target="media/image68.png"/><Relationship Id="rId102" Type="http://schemas.openxmlformats.org/officeDocument/2006/relationships/image" Target="media/image69.png"/><Relationship Id="rId103" Type="http://schemas.openxmlformats.org/officeDocument/2006/relationships/image" Target="media/image70.png"/><Relationship Id="rId104" Type="http://schemas.openxmlformats.org/officeDocument/2006/relationships/image" Target="media/image71.png"/><Relationship Id="rId105" Type="http://schemas.openxmlformats.org/officeDocument/2006/relationships/image" Target="media/image72.png"/><Relationship Id="rId106" Type="http://schemas.openxmlformats.org/officeDocument/2006/relationships/image" Target="media/image73.png"/><Relationship Id="rId107" Type="http://schemas.openxmlformats.org/officeDocument/2006/relationships/image" Target="media/image74.png"/><Relationship Id="rId108" Type="http://schemas.openxmlformats.org/officeDocument/2006/relationships/image" Target="media/image75.png"/><Relationship Id="rId109" Type="http://schemas.openxmlformats.org/officeDocument/2006/relationships/image" Target="media/image76.png"/><Relationship Id="rId110" Type="http://schemas.openxmlformats.org/officeDocument/2006/relationships/image" Target="media/image77.png"/><Relationship Id="rId111" Type="http://schemas.openxmlformats.org/officeDocument/2006/relationships/image" Target="media/image78.png"/><Relationship Id="rId112" Type="http://schemas.openxmlformats.org/officeDocument/2006/relationships/image" Target="media/image79.png"/><Relationship Id="rId113" Type="http://schemas.openxmlformats.org/officeDocument/2006/relationships/image" Target="media/image80.png"/><Relationship Id="rId114" Type="http://schemas.openxmlformats.org/officeDocument/2006/relationships/image" Target="media/image81.png"/><Relationship Id="rId115" Type="http://schemas.openxmlformats.org/officeDocument/2006/relationships/image" Target="media/image82.png"/><Relationship Id="rId116" Type="http://schemas.openxmlformats.org/officeDocument/2006/relationships/image" Target="media/image83.png"/><Relationship Id="rId117" Type="http://schemas.openxmlformats.org/officeDocument/2006/relationships/image" Target="media/image84.png"/><Relationship Id="rId118" Type="http://schemas.openxmlformats.org/officeDocument/2006/relationships/image" Target="media/image85.png"/><Relationship Id="rId119" Type="http://schemas.openxmlformats.org/officeDocument/2006/relationships/image" Target="media/image86.png"/><Relationship Id="rId120" Type="http://schemas.openxmlformats.org/officeDocument/2006/relationships/image" Target="media/image87.png"/><Relationship Id="rId121" Type="http://schemas.openxmlformats.org/officeDocument/2006/relationships/image" Target="media/image88.png"/><Relationship Id="rId122" Type="http://schemas.openxmlformats.org/officeDocument/2006/relationships/image" Target="media/image89.png"/><Relationship Id="rId123" Type="http://schemas.openxmlformats.org/officeDocument/2006/relationships/image" Target="media/image90.png"/><Relationship Id="rId124" Type="http://schemas.openxmlformats.org/officeDocument/2006/relationships/image" Target="media/image91.png"/><Relationship Id="rId125" Type="http://schemas.openxmlformats.org/officeDocument/2006/relationships/image" Target="media/image92.png"/><Relationship Id="rId126" Type="http://schemas.openxmlformats.org/officeDocument/2006/relationships/image" Target="media/image93.png"/><Relationship Id="rId127" Type="http://schemas.openxmlformats.org/officeDocument/2006/relationships/image" Target="media/image94.png"/><Relationship Id="rId128" Type="http://schemas.openxmlformats.org/officeDocument/2006/relationships/image" Target="media/image95.png"/><Relationship Id="rId129" Type="http://schemas.openxmlformats.org/officeDocument/2006/relationships/image" Target="media/image96.png"/><Relationship Id="rId130" Type="http://schemas.openxmlformats.org/officeDocument/2006/relationships/image" Target="media/image97.png"/><Relationship Id="rId131" Type="http://schemas.openxmlformats.org/officeDocument/2006/relationships/image" Target="media/image98.png"/><Relationship Id="rId132" Type="http://schemas.openxmlformats.org/officeDocument/2006/relationships/image" Target="media/image99.png"/><Relationship Id="rId133" Type="http://schemas.openxmlformats.org/officeDocument/2006/relationships/image" Target="media/image100.png"/><Relationship Id="rId134" Type="http://schemas.openxmlformats.org/officeDocument/2006/relationships/image" Target="media/image101.png"/><Relationship Id="rId135" Type="http://schemas.openxmlformats.org/officeDocument/2006/relationships/image" Target="media/image102.png"/><Relationship Id="rId136" Type="http://schemas.openxmlformats.org/officeDocument/2006/relationships/image" Target="media/image103.png"/><Relationship Id="rId137" Type="http://schemas.openxmlformats.org/officeDocument/2006/relationships/image" Target="media/image104.png"/><Relationship Id="rId138" Type="http://schemas.openxmlformats.org/officeDocument/2006/relationships/image" Target="media/image105.png"/><Relationship Id="rId139" Type="http://schemas.openxmlformats.org/officeDocument/2006/relationships/image" Target="media/image106.png"/><Relationship Id="rId140" Type="http://schemas.openxmlformats.org/officeDocument/2006/relationships/image" Target="media/image107.png"/><Relationship Id="rId141" Type="http://schemas.openxmlformats.org/officeDocument/2006/relationships/image" Target="media/image108.png"/><Relationship Id="rId142" Type="http://schemas.openxmlformats.org/officeDocument/2006/relationships/image" Target="media/image109.png"/><Relationship Id="rId143" Type="http://schemas.openxmlformats.org/officeDocument/2006/relationships/image" Target="media/image110.png"/><Relationship Id="rId144" Type="http://schemas.openxmlformats.org/officeDocument/2006/relationships/image" Target="media/image111.png"/><Relationship Id="rId145" Type="http://schemas.openxmlformats.org/officeDocument/2006/relationships/image" Target="media/image112.png"/><Relationship Id="rId146" Type="http://schemas.openxmlformats.org/officeDocument/2006/relationships/image" Target="media/image113.png"/><Relationship Id="rId147" Type="http://schemas.openxmlformats.org/officeDocument/2006/relationships/image" Target="media/image114.png"/><Relationship Id="rId148" Type="http://schemas.openxmlformats.org/officeDocument/2006/relationships/image" Target="media/image115.png"/><Relationship Id="rId149" Type="http://schemas.openxmlformats.org/officeDocument/2006/relationships/image" Target="media/image116.png"/><Relationship Id="rId150" Type="http://schemas.openxmlformats.org/officeDocument/2006/relationships/image" Target="media/image117.png"/><Relationship Id="rId151" Type="http://schemas.openxmlformats.org/officeDocument/2006/relationships/image" Target="media/image118.png"/><Relationship Id="rId152" Type="http://schemas.openxmlformats.org/officeDocument/2006/relationships/image" Target="media/image119.png"/><Relationship Id="rId153" Type="http://schemas.openxmlformats.org/officeDocument/2006/relationships/image" Target="media/image120.png"/><Relationship Id="rId154" Type="http://schemas.openxmlformats.org/officeDocument/2006/relationships/image" Target="media/image121.png"/><Relationship Id="rId155" Type="http://schemas.openxmlformats.org/officeDocument/2006/relationships/image" Target="media/image122.png"/><Relationship Id="rId156" Type="http://schemas.openxmlformats.org/officeDocument/2006/relationships/image" Target="media/image123.png"/><Relationship Id="rId157" Type="http://schemas.openxmlformats.org/officeDocument/2006/relationships/image" Target="media/image124.png"/><Relationship Id="rId158" Type="http://schemas.openxmlformats.org/officeDocument/2006/relationships/image" Target="media/image125.png"/><Relationship Id="rId159" Type="http://schemas.openxmlformats.org/officeDocument/2006/relationships/image" Target="media/image126.png"/><Relationship Id="rId160" Type="http://schemas.openxmlformats.org/officeDocument/2006/relationships/image" Target="media/image127.png"/><Relationship Id="rId161" Type="http://schemas.openxmlformats.org/officeDocument/2006/relationships/image" Target="media/image128.png"/><Relationship Id="rId162" Type="http://schemas.openxmlformats.org/officeDocument/2006/relationships/image" Target="media/image129.png"/><Relationship Id="rId163" Type="http://schemas.openxmlformats.org/officeDocument/2006/relationships/image" Target="media/image130.png"/><Relationship Id="rId164" Type="http://schemas.openxmlformats.org/officeDocument/2006/relationships/image" Target="media/image131.png"/><Relationship Id="rId165" Type="http://schemas.openxmlformats.org/officeDocument/2006/relationships/image" Target="media/image132.png"/><Relationship Id="rId166" Type="http://schemas.openxmlformats.org/officeDocument/2006/relationships/image" Target="media/image133.png"/><Relationship Id="rId167" Type="http://schemas.openxmlformats.org/officeDocument/2006/relationships/image" Target="media/image134.png"/><Relationship Id="rId168" Type="http://schemas.openxmlformats.org/officeDocument/2006/relationships/image" Target="media/image135.png"/><Relationship Id="rId169" Type="http://schemas.openxmlformats.org/officeDocument/2006/relationships/image" Target="media/image136.png"/><Relationship Id="rId170" Type="http://schemas.openxmlformats.org/officeDocument/2006/relationships/image" Target="media/image137.png"/><Relationship Id="rId171" Type="http://schemas.openxmlformats.org/officeDocument/2006/relationships/image" Target="media/image138.png"/><Relationship Id="rId172" Type="http://schemas.openxmlformats.org/officeDocument/2006/relationships/image" Target="media/image139.png"/><Relationship Id="rId173" Type="http://schemas.openxmlformats.org/officeDocument/2006/relationships/image" Target="media/image140.png"/><Relationship Id="rId174" Type="http://schemas.openxmlformats.org/officeDocument/2006/relationships/image" Target="media/image141.png"/><Relationship Id="rId175" Type="http://schemas.openxmlformats.org/officeDocument/2006/relationships/image" Target="media/image142.png"/><Relationship Id="rId176" Type="http://schemas.openxmlformats.org/officeDocument/2006/relationships/image" Target="media/image143.png"/><Relationship Id="rId177" Type="http://schemas.openxmlformats.org/officeDocument/2006/relationships/image" Target="media/image144.png"/><Relationship Id="rId178" Type="http://schemas.openxmlformats.org/officeDocument/2006/relationships/image" Target="media/image145.png"/><Relationship Id="rId179" Type="http://schemas.openxmlformats.org/officeDocument/2006/relationships/image" Target="media/image146.png"/><Relationship Id="rId180" Type="http://schemas.openxmlformats.org/officeDocument/2006/relationships/image" Target="media/image147.png"/><Relationship Id="rId181" Type="http://schemas.openxmlformats.org/officeDocument/2006/relationships/image" Target="media/image148.png"/><Relationship Id="rId182" Type="http://schemas.openxmlformats.org/officeDocument/2006/relationships/image" Target="media/image149.png"/><Relationship Id="rId183" Type="http://schemas.openxmlformats.org/officeDocument/2006/relationships/image" Target="media/image150.png"/><Relationship Id="rId184" Type="http://schemas.openxmlformats.org/officeDocument/2006/relationships/image" Target="media/image151.png"/><Relationship Id="rId185" Type="http://schemas.openxmlformats.org/officeDocument/2006/relationships/image" Target="media/image152.png"/><Relationship Id="rId186" Type="http://schemas.openxmlformats.org/officeDocument/2006/relationships/image" Target="media/image153.png"/><Relationship Id="rId187" Type="http://schemas.openxmlformats.org/officeDocument/2006/relationships/header" Target="header8.xml"/><Relationship Id="rId188" Type="http://schemas.openxmlformats.org/officeDocument/2006/relationships/footer" Target="footer23.xml"/><Relationship Id="rId189" Type="http://schemas.openxmlformats.org/officeDocument/2006/relationships/header" Target="header9.xml"/><Relationship Id="rId190" Type="http://schemas.openxmlformats.org/officeDocument/2006/relationships/footer" Target="footer24.xml"/><Relationship Id="rId191" Type="http://schemas.openxmlformats.org/officeDocument/2006/relationships/footer" Target="footer25.xml"/><Relationship Id="rId192" Type="http://schemas.openxmlformats.org/officeDocument/2006/relationships/image" Target="media/image154.jpeg"/><Relationship Id="rId193" Type="http://schemas.openxmlformats.org/officeDocument/2006/relationships/image" Target="media/image155.png"/><Relationship Id="rId194" Type="http://schemas.openxmlformats.org/officeDocument/2006/relationships/footer" Target="footer26.xml"/><Relationship Id="rId195" Type="http://schemas.openxmlformats.org/officeDocument/2006/relationships/footer" Target="footer27.xml"/><Relationship Id="rId196" Type="http://schemas.openxmlformats.org/officeDocument/2006/relationships/image" Target="media/image156.jpeg"/><Relationship Id="rId197" Type="http://schemas.openxmlformats.org/officeDocument/2006/relationships/image" Target="media/image157.jpeg"/><Relationship Id="rId198" Type="http://schemas.openxmlformats.org/officeDocument/2006/relationships/image" Target="media/image158.jpeg"/><Relationship Id="rId199" Type="http://schemas.openxmlformats.org/officeDocument/2006/relationships/image" Target="media/image159.png"/><Relationship Id="rId200" Type="http://schemas.openxmlformats.org/officeDocument/2006/relationships/image" Target="media/image160.png"/><Relationship Id="rId201" Type="http://schemas.openxmlformats.org/officeDocument/2006/relationships/image" Target="media/image161.png"/><Relationship Id="rId202" Type="http://schemas.openxmlformats.org/officeDocument/2006/relationships/image" Target="media/image162.png"/><Relationship Id="rId203" Type="http://schemas.openxmlformats.org/officeDocument/2006/relationships/image" Target="media/image163.png"/><Relationship Id="rId204" Type="http://schemas.openxmlformats.org/officeDocument/2006/relationships/footer" Target="footer28.xml"/><Relationship Id="rId205" Type="http://schemas.openxmlformats.org/officeDocument/2006/relationships/image" Target="media/image164.png"/><Relationship Id="rId206" Type="http://schemas.openxmlformats.org/officeDocument/2006/relationships/footer" Target="footer29.xml"/><Relationship Id="rId207" Type="http://schemas.openxmlformats.org/officeDocument/2006/relationships/image" Target="media/image165.png"/><Relationship Id="rId208" Type="http://schemas.openxmlformats.org/officeDocument/2006/relationships/image" Target="media/image166.png"/><Relationship Id="rId209" Type="http://schemas.openxmlformats.org/officeDocument/2006/relationships/image" Target="media/image167.png"/><Relationship Id="rId210" Type="http://schemas.openxmlformats.org/officeDocument/2006/relationships/footer" Target="footer30.xml"/><Relationship Id="rId211" Type="http://schemas.openxmlformats.org/officeDocument/2006/relationships/image" Target="media/image168.png"/><Relationship Id="rId212" Type="http://schemas.openxmlformats.org/officeDocument/2006/relationships/header" Target="header10.xml"/><Relationship Id="rId213" Type="http://schemas.openxmlformats.org/officeDocument/2006/relationships/footer" Target="footer31.xml"/><Relationship Id="rId214" Type="http://schemas.openxmlformats.org/officeDocument/2006/relationships/header" Target="header11.xml"/><Relationship Id="rId215" Type="http://schemas.openxmlformats.org/officeDocument/2006/relationships/footer" Target="footer32.xml"/><Relationship Id="rId216" Type="http://schemas.openxmlformats.org/officeDocument/2006/relationships/hyperlink" Target="http://www.banxico.org.mx/material-educativo/informacion-" TargetMode="External"/><Relationship Id="rId217" Type="http://schemas.openxmlformats.org/officeDocument/2006/relationships/hyperlink" Target="http://www.bmv.com.mx/" TargetMode="External"/><Relationship Id="rId218" Type="http://schemas.openxmlformats.org/officeDocument/2006/relationships/hyperlink" Target="http://economiaes.com/finanzas/publicas.html" TargetMode="External"/><Relationship Id="rId219" Type="http://schemas.openxmlformats.org/officeDocument/2006/relationships/hyperlink" Target="http://www.enciclopediafinanciera.com/finanzas-" TargetMode="External"/><Relationship Id="rId220" Type="http://schemas.openxmlformats.org/officeDocument/2006/relationships/hyperlink" Target="http://www.gerencie.com/pasivos-corrientes.html" TargetMode="External"/><Relationship Id="rId221" Type="http://schemas.openxmlformats.org/officeDocument/2006/relationships/hyperlink" Target="http://www.proyectosparainvertir.com/ideas-de-" TargetMode="External"/><Relationship Id="rId222" Type="http://schemas.openxmlformats.org/officeDocument/2006/relationships/hyperlink" Target="http://www.eumed.net/libros-" TargetMode="External"/><Relationship Id="rId223" Type="http://schemas.openxmlformats.org/officeDocument/2006/relationships/hyperlink" Target="http://www.valeo.com/" TargetMode="External"/><Relationship Id="rId224" Type="http://schemas.openxmlformats.org/officeDocument/2006/relationships/hyperlink" Target="http://www.valeo.com/le-groupe/" TargetMode="External"/><Relationship Id="rId2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2017-05-18T18:58:22Z</dcterms:created>
  <dcterms:modified xsi:type="dcterms:W3CDTF">2017-05-18T18:58:22Z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