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after="1"/>
        <w:rPr>
          <w:rFonts w:ascii="Times New Roman"/>
          <w:sz w:val="29"/>
        </w:rPr>
      </w:pPr>
    </w:p>
    <w:p>
      <w:pPr>
        <w:spacing w:line="240" w:lineRule="auto"/>
        <w:ind w:left="151" w:right="0" w:firstLine="0"/>
        <w:rPr>
          <w:rFonts w:ascii="Times New Roman"/>
          <w:sz w:val="20"/>
        </w:rPr>
      </w:pPr>
      <w:r>
        <w:rPr>
          <w:rFonts w:ascii="Times New Roman"/>
          <w:sz w:val="20"/>
        </w:rPr>
        <w:drawing>
          <wp:inline distT="0" distB="0" distL="0" distR="0">
            <wp:extent cx="969669" cy="98069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969669" cy="980694"/>
                    </a:xfrm>
                    <a:prstGeom prst="rect">
                      <a:avLst/>
                    </a:prstGeom>
                  </pic:spPr>
                </pic:pic>
              </a:graphicData>
            </a:graphic>
          </wp:inline>
        </w:drawing>
      </w:r>
      <w:r>
        <w:rPr>
          <w:rFonts w:ascii="Times New Roman"/>
          <w:sz w:val="20"/>
        </w:rPr>
      </w:r>
      <w:r>
        <w:rPr>
          <w:rFonts w:ascii="Times New Roman"/>
          <w:spacing w:val="21"/>
          <w:sz w:val="20"/>
        </w:rPr>
        <w:t> </w:t>
      </w:r>
      <w:r>
        <w:rPr>
          <w:rFonts w:ascii="Times New Roman"/>
          <w:spacing w:val="21"/>
          <w:position w:val="2"/>
          <w:sz w:val="20"/>
        </w:rPr>
        <w:pict>
          <v:group style="width:167.4pt;height:69.1pt;mso-position-horizontal-relative:char;mso-position-vertical-relative:line" coordorigin="0,0" coordsize="3348,1382">
            <v:shape style="position:absolute;left:1264;top:51;width:2084;height:1331" type="#_x0000_t75" stroked="false">
              <v:imagedata r:id="rId6" o:title=""/>
            </v:shape>
            <v:shape style="position:absolute;left:0;top:0;width:1220;height:1290" type="#_x0000_t75" stroked="false">
              <v:imagedata r:id="rId7" o:title=""/>
            </v:shape>
          </v:group>
        </w:pict>
      </w:r>
      <w:r>
        <w:rPr>
          <w:rFonts w:ascii="Times New Roman"/>
          <w:spacing w:val="21"/>
          <w:position w:val="2"/>
          <w:sz w:val="20"/>
        </w:rPr>
      </w:r>
      <w:r>
        <w:rPr>
          <w:rFonts w:ascii="Times New Roman"/>
          <w:spacing w:val="82"/>
          <w:position w:val="2"/>
          <w:sz w:val="20"/>
        </w:rPr>
        <w:t> </w:t>
      </w:r>
      <w:r>
        <w:rPr>
          <w:rFonts w:ascii="Times New Roman"/>
          <w:spacing w:val="82"/>
          <w:position w:val="2"/>
          <w:sz w:val="20"/>
        </w:rPr>
        <w:drawing>
          <wp:inline distT="0" distB="0" distL="0" distR="0">
            <wp:extent cx="2209545" cy="828675"/>
            <wp:effectExtent l="0" t="0" r="0" b="0"/>
            <wp:docPr id="3" name="image4.jpeg" descr=""/>
            <wp:cNvGraphicFramePr>
              <a:graphicFrameLocks noChangeAspect="1"/>
            </wp:cNvGraphicFramePr>
            <a:graphic>
              <a:graphicData uri="http://schemas.openxmlformats.org/drawingml/2006/picture">
                <pic:pic>
                  <pic:nvPicPr>
                    <pic:cNvPr id="4" name="image4.jpeg"/>
                    <pic:cNvPicPr/>
                  </pic:nvPicPr>
                  <pic:blipFill>
                    <a:blip r:embed="rId8" cstate="print"/>
                    <a:stretch>
                      <a:fillRect/>
                    </a:stretch>
                  </pic:blipFill>
                  <pic:spPr>
                    <a:xfrm>
                      <a:off x="0" y="0"/>
                      <a:ext cx="2209545" cy="828675"/>
                    </a:xfrm>
                    <a:prstGeom prst="rect">
                      <a:avLst/>
                    </a:prstGeom>
                  </pic:spPr>
                </pic:pic>
              </a:graphicData>
            </a:graphic>
          </wp:inline>
        </w:drawing>
      </w:r>
      <w:r>
        <w:rPr>
          <w:rFonts w:ascii="Times New Roman"/>
          <w:spacing w:val="82"/>
          <w:position w:val="2"/>
          <w:sz w:val="20"/>
        </w:rPr>
      </w:r>
    </w:p>
    <w:p>
      <w:pPr>
        <w:pStyle w:val="BodyText"/>
        <w:spacing w:before="6"/>
        <w:rPr>
          <w:rFonts w:ascii="Times New Roman"/>
          <w:sz w:val="17"/>
        </w:rPr>
      </w:pPr>
    </w:p>
    <w:p>
      <w:pPr>
        <w:pStyle w:val="BodyText"/>
        <w:spacing w:line="259" w:lineRule="auto" w:before="69"/>
        <w:ind w:left="119" w:right="104"/>
        <w:jc w:val="both"/>
      </w:pPr>
      <w:bookmarkStart w:name="PRIMERA PAGINA TESIS.pdf (p.1)" w:id="1"/>
      <w:bookmarkEnd w:id="1"/>
      <w:r>
        <w:rPr/>
      </w:r>
      <w:r>
        <w:rPr/>
        <w:t>El</w:t>
      </w:r>
      <w:r>
        <w:rPr>
          <w:spacing w:val="-5"/>
        </w:rPr>
        <w:t> </w:t>
      </w:r>
      <w:r>
        <w:rPr/>
        <w:t>Doctorado</w:t>
      </w:r>
      <w:r>
        <w:rPr>
          <w:spacing w:val="-7"/>
        </w:rPr>
        <w:t> </w:t>
      </w:r>
      <w:r>
        <w:rPr/>
        <w:t>en</w:t>
      </w:r>
      <w:r>
        <w:rPr>
          <w:spacing w:val="-7"/>
        </w:rPr>
        <w:t> </w:t>
      </w:r>
      <w:r>
        <w:rPr/>
        <w:t>Urbanismo</w:t>
      </w:r>
      <w:r>
        <w:rPr>
          <w:spacing w:val="-7"/>
        </w:rPr>
        <w:t> </w:t>
      </w:r>
      <w:r>
        <w:rPr/>
        <w:t>está</w:t>
      </w:r>
      <w:r>
        <w:rPr>
          <w:spacing w:val="-7"/>
        </w:rPr>
        <w:t> </w:t>
      </w:r>
      <w:r>
        <w:rPr/>
        <w:t>inscrito</w:t>
      </w:r>
      <w:r>
        <w:rPr>
          <w:spacing w:val="-7"/>
        </w:rPr>
        <w:t> </w:t>
      </w:r>
      <w:r>
        <w:rPr/>
        <w:t>en</w:t>
      </w:r>
      <w:r>
        <w:rPr>
          <w:spacing w:val="-7"/>
        </w:rPr>
        <w:t> </w:t>
      </w:r>
      <w:r>
        <w:rPr/>
        <w:t>el</w:t>
      </w:r>
      <w:r>
        <w:rPr>
          <w:spacing w:val="-8"/>
        </w:rPr>
        <w:t> </w:t>
      </w:r>
      <w:r>
        <w:rPr/>
        <w:t>Programa</w:t>
      </w:r>
      <w:r>
        <w:rPr>
          <w:spacing w:val="-7"/>
        </w:rPr>
        <w:t> </w:t>
      </w:r>
      <w:r>
        <w:rPr/>
        <w:t>Nacional</w:t>
      </w:r>
      <w:r>
        <w:rPr>
          <w:spacing w:val="-5"/>
        </w:rPr>
        <w:t> </w:t>
      </w:r>
      <w:r>
        <w:rPr/>
        <w:t>de</w:t>
      </w:r>
      <w:r>
        <w:rPr>
          <w:spacing w:val="-7"/>
        </w:rPr>
        <w:t> </w:t>
      </w:r>
      <w:r>
        <w:rPr/>
        <w:t>Posgrados</w:t>
      </w:r>
      <w:r>
        <w:rPr>
          <w:spacing w:val="-8"/>
        </w:rPr>
        <w:t> </w:t>
      </w:r>
      <w:r>
        <w:rPr/>
        <w:t>de Calidad (PNPC) del CONACYT. El desarrollo de esta investigación fue posible gracias a la beca otorgada por el CONACYT para la realización de estudios de Doctorado.</w:t>
      </w:r>
    </w:p>
    <w:p>
      <w:pPr>
        <w:spacing w:after="0" w:line="259" w:lineRule="auto"/>
        <w:jc w:val="both"/>
        <w:sectPr>
          <w:type w:val="continuous"/>
          <w:pgSz w:w="12240" w:h="15840"/>
          <w:pgMar w:top="1500" w:bottom="280" w:left="1580" w:right="1600"/>
        </w:sectPr>
      </w:pPr>
    </w:p>
    <w:p>
      <w:pPr>
        <w:tabs>
          <w:tab w:pos="7231" w:val="left" w:leader="none"/>
        </w:tabs>
        <w:spacing w:line="240" w:lineRule="auto"/>
        <w:ind w:left="111" w:right="0" w:firstLine="0"/>
        <w:rPr>
          <w:sz w:val="20"/>
        </w:rPr>
      </w:pPr>
      <w:r>
        <w:rPr>
          <w:sz w:val="20"/>
        </w:rPr>
        <w:drawing>
          <wp:inline distT="0" distB="0" distL="0" distR="0">
            <wp:extent cx="973436" cy="984503"/>
            <wp:effectExtent l="0" t="0" r="0" b="0"/>
            <wp:docPr id="5" name="image5.jpeg" descr=""/>
            <wp:cNvGraphicFramePr>
              <a:graphicFrameLocks noChangeAspect="1"/>
            </wp:cNvGraphicFramePr>
            <a:graphic>
              <a:graphicData uri="http://schemas.openxmlformats.org/drawingml/2006/picture">
                <pic:pic>
                  <pic:nvPicPr>
                    <pic:cNvPr id="6" name="image5.jpeg"/>
                    <pic:cNvPicPr/>
                  </pic:nvPicPr>
                  <pic:blipFill>
                    <a:blip r:embed="rId10" cstate="print"/>
                    <a:stretch>
                      <a:fillRect/>
                    </a:stretch>
                  </pic:blipFill>
                  <pic:spPr>
                    <a:xfrm>
                      <a:off x="0" y="0"/>
                      <a:ext cx="973436" cy="984503"/>
                    </a:xfrm>
                    <a:prstGeom prst="rect">
                      <a:avLst/>
                    </a:prstGeom>
                  </pic:spPr>
                </pic:pic>
              </a:graphicData>
            </a:graphic>
          </wp:inline>
        </w:drawing>
      </w:r>
      <w:r>
        <w:rPr>
          <w:sz w:val="20"/>
        </w:rPr>
      </w:r>
      <w:r>
        <w:rPr>
          <w:sz w:val="20"/>
        </w:rPr>
        <w:tab/>
      </w:r>
      <w:r>
        <w:rPr>
          <w:position w:val="17"/>
          <w:sz w:val="20"/>
        </w:rPr>
        <w:drawing>
          <wp:inline distT="0" distB="0" distL="0" distR="0">
            <wp:extent cx="782363" cy="829818"/>
            <wp:effectExtent l="0" t="0" r="0" b="0"/>
            <wp:docPr id="7" name="image6.png" descr=""/>
            <wp:cNvGraphicFramePr>
              <a:graphicFrameLocks noChangeAspect="1"/>
            </wp:cNvGraphicFramePr>
            <a:graphic>
              <a:graphicData uri="http://schemas.openxmlformats.org/drawingml/2006/picture">
                <pic:pic>
                  <pic:nvPicPr>
                    <pic:cNvPr id="8" name="image6.png"/>
                    <pic:cNvPicPr/>
                  </pic:nvPicPr>
                  <pic:blipFill>
                    <a:blip r:embed="rId11" cstate="print"/>
                    <a:stretch>
                      <a:fillRect/>
                    </a:stretch>
                  </pic:blipFill>
                  <pic:spPr>
                    <a:xfrm>
                      <a:off x="0" y="0"/>
                      <a:ext cx="782363" cy="829818"/>
                    </a:xfrm>
                    <a:prstGeom prst="rect">
                      <a:avLst/>
                    </a:prstGeom>
                  </pic:spPr>
                </pic:pic>
              </a:graphicData>
            </a:graphic>
          </wp:inline>
        </w:drawing>
      </w:r>
      <w:r>
        <w:rPr>
          <w:position w:val="17"/>
          <w:sz w:val="20"/>
        </w:rPr>
      </w:r>
    </w:p>
    <w:p>
      <w:pPr>
        <w:pStyle w:val="BodyText"/>
        <w:spacing w:before="10"/>
        <w:rPr>
          <w:sz w:val="8"/>
        </w:rPr>
      </w:pPr>
    </w:p>
    <w:p>
      <w:pPr>
        <w:spacing w:line="273" w:lineRule="auto" w:before="73"/>
        <w:ind w:left="1229" w:right="1168" w:firstLine="0"/>
        <w:jc w:val="center"/>
        <w:rPr>
          <w:rFonts w:ascii="Times New Roman" w:hAnsi="Times New Roman"/>
          <w:b/>
          <w:sz w:val="22"/>
        </w:rPr>
      </w:pPr>
      <w:bookmarkStart w:name="TESIS MARZO 2017_.pdf (p.2-142)" w:id="2"/>
      <w:bookmarkEnd w:id="2"/>
      <w:r>
        <w:rPr/>
      </w:r>
      <w:r>
        <w:rPr>
          <w:rFonts w:ascii="Times New Roman" w:hAnsi="Times New Roman"/>
          <w:b/>
          <w:sz w:val="22"/>
        </w:rPr>
        <w:t>UNIVERSIDAD AUTÓNOMA DEL ESTADO DE MÉXICO FACULTAD DE PLANEACIÓN URBANA Y REGIONAL</w:t>
      </w:r>
    </w:p>
    <w:p>
      <w:pPr>
        <w:pStyle w:val="Heading2"/>
        <w:spacing w:before="6"/>
        <w:ind w:left="1229" w:right="990"/>
        <w:jc w:val="center"/>
        <w:rPr>
          <w:rFonts w:ascii="Times New Roman"/>
        </w:rPr>
      </w:pPr>
      <w:r>
        <w:rPr>
          <w:rFonts w:ascii="Times New Roman"/>
        </w:rPr>
        <w:t>DOCTORADO EN URBANISMO</w:t>
      </w:r>
    </w:p>
    <w:p>
      <w:pPr>
        <w:pStyle w:val="BodyText"/>
        <w:rPr>
          <w:rFonts w:ascii="Times New Roman"/>
          <w:b/>
        </w:rPr>
      </w:pPr>
    </w:p>
    <w:p>
      <w:pPr>
        <w:spacing w:line="242" w:lineRule="auto" w:before="149"/>
        <w:ind w:left="161" w:right="110" w:firstLine="5"/>
        <w:jc w:val="center"/>
        <w:rPr>
          <w:rFonts w:ascii="Times New Roman" w:hAnsi="Times New Roman"/>
          <w:b/>
          <w:sz w:val="24"/>
        </w:rPr>
      </w:pPr>
      <w:r>
        <w:rPr>
          <w:rFonts w:ascii="Times New Roman" w:hAnsi="Times New Roman"/>
          <w:b/>
          <w:sz w:val="24"/>
        </w:rPr>
        <w:t>EVALUACIÓN DE LOS FACTORES DE RIESGO POR INUNDACIÓN EN ASENTAMIENTOS HUMANOS DE LA ZONA METROPOLITANA DE</w:t>
      </w:r>
      <w:r>
        <w:rPr>
          <w:rFonts w:ascii="Times New Roman" w:hAnsi="Times New Roman"/>
          <w:b/>
          <w:spacing w:val="-21"/>
          <w:sz w:val="24"/>
        </w:rPr>
        <w:t> </w:t>
      </w:r>
      <w:r>
        <w:rPr>
          <w:rFonts w:ascii="Times New Roman" w:hAnsi="Times New Roman"/>
          <w:b/>
          <w:sz w:val="24"/>
        </w:rPr>
        <w:t>TOLUCA</w:t>
      </w:r>
    </w:p>
    <w:p>
      <w:pPr>
        <w:pStyle w:val="BodyText"/>
        <w:spacing w:before="9"/>
        <w:rPr>
          <w:rFonts w:ascii="Times New Roman"/>
          <w:b/>
          <w:sz w:val="23"/>
        </w:rPr>
      </w:pPr>
    </w:p>
    <w:p>
      <w:pPr>
        <w:pStyle w:val="BodyText"/>
        <w:ind w:left="1226" w:right="1169"/>
        <w:jc w:val="center"/>
        <w:rPr>
          <w:rFonts w:ascii="Times New Roman" w:hAnsi="Times New Roman"/>
        </w:rPr>
      </w:pPr>
      <w:r>
        <w:rPr>
          <w:rFonts w:ascii="Times New Roman" w:hAnsi="Times New Roman"/>
        </w:rPr>
        <w:t>TESIS QUE PARA OBTENER EL TÍTULO DE:</w:t>
      </w:r>
    </w:p>
    <w:p>
      <w:pPr>
        <w:pStyle w:val="BodyText"/>
        <w:spacing w:before="4"/>
        <w:rPr>
          <w:rFonts w:ascii="Times New Roman"/>
        </w:rPr>
      </w:pPr>
    </w:p>
    <w:p>
      <w:pPr>
        <w:pStyle w:val="Heading2"/>
        <w:spacing w:before="1"/>
        <w:ind w:left="1229" w:right="1167"/>
        <w:jc w:val="center"/>
        <w:rPr>
          <w:rFonts w:ascii="Times New Roman"/>
        </w:rPr>
      </w:pPr>
      <w:r>
        <w:rPr>
          <w:rFonts w:ascii="Times New Roman"/>
        </w:rPr>
        <w:t>DOCTOR EN URBANISMO</w:t>
      </w:r>
    </w:p>
    <w:p>
      <w:pPr>
        <w:pStyle w:val="BodyText"/>
        <w:rPr>
          <w:rFonts w:ascii="Times New Roman"/>
          <w:b/>
        </w:rPr>
      </w:pPr>
    </w:p>
    <w:p>
      <w:pPr>
        <w:pStyle w:val="BodyText"/>
        <w:ind w:left="1226" w:right="1169"/>
        <w:jc w:val="center"/>
        <w:rPr>
          <w:rFonts w:ascii="Times New Roman"/>
        </w:rPr>
      </w:pPr>
      <w:r>
        <w:rPr>
          <w:rFonts w:ascii="Times New Roman"/>
        </w:rPr>
        <w:t>PRESENTA:</w:t>
      </w:r>
    </w:p>
    <w:p>
      <w:pPr>
        <w:pStyle w:val="BodyText"/>
        <w:spacing w:before="10"/>
        <w:rPr>
          <w:rFonts w:ascii="Times New Roman"/>
        </w:rPr>
      </w:pPr>
    </w:p>
    <w:p>
      <w:pPr>
        <w:pStyle w:val="Heading2"/>
        <w:ind w:left="1770"/>
        <w:jc w:val="left"/>
        <w:rPr>
          <w:rFonts w:ascii="Times New Roman" w:hAnsi="Times New Roman"/>
        </w:rPr>
      </w:pPr>
      <w:r>
        <w:rPr>
          <w:rFonts w:ascii="Times New Roman" w:hAnsi="Times New Roman"/>
        </w:rPr>
        <w:t>M. EN G.I C.  JESÚS BARUCH MENDOZA MEJÍA</w:t>
      </w:r>
    </w:p>
    <w:p>
      <w:pPr>
        <w:pStyle w:val="BodyText"/>
        <w:rPr>
          <w:rFonts w:ascii="Times New Roman"/>
          <w:b/>
        </w:rPr>
      </w:pPr>
    </w:p>
    <w:p>
      <w:pPr>
        <w:pStyle w:val="BodyText"/>
        <w:spacing w:before="1"/>
        <w:rPr>
          <w:rFonts w:ascii="Times New Roman"/>
          <w:b/>
          <w:sz w:val="27"/>
        </w:rPr>
      </w:pPr>
    </w:p>
    <w:p>
      <w:pPr>
        <w:pStyle w:val="BodyText"/>
        <w:ind w:left="1229" w:right="1168"/>
        <w:jc w:val="center"/>
        <w:rPr>
          <w:rFonts w:ascii="Times New Roman"/>
        </w:rPr>
      </w:pPr>
      <w:r>
        <w:rPr>
          <w:rFonts w:ascii="Times New Roman"/>
        </w:rPr>
        <w:t>DIRECTOR DE TESIS</w:t>
      </w:r>
    </w:p>
    <w:p>
      <w:pPr>
        <w:pStyle w:val="BodyText"/>
        <w:spacing w:before="5"/>
        <w:rPr>
          <w:rFonts w:ascii="Times New Roman"/>
        </w:rPr>
      </w:pPr>
    </w:p>
    <w:p>
      <w:pPr>
        <w:pStyle w:val="Heading2"/>
        <w:ind w:left="1229" w:right="1169"/>
        <w:jc w:val="center"/>
        <w:rPr>
          <w:rFonts w:ascii="Times New Roman" w:hAnsi="Times New Roman"/>
        </w:rPr>
      </w:pPr>
      <w:r>
        <w:rPr>
          <w:rFonts w:ascii="Times New Roman" w:hAnsi="Times New Roman"/>
        </w:rPr>
        <w:t>DRA. EN GEOG.  MARÍA ESTELA OROZCO HERNÁNDEZ</w:t>
      </w:r>
    </w:p>
    <w:p>
      <w:pPr>
        <w:pStyle w:val="BodyText"/>
        <w:spacing w:before="11"/>
        <w:rPr>
          <w:rFonts w:ascii="Times New Roman"/>
          <w:b/>
          <w:sz w:val="23"/>
        </w:rPr>
      </w:pPr>
    </w:p>
    <w:p>
      <w:pPr>
        <w:spacing w:before="0"/>
        <w:ind w:left="1226" w:right="1169" w:firstLine="0"/>
        <w:jc w:val="center"/>
        <w:rPr>
          <w:rFonts w:ascii="Times New Roman"/>
          <w:sz w:val="22"/>
        </w:rPr>
      </w:pPr>
      <w:r>
        <w:rPr>
          <w:rFonts w:ascii="Times New Roman"/>
          <w:sz w:val="22"/>
        </w:rPr>
        <w:t>TUTORES ADJUNTOS</w:t>
      </w:r>
    </w:p>
    <w:p>
      <w:pPr>
        <w:pStyle w:val="BodyText"/>
        <w:spacing w:before="8"/>
        <w:rPr>
          <w:rFonts w:ascii="Times New Roman"/>
        </w:rPr>
      </w:pPr>
    </w:p>
    <w:p>
      <w:pPr>
        <w:spacing w:line="506" w:lineRule="auto" w:before="0"/>
        <w:ind w:left="2355" w:right="2281" w:firstLine="370"/>
        <w:jc w:val="left"/>
        <w:rPr>
          <w:rFonts w:ascii="Times New Roman" w:hAnsi="Times New Roman"/>
          <w:b/>
          <w:sz w:val="22"/>
        </w:rPr>
      </w:pPr>
      <w:r>
        <w:rPr>
          <w:rFonts w:ascii="Times New Roman" w:hAnsi="Times New Roman"/>
          <w:b/>
          <w:sz w:val="22"/>
        </w:rPr>
        <w:t>DR. DAVID VELÁZQUEZ TORRES DRA. BONNIE LUCÍA CAMPOS CÁMARA</w:t>
      </w:r>
    </w:p>
    <w:p>
      <w:pPr>
        <w:spacing w:before="4"/>
        <w:ind w:left="1221" w:right="1169" w:firstLine="0"/>
        <w:jc w:val="center"/>
        <w:rPr>
          <w:rFonts w:ascii="Times New Roman"/>
          <w:sz w:val="22"/>
        </w:rPr>
      </w:pPr>
      <w:r>
        <w:rPr>
          <w:rFonts w:ascii="Times New Roman"/>
          <w:sz w:val="22"/>
        </w:rPr>
        <w:t>REVISORES</w:t>
      </w:r>
    </w:p>
    <w:p>
      <w:pPr>
        <w:pStyle w:val="BodyText"/>
        <w:spacing w:before="3"/>
        <w:rPr>
          <w:rFonts w:ascii="Times New Roman"/>
        </w:rPr>
      </w:pPr>
    </w:p>
    <w:p>
      <w:pPr>
        <w:spacing w:line="520" w:lineRule="auto" w:before="0"/>
        <w:ind w:left="2639" w:right="2580" w:firstLine="6"/>
        <w:jc w:val="center"/>
        <w:rPr>
          <w:rFonts w:ascii="Times New Roman" w:hAnsi="Times New Roman"/>
          <w:b/>
          <w:sz w:val="21"/>
        </w:rPr>
      </w:pPr>
      <w:r>
        <w:rPr>
          <w:rFonts w:ascii="Times New Roman" w:hAnsi="Times New Roman"/>
          <w:b/>
          <w:sz w:val="21"/>
        </w:rPr>
        <w:t>DRA. BELINA GARCÍA FAJARDO DRA. YADIRA  CONTRERAS JUÁREZ</w:t>
      </w:r>
    </w:p>
    <w:p>
      <w:pPr>
        <w:spacing w:line="516" w:lineRule="auto" w:before="9"/>
        <w:ind w:left="2480" w:right="2423" w:firstLine="0"/>
        <w:jc w:val="center"/>
        <w:rPr>
          <w:rFonts w:ascii="Times New Roman" w:hAnsi="Times New Roman"/>
          <w:b/>
          <w:sz w:val="21"/>
        </w:rPr>
      </w:pPr>
      <w:r>
        <w:rPr/>
        <w:pict>
          <v:group style="position:absolute;margin-left:111.721001pt;margin-top:40.720608pt;width:74pt;height:64.55pt;mso-position-horizontal-relative:page;mso-position-vertical-relative:paragraph;z-index:1048" coordorigin="2234,814" coordsize="1480,1291">
            <v:shape style="position:absolute;left:2234;top:814;width:1480;height:1291" coordorigin="2234,814" coordsize="1480,1291" path="m3714,1487l3700,1480,3673,1467,3673,1481,2975,1484,3341,853,3352,860,3354,841,3355,814,3317,840,3329,846,2966,1471,2610,870,2620,864,2621,863,2583,838,2586,884,2598,877,2958,1484,2275,1487,2275,1473,2234,1494,2276,1514,2275,1501,2951,1498,2622,2066,2610,2059,2607,2105,2645,2080,2644,2079,2633,2073,2967,1498,3308,2073,3296,2080,3335,2105,3333,2079,3331,2060,3320,2067,2982,1497,3673,1494,3673,1508,3714,1487e" filled="true" fillcolor="#000000" stroked="false">
              <v:path arrowok="t"/>
              <v:fill type="solid"/>
            </v:shape>
            <v:shape style="position:absolute;left:2559;top:1067;width:827;height:827" coordorigin="2559,1067" coordsize="827,827" path="m2559,1480l2565,1412,2581,1347,2607,1286,2643,1231,2686,1182,2736,1141,2793,1108,2855,1084,2921,1070,2972,1067,2990,1067,3007,1069,3074,1080,3137,1101,3195,1132,3247,1171,3292,1218,3329,1272,3358,1331,3377,1395,3386,1463,3386,1480,3386,1498,3384,1515,3373,1582,3352,1645,3321,1703,3282,1755,3235,1800,3181,1837,3122,1866,3058,1885,2990,1893,2972,1894,2955,1893,2938,1892,2871,1881,2808,1859,2750,1829,2698,1789,2653,1742,2615,1689,2587,1630,2568,1566,2559,1498,2559,1480xe" filled="false" stroked="true" strokeweight=".683174pt" strokecolor="#000000">
              <v:path arrowok="t"/>
              <v:stroke dashstyle="longDash"/>
            </v:shape>
            <v:shape style="position:absolute;left:2801;top:1337;width:344;height:290" type="#_x0000_t75" stroked="false">
              <v:imagedata r:id="rId12" o:title=""/>
            </v:shape>
            <v:shape style="position:absolute;left:2600;top:1832;width:212;height:212" type="#_x0000_t75" stroked="false">
              <v:imagedata r:id="rId13" o:title=""/>
            </v:shape>
            <v:shape style="position:absolute;left:2330;top:910;width:1281;height:1127" type="#_x0000_t75" stroked="false">
              <v:imagedata r:id="rId14" o:title=""/>
            </v:shape>
            <w10:wrap type="none"/>
          </v:group>
        </w:pict>
      </w:r>
      <w:r>
        <w:rPr>
          <w:rFonts w:ascii="Times New Roman" w:hAnsi="Times New Roman"/>
          <w:b/>
          <w:sz w:val="21"/>
        </w:rPr>
        <w:t>DR. JUAN ROBERTO CALDERÓN MAYA DR. GUSTAVO ÁLVAREZ ARTEAGA</w:t>
      </w:r>
    </w:p>
    <w:p>
      <w:pPr>
        <w:tabs>
          <w:tab w:pos="6250" w:val="left" w:leader="none"/>
        </w:tabs>
        <w:spacing w:line="1160" w:lineRule="exact" w:before="0"/>
        <w:ind w:left="2629" w:right="0" w:firstLine="0"/>
        <w:jc w:val="left"/>
        <w:rPr>
          <w:sz w:val="22"/>
        </w:rPr>
      </w:pPr>
      <w:r>
        <w:rPr>
          <w:sz w:val="22"/>
        </w:rPr>
        <w:t>TOLUCA, MÉXICO,</w:t>
      </w:r>
      <w:r>
        <w:rPr>
          <w:spacing w:val="-13"/>
          <w:sz w:val="22"/>
        </w:rPr>
        <w:t> </w:t>
      </w:r>
      <w:r>
        <w:rPr>
          <w:sz w:val="22"/>
        </w:rPr>
        <w:t>MARZO</w:t>
      </w:r>
      <w:r>
        <w:rPr>
          <w:spacing w:val="-8"/>
          <w:sz w:val="22"/>
        </w:rPr>
        <w:t> </w:t>
      </w:r>
      <w:r>
        <w:rPr>
          <w:sz w:val="22"/>
        </w:rPr>
        <w:t>2017</w:t>
        <w:tab/>
      </w:r>
      <w:r>
        <w:rPr>
          <w:sz w:val="22"/>
        </w:rPr>
        <w:drawing>
          <wp:inline distT="0" distB="0" distL="0" distR="0">
            <wp:extent cx="1323086" cy="845184"/>
            <wp:effectExtent l="0" t="0" r="0" b="0"/>
            <wp:docPr id="9" name="image2.png" descr=""/>
            <wp:cNvGraphicFramePr>
              <a:graphicFrameLocks noChangeAspect="1"/>
            </wp:cNvGraphicFramePr>
            <a:graphic>
              <a:graphicData uri="http://schemas.openxmlformats.org/drawingml/2006/picture">
                <pic:pic>
                  <pic:nvPicPr>
                    <pic:cNvPr id="10" name="image2.png"/>
                    <pic:cNvPicPr/>
                  </pic:nvPicPr>
                  <pic:blipFill>
                    <a:blip r:embed="rId6" cstate="print"/>
                    <a:stretch>
                      <a:fillRect/>
                    </a:stretch>
                  </pic:blipFill>
                  <pic:spPr>
                    <a:xfrm>
                      <a:off x="0" y="0"/>
                      <a:ext cx="1323086" cy="845184"/>
                    </a:xfrm>
                    <a:prstGeom prst="rect">
                      <a:avLst/>
                    </a:prstGeom>
                  </pic:spPr>
                </pic:pic>
              </a:graphicData>
            </a:graphic>
          </wp:inline>
        </w:drawing>
      </w:r>
      <w:r>
        <w:rPr>
          <w:sz w:val="22"/>
        </w:rPr>
      </w:r>
    </w:p>
    <w:p>
      <w:pPr>
        <w:spacing w:after="0" w:line="1160" w:lineRule="exact"/>
        <w:jc w:val="left"/>
        <w:rPr>
          <w:sz w:val="22"/>
        </w:rPr>
        <w:sectPr>
          <w:footerReference w:type="default" r:id="rId9"/>
          <w:pgSz w:w="12240" w:h="15840"/>
          <w:pgMar w:footer="1031" w:header="0" w:top="1420" w:bottom="1220" w:left="1620" w:right="1680"/>
          <w:pgNumType w:start="1"/>
        </w:sectPr>
      </w:pPr>
    </w:p>
    <w:p>
      <w:pPr>
        <w:pStyle w:val="Heading2"/>
        <w:spacing w:before="42"/>
        <w:jc w:val="left"/>
      </w:pPr>
      <w:r>
        <w:rPr/>
        <w:t>Índice</w:t>
      </w:r>
    </w:p>
    <w:p>
      <w:pPr>
        <w:spacing w:after="0"/>
        <w:jc w:val="left"/>
        <w:sectPr>
          <w:pgSz w:w="12240" w:h="15840"/>
          <w:pgMar w:header="0" w:footer="1031" w:top="1360" w:bottom="1855" w:left="1580" w:right="1600"/>
        </w:sectPr>
      </w:pPr>
    </w:p>
    <w:sdt>
      <w:sdtPr>
        <w:docPartObj>
          <w:docPartGallery w:val="Table of Contents"/>
          <w:docPartUnique/>
        </w:docPartObj>
      </w:sdtPr>
      <w:sdtEndPr/>
      <w:sdtContent>
        <w:p>
          <w:pPr>
            <w:pStyle w:val="TOC1"/>
            <w:tabs>
              <w:tab w:pos="8949" w:val="right" w:leader="dot"/>
            </w:tabs>
          </w:pPr>
          <w:r>
            <w:rPr/>
            <w:t>Agradecimientos</w:t>
            <w:tab/>
            <w:t>5</w:t>
          </w:r>
        </w:p>
        <w:p>
          <w:pPr>
            <w:pStyle w:val="TOC1"/>
            <w:tabs>
              <w:tab w:pos="8949" w:val="right" w:leader="dot"/>
            </w:tabs>
            <w:spacing w:before="243"/>
          </w:pPr>
          <w:r>
            <w:rPr/>
            <w:t>Dedicatorias</w:t>
            <w:tab/>
            <w:t>6</w:t>
          </w:r>
        </w:p>
        <w:p>
          <w:pPr>
            <w:pStyle w:val="TOC1"/>
            <w:tabs>
              <w:tab w:pos="8949" w:val="right" w:leader="dot"/>
            </w:tabs>
          </w:pPr>
          <w:hyperlink w:history="true" w:anchor="_TOC_250051">
            <w:r>
              <w:rPr/>
              <w:t>Resumen</w:t>
              <w:tab/>
              <w:t>7</w:t>
            </w:r>
          </w:hyperlink>
        </w:p>
        <w:p>
          <w:pPr>
            <w:pStyle w:val="TOC1"/>
            <w:tabs>
              <w:tab w:pos="8949" w:val="right" w:leader="dot"/>
            </w:tabs>
          </w:pPr>
          <w:hyperlink w:history="true" w:anchor="_TOC_250050">
            <w:r>
              <w:rPr/>
              <w:t>Introducción</w:t>
              <w:tab/>
              <w:t>8</w:t>
            </w:r>
          </w:hyperlink>
        </w:p>
        <w:p>
          <w:pPr>
            <w:pStyle w:val="TOC1"/>
            <w:tabs>
              <w:tab w:pos="8950" w:val="right" w:leader="dot"/>
            </w:tabs>
            <w:spacing w:before="238"/>
          </w:pPr>
          <w:hyperlink w:history="true" w:anchor="_TOC_250049">
            <w:r>
              <w:rPr>
                <w:spacing w:val="4"/>
              </w:rPr>
              <w:t>CAPITULO </w:t>
            </w:r>
            <w:r>
              <w:rPr>
                <w:spacing w:val="2"/>
              </w:rPr>
              <w:t>1. </w:t>
            </w:r>
            <w:r>
              <w:rPr>
                <w:spacing w:val="4"/>
              </w:rPr>
              <w:t>FUNDAMENTOS </w:t>
            </w:r>
            <w:r>
              <w:rPr/>
              <w:t>DE</w:t>
            </w:r>
            <w:r>
              <w:rPr>
                <w:spacing w:val="20"/>
              </w:rPr>
              <w:t> </w:t>
            </w:r>
            <w:r>
              <w:rPr>
                <w:spacing w:val="3"/>
              </w:rPr>
              <w:t>LA</w:t>
            </w:r>
            <w:r>
              <w:rPr>
                <w:spacing w:val="9"/>
              </w:rPr>
              <w:t> </w:t>
            </w:r>
            <w:r>
              <w:rPr>
                <w:spacing w:val="3"/>
              </w:rPr>
              <w:t>INVESTIGACIÓN</w:t>
              <w:tab/>
            </w:r>
            <w:r>
              <w:rPr/>
              <w:t>10</w:t>
            </w:r>
          </w:hyperlink>
        </w:p>
        <w:p>
          <w:pPr>
            <w:pStyle w:val="TOC2"/>
            <w:numPr>
              <w:ilvl w:val="1"/>
              <w:numId w:val="1"/>
            </w:numPr>
            <w:tabs>
              <w:tab w:pos="668" w:val="left" w:leader="none"/>
              <w:tab w:pos="8950" w:val="right" w:leader="dot"/>
            </w:tabs>
            <w:spacing w:line="240" w:lineRule="auto" w:before="258" w:after="0"/>
            <w:ind w:left="667" w:right="0" w:hanging="327"/>
            <w:jc w:val="left"/>
          </w:pPr>
          <w:r>
            <w:rPr/>
            <w:t>Justificación</w:t>
            <w:tab/>
            <w:t>13</w:t>
          </w:r>
        </w:p>
        <w:p>
          <w:pPr>
            <w:pStyle w:val="TOC2"/>
            <w:numPr>
              <w:ilvl w:val="1"/>
              <w:numId w:val="1"/>
            </w:numPr>
            <w:tabs>
              <w:tab w:pos="668" w:val="left" w:leader="none"/>
              <w:tab w:pos="8950" w:val="right" w:leader="dot"/>
            </w:tabs>
            <w:spacing w:line="240" w:lineRule="auto" w:before="241" w:after="0"/>
            <w:ind w:left="667" w:right="0" w:hanging="327"/>
            <w:jc w:val="left"/>
          </w:pPr>
          <w:r>
            <w:rPr/>
            <w:t>Planteamiento</w:t>
          </w:r>
          <w:r>
            <w:rPr>
              <w:spacing w:val="-3"/>
            </w:rPr>
            <w:t> </w:t>
          </w:r>
          <w:r>
            <w:rPr/>
            <w:t>del problema</w:t>
            <w:tab/>
            <w:t>15</w:t>
          </w:r>
        </w:p>
        <w:p>
          <w:pPr>
            <w:pStyle w:val="TOC2"/>
            <w:numPr>
              <w:ilvl w:val="1"/>
              <w:numId w:val="1"/>
            </w:numPr>
            <w:tabs>
              <w:tab w:pos="668" w:val="left" w:leader="none"/>
              <w:tab w:pos="8950" w:val="right" w:leader="dot"/>
            </w:tabs>
            <w:spacing w:line="240" w:lineRule="auto" w:before="240" w:after="0"/>
            <w:ind w:left="667" w:right="0" w:hanging="327"/>
            <w:jc w:val="left"/>
          </w:pPr>
          <w:hyperlink w:history="true" w:anchor="_TOC_250048">
            <w:r>
              <w:rPr/>
              <w:t>Hipótesis</w:t>
              <w:tab/>
              <w:t>16</w:t>
            </w:r>
          </w:hyperlink>
        </w:p>
        <w:p>
          <w:pPr>
            <w:pStyle w:val="TOC2"/>
            <w:numPr>
              <w:ilvl w:val="1"/>
              <w:numId w:val="1"/>
            </w:numPr>
            <w:tabs>
              <w:tab w:pos="668" w:val="left" w:leader="none"/>
              <w:tab w:pos="8950" w:val="right" w:leader="dot"/>
            </w:tabs>
            <w:spacing w:line="240" w:lineRule="auto" w:before="240" w:after="0"/>
            <w:ind w:left="667" w:right="0" w:hanging="327"/>
            <w:jc w:val="left"/>
          </w:pPr>
          <w:hyperlink w:history="true" w:anchor="_TOC_250047">
            <w:r>
              <w:rPr/>
              <w:t>Objetivos</w:t>
              <w:tab/>
              <w:t>17</w:t>
            </w:r>
          </w:hyperlink>
        </w:p>
        <w:p>
          <w:pPr>
            <w:pStyle w:val="TOC2"/>
            <w:numPr>
              <w:ilvl w:val="1"/>
              <w:numId w:val="1"/>
            </w:numPr>
            <w:tabs>
              <w:tab w:pos="668" w:val="left" w:leader="none"/>
              <w:tab w:pos="8950" w:val="right" w:leader="dot"/>
            </w:tabs>
            <w:spacing w:line="240" w:lineRule="auto" w:before="240" w:after="0"/>
            <w:ind w:left="667" w:right="0" w:hanging="327"/>
            <w:jc w:val="left"/>
          </w:pPr>
          <w:hyperlink w:history="true" w:anchor="_TOC_250046">
            <w:r>
              <w:rPr/>
              <w:t>Diseño</w:t>
            </w:r>
            <w:r>
              <w:rPr>
                <w:spacing w:val="-5"/>
              </w:rPr>
              <w:t> </w:t>
            </w:r>
            <w:r>
              <w:rPr/>
              <w:t>metodológico</w:t>
              <w:tab/>
              <w:t>17</w:t>
            </w:r>
          </w:hyperlink>
        </w:p>
        <w:p>
          <w:pPr>
            <w:pStyle w:val="TOC3"/>
            <w:tabs>
              <w:tab w:pos="8950" w:val="right" w:leader="dot"/>
            </w:tabs>
            <w:ind w:left="561" w:firstLine="0"/>
          </w:pPr>
          <w:r>
            <w:rPr/>
            <w:t>1.5.1 Diseño operacional de las variables</w:t>
          </w:r>
          <w:r>
            <w:rPr>
              <w:spacing w:val="-16"/>
            </w:rPr>
            <w:t> </w:t>
          </w:r>
          <w:r>
            <w:rPr/>
            <w:t>e</w:t>
          </w:r>
          <w:r>
            <w:rPr>
              <w:spacing w:val="-3"/>
            </w:rPr>
            <w:t> </w:t>
          </w:r>
          <w:r>
            <w:rPr/>
            <w:t>indicadores</w:t>
            <w:tab/>
            <w:t>18</w:t>
          </w:r>
        </w:p>
        <w:p>
          <w:pPr>
            <w:pStyle w:val="TOC1"/>
            <w:tabs>
              <w:tab w:pos="8950" w:val="right" w:leader="dot"/>
            </w:tabs>
            <w:spacing w:before="224"/>
          </w:pPr>
          <w:hyperlink w:history="true" w:anchor="_TOC_250045">
            <w:r>
              <w:rPr/>
              <w:t>CAPÍTULO 2. </w:t>
            </w:r>
            <w:r>
              <w:rPr>
                <w:spacing w:val="-3"/>
              </w:rPr>
              <w:t>MARCO</w:t>
            </w:r>
            <w:r>
              <w:rPr>
                <w:spacing w:val="-1"/>
              </w:rPr>
              <w:t> </w:t>
            </w:r>
            <w:r>
              <w:rPr/>
              <w:t>TEÓRICO-</w:t>
            </w:r>
            <w:r>
              <w:rPr>
                <w:spacing w:val="1"/>
              </w:rPr>
              <w:t> </w:t>
            </w:r>
            <w:r>
              <w:rPr/>
              <w:t>METODOLÓGICO</w:t>
              <w:tab/>
              <w:t>20</w:t>
            </w:r>
          </w:hyperlink>
        </w:p>
        <w:p>
          <w:pPr>
            <w:pStyle w:val="TOC2"/>
            <w:numPr>
              <w:ilvl w:val="1"/>
              <w:numId w:val="2"/>
            </w:numPr>
            <w:tabs>
              <w:tab w:pos="998" w:val="left" w:leader="none"/>
              <w:tab w:pos="999" w:val="left" w:leader="none"/>
              <w:tab w:pos="8950" w:val="right" w:leader="dot"/>
            </w:tabs>
            <w:spacing w:line="240" w:lineRule="auto" w:before="258" w:after="0"/>
            <w:ind w:left="998" w:right="0" w:hanging="658"/>
            <w:jc w:val="left"/>
          </w:pPr>
          <w:hyperlink w:history="true" w:anchor="_TOC_250044">
            <w:r>
              <w:rPr/>
              <w:t>Antecedentes</w:t>
              <w:tab/>
              <w:t>20</w:t>
            </w:r>
          </w:hyperlink>
        </w:p>
        <w:p>
          <w:pPr>
            <w:pStyle w:val="TOC3"/>
            <w:numPr>
              <w:ilvl w:val="2"/>
              <w:numId w:val="2"/>
            </w:numPr>
            <w:tabs>
              <w:tab w:pos="1056" w:val="left" w:leader="none"/>
              <w:tab w:pos="8950" w:val="right" w:leader="dot"/>
            </w:tabs>
            <w:spacing w:line="240" w:lineRule="auto" w:before="240" w:after="0"/>
            <w:ind w:left="1055" w:right="0" w:hanging="494"/>
            <w:jc w:val="left"/>
          </w:pPr>
          <w:hyperlink w:history="true" w:anchor="_TOC_250043">
            <w:r>
              <w:rPr/>
              <w:t>La ciudad escenario susceptible a</w:t>
            </w:r>
            <w:r>
              <w:rPr>
                <w:spacing w:val="-13"/>
              </w:rPr>
              <w:t> </w:t>
            </w:r>
            <w:r>
              <w:rPr/>
              <w:t>los</w:t>
            </w:r>
            <w:r>
              <w:rPr>
                <w:spacing w:val="-3"/>
              </w:rPr>
              <w:t> </w:t>
            </w:r>
            <w:r>
              <w:rPr/>
              <w:t>riesgos.</w:t>
              <w:tab/>
              <w:t>20</w:t>
            </w:r>
          </w:hyperlink>
        </w:p>
        <w:p>
          <w:pPr>
            <w:pStyle w:val="TOC3"/>
            <w:numPr>
              <w:ilvl w:val="2"/>
              <w:numId w:val="2"/>
            </w:numPr>
            <w:tabs>
              <w:tab w:pos="1056" w:val="left" w:leader="none"/>
              <w:tab w:pos="8950" w:val="right" w:leader="dot"/>
            </w:tabs>
            <w:spacing w:line="240" w:lineRule="auto" w:before="240" w:after="0"/>
            <w:ind w:left="1055" w:right="0" w:hanging="494"/>
            <w:jc w:val="left"/>
          </w:pPr>
          <w:hyperlink w:history="true" w:anchor="_TOC_250042">
            <w:r>
              <w:rPr/>
              <w:t>Experiencias</w:t>
            </w:r>
            <w:r>
              <w:rPr>
                <w:spacing w:val="-3"/>
              </w:rPr>
              <w:t> </w:t>
            </w:r>
            <w:r>
              <w:rPr/>
              <w:t>metodológicas</w:t>
              <w:tab/>
              <w:t>24</w:t>
            </w:r>
          </w:hyperlink>
        </w:p>
        <w:p>
          <w:pPr>
            <w:pStyle w:val="TOC3"/>
            <w:numPr>
              <w:ilvl w:val="2"/>
              <w:numId w:val="3"/>
            </w:numPr>
            <w:tabs>
              <w:tab w:pos="1114" w:val="left" w:leader="none"/>
              <w:tab w:pos="8950" w:val="right" w:leader="dot"/>
            </w:tabs>
            <w:spacing w:line="240" w:lineRule="auto" w:before="241" w:after="0"/>
            <w:ind w:left="1113" w:right="0" w:hanging="552"/>
            <w:jc w:val="left"/>
          </w:pPr>
          <w:hyperlink w:history="true" w:anchor="_TOC_250041">
            <w:r>
              <w:rPr/>
              <w:t>Enfoques</w:t>
            </w:r>
            <w:r>
              <w:rPr>
                <w:spacing w:val="-3"/>
              </w:rPr>
              <w:t> </w:t>
            </w:r>
            <w:r>
              <w:rPr/>
              <w:t>de</w:t>
            </w:r>
            <w:r>
              <w:rPr>
                <w:spacing w:val="-3"/>
              </w:rPr>
              <w:t> </w:t>
            </w:r>
            <w:r>
              <w:rPr/>
              <w:t>investigación</w:t>
              <w:tab/>
              <w:t>30</w:t>
            </w:r>
          </w:hyperlink>
        </w:p>
        <w:p>
          <w:pPr>
            <w:pStyle w:val="TOC4"/>
            <w:numPr>
              <w:ilvl w:val="3"/>
              <w:numId w:val="3"/>
            </w:numPr>
            <w:tabs>
              <w:tab w:pos="1502" w:val="left" w:leader="none"/>
              <w:tab w:pos="8950" w:val="right" w:leader="dot"/>
            </w:tabs>
            <w:spacing w:line="240" w:lineRule="auto" w:before="240" w:after="0"/>
            <w:ind w:left="1501" w:right="0" w:hanging="719"/>
            <w:jc w:val="left"/>
          </w:pPr>
          <w:hyperlink w:history="true" w:anchor="_TOC_250040">
            <w:r>
              <w:rPr/>
              <w:t>Construcción social</w:t>
            </w:r>
            <w:r>
              <w:rPr>
                <w:spacing w:val="-5"/>
              </w:rPr>
              <w:t> </w:t>
            </w:r>
            <w:r>
              <w:rPr/>
              <w:t>del</w:t>
            </w:r>
            <w:r>
              <w:rPr>
                <w:spacing w:val="-1"/>
              </w:rPr>
              <w:t> </w:t>
            </w:r>
            <w:r>
              <w:rPr/>
              <w:t>riesgo</w:t>
              <w:tab/>
              <w:t>30</w:t>
            </w:r>
          </w:hyperlink>
        </w:p>
        <w:p>
          <w:pPr>
            <w:pStyle w:val="TOC3"/>
            <w:numPr>
              <w:ilvl w:val="2"/>
              <w:numId w:val="4"/>
            </w:numPr>
            <w:tabs>
              <w:tab w:pos="1056" w:val="left" w:leader="none"/>
              <w:tab w:pos="8950" w:val="right" w:leader="dot"/>
            </w:tabs>
            <w:spacing w:line="240" w:lineRule="auto" w:before="240" w:after="0"/>
            <w:ind w:left="1055" w:right="0" w:hanging="494"/>
            <w:jc w:val="left"/>
          </w:pPr>
          <w:hyperlink w:history="true" w:anchor="_TOC_250039">
            <w:r>
              <w:rPr/>
              <w:t>Definición operacional de</w:t>
            </w:r>
            <w:r>
              <w:rPr>
                <w:spacing w:val="-7"/>
              </w:rPr>
              <w:t> </w:t>
            </w:r>
            <w:r>
              <w:rPr/>
              <w:t>las</w:t>
            </w:r>
            <w:r>
              <w:rPr>
                <w:spacing w:val="-3"/>
              </w:rPr>
              <w:t> </w:t>
            </w:r>
            <w:r>
              <w:rPr/>
              <w:t>variables</w:t>
              <w:tab/>
              <w:t>34</w:t>
            </w:r>
          </w:hyperlink>
        </w:p>
        <w:p>
          <w:pPr>
            <w:pStyle w:val="TOC4"/>
            <w:numPr>
              <w:ilvl w:val="3"/>
              <w:numId w:val="4"/>
            </w:numPr>
            <w:tabs>
              <w:tab w:pos="1445" w:val="left" w:leader="none"/>
              <w:tab w:pos="8950" w:val="right" w:leader="dot"/>
            </w:tabs>
            <w:spacing w:line="240" w:lineRule="auto" w:before="240" w:after="0"/>
            <w:ind w:left="1444" w:right="0" w:hanging="662"/>
            <w:jc w:val="left"/>
          </w:pPr>
          <w:r>
            <w:rPr/>
            <w:t>Definición operacional de las</w:t>
          </w:r>
          <w:r>
            <w:rPr>
              <w:spacing w:val="-9"/>
            </w:rPr>
            <w:t> </w:t>
          </w:r>
          <w:r>
            <w:rPr/>
            <w:t>variables</w:t>
          </w:r>
          <w:r>
            <w:rPr>
              <w:spacing w:val="-3"/>
            </w:rPr>
            <w:t> </w:t>
          </w:r>
          <w:r>
            <w:rPr/>
            <w:t>independientes</w:t>
            <w:tab/>
            <w:t>34</w:t>
          </w:r>
        </w:p>
        <w:p>
          <w:pPr>
            <w:pStyle w:val="TOC4"/>
            <w:numPr>
              <w:ilvl w:val="3"/>
              <w:numId w:val="4"/>
            </w:numPr>
            <w:tabs>
              <w:tab w:pos="1445" w:val="left" w:leader="none"/>
              <w:tab w:pos="8950" w:val="right" w:leader="dot"/>
            </w:tabs>
            <w:spacing w:line="240" w:lineRule="auto" w:before="240" w:after="0"/>
            <w:ind w:left="1444" w:right="0" w:hanging="662"/>
            <w:jc w:val="left"/>
          </w:pPr>
          <w:r>
            <w:rPr/>
            <w:t>Definición operacional de las</w:t>
          </w:r>
          <w:r>
            <w:rPr>
              <w:spacing w:val="-9"/>
            </w:rPr>
            <w:t> </w:t>
          </w:r>
          <w:r>
            <w:rPr/>
            <w:t>variables</w:t>
          </w:r>
          <w:r>
            <w:rPr>
              <w:spacing w:val="-3"/>
            </w:rPr>
            <w:t> </w:t>
          </w:r>
          <w:r>
            <w:rPr/>
            <w:t>dependientes</w:t>
            <w:tab/>
            <w:t>41</w:t>
          </w:r>
        </w:p>
        <w:p>
          <w:pPr>
            <w:pStyle w:val="TOC2"/>
            <w:numPr>
              <w:ilvl w:val="1"/>
              <w:numId w:val="5"/>
            </w:numPr>
            <w:tabs>
              <w:tab w:pos="725" w:val="left" w:leader="none"/>
              <w:tab w:pos="8950" w:val="right" w:leader="dot"/>
            </w:tabs>
            <w:spacing w:line="240" w:lineRule="auto" w:before="240" w:after="0"/>
            <w:ind w:left="724" w:right="0" w:hanging="384"/>
            <w:jc w:val="left"/>
          </w:pPr>
          <w:hyperlink w:history="true" w:anchor="_TOC_250038">
            <w:r>
              <w:rPr/>
              <w:t>Metodología</w:t>
              <w:tab/>
              <w:t>43</w:t>
            </w:r>
          </w:hyperlink>
        </w:p>
        <w:p>
          <w:pPr>
            <w:pStyle w:val="TOC3"/>
            <w:tabs>
              <w:tab w:pos="8950" w:val="right" w:leader="dot"/>
            </w:tabs>
            <w:spacing w:before="241"/>
            <w:ind w:left="561" w:firstLine="0"/>
          </w:pPr>
          <w:hyperlink w:history="true" w:anchor="_TOC_250037">
            <w:r>
              <w:rPr/>
              <w:t>2.3.1 Método de</w:t>
            </w:r>
            <w:r>
              <w:rPr>
                <w:spacing w:val="-5"/>
              </w:rPr>
              <w:t> </w:t>
            </w:r>
            <w:r>
              <w:rPr/>
              <w:t>Evaluación</w:t>
            </w:r>
            <w:r>
              <w:rPr>
                <w:spacing w:val="-4"/>
              </w:rPr>
              <w:t> </w:t>
            </w:r>
            <w:r>
              <w:rPr/>
              <w:t>Multicriterio</w:t>
              <w:tab/>
              <w:t>46</w:t>
            </w:r>
          </w:hyperlink>
        </w:p>
        <w:p>
          <w:pPr>
            <w:pStyle w:val="TOC4"/>
            <w:tabs>
              <w:tab w:pos="8950" w:val="right" w:leader="dot"/>
            </w:tabs>
            <w:ind w:left="782" w:firstLine="0"/>
          </w:pPr>
          <w:hyperlink w:history="true" w:anchor="_TOC_250036">
            <w:r>
              <w:rPr/>
              <w:t>2.3.1.1 Componentes de</w:t>
            </w:r>
            <w:r>
              <w:rPr>
                <w:spacing w:val="-9"/>
              </w:rPr>
              <w:t> </w:t>
            </w:r>
            <w:r>
              <w:rPr/>
              <w:t>la</w:t>
            </w:r>
            <w:r>
              <w:rPr>
                <w:spacing w:val="-3"/>
              </w:rPr>
              <w:t> </w:t>
            </w:r>
            <w:r>
              <w:rPr/>
              <w:t>EMC</w:t>
              <w:tab/>
              <w:t>48</w:t>
            </w:r>
          </w:hyperlink>
        </w:p>
        <w:p>
          <w:pPr>
            <w:pStyle w:val="TOC3"/>
            <w:numPr>
              <w:ilvl w:val="2"/>
              <w:numId w:val="5"/>
            </w:numPr>
            <w:tabs>
              <w:tab w:pos="1114" w:val="left" w:leader="none"/>
              <w:tab w:pos="8950" w:val="right" w:leader="dot"/>
            </w:tabs>
            <w:spacing w:line="240" w:lineRule="auto" w:before="240" w:after="0"/>
            <w:ind w:left="1113" w:right="0" w:hanging="552"/>
            <w:jc w:val="left"/>
          </w:pPr>
          <w:hyperlink w:history="true" w:anchor="_TOC_250035">
            <w:r>
              <w:rPr/>
              <w:t>Etapas</w:t>
            </w:r>
            <w:r>
              <w:rPr>
                <w:spacing w:val="-3"/>
              </w:rPr>
              <w:t> </w:t>
            </w:r>
            <w:r>
              <w:rPr/>
              <w:t>de</w:t>
            </w:r>
            <w:r>
              <w:rPr>
                <w:spacing w:val="-3"/>
              </w:rPr>
              <w:t> </w:t>
            </w:r>
            <w:r>
              <w:rPr/>
              <w:t>análisis</w:t>
              <w:tab/>
              <w:t>52</w:t>
            </w:r>
          </w:hyperlink>
        </w:p>
        <w:p>
          <w:pPr>
            <w:pStyle w:val="TOC4"/>
            <w:numPr>
              <w:ilvl w:val="3"/>
              <w:numId w:val="5"/>
            </w:numPr>
            <w:tabs>
              <w:tab w:pos="1445" w:val="left" w:leader="none"/>
              <w:tab w:pos="8950" w:val="right" w:leader="dot"/>
            </w:tabs>
            <w:spacing w:line="240" w:lineRule="auto" w:before="38" w:after="0"/>
            <w:ind w:left="1444" w:right="0" w:hanging="662"/>
            <w:jc w:val="left"/>
          </w:pPr>
          <w:hyperlink w:history="true" w:anchor="_TOC_250034">
            <w:r>
              <w:rPr/>
              <w:t>Caracterización</w:t>
            </w:r>
            <w:r>
              <w:rPr>
                <w:spacing w:val="-4"/>
              </w:rPr>
              <w:t> </w:t>
            </w:r>
            <w:r>
              <w:rPr/>
              <w:t>hidrográfica.</w:t>
              <w:tab/>
              <w:t>52</w:t>
            </w:r>
          </w:hyperlink>
        </w:p>
        <w:p>
          <w:pPr>
            <w:pStyle w:val="TOC5"/>
            <w:tabs>
              <w:tab w:pos="8950" w:val="right" w:leader="dot"/>
            </w:tabs>
          </w:pPr>
          <w:hyperlink w:history="true" w:anchor="_TOC_250033">
            <w:r>
              <w:rPr/>
              <w:t>2.3.2.1.1</w:t>
            </w:r>
            <w:r>
              <w:rPr>
                <w:spacing w:val="-5"/>
              </w:rPr>
              <w:t> </w:t>
            </w:r>
            <w:r>
              <w:rPr/>
              <w:t>Morfometría.</w:t>
              <w:tab/>
              <w:t>52</w:t>
            </w:r>
          </w:hyperlink>
        </w:p>
        <w:p>
          <w:pPr>
            <w:pStyle w:val="TOC4"/>
            <w:numPr>
              <w:ilvl w:val="3"/>
              <w:numId w:val="5"/>
            </w:numPr>
            <w:tabs>
              <w:tab w:pos="1445" w:val="left" w:leader="none"/>
              <w:tab w:pos="8950" w:val="right" w:leader="dot"/>
            </w:tabs>
            <w:spacing w:line="240" w:lineRule="auto" w:before="241" w:after="0"/>
            <w:ind w:left="1444" w:right="0" w:hanging="662"/>
            <w:jc w:val="left"/>
          </w:pPr>
          <w:hyperlink w:history="true" w:anchor="_TOC_250032">
            <w:r>
              <w:rPr/>
              <w:t>Caracterización de la estructura socioeconómica y los</w:t>
            </w:r>
            <w:r>
              <w:rPr>
                <w:spacing w:val="-26"/>
              </w:rPr>
              <w:t> </w:t>
            </w:r>
            <w:r>
              <w:rPr/>
              <w:t>factores</w:t>
            </w:r>
            <w:r>
              <w:rPr>
                <w:spacing w:val="-4"/>
              </w:rPr>
              <w:t> </w:t>
            </w:r>
            <w:r>
              <w:rPr/>
              <w:t>físico-naturales</w:t>
              <w:tab/>
              <w:t>53</w:t>
            </w:r>
          </w:hyperlink>
        </w:p>
        <w:p>
          <w:pPr>
            <w:pStyle w:val="TOC4"/>
            <w:numPr>
              <w:ilvl w:val="3"/>
              <w:numId w:val="6"/>
            </w:numPr>
            <w:tabs>
              <w:tab w:pos="1445" w:val="left" w:leader="none"/>
              <w:tab w:pos="8950" w:val="right" w:leader="dot"/>
            </w:tabs>
            <w:spacing w:line="240" w:lineRule="auto" w:before="240" w:after="0"/>
            <w:ind w:left="1444" w:right="0" w:hanging="662"/>
            <w:jc w:val="left"/>
          </w:pPr>
          <w:hyperlink w:history="true" w:anchor="_TOC_250031">
            <w:r>
              <w:rPr/>
              <w:t>Diagnóstico de la zona</w:t>
            </w:r>
            <w:r>
              <w:rPr>
                <w:spacing w:val="-10"/>
              </w:rPr>
              <w:t> </w:t>
            </w:r>
            <w:r>
              <w:rPr/>
              <w:t>de</w:t>
            </w:r>
            <w:r>
              <w:rPr>
                <w:spacing w:val="-3"/>
              </w:rPr>
              <w:t> </w:t>
            </w:r>
            <w:r>
              <w:rPr/>
              <w:t>estudio</w:t>
              <w:tab/>
              <w:t>55</w:t>
            </w:r>
          </w:hyperlink>
        </w:p>
        <w:p>
          <w:pPr>
            <w:pStyle w:val="TOC4"/>
            <w:numPr>
              <w:ilvl w:val="3"/>
              <w:numId w:val="6"/>
            </w:numPr>
            <w:tabs>
              <w:tab w:pos="1445" w:val="left" w:leader="none"/>
              <w:tab w:pos="8950" w:val="right" w:leader="dot"/>
            </w:tabs>
            <w:spacing w:line="240" w:lineRule="auto" w:before="240" w:after="0"/>
            <w:ind w:left="1444" w:right="0" w:hanging="662"/>
            <w:jc w:val="left"/>
          </w:pPr>
          <w:hyperlink w:history="true" w:anchor="_TOC_250030">
            <w:r>
              <w:rPr/>
              <w:t>Integración de los indicadores para determinar los riesgos</w:t>
            </w:r>
            <w:r>
              <w:rPr>
                <w:spacing w:val="-21"/>
              </w:rPr>
              <w:t> </w:t>
            </w:r>
            <w:r>
              <w:rPr/>
              <w:t>a</w:t>
            </w:r>
            <w:r>
              <w:rPr>
                <w:spacing w:val="-3"/>
              </w:rPr>
              <w:t> </w:t>
            </w:r>
            <w:r>
              <w:rPr/>
              <w:t>inundaciones.</w:t>
              <w:tab/>
              <w:t>55</w:t>
            </w:r>
          </w:hyperlink>
        </w:p>
        <w:p>
          <w:pPr>
            <w:pStyle w:val="TOC4"/>
            <w:numPr>
              <w:ilvl w:val="3"/>
              <w:numId w:val="6"/>
            </w:numPr>
            <w:tabs>
              <w:tab w:pos="1445" w:val="left" w:leader="none"/>
              <w:tab w:pos="8950" w:val="right" w:leader="dot"/>
            </w:tabs>
            <w:spacing w:line="240" w:lineRule="auto" w:before="240" w:after="0"/>
            <w:ind w:left="1444" w:right="0" w:hanging="662"/>
            <w:jc w:val="left"/>
          </w:pPr>
          <w:hyperlink w:history="true" w:anchor="_TOC_250029">
            <w:r>
              <w:rPr/>
              <w:t>Ubicación de las zonas</w:t>
            </w:r>
            <w:r>
              <w:rPr>
                <w:spacing w:val="-8"/>
              </w:rPr>
              <w:t> </w:t>
            </w:r>
            <w:r>
              <w:rPr/>
              <w:t>de</w:t>
            </w:r>
            <w:r>
              <w:rPr>
                <w:spacing w:val="-2"/>
              </w:rPr>
              <w:t> </w:t>
            </w:r>
            <w:r>
              <w:rPr/>
              <w:t>riesgo</w:t>
              <w:tab/>
              <w:t>56</w:t>
            </w:r>
          </w:hyperlink>
        </w:p>
        <w:p>
          <w:pPr>
            <w:pStyle w:val="TOC2"/>
            <w:tabs>
              <w:tab w:pos="8950" w:val="right" w:leader="dot"/>
            </w:tabs>
            <w:spacing w:line="278" w:lineRule="auto"/>
            <w:ind w:left="340" w:right="107" w:firstLine="0"/>
          </w:pPr>
          <w:hyperlink w:history="true" w:anchor="_TOC_250028">
            <w:r>
              <w:rPr/>
              <w:t>2.5 Análisis de los resultados y diseño de estrategias de prevención y gestión en los asentamientos humanos expuestos a</w:t>
            </w:r>
            <w:r>
              <w:rPr>
                <w:spacing w:val="-9"/>
              </w:rPr>
              <w:t> </w:t>
            </w:r>
            <w:r>
              <w:rPr/>
              <w:t>las</w:t>
            </w:r>
            <w:r>
              <w:rPr>
                <w:spacing w:val="-3"/>
              </w:rPr>
              <w:t> </w:t>
            </w:r>
            <w:r>
              <w:rPr/>
              <w:t>inundaciones.</w:t>
              <w:tab/>
              <w:t>57</w:t>
            </w:r>
          </w:hyperlink>
        </w:p>
        <w:p>
          <w:pPr>
            <w:pStyle w:val="TOC1"/>
            <w:tabs>
              <w:tab w:pos="8950" w:val="right" w:leader="dot"/>
            </w:tabs>
            <w:spacing w:line="273" w:lineRule="auto" w:before="187"/>
            <w:ind w:right="99"/>
            <w:jc w:val="both"/>
          </w:pPr>
          <w:hyperlink w:history="true" w:anchor="_TOC_250027">
            <w:r>
              <w:rPr/>
              <w:t>CAPÍTULO 3. ANÁLISIS DE LOS FACTORES FÍSICO-NATURALES Y LA ESTRUCTURA POBLACIONAL QUE PROVOCAN LAS INUNDACIONES EN </w:t>
            </w:r>
            <w:r>
              <w:rPr>
                <w:spacing w:val="3"/>
              </w:rPr>
              <w:t>LA </w:t>
            </w:r>
            <w:r>
              <w:rPr/>
              <w:t>ZMT</w:t>
              <w:tab/>
              <w:t>58</w:t>
            </w:r>
          </w:hyperlink>
        </w:p>
        <w:p>
          <w:pPr>
            <w:pStyle w:val="TOC2"/>
            <w:numPr>
              <w:ilvl w:val="1"/>
              <w:numId w:val="7"/>
            </w:numPr>
            <w:tabs>
              <w:tab w:pos="668" w:val="left" w:leader="none"/>
              <w:tab w:pos="8950" w:val="right" w:leader="dot"/>
            </w:tabs>
            <w:spacing w:line="240" w:lineRule="auto" w:before="220" w:after="0"/>
            <w:ind w:left="667" w:right="0" w:hanging="327"/>
            <w:jc w:val="left"/>
          </w:pPr>
          <w:hyperlink w:history="true" w:anchor="_TOC_250026">
            <w:r>
              <w:rPr/>
              <w:t>Análisis de los</w:t>
            </w:r>
            <w:r>
              <w:rPr>
                <w:spacing w:val="-7"/>
              </w:rPr>
              <w:t> </w:t>
            </w:r>
            <w:r>
              <w:rPr/>
              <w:t>factores</w:t>
            </w:r>
            <w:r>
              <w:rPr>
                <w:spacing w:val="-3"/>
              </w:rPr>
              <w:t> </w:t>
            </w:r>
            <w:r>
              <w:rPr/>
              <w:t>físico-naturales</w:t>
              <w:tab/>
              <w:t>58</w:t>
            </w:r>
          </w:hyperlink>
        </w:p>
        <w:p>
          <w:pPr>
            <w:pStyle w:val="TOC3"/>
            <w:numPr>
              <w:ilvl w:val="2"/>
              <w:numId w:val="7"/>
            </w:numPr>
            <w:tabs>
              <w:tab w:pos="1104" w:val="left" w:leader="none"/>
              <w:tab w:pos="8950" w:val="right" w:leader="dot"/>
            </w:tabs>
            <w:spacing w:line="240" w:lineRule="auto" w:before="240" w:after="0"/>
            <w:ind w:left="1103" w:right="0" w:hanging="542"/>
            <w:jc w:val="left"/>
          </w:pPr>
          <w:hyperlink w:history="true" w:anchor="_TOC_250025">
            <w:r>
              <w:rPr/>
              <w:t>Ubicación de la zona</w:t>
            </w:r>
            <w:r>
              <w:rPr>
                <w:spacing w:val="-10"/>
              </w:rPr>
              <w:t> </w:t>
            </w:r>
            <w:r>
              <w:rPr/>
              <w:t>de</w:t>
            </w:r>
            <w:r>
              <w:rPr>
                <w:spacing w:val="-2"/>
              </w:rPr>
              <w:t> </w:t>
            </w:r>
            <w:r>
              <w:rPr/>
              <w:t>estudio</w:t>
              <w:tab/>
              <w:t>59</w:t>
            </w:r>
          </w:hyperlink>
        </w:p>
        <w:p>
          <w:pPr>
            <w:pStyle w:val="TOC3"/>
            <w:numPr>
              <w:ilvl w:val="2"/>
              <w:numId w:val="7"/>
            </w:numPr>
            <w:tabs>
              <w:tab w:pos="1057" w:val="left" w:leader="none"/>
              <w:tab w:pos="8950" w:val="right" w:leader="dot"/>
            </w:tabs>
            <w:spacing w:line="240" w:lineRule="auto" w:before="240" w:after="0"/>
            <w:ind w:left="1056" w:right="0" w:hanging="495"/>
            <w:jc w:val="left"/>
          </w:pPr>
          <w:hyperlink w:history="true" w:anchor="_TOC_250024">
            <w:r>
              <w:rPr/>
              <w:t>Clasificación de la</w:t>
            </w:r>
            <w:r>
              <w:rPr>
                <w:spacing w:val="-8"/>
              </w:rPr>
              <w:t> </w:t>
            </w:r>
            <w:r>
              <w:rPr/>
              <w:t>vulnerabilidad</w:t>
            </w:r>
            <w:r>
              <w:rPr>
                <w:spacing w:val="-4"/>
              </w:rPr>
              <w:t> </w:t>
            </w:r>
            <w:r>
              <w:rPr/>
              <w:t>edafológica</w:t>
              <w:tab/>
              <w:t>62</w:t>
            </w:r>
          </w:hyperlink>
        </w:p>
        <w:p>
          <w:pPr>
            <w:pStyle w:val="TOC3"/>
            <w:numPr>
              <w:ilvl w:val="2"/>
              <w:numId w:val="7"/>
            </w:numPr>
            <w:tabs>
              <w:tab w:pos="1056" w:val="left" w:leader="none"/>
              <w:tab w:pos="8950" w:val="right" w:leader="dot"/>
            </w:tabs>
            <w:spacing w:line="240" w:lineRule="auto" w:before="240" w:after="0"/>
            <w:ind w:left="1055" w:right="0" w:hanging="494"/>
            <w:jc w:val="left"/>
          </w:pPr>
          <w:hyperlink w:history="true" w:anchor="_TOC_250023">
            <w:r>
              <w:rPr/>
              <w:t>Clasificación de la vulnerabilidad del uso de suelo</w:t>
            </w:r>
            <w:r>
              <w:rPr>
                <w:spacing w:val="-20"/>
              </w:rPr>
              <w:t> </w:t>
            </w:r>
            <w:r>
              <w:rPr/>
              <w:t>y</w:t>
            </w:r>
            <w:r>
              <w:rPr>
                <w:spacing w:val="-3"/>
              </w:rPr>
              <w:t> </w:t>
            </w:r>
            <w:r>
              <w:rPr/>
              <w:t>vegetación</w:t>
              <w:tab/>
              <w:t>65</w:t>
            </w:r>
          </w:hyperlink>
        </w:p>
        <w:p>
          <w:pPr>
            <w:pStyle w:val="TOC3"/>
            <w:numPr>
              <w:ilvl w:val="2"/>
              <w:numId w:val="7"/>
            </w:numPr>
            <w:tabs>
              <w:tab w:pos="1056" w:val="left" w:leader="none"/>
              <w:tab w:pos="8950" w:val="right" w:leader="dot"/>
            </w:tabs>
            <w:spacing w:line="240" w:lineRule="auto" w:before="240" w:after="0"/>
            <w:ind w:left="1055" w:right="0" w:hanging="494"/>
            <w:jc w:val="left"/>
          </w:pPr>
          <w:hyperlink w:history="true" w:anchor="_TOC_250022">
            <w:r>
              <w:rPr/>
              <w:t>Clasificación de la</w:t>
            </w:r>
            <w:r>
              <w:rPr>
                <w:spacing w:val="-8"/>
              </w:rPr>
              <w:t> </w:t>
            </w:r>
            <w:r>
              <w:rPr/>
              <w:t>vulnerabilidad</w:t>
            </w:r>
            <w:r>
              <w:rPr>
                <w:spacing w:val="-4"/>
              </w:rPr>
              <w:t> </w:t>
            </w:r>
            <w:r>
              <w:rPr/>
              <w:t>hidrológica</w:t>
              <w:tab/>
              <w:t>68</w:t>
            </w:r>
          </w:hyperlink>
        </w:p>
        <w:p>
          <w:pPr>
            <w:pStyle w:val="TOC4"/>
            <w:tabs>
              <w:tab w:pos="8950" w:val="right" w:leader="dot"/>
            </w:tabs>
            <w:ind w:left="782" w:firstLine="0"/>
          </w:pPr>
          <w:hyperlink w:history="true" w:anchor="_TOC_250021">
            <w:r>
              <w:rPr/>
              <w:t>3.1.4.1 Parámetros morfométricos de</w:t>
            </w:r>
            <w:r>
              <w:rPr>
                <w:spacing w:val="-11"/>
              </w:rPr>
              <w:t> </w:t>
            </w:r>
            <w:r>
              <w:rPr/>
              <w:t>la</w:t>
            </w:r>
            <w:r>
              <w:rPr>
                <w:spacing w:val="-3"/>
              </w:rPr>
              <w:t> </w:t>
            </w:r>
            <w:r>
              <w:rPr/>
              <w:t>ZMT</w:t>
              <w:tab/>
              <w:t>72</w:t>
            </w:r>
          </w:hyperlink>
        </w:p>
        <w:p>
          <w:pPr>
            <w:pStyle w:val="TOC2"/>
            <w:numPr>
              <w:ilvl w:val="1"/>
              <w:numId w:val="7"/>
            </w:numPr>
            <w:tabs>
              <w:tab w:pos="668" w:val="left" w:leader="none"/>
              <w:tab w:pos="8950" w:val="right" w:leader="dot"/>
            </w:tabs>
            <w:spacing w:line="240" w:lineRule="auto" w:before="240" w:after="0"/>
            <w:ind w:left="667" w:right="0" w:hanging="327"/>
            <w:jc w:val="left"/>
          </w:pPr>
          <w:hyperlink w:history="true" w:anchor="_TOC_250020">
            <w:r>
              <w:rPr/>
              <w:t>Análisis de la</w:t>
            </w:r>
            <w:r>
              <w:rPr>
                <w:spacing w:val="-7"/>
              </w:rPr>
              <w:t> </w:t>
            </w:r>
            <w:r>
              <w:rPr/>
              <w:t>estructura</w:t>
            </w:r>
            <w:r>
              <w:rPr>
                <w:spacing w:val="-4"/>
              </w:rPr>
              <w:t> </w:t>
            </w:r>
            <w:r>
              <w:rPr/>
              <w:t>poblacional</w:t>
              <w:tab/>
              <w:t>77</w:t>
            </w:r>
          </w:hyperlink>
        </w:p>
        <w:p>
          <w:pPr>
            <w:pStyle w:val="TOC3"/>
            <w:numPr>
              <w:ilvl w:val="2"/>
              <w:numId w:val="7"/>
            </w:numPr>
            <w:tabs>
              <w:tab w:pos="1056" w:val="left" w:leader="none"/>
              <w:tab w:pos="8950" w:val="right" w:leader="dot"/>
            </w:tabs>
            <w:spacing w:line="240" w:lineRule="auto" w:before="241" w:after="0"/>
            <w:ind w:left="1055" w:right="0" w:hanging="494"/>
            <w:jc w:val="left"/>
          </w:pPr>
          <w:hyperlink w:history="true" w:anchor="_TOC_250019">
            <w:r>
              <w:rPr/>
              <w:t>Distribución poblacional de</w:t>
            </w:r>
            <w:r>
              <w:rPr>
                <w:spacing w:val="-7"/>
              </w:rPr>
              <w:t> </w:t>
            </w:r>
            <w:r>
              <w:rPr/>
              <w:t>la</w:t>
            </w:r>
            <w:r>
              <w:rPr>
                <w:spacing w:val="-3"/>
              </w:rPr>
              <w:t> </w:t>
            </w:r>
            <w:r>
              <w:rPr/>
              <w:t>ZMT</w:t>
              <w:tab/>
              <w:t>78</w:t>
            </w:r>
          </w:hyperlink>
        </w:p>
        <w:p>
          <w:pPr>
            <w:pStyle w:val="TOC3"/>
            <w:numPr>
              <w:ilvl w:val="2"/>
              <w:numId w:val="7"/>
            </w:numPr>
            <w:tabs>
              <w:tab w:pos="1056" w:val="left" w:leader="none"/>
              <w:tab w:pos="8950" w:val="right" w:leader="dot"/>
            </w:tabs>
            <w:spacing w:line="240" w:lineRule="auto" w:before="240" w:after="0"/>
            <w:ind w:left="1055" w:right="0" w:hanging="494"/>
            <w:jc w:val="left"/>
          </w:pPr>
          <w:hyperlink w:history="true" w:anchor="_TOC_250018">
            <w:r>
              <w:rPr/>
              <w:t>Clasificación  de la vulnerabilidad poblacional de</w:t>
            </w:r>
            <w:r>
              <w:rPr>
                <w:spacing w:val="-17"/>
              </w:rPr>
              <w:t> </w:t>
            </w:r>
            <w:r>
              <w:rPr/>
              <w:t>la</w:t>
            </w:r>
            <w:r>
              <w:rPr>
                <w:spacing w:val="-3"/>
              </w:rPr>
              <w:t> </w:t>
            </w:r>
            <w:r>
              <w:rPr/>
              <w:t>ZMT</w:t>
              <w:tab/>
              <w:t>80</w:t>
            </w:r>
          </w:hyperlink>
        </w:p>
        <w:p>
          <w:pPr>
            <w:pStyle w:val="TOC1"/>
            <w:tabs>
              <w:tab w:pos="1554" w:val="left" w:leader="none"/>
              <w:tab w:pos="1963" w:val="left" w:leader="none"/>
              <w:tab w:pos="8950" w:val="right" w:leader="dot"/>
            </w:tabs>
            <w:spacing w:line="271" w:lineRule="auto" w:before="229"/>
            <w:ind w:right="107"/>
          </w:pPr>
          <w:hyperlink w:history="true" w:anchor="_TOC_250017">
            <w:r>
              <w:rPr/>
              <w:t>CAPÍTULO</w:t>
              <w:tab/>
              <w:t>4.</w:t>
              <w:tab/>
              <w:t>IDENTIFICACIÓN      DE   LAS   ZONAS   DE  </w:t>
            </w:r>
            <w:r>
              <w:rPr>
                <w:spacing w:val="17"/>
              </w:rPr>
              <w:t> </w:t>
            </w:r>
            <w:r>
              <w:rPr/>
              <w:t>RIESGOS  </w:t>
            </w:r>
            <w:r>
              <w:rPr>
                <w:spacing w:val="6"/>
              </w:rPr>
              <w:t> </w:t>
            </w:r>
            <w:r>
              <w:rPr/>
              <w:t>POR</w:t>
            </w:r>
            <w:r>
              <w:rPr>
                <w:w w:val="100"/>
              </w:rPr>
              <w:t> </w:t>
            </w:r>
            <w:r>
              <w:rPr/>
              <w:t>INUNDACIONES</w:t>
              <w:tab/>
              <w:t>82</w:t>
            </w:r>
          </w:hyperlink>
        </w:p>
        <w:p>
          <w:pPr>
            <w:pStyle w:val="TOC2"/>
            <w:tabs>
              <w:tab w:pos="8950" w:val="right" w:leader="dot"/>
            </w:tabs>
            <w:spacing w:before="223"/>
            <w:ind w:left="340" w:firstLine="0"/>
          </w:pPr>
          <w:hyperlink w:history="true" w:anchor="_TOC_250016">
            <w:r>
              <w:rPr/>
              <w:t>4.1 Clasificación  de la vulnerabilidad con base al índice de marginación de</w:t>
            </w:r>
            <w:r>
              <w:rPr>
                <w:spacing w:val="-31"/>
              </w:rPr>
              <w:t> </w:t>
            </w:r>
            <w:r>
              <w:rPr/>
              <w:t>la</w:t>
            </w:r>
            <w:r>
              <w:rPr>
                <w:spacing w:val="-3"/>
              </w:rPr>
              <w:t> </w:t>
            </w:r>
            <w:r>
              <w:rPr/>
              <w:t>ZMT</w:t>
              <w:tab/>
              <w:t>82</w:t>
            </w:r>
          </w:hyperlink>
        </w:p>
        <w:p>
          <w:pPr>
            <w:pStyle w:val="TOC2"/>
            <w:numPr>
              <w:ilvl w:val="1"/>
              <w:numId w:val="8"/>
            </w:numPr>
            <w:tabs>
              <w:tab w:pos="668" w:val="left" w:leader="none"/>
              <w:tab w:pos="8950" w:val="right" w:leader="dot"/>
            </w:tabs>
            <w:spacing w:line="276" w:lineRule="auto" w:before="240" w:after="0"/>
            <w:ind w:left="340" w:right="107" w:firstLine="0"/>
            <w:jc w:val="left"/>
          </w:pPr>
          <w:hyperlink w:history="true" w:anchor="_TOC_250015">
            <w:r>
              <w:rPr/>
              <w:t>Integración de indicadores físico-naturales para determinar el riesgo a inundaciones en la ZMT</w:t>
              <w:tab/>
              <w:t>87</w:t>
            </w:r>
          </w:hyperlink>
        </w:p>
        <w:p>
          <w:pPr>
            <w:pStyle w:val="TOC2"/>
            <w:numPr>
              <w:ilvl w:val="1"/>
              <w:numId w:val="8"/>
            </w:numPr>
            <w:tabs>
              <w:tab w:pos="668" w:val="left" w:leader="none"/>
              <w:tab w:pos="8950" w:val="right" w:leader="dot"/>
            </w:tabs>
            <w:spacing w:line="240" w:lineRule="auto" w:before="200" w:after="0"/>
            <w:ind w:left="667" w:right="0" w:hanging="327"/>
            <w:jc w:val="left"/>
          </w:pPr>
          <w:hyperlink w:history="true" w:anchor="_TOC_250014">
            <w:r>
              <w:rPr/>
              <w:t>Aplicación del método EMC en un municipio de</w:t>
            </w:r>
            <w:r>
              <w:rPr>
                <w:spacing w:val="-18"/>
              </w:rPr>
              <w:t> </w:t>
            </w:r>
            <w:r>
              <w:rPr/>
              <w:t>la</w:t>
            </w:r>
            <w:r>
              <w:rPr>
                <w:spacing w:val="-3"/>
              </w:rPr>
              <w:t> </w:t>
            </w:r>
            <w:r>
              <w:rPr/>
              <w:t>ZMT</w:t>
              <w:tab/>
              <w:t>89</w:t>
            </w:r>
          </w:hyperlink>
        </w:p>
        <w:p>
          <w:pPr>
            <w:pStyle w:val="TOC1"/>
            <w:tabs>
              <w:tab w:pos="8950" w:val="right" w:leader="dot"/>
            </w:tabs>
            <w:spacing w:line="276" w:lineRule="auto" w:before="47"/>
            <w:ind w:right="107"/>
            <w:jc w:val="both"/>
          </w:pPr>
          <w:hyperlink w:history="true" w:anchor="_TOC_250013">
            <w:r>
              <w:rPr/>
              <w:t>CAPÍTULO 5. VULNERABILIDAD FÍSICA Y SOCIAL ANTE LAS INUNDACIONES, EN ASENTAMIENTOS HUMANOS DEL MUNICIPIO DE LERMA, ESTADO</w:t>
            </w:r>
            <w:r>
              <w:rPr>
                <w:spacing w:val="-1"/>
              </w:rPr>
              <w:t> </w:t>
            </w:r>
            <w:r>
              <w:rPr/>
              <w:t>DE</w:t>
            </w:r>
            <w:r>
              <w:rPr>
                <w:spacing w:val="2"/>
              </w:rPr>
              <w:t> </w:t>
            </w:r>
            <w:r>
              <w:rPr/>
              <w:t>MÉXICO</w:t>
              <w:tab/>
              <w:t>93</w:t>
            </w:r>
          </w:hyperlink>
        </w:p>
        <w:p>
          <w:pPr>
            <w:pStyle w:val="TOC2"/>
            <w:numPr>
              <w:ilvl w:val="1"/>
              <w:numId w:val="9"/>
            </w:numPr>
            <w:tabs>
              <w:tab w:pos="668" w:val="left" w:leader="none"/>
              <w:tab w:pos="8950" w:val="right" w:leader="dot"/>
            </w:tabs>
            <w:spacing w:line="240" w:lineRule="auto" w:before="213" w:after="0"/>
            <w:ind w:left="340" w:right="0" w:firstLine="0"/>
            <w:jc w:val="left"/>
          </w:pPr>
          <w:hyperlink w:history="true" w:anchor="_TOC_250012">
            <w:r>
              <w:rPr/>
              <w:t>Perfil sociodemográfico en el municipio</w:t>
            </w:r>
            <w:r>
              <w:rPr>
                <w:spacing w:val="-10"/>
              </w:rPr>
              <w:t> </w:t>
            </w:r>
            <w:r>
              <w:rPr/>
              <w:t>de</w:t>
            </w:r>
            <w:r>
              <w:rPr>
                <w:spacing w:val="-3"/>
              </w:rPr>
              <w:t> </w:t>
            </w:r>
            <w:r>
              <w:rPr/>
              <w:t>Lema.</w:t>
              <w:tab/>
              <w:t>94</w:t>
            </w:r>
          </w:hyperlink>
        </w:p>
        <w:p>
          <w:pPr>
            <w:pStyle w:val="TOC2"/>
            <w:numPr>
              <w:ilvl w:val="1"/>
              <w:numId w:val="9"/>
            </w:numPr>
            <w:tabs>
              <w:tab w:pos="668" w:val="left" w:leader="none"/>
              <w:tab w:pos="8950" w:val="right" w:leader="dot"/>
            </w:tabs>
            <w:spacing w:line="240" w:lineRule="auto" w:before="240" w:after="0"/>
            <w:ind w:left="667" w:right="0" w:hanging="327"/>
            <w:jc w:val="left"/>
          </w:pPr>
          <w:hyperlink w:history="true" w:anchor="_TOC_250011">
            <w:r>
              <w:rPr/>
              <w:t>Daños físicos ocasionados por</w:t>
            </w:r>
            <w:r>
              <w:rPr>
                <w:spacing w:val="-5"/>
              </w:rPr>
              <w:t> </w:t>
            </w:r>
            <w:r>
              <w:rPr/>
              <w:t>las</w:t>
            </w:r>
            <w:r>
              <w:rPr>
                <w:spacing w:val="-3"/>
              </w:rPr>
              <w:t> </w:t>
            </w:r>
            <w:r>
              <w:rPr/>
              <w:t>inundaciones.</w:t>
              <w:tab/>
              <w:t>99</w:t>
            </w:r>
          </w:hyperlink>
        </w:p>
        <w:p>
          <w:pPr>
            <w:pStyle w:val="TOC2"/>
            <w:numPr>
              <w:ilvl w:val="1"/>
              <w:numId w:val="9"/>
            </w:numPr>
            <w:tabs>
              <w:tab w:pos="998" w:val="left" w:leader="none"/>
              <w:tab w:pos="999" w:val="left" w:leader="none"/>
              <w:tab w:pos="8945" w:val="right" w:leader="dot"/>
            </w:tabs>
            <w:spacing w:line="240" w:lineRule="auto" w:before="240" w:after="0"/>
            <w:ind w:left="998" w:right="0" w:hanging="658"/>
            <w:jc w:val="left"/>
          </w:pPr>
          <w:hyperlink w:history="true" w:anchor="_TOC_250010">
            <w:r>
              <w:rPr/>
              <w:t>Presencia de las</w:t>
            </w:r>
            <w:r>
              <w:rPr>
                <w:spacing w:val="-7"/>
              </w:rPr>
              <w:t> </w:t>
            </w:r>
            <w:r>
              <w:rPr/>
              <w:t>instituciones</w:t>
            </w:r>
            <w:r>
              <w:rPr>
                <w:spacing w:val="-3"/>
              </w:rPr>
              <w:t> </w:t>
            </w:r>
            <w:r>
              <w:rPr/>
              <w:t>gubernamentales</w:t>
              <w:tab/>
            </w:r>
            <w:r>
              <w:rPr>
                <w:spacing w:val="-2"/>
              </w:rPr>
              <w:t>101</w:t>
            </w:r>
          </w:hyperlink>
        </w:p>
        <w:p>
          <w:pPr>
            <w:pStyle w:val="TOC2"/>
            <w:numPr>
              <w:ilvl w:val="1"/>
              <w:numId w:val="9"/>
            </w:numPr>
            <w:tabs>
              <w:tab w:pos="668" w:val="left" w:leader="none"/>
              <w:tab w:pos="8945" w:val="right" w:leader="dot"/>
            </w:tabs>
            <w:spacing w:line="240" w:lineRule="auto" w:before="240" w:after="0"/>
            <w:ind w:left="667" w:right="0" w:hanging="327"/>
            <w:jc w:val="left"/>
          </w:pPr>
          <w:hyperlink w:history="true" w:anchor="_TOC_250009">
            <w:r>
              <w:rPr/>
              <w:t>Tipología de vivienda y percepción</w:t>
            </w:r>
            <w:r>
              <w:rPr>
                <w:spacing w:val="-11"/>
              </w:rPr>
              <w:t> </w:t>
            </w:r>
            <w:r>
              <w:rPr/>
              <w:t>del riesgo</w:t>
              <w:tab/>
            </w:r>
            <w:r>
              <w:rPr>
                <w:spacing w:val="-2"/>
              </w:rPr>
              <w:t>102</w:t>
            </w:r>
          </w:hyperlink>
        </w:p>
        <w:p>
          <w:pPr>
            <w:pStyle w:val="TOC2"/>
            <w:numPr>
              <w:ilvl w:val="1"/>
              <w:numId w:val="9"/>
            </w:numPr>
            <w:tabs>
              <w:tab w:pos="715" w:val="left" w:leader="none"/>
              <w:tab w:pos="8945" w:val="right" w:leader="dot"/>
            </w:tabs>
            <w:spacing w:line="240" w:lineRule="auto" w:before="240" w:after="0"/>
            <w:ind w:left="715" w:right="0" w:hanging="375"/>
            <w:jc w:val="left"/>
          </w:pPr>
          <w:r>
            <w:rPr/>
            <w:t>Marco jurídico</w:t>
            <w:tab/>
          </w:r>
          <w:r>
            <w:rPr>
              <w:spacing w:val="-2"/>
            </w:rPr>
            <w:t>104</w:t>
          </w:r>
        </w:p>
        <w:p>
          <w:pPr>
            <w:pStyle w:val="TOC2"/>
            <w:numPr>
              <w:ilvl w:val="1"/>
              <w:numId w:val="9"/>
            </w:numPr>
            <w:tabs>
              <w:tab w:pos="668" w:val="left" w:leader="none"/>
              <w:tab w:pos="8945" w:val="right" w:leader="dot"/>
            </w:tabs>
            <w:spacing w:line="278" w:lineRule="auto" w:before="241" w:after="0"/>
            <w:ind w:left="340" w:right="112" w:firstLine="0"/>
            <w:jc w:val="left"/>
          </w:pPr>
          <w:hyperlink w:history="true" w:anchor="_TOC_250008">
            <w:r>
              <w:rPr/>
              <w:t>Estrategias para la prevención y gestión urbana en los asentamientos humanos expuestos a las</w:t>
            </w:r>
            <w:r>
              <w:rPr>
                <w:spacing w:val="-2"/>
              </w:rPr>
              <w:t> </w:t>
            </w:r>
            <w:r>
              <w:rPr/>
              <w:t>inundaciones.</w:t>
              <w:tab/>
            </w:r>
            <w:r>
              <w:rPr>
                <w:spacing w:val="-2"/>
              </w:rPr>
              <w:t>108</w:t>
            </w:r>
          </w:hyperlink>
        </w:p>
        <w:p>
          <w:pPr>
            <w:pStyle w:val="TOC1"/>
            <w:tabs>
              <w:tab w:pos="8954" w:val="right" w:leader="dot"/>
            </w:tabs>
            <w:spacing w:before="181"/>
          </w:pPr>
          <w:hyperlink w:history="true" w:anchor="_TOC_250007">
            <w:r>
              <w:rPr/>
              <w:t>DISCUSIÓN DE</w:t>
            </w:r>
            <w:r>
              <w:rPr>
                <w:spacing w:val="-3"/>
              </w:rPr>
              <w:t> </w:t>
            </w:r>
            <w:r>
              <w:rPr/>
              <w:t>LOS</w:t>
            </w:r>
            <w:r>
              <w:rPr>
                <w:spacing w:val="-3"/>
              </w:rPr>
              <w:t> </w:t>
            </w:r>
            <w:r>
              <w:rPr/>
              <w:t>RESULTADOS</w:t>
              <w:tab/>
              <w:t>115</w:t>
            </w:r>
          </w:hyperlink>
        </w:p>
        <w:p>
          <w:pPr>
            <w:pStyle w:val="TOC1"/>
            <w:tabs>
              <w:tab w:pos="8954" w:val="right" w:leader="dot"/>
            </w:tabs>
          </w:pPr>
          <w:hyperlink w:history="true" w:anchor="_TOC_250006">
            <w:r>
              <w:rPr/>
              <w:t>CONCLUSIONES</w:t>
              <w:tab/>
              <w:t>122</w:t>
            </w:r>
          </w:hyperlink>
        </w:p>
        <w:p>
          <w:pPr>
            <w:pStyle w:val="TOC1"/>
            <w:tabs>
              <w:tab w:pos="8954" w:val="right" w:leader="dot"/>
            </w:tabs>
            <w:spacing w:before="238"/>
          </w:pPr>
          <w:hyperlink w:history="true" w:anchor="_TOC_250005">
            <w:r>
              <w:rPr/>
              <w:t>BIBLIOGRAFÍA</w:t>
              <w:tab/>
              <w:t>125</w:t>
            </w:r>
          </w:hyperlink>
        </w:p>
        <w:p>
          <w:pPr>
            <w:pStyle w:val="TOC1"/>
            <w:tabs>
              <w:tab w:pos="8954" w:val="right" w:leader="dot"/>
            </w:tabs>
          </w:pPr>
          <w:r>
            <w:rPr/>
            <w:t>Anexos</w:t>
            <w:tab/>
            <w:t>135</w:t>
          </w:r>
        </w:p>
        <w:p>
          <w:pPr>
            <w:pStyle w:val="TOC1"/>
            <w:tabs>
              <w:tab w:pos="8954" w:val="right" w:leader="dot"/>
            </w:tabs>
          </w:pPr>
          <w:hyperlink w:history="true" w:anchor="_TOC_250004">
            <w:r>
              <w:rPr/>
              <w:t>Índice</w:t>
            </w:r>
            <w:r>
              <w:rPr>
                <w:spacing w:val="-1"/>
              </w:rPr>
              <w:t> </w:t>
            </w:r>
            <w:r>
              <w:rPr/>
              <w:t>de</w:t>
            </w:r>
            <w:r>
              <w:rPr>
                <w:spacing w:val="-1"/>
              </w:rPr>
              <w:t> </w:t>
            </w:r>
            <w:r>
              <w:rPr/>
              <w:t>tablas</w:t>
              <w:tab/>
              <w:t>136</w:t>
            </w:r>
          </w:hyperlink>
        </w:p>
        <w:p>
          <w:pPr>
            <w:pStyle w:val="TOC1"/>
            <w:tabs>
              <w:tab w:pos="8954" w:val="right" w:leader="dot"/>
            </w:tabs>
            <w:spacing w:before="243"/>
          </w:pPr>
          <w:hyperlink w:history="true" w:anchor="_TOC_250003">
            <w:r>
              <w:rPr/>
              <w:t>Índice</w:t>
            </w:r>
            <w:r>
              <w:rPr>
                <w:spacing w:val="-1"/>
              </w:rPr>
              <w:t> </w:t>
            </w:r>
            <w:r>
              <w:rPr/>
              <w:t>de</w:t>
            </w:r>
            <w:r>
              <w:rPr>
                <w:spacing w:val="-1"/>
              </w:rPr>
              <w:t> </w:t>
            </w:r>
            <w:r>
              <w:rPr/>
              <w:t>figuras</w:t>
              <w:tab/>
              <w:t>137</w:t>
            </w:r>
          </w:hyperlink>
        </w:p>
        <w:p>
          <w:pPr>
            <w:pStyle w:val="TOC1"/>
            <w:tabs>
              <w:tab w:pos="8954" w:val="right" w:leader="dot"/>
            </w:tabs>
          </w:pPr>
          <w:hyperlink w:history="true" w:anchor="_TOC_250002">
            <w:r>
              <w:rPr/>
              <w:t>Índice</w:t>
            </w:r>
            <w:r>
              <w:rPr>
                <w:spacing w:val="-1"/>
              </w:rPr>
              <w:t> </w:t>
            </w:r>
            <w:r>
              <w:rPr/>
              <w:t>de</w:t>
            </w:r>
            <w:r>
              <w:rPr>
                <w:spacing w:val="-1"/>
              </w:rPr>
              <w:t> </w:t>
            </w:r>
            <w:r>
              <w:rPr/>
              <w:t>mapas</w:t>
              <w:tab/>
              <w:t>137</w:t>
            </w:r>
          </w:hyperlink>
        </w:p>
        <w:p>
          <w:pPr>
            <w:pStyle w:val="TOC1"/>
            <w:tabs>
              <w:tab w:pos="8954" w:val="right" w:leader="dot"/>
            </w:tabs>
            <w:spacing w:before="238"/>
          </w:pPr>
          <w:hyperlink w:history="true" w:anchor="_TOC_250001">
            <w:r>
              <w:rPr/>
              <w:t>Índice</w:t>
            </w:r>
            <w:r>
              <w:rPr>
                <w:spacing w:val="-1"/>
              </w:rPr>
              <w:t> </w:t>
            </w:r>
            <w:r>
              <w:rPr/>
              <w:t>de</w:t>
            </w:r>
            <w:r>
              <w:rPr>
                <w:spacing w:val="-1"/>
              </w:rPr>
              <w:t> </w:t>
            </w:r>
            <w:r>
              <w:rPr/>
              <w:t>gráficas</w:t>
              <w:tab/>
              <w:t>138</w:t>
            </w:r>
          </w:hyperlink>
        </w:p>
        <w:p>
          <w:pPr>
            <w:pStyle w:val="TOC1"/>
            <w:tabs>
              <w:tab w:pos="8954" w:val="right" w:leader="dot"/>
            </w:tabs>
          </w:pPr>
          <w:hyperlink w:history="true" w:anchor="_TOC_250000">
            <w:r>
              <w:rPr/>
              <w:t>Documentos probatorios</w:t>
            </w:r>
            <w:r>
              <w:rPr>
                <w:spacing w:val="-1"/>
              </w:rPr>
              <w:t> </w:t>
            </w:r>
            <w:r>
              <w:rPr/>
              <w:t>de</w:t>
            </w:r>
            <w:r>
              <w:rPr>
                <w:spacing w:val="-5"/>
              </w:rPr>
              <w:t> </w:t>
            </w:r>
            <w:r>
              <w:rPr/>
              <w:t>publicaciones</w:t>
              <w:tab/>
              <w:t>139</w:t>
            </w:r>
          </w:hyperlink>
        </w:p>
      </w:sdtContent>
    </w:sdt>
    <w:p>
      <w:pPr>
        <w:spacing w:after="0"/>
        <w:sectPr>
          <w:type w:val="continuous"/>
          <w:pgSz w:w="12240" w:h="15840"/>
          <w:pgMar w:top="1360" w:bottom="1855" w:left="1580" w:right="1600"/>
        </w:sectPr>
      </w:pPr>
    </w:p>
    <w:p>
      <w:pPr>
        <w:pStyle w:val="Heading2"/>
        <w:spacing w:before="42"/>
        <w:ind w:left="96" w:right="96"/>
        <w:jc w:val="center"/>
      </w:pPr>
      <w:bookmarkStart w:name="_TOC_250051" w:id="3"/>
      <w:bookmarkEnd w:id="3"/>
      <w:r>
        <w:rPr/>
        <w:t>Resumen</w:t>
      </w:r>
    </w:p>
    <w:p>
      <w:pPr>
        <w:pStyle w:val="BodyText"/>
        <w:spacing w:line="360" w:lineRule="auto" w:before="334"/>
        <w:ind w:left="119" w:right="113"/>
        <w:jc w:val="both"/>
      </w:pPr>
      <w:r>
        <w:rPr/>
        <w:t>La investigación se ubica en la línea de Sustentabilidad Ambiental Urbana, su naturaleza transdisciplinar requiere desarrollar el cuerpo teórico, los métodos e instrumentos que coadyuven en el mejoramiento de la calidad de vida de </w:t>
      </w:r>
      <w:r>
        <w:rPr>
          <w:spacing w:val="4"/>
        </w:rPr>
        <w:t>los </w:t>
      </w:r>
      <w:r>
        <w:rPr/>
        <w:t>habitantes</w:t>
      </w:r>
      <w:r>
        <w:rPr>
          <w:spacing w:val="-12"/>
        </w:rPr>
        <w:t> </w:t>
      </w:r>
      <w:r>
        <w:rPr/>
        <w:t>de</w:t>
      </w:r>
      <w:r>
        <w:rPr>
          <w:spacing w:val="-14"/>
        </w:rPr>
        <w:t> </w:t>
      </w:r>
      <w:r>
        <w:rPr/>
        <w:t>las</w:t>
      </w:r>
      <w:r>
        <w:rPr>
          <w:spacing w:val="-7"/>
        </w:rPr>
        <w:t> </w:t>
      </w:r>
      <w:r>
        <w:rPr/>
        <w:t>ciudades.</w:t>
      </w:r>
      <w:r>
        <w:rPr>
          <w:spacing w:val="-11"/>
        </w:rPr>
        <w:t> </w:t>
      </w:r>
      <w:r>
        <w:rPr/>
        <w:t>El</w:t>
      </w:r>
      <w:r>
        <w:rPr>
          <w:spacing w:val="-7"/>
        </w:rPr>
        <w:t> </w:t>
      </w:r>
      <w:r>
        <w:rPr/>
        <w:t>estudio</w:t>
      </w:r>
      <w:r>
        <w:rPr>
          <w:spacing w:val="-6"/>
        </w:rPr>
        <w:t> </w:t>
      </w:r>
      <w:r>
        <w:rPr/>
        <w:t>evalúa</w:t>
      </w:r>
      <w:r>
        <w:rPr>
          <w:spacing w:val="-11"/>
        </w:rPr>
        <w:t> </w:t>
      </w:r>
      <w:r>
        <w:rPr/>
        <w:t>los</w:t>
      </w:r>
      <w:r>
        <w:rPr>
          <w:spacing w:val="-6"/>
        </w:rPr>
        <w:t> </w:t>
      </w:r>
      <w:r>
        <w:rPr/>
        <w:t>factores</w:t>
      </w:r>
      <w:r>
        <w:rPr>
          <w:spacing w:val="-7"/>
        </w:rPr>
        <w:t> </w:t>
      </w:r>
      <w:r>
        <w:rPr/>
        <w:t>físico-naturales</w:t>
      </w:r>
      <w:r>
        <w:rPr>
          <w:spacing w:val="-10"/>
        </w:rPr>
        <w:t> </w:t>
      </w:r>
      <w:r>
        <w:rPr/>
        <w:t>y</w:t>
      </w:r>
      <w:r>
        <w:rPr>
          <w:spacing w:val="-7"/>
        </w:rPr>
        <w:t> </w:t>
      </w:r>
      <w:r>
        <w:rPr/>
        <w:t>sociales que</w:t>
      </w:r>
      <w:r>
        <w:rPr>
          <w:spacing w:val="-12"/>
        </w:rPr>
        <w:t> </w:t>
      </w:r>
      <w:r>
        <w:rPr/>
        <w:t>definen</w:t>
      </w:r>
      <w:r>
        <w:rPr>
          <w:spacing w:val="-12"/>
        </w:rPr>
        <w:t> </w:t>
      </w:r>
      <w:r>
        <w:rPr/>
        <w:t>el</w:t>
      </w:r>
      <w:r>
        <w:rPr>
          <w:spacing w:val="-13"/>
        </w:rPr>
        <w:t> </w:t>
      </w:r>
      <w:r>
        <w:rPr/>
        <w:t>grado</w:t>
      </w:r>
      <w:r>
        <w:rPr>
          <w:spacing w:val="-12"/>
        </w:rPr>
        <w:t> </w:t>
      </w:r>
      <w:r>
        <w:rPr/>
        <w:t>de</w:t>
      </w:r>
      <w:r>
        <w:rPr>
          <w:spacing w:val="-9"/>
        </w:rPr>
        <w:t> </w:t>
      </w:r>
      <w:r>
        <w:rPr/>
        <w:t>susceptibilidad</w:t>
      </w:r>
      <w:r>
        <w:rPr>
          <w:spacing w:val="-9"/>
        </w:rPr>
        <w:t> </w:t>
      </w:r>
      <w:r>
        <w:rPr/>
        <w:t>de</w:t>
      </w:r>
      <w:r>
        <w:rPr>
          <w:spacing w:val="-17"/>
        </w:rPr>
        <w:t> </w:t>
      </w:r>
      <w:r>
        <w:rPr/>
        <w:t>los</w:t>
      </w:r>
      <w:r>
        <w:rPr>
          <w:spacing w:val="-17"/>
        </w:rPr>
        <w:t> </w:t>
      </w:r>
      <w:r>
        <w:rPr/>
        <w:t>asentamientos</w:t>
      </w:r>
      <w:r>
        <w:rPr>
          <w:spacing w:val="-13"/>
        </w:rPr>
        <w:t> </w:t>
      </w:r>
      <w:r>
        <w:rPr/>
        <w:t>humanos</w:t>
      </w:r>
      <w:r>
        <w:rPr>
          <w:spacing w:val="-13"/>
        </w:rPr>
        <w:t> </w:t>
      </w:r>
      <w:r>
        <w:rPr/>
        <w:t>a</w:t>
      </w:r>
      <w:r>
        <w:rPr>
          <w:spacing w:val="-8"/>
        </w:rPr>
        <w:t> </w:t>
      </w:r>
      <w:r>
        <w:rPr/>
        <w:t>los</w:t>
      </w:r>
      <w:r>
        <w:rPr>
          <w:spacing w:val="-17"/>
        </w:rPr>
        <w:t> </w:t>
      </w:r>
      <w:r>
        <w:rPr/>
        <w:t>riesgos por inundación en la Zona Metropolitana de Toluca (ZMT). Se analiza la vulnerabilidad física y social a inundaciones en la región y en cinco localidades del municipio de Lerma; </w:t>
      </w:r>
      <w:r>
        <w:rPr>
          <w:spacing w:val="-2"/>
        </w:rPr>
        <w:t>mismas </w:t>
      </w:r>
      <w:r>
        <w:rPr/>
        <w:t>que han </w:t>
      </w:r>
      <w:r>
        <w:rPr>
          <w:spacing w:val="-3"/>
        </w:rPr>
        <w:t>sido </w:t>
      </w:r>
      <w:r>
        <w:rPr/>
        <w:t>afectadas repetidamente por las inundaciones que se producen como resultado de las características físico- naturales de la cuenca, las condiciones de terreno no apto para la urbanización y las decisiones u omisiones gubernamentales. Se determinaron los parámetros morfométricos de la cuenca, mediante el software ArGis 9.2 y la extensión DetermHidro se elaboró el Modelo Digital de Elevación (MDE), para modelar los flujos de agua y la red de drenaje. La clasificación de la vulnerabilidad hidrológica se realizó mediante los Sistemas de Información Geográfica (SIG) y el método evaluación</w:t>
      </w:r>
      <w:r>
        <w:rPr>
          <w:spacing w:val="-11"/>
        </w:rPr>
        <w:t> </w:t>
      </w:r>
      <w:r>
        <w:rPr/>
        <w:t>multicriterio</w:t>
      </w:r>
      <w:r>
        <w:rPr>
          <w:spacing w:val="-11"/>
        </w:rPr>
        <w:t> </w:t>
      </w:r>
      <w:r>
        <w:rPr/>
        <w:t>(EMC).</w:t>
      </w:r>
      <w:r>
        <w:rPr>
          <w:spacing w:val="-6"/>
        </w:rPr>
        <w:t> </w:t>
      </w:r>
      <w:r>
        <w:rPr/>
        <w:t>Para</w:t>
      </w:r>
      <w:r>
        <w:rPr>
          <w:spacing w:val="-11"/>
        </w:rPr>
        <w:t> </w:t>
      </w:r>
      <w:r>
        <w:rPr/>
        <w:t>identificar</w:t>
      </w:r>
      <w:r>
        <w:rPr>
          <w:spacing w:val="-15"/>
        </w:rPr>
        <w:t> </w:t>
      </w:r>
      <w:r>
        <w:rPr/>
        <w:t>la</w:t>
      </w:r>
      <w:r>
        <w:rPr>
          <w:spacing w:val="-11"/>
        </w:rPr>
        <w:t> </w:t>
      </w:r>
      <w:r>
        <w:rPr/>
        <w:t>percepción</w:t>
      </w:r>
      <w:r>
        <w:rPr>
          <w:spacing w:val="-10"/>
        </w:rPr>
        <w:t> </w:t>
      </w:r>
      <w:r>
        <w:rPr/>
        <w:t>de</w:t>
      </w:r>
      <w:r>
        <w:rPr>
          <w:spacing w:val="-11"/>
        </w:rPr>
        <w:t> </w:t>
      </w:r>
      <w:r>
        <w:rPr/>
        <w:t>los</w:t>
      </w:r>
      <w:r>
        <w:rPr>
          <w:spacing w:val="-11"/>
        </w:rPr>
        <w:t> </w:t>
      </w:r>
      <w:r>
        <w:rPr/>
        <w:t>afectados</w:t>
      </w:r>
      <w:r>
        <w:rPr>
          <w:spacing w:val="-12"/>
        </w:rPr>
        <w:t> </w:t>
      </w:r>
      <w:r>
        <w:rPr/>
        <w:t>sobre los</w:t>
      </w:r>
      <w:r>
        <w:rPr>
          <w:spacing w:val="-16"/>
        </w:rPr>
        <w:t> </w:t>
      </w:r>
      <w:r>
        <w:rPr/>
        <w:t>daños</w:t>
      </w:r>
      <w:r>
        <w:rPr>
          <w:spacing w:val="-16"/>
        </w:rPr>
        <w:t> </w:t>
      </w:r>
      <w:r>
        <w:rPr/>
        <w:t>físicos,</w:t>
      </w:r>
      <w:r>
        <w:rPr>
          <w:spacing w:val="-16"/>
        </w:rPr>
        <w:t> </w:t>
      </w:r>
      <w:r>
        <w:rPr/>
        <w:t>económicos</w:t>
      </w:r>
      <w:r>
        <w:rPr>
          <w:spacing w:val="-12"/>
        </w:rPr>
        <w:t> </w:t>
      </w:r>
      <w:r>
        <w:rPr/>
        <w:t>y</w:t>
      </w:r>
      <w:r>
        <w:rPr>
          <w:spacing w:val="-12"/>
        </w:rPr>
        <w:t> </w:t>
      </w:r>
      <w:r>
        <w:rPr/>
        <w:t>sociales</w:t>
      </w:r>
      <w:r>
        <w:rPr>
          <w:spacing w:val="-16"/>
        </w:rPr>
        <w:t> </w:t>
      </w:r>
      <w:r>
        <w:rPr/>
        <w:t>producidos</w:t>
      </w:r>
      <w:r>
        <w:rPr>
          <w:spacing w:val="-16"/>
        </w:rPr>
        <w:t> </w:t>
      </w:r>
      <w:r>
        <w:rPr/>
        <w:t>directa</w:t>
      </w:r>
      <w:r>
        <w:rPr>
          <w:spacing w:val="-15"/>
        </w:rPr>
        <w:t> </w:t>
      </w:r>
      <w:r>
        <w:rPr/>
        <w:t>o</w:t>
      </w:r>
      <w:r>
        <w:rPr>
          <w:spacing w:val="-16"/>
        </w:rPr>
        <w:t> </w:t>
      </w:r>
      <w:r>
        <w:rPr/>
        <w:t>indirectamente</w:t>
      </w:r>
      <w:r>
        <w:rPr>
          <w:spacing w:val="-10"/>
        </w:rPr>
        <w:t> </w:t>
      </w:r>
      <w:r>
        <w:rPr/>
        <w:t>por</w:t>
      </w:r>
      <w:r>
        <w:rPr>
          <w:spacing w:val="-15"/>
        </w:rPr>
        <w:t> </w:t>
      </w:r>
      <w:r>
        <w:rPr/>
        <w:t>las inundaciones, aplicamos una encuesta de opinión en 10% de las viviendas habitadas en las localidades seleccionadas. Los resultados muestran que la exposición al fenómeno hidrometeorológico se manifiesta con fuerza en lugares específicos,</w:t>
      </w:r>
      <w:r>
        <w:rPr>
          <w:spacing w:val="-15"/>
        </w:rPr>
        <w:t> </w:t>
      </w:r>
      <w:r>
        <w:rPr/>
        <w:t>lo</w:t>
      </w:r>
      <w:r>
        <w:rPr>
          <w:spacing w:val="-8"/>
        </w:rPr>
        <w:t> </w:t>
      </w:r>
      <w:r>
        <w:rPr/>
        <w:t>cual</w:t>
      </w:r>
      <w:r>
        <w:rPr>
          <w:spacing w:val="-6"/>
        </w:rPr>
        <w:t> </w:t>
      </w:r>
      <w:r>
        <w:rPr/>
        <w:t>diferencia</w:t>
      </w:r>
      <w:r>
        <w:rPr>
          <w:spacing w:val="-10"/>
        </w:rPr>
        <w:t> </w:t>
      </w:r>
      <w:r>
        <w:rPr/>
        <w:t>las</w:t>
      </w:r>
      <w:r>
        <w:rPr>
          <w:spacing w:val="-11"/>
        </w:rPr>
        <w:t> </w:t>
      </w:r>
      <w:r>
        <w:rPr/>
        <w:t>capacidades</w:t>
      </w:r>
      <w:r>
        <w:rPr>
          <w:spacing w:val="-15"/>
        </w:rPr>
        <w:t> </w:t>
      </w:r>
      <w:r>
        <w:rPr/>
        <w:t>para</w:t>
      </w:r>
      <w:r>
        <w:rPr>
          <w:spacing w:val="-10"/>
        </w:rPr>
        <w:t> </w:t>
      </w:r>
      <w:r>
        <w:rPr/>
        <w:t>responder</w:t>
      </w:r>
      <w:r>
        <w:rPr>
          <w:spacing w:val="-9"/>
        </w:rPr>
        <w:t> </w:t>
      </w:r>
      <w:r>
        <w:rPr/>
        <w:t>a</w:t>
      </w:r>
      <w:r>
        <w:rPr>
          <w:spacing w:val="-10"/>
        </w:rPr>
        <w:t> </w:t>
      </w:r>
      <w:r>
        <w:rPr/>
        <w:t>la</w:t>
      </w:r>
      <w:r>
        <w:rPr>
          <w:spacing w:val="-10"/>
        </w:rPr>
        <w:t> </w:t>
      </w:r>
      <w:r>
        <w:rPr/>
        <w:t>contingencia</w:t>
      </w:r>
      <w:r>
        <w:rPr>
          <w:spacing w:val="-10"/>
        </w:rPr>
        <w:t> </w:t>
      </w:r>
      <w:r>
        <w:rPr/>
        <w:t>y la reparación de los daños. Prevalecen acciones individuales, en las que el factor económico determina la estabilización, en contraste, las instituciones establecen directrices</w:t>
      </w:r>
      <w:r>
        <w:rPr>
          <w:spacing w:val="-13"/>
        </w:rPr>
        <w:t> </w:t>
      </w:r>
      <w:r>
        <w:rPr/>
        <w:t>generales,</w:t>
      </w:r>
      <w:r>
        <w:rPr>
          <w:spacing w:val="-9"/>
        </w:rPr>
        <w:t> </w:t>
      </w:r>
      <w:r>
        <w:rPr/>
        <w:t>que</w:t>
      </w:r>
      <w:r>
        <w:rPr>
          <w:spacing w:val="-6"/>
        </w:rPr>
        <w:t> </w:t>
      </w:r>
      <w:r>
        <w:rPr/>
        <w:t>son</w:t>
      </w:r>
      <w:r>
        <w:rPr>
          <w:spacing w:val="-7"/>
        </w:rPr>
        <w:t> </w:t>
      </w:r>
      <w:r>
        <w:rPr/>
        <w:t>adaptadas</w:t>
      </w:r>
      <w:r>
        <w:rPr>
          <w:spacing w:val="-8"/>
        </w:rPr>
        <w:t> </w:t>
      </w:r>
      <w:r>
        <w:rPr/>
        <w:t>tangencialmente</w:t>
      </w:r>
      <w:r>
        <w:rPr>
          <w:spacing w:val="-4"/>
        </w:rPr>
        <w:t> </w:t>
      </w:r>
      <w:r>
        <w:rPr/>
        <w:t>por</w:t>
      </w:r>
      <w:r>
        <w:rPr>
          <w:spacing w:val="-11"/>
        </w:rPr>
        <w:t> </w:t>
      </w:r>
      <w:r>
        <w:rPr/>
        <w:t>los</w:t>
      </w:r>
      <w:r>
        <w:rPr>
          <w:spacing w:val="-13"/>
        </w:rPr>
        <w:t> </w:t>
      </w:r>
      <w:r>
        <w:rPr/>
        <w:t>afectados,</w:t>
      </w:r>
      <w:r>
        <w:rPr>
          <w:spacing w:val="-9"/>
        </w:rPr>
        <w:t> </w:t>
      </w:r>
      <w:r>
        <w:rPr/>
        <w:t>lo</w:t>
      </w:r>
      <w:r>
        <w:rPr>
          <w:spacing w:val="-11"/>
        </w:rPr>
        <w:t> </w:t>
      </w:r>
      <w:r>
        <w:rPr/>
        <w:t>que exhibe la ausencia de mecanismos que anticipen y guíen organizadamente la recuperación rápida y eficiente. La contribución del estudio se sintetiza en el desarrollo metodológico, que sostenido en la fundamentación teórica, los SIG y el método EMC, aporta una base de datos relacional, indicadores sociales y ambientales, cartografía temática y sintética y diseño de estrategias de prevención y gestión</w:t>
      </w:r>
      <w:r>
        <w:rPr>
          <w:spacing w:val="-4"/>
        </w:rPr>
        <w:t> </w:t>
      </w:r>
      <w:r>
        <w:rPr/>
        <w:t>urbana.</w:t>
      </w:r>
    </w:p>
    <w:p>
      <w:pPr>
        <w:spacing w:after="0" w:line="360" w:lineRule="auto"/>
        <w:jc w:val="both"/>
        <w:sectPr>
          <w:footerReference w:type="default" r:id="rId15"/>
          <w:pgSz w:w="12240" w:h="15840"/>
          <w:pgMar w:footer="1031" w:header="0" w:top="1360" w:bottom="1220" w:left="1580" w:right="1580"/>
          <w:pgNumType w:start="7"/>
        </w:sectPr>
      </w:pPr>
    </w:p>
    <w:p>
      <w:pPr>
        <w:pStyle w:val="Heading2"/>
        <w:spacing w:before="42"/>
        <w:ind w:left="96" w:right="96"/>
        <w:jc w:val="center"/>
      </w:pPr>
      <w:bookmarkStart w:name="_TOC_250050" w:id="4"/>
      <w:bookmarkEnd w:id="4"/>
      <w:r>
        <w:rPr/>
        <w:t>Introducción</w:t>
      </w:r>
    </w:p>
    <w:p>
      <w:pPr>
        <w:pStyle w:val="BodyText"/>
        <w:rPr>
          <w:b/>
          <w:sz w:val="29"/>
        </w:rPr>
      </w:pPr>
    </w:p>
    <w:p>
      <w:pPr>
        <w:pStyle w:val="BodyText"/>
        <w:spacing w:line="360" w:lineRule="auto"/>
        <w:ind w:left="119" w:right="119"/>
        <w:jc w:val="both"/>
      </w:pPr>
      <w:r>
        <w:rPr/>
        <w:t>Las experiencias revisadas, tienen en común, el papel que le otorgan a las lluvias extraordinarias que </w:t>
      </w:r>
      <w:r>
        <w:rPr>
          <w:spacing w:val="-3"/>
        </w:rPr>
        <w:t>se </w:t>
      </w:r>
      <w:r>
        <w:rPr/>
        <w:t>han presentado en distintas regiones del país y otros países de América Latina, cuyas consecuencias han causado inundaciones y severos estragos en la infraestructura y en los bienes de los afectados.</w:t>
      </w:r>
    </w:p>
    <w:p>
      <w:pPr>
        <w:pStyle w:val="BodyText"/>
        <w:spacing w:before="5"/>
      </w:pPr>
    </w:p>
    <w:p>
      <w:pPr>
        <w:pStyle w:val="BodyText"/>
        <w:spacing w:line="360" w:lineRule="auto"/>
        <w:ind w:left="119" w:right="119"/>
        <w:jc w:val="both"/>
      </w:pPr>
      <w:r>
        <w:rPr/>
        <w:t>En la Zona Metropolitana de Toluca (ZMT), las precipitaciones atípicas o extraordinarias, han causado el desbordamiento de los cauces de los ríos, inundaciones, que no solo afectan a la población de bajos recursos, sino que la exposición al riesgo se expresa en todos los niveles socioeconómicos.</w:t>
      </w:r>
    </w:p>
    <w:p>
      <w:pPr>
        <w:pStyle w:val="BodyText"/>
        <w:spacing w:before="5"/>
      </w:pPr>
    </w:p>
    <w:p>
      <w:pPr>
        <w:pStyle w:val="BodyText"/>
        <w:spacing w:line="360" w:lineRule="auto"/>
        <w:ind w:left="119" w:right="115"/>
        <w:jc w:val="both"/>
      </w:pPr>
      <w:r>
        <w:rPr/>
        <w:t>Ante la problemática mencionada anteriormente, la investigación, tiene como objetivo, evaluar los factores físico-naturales y sociales que definen el grado de exposición de los asentamientos humanos a los riesgos por inundación en la Zona Metropolitana de Toluca, con la finalidad de aportar estrategias de prevención y gestión urbana.</w:t>
      </w:r>
    </w:p>
    <w:p>
      <w:pPr>
        <w:pStyle w:val="BodyText"/>
        <w:spacing w:before="8"/>
        <w:rPr>
          <w:sz w:val="35"/>
        </w:rPr>
      </w:pPr>
    </w:p>
    <w:p>
      <w:pPr>
        <w:pStyle w:val="BodyText"/>
        <w:spacing w:line="360" w:lineRule="auto"/>
        <w:ind w:left="119" w:right="128"/>
        <w:jc w:val="both"/>
      </w:pPr>
      <w:r>
        <w:rPr/>
        <w:t>La investigación partió de la hipótesis, que sostiene que la susceptibilidad de los asentamientos humanos a los riesgos por inundación en la ZMT, es un fenómeno localizado que estará determinado por los factores biofísicos y socioeconómicos.</w:t>
      </w:r>
    </w:p>
    <w:p>
      <w:pPr>
        <w:pStyle w:val="BodyText"/>
        <w:spacing w:before="5"/>
      </w:pPr>
    </w:p>
    <w:p>
      <w:pPr>
        <w:pStyle w:val="BodyText"/>
        <w:spacing w:line="360" w:lineRule="auto"/>
        <w:ind w:left="119" w:right="116"/>
        <w:jc w:val="both"/>
      </w:pPr>
      <w:r>
        <w:rPr/>
        <w:t>La investigación se estructura en cinco capítulos, en el primero se desarrollan los fundamentos de la investigación: la justificación, el planteamiento del problema, la hipótesis, los objetivos, el diseño metodológico que contiene el diseño operacional de</w:t>
      </w:r>
      <w:r>
        <w:rPr>
          <w:spacing w:val="-7"/>
        </w:rPr>
        <w:t> </w:t>
      </w:r>
      <w:r>
        <w:rPr/>
        <w:t>las</w:t>
      </w:r>
      <w:r>
        <w:rPr>
          <w:spacing w:val="-3"/>
        </w:rPr>
        <w:t> </w:t>
      </w:r>
      <w:r>
        <w:rPr/>
        <w:t>variables</w:t>
      </w:r>
      <w:r>
        <w:rPr>
          <w:spacing w:val="-8"/>
        </w:rPr>
        <w:t> </w:t>
      </w:r>
      <w:r>
        <w:rPr/>
        <w:t>e</w:t>
      </w:r>
      <w:r>
        <w:rPr>
          <w:spacing w:val="-7"/>
        </w:rPr>
        <w:t> </w:t>
      </w:r>
      <w:r>
        <w:rPr/>
        <w:t>indicadores</w:t>
      </w:r>
      <w:r>
        <w:rPr>
          <w:spacing w:val="-3"/>
        </w:rPr>
        <w:t> </w:t>
      </w:r>
      <w:r>
        <w:rPr/>
        <w:t>consideradas</w:t>
      </w:r>
      <w:r>
        <w:rPr>
          <w:spacing w:val="-8"/>
        </w:rPr>
        <w:t> </w:t>
      </w:r>
      <w:r>
        <w:rPr/>
        <w:t>en</w:t>
      </w:r>
      <w:r>
        <w:rPr>
          <w:spacing w:val="-3"/>
        </w:rPr>
        <w:t> </w:t>
      </w:r>
      <w:r>
        <w:rPr/>
        <w:t>este</w:t>
      </w:r>
      <w:r>
        <w:rPr>
          <w:spacing w:val="-7"/>
        </w:rPr>
        <w:t> </w:t>
      </w:r>
      <w:r>
        <w:rPr/>
        <w:t>trabajo;</w:t>
      </w:r>
      <w:r>
        <w:rPr>
          <w:spacing w:val="-2"/>
        </w:rPr>
        <w:t> </w:t>
      </w:r>
      <w:r>
        <w:rPr/>
        <w:t>en</w:t>
      </w:r>
      <w:r>
        <w:rPr>
          <w:spacing w:val="-3"/>
        </w:rPr>
        <w:t> </w:t>
      </w:r>
      <w:r>
        <w:rPr/>
        <w:t>el</w:t>
      </w:r>
      <w:r>
        <w:rPr>
          <w:spacing w:val="-3"/>
        </w:rPr>
        <w:t> </w:t>
      </w:r>
      <w:r>
        <w:rPr/>
        <w:t>segundo</w:t>
      </w:r>
      <w:r>
        <w:rPr>
          <w:spacing w:val="-3"/>
        </w:rPr>
        <w:t> </w:t>
      </w:r>
      <w:r>
        <w:rPr/>
        <w:t>capítulo correspondiente al marco teórico metodológico se analizan los antecedentes, la susceptibilidad de la ciudad a los riesgos, los casos de estudio, las experiencias metodológicas,</w:t>
      </w:r>
      <w:r>
        <w:rPr>
          <w:spacing w:val="-12"/>
        </w:rPr>
        <w:t> </w:t>
      </w:r>
      <w:r>
        <w:rPr/>
        <w:t>los</w:t>
      </w:r>
      <w:r>
        <w:rPr>
          <w:spacing w:val="-12"/>
        </w:rPr>
        <w:t> </w:t>
      </w:r>
      <w:r>
        <w:rPr/>
        <w:t>enfoques</w:t>
      </w:r>
      <w:r>
        <w:rPr>
          <w:spacing w:val="-13"/>
        </w:rPr>
        <w:t> </w:t>
      </w:r>
      <w:r>
        <w:rPr/>
        <w:t>de</w:t>
      </w:r>
      <w:r>
        <w:rPr>
          <w:spacing w:val="-12"/>
        </w:rPr>
        <w:t> </w:t>
      </w:r>
      <w:r>
        <w:rPr/>
        <w:t>investigación,</w:t>
      </w:r>
      <w:r>
        <w:rPr>
          <w:spacing w:val="-17"/>
        </w:rPr>
        <w:t> </w:t>
      </w:r>
      <w:r>
        <w:rPr/>
        <w:t>la</w:t>
      </w:r>
      <w:r>
        <w:rPr>
          <w:spacing w:val="-12"/>
        </w:rPr>
        <w:t> </w:t>
      </w:r>
      <w:r>
        <w:rPr/>
        <w:t>construcción</w:t>
      </w:r>
      <w:r>
        <w:rPr>
          <w:spacing w:val="-12"/>
        </w:rPr>
        <w:t> </w:t>
      </w:r>
      <w:r>
        <w:rPr/>
        <w:t>social</w:t>
      </w:r>
      <w:r>
        <w:rPr>
          <w:spacing w:val="-8"/>
        </w:rPr>
        <w:t> </w:t>
      </w:r>
      <w:r>
        <w:rPr/>
        <w:t>del</w:t>
      </w:r>
      <w:r>
        <w:rPr>
          <w:spacing w:val="-8"/>
        </w:rPr>
        <w:t> </w:t>
      </w:r>
      <w:r>
        <w:rPr/>
        <w:t>riesgo, y</w:t>
      </w:r>
      <w:r>
        <w:rPr>
          <w:spacing w:val="-13"/>
        </w:rPr>
        <w:t> </w:t>
      </w:r>
      <w:r>
        <w:rPr/>
        <w:t>se presenta la definición operacional de las variables</w:t>
      </w:r>
      <w:r>
        <w:rPr>
          <w:spacing w:val="-21"/>
        </w:rPr>
        <w:t> </w:t>
      </w:r>
      <w:r>
        <w:rPr/>
        <w:t>dependientes.</w:t>
      </w:r>
    </w:p>
    <w:p>
      <w:pPr>
        <w:pStyle w:val="BodyText"/>
        <w:spacing w:before="10"/>
      </w:pPr>
    </w:p>
    <w:p>
      <w:pPr>
        <w:pStyle w:val="BodyText"/>
        <w:spacing w:line="360" w:lineRule="auto"/>
        <w:ind w:left="119" w:right="120"/>
        <w:jc w:val="both"/>
      </w:pPr>
      <w:r>
        <w:rPr/>
        <w:t>En este apartado se fundamenta la metodología específica, que comprende el método EMC, componentes, etapas de análisis y trabajo de campo.</w:t>
      </w:r>
    </w:p>
    <w:p>
      <w:pPr>
        <w:spacing w:after="0" w:line="360" w:lineRule="auto"/>
        <w:jc w:val="both"/>
        <w:sectPr>
          <w:pgSz w:w="12240" w:h="15840"/>
          <w:pgMar w:header="0" w:footer="1031" w:top="1360" w:bottom="1220" w:left="1580" w:right="1580"/>
        </w:sectPr>
      </w:pPr>
    </w:p>
    <w:p>
      <w:pPr>
        <w:pStyle w:val="BodyText"/>
        <w:spacing w:line="360" w:lineRule="auto" w:before="52"/>
        <w:ind w:left="119" w:right="118"/>
        <w:jc w:val="both"/>
      </w:pPr>
      <w:r>
        <w:rPr/>
        <w:t>El tercer capítulo trata del análisis de los factores físico-naturales y la estructura socioeconómica de la ZMT, se ubica la zona en estudio y se realiza la clasificación de la vulnerabilidad edafológica, vulnerabilidad del uso del suelo y vegetación, vulnerabilidad hidrológica, asimismo, se estiman los parámetros morfométricos y se analiza la estructura</w:t>
      </w:r>
      <w:r>
        <w:rPr>
          <w:spacing w:val="-13"/>
        </w:rPr>
        <w:t> </w:t>
      </w:r>
      <w:r>
        <w:rPr/>
        <w:t>socioeconómica.</w:t>
      </w:r>
    </w:p>
    <w:p>
      <w:pPr>
        <w:pStyle w:val="BodyText"/>
        <w:spacing w:before="10"/>
      </w:pPr>
    </w:p>
    <w:p>
      <w:pPr>
        <w:pStyle w:val="BodyText"/>
        <w:spacing w:line="360" w:lineRule="auto"/>
        <w:ind w:left="119" w:right="115"/>
        <w:jc w:val="both"/>
      </w:pPr>
      <w:r>
        <w:rPr/>
        <w:t>En</w:t>
      </w:r>
      <w:r>
        <w:rPr>
          <w:spacing w:val="-16"/>
        </w:rPr>
        <w:t> </w:t>
      </w:r>
      <w:r>
        <w:rPr/>
        <w:t>el</w:t>
      </w:r>
      <w:r>
        <w:rPr>
          <w:spacing w:val="-12"/>
        </w:rPr>
        <w:t> </w:t>
      </w:r>
      <w:r>
        <w:rPr/>
        <w:t>capítulo</w:t>
      </w:r>
      <w:r>
        <w:rPr>
          <w:spacing w:val="-16"/>
        </w:rPr>
        <w:t> </w:t>
      </w:r>
      <w:r>
        <w:rPr/>
        <w:t>cuatro</w:t>
      </w:r>
      <w:r>
        <w:rPr>
          <w:spacing w:val="-16"/>
        </w:rPr>
        <w:t> </w:t>
      </w:r>
      <w:r>
        <w:rPr/>
        <w:t>se</w:t>
      </w:r>
      <w:r>
        <w:rPr>
          <w:spacing w:val="-20"/>
        </w:rPr>
        <w:t> </w:t>
      </w:r>
      <w:r>
        <w:rPr/>
        <w:t>identifican</w:t>
      </w:r>
      <w:r>
        <w:rPr>
          <w:spacing w:val="-20"/>
        </w:rPr>
        <w:t> </w:t>
      </w:r>
      <w:r>
        <w:rPr/>
        <w:t>las</w:t>
      </w:r>
      <w:r>
        <w:rPr>
          <w:spacing w:val="-16"/>
        </w:rPr>
        <w:t> </w:t>
      </w:r>
      <w:r>
        <w:rPr/>
        <w:t>zonas</w:t>
      </w:r>
      <w:r>
        <w:rPr>
          <w:spacing w:val="-16"/>
        </w:rPr>
        <w:t> </w:t>
      </w:r>
      <w:r>
        <w:rPr/>
        <w:t>vulnerables</w:t>
      </w:r>
      <w:r>
        <w:rPr>
          <w:spacing w:val="-16"/>
        </w:rPr>
        <w:t> </w:t>
      </w:r>
      <w:r>
        <w:rPr/>
        <w:t>y</w:t>
      </w:r>
      <w:r>
        <w:rPr>
          <w:spacing w:val="-16"/>
        </w:rPr>
        <w:t> </w:t>
      </w:r>
      <w:r>
        <w:rPr/>
        <w:t>susceptibles</w:t>
      </w:r>
      <w:r>
        <w:rPr>
          <w:spacing w:val="-16"/>
        </w:rPr>
        <w:t> </w:t>
      </w:r>
      <w:r>
        <w:rPr/>
        <w:t>a</w:t>
      </w:r>
      <w:r>
        <w:rPr>
          <w:spacing w:val="-20"/>
        </w:rPr>
        <w:t> </w:t>
      </w:r>
      <w:r>
        <w:rPr/>
        <w:t>los</w:t>
      </w:r>
      <w:r>
        <w:rPr>
          <w:spacing w:val="-16"/>
        </w:rPr>
        <w:t> </w:t>
      </w:r>
      <w:r>
        <w:rPr/>
        <w:t>riesgos por</w:t>
      </w:r>
      <w:r>
        <w:rPr>
          <w:spacing w:val="-5"/>
        </w:rPr>
        <w:t> </w:t>
      </w:r>
      <w:r>
        <w:rPr/>
        <w:t>inundación,</w:t>
      </w:r>
      <w:r>
        <w:rPr>
          <w:spacing w:val="-6"/>
        </w:rPr>
        <w:t> </w:t>
      </w:r>
      <w:r>
        <w:rPr/>
        <w:t>se</w:t>
      </w:r>
      <w:r>
        <w:rPr>
          <w:spacing w:val="-6"/>
        </w:rPr>
        <w:t> </w:t>
      </w:r>
      <w:r>
        <w:rPr/>
        <w:t>clasifica</w:t>
      </w:r>
      <w:r>
        <w:rPr>
          <w:spacing w:val="-11"/>
        </w:rPr>
        <w:t> </w:t>
      </w:r>
      <w:r>
        <w:rPr/>
        <w:t>la</w:t>
      </w:r>
      <w:r>
        <w:rPr>
          <w:spacing w:val="-6"/>
        </w:rPr>
        <w:t> </w:t>
      </w:r>
      <w:r>
        <w:rPr/>
        <w:t>vulnerabilidad</w:t>
      </w:r>
      <w:r>
        <w:rPr>
          <w:spacing w:val="-6"/>
        </w:rPr>
        <w:t> </w:t>
      </w:r>
      <w:r>
        <w:rPr/>
        <w:t>poblacional,</w:t>
      </w:r>
      <w:r>
        <w:rPr>
          <w:spacing w:val="-11"/>
        </w:rPr>
        <w:t> </w:t>
      </w:r>
      <w:r>
        <w:rPr/>
        <w:t>la</w:t>
      </w:r>
      <w:r>
        <w:rPr>
          <w:spacing w:val="-6"/>
        </w:rPr>
        <w:t> </w:t>
      </w:r>
      <w:r>
        <w:rPr/>
        <w:t>vulnerabilidad</w:t>
      </w:r>
      <w:r>
        <w:rPr>
          <w:spacing w:val="7"/>
        </w:rPr>
        <w:t> </w:t>
      </w:r>
      <w:r>
        <w:rPr/>
        <w:t>con</w:t>
      </w:r>
      <w:r>
        <w:rPr>
          <w:spacing w:val="-6"/>
        </w:rPr>
        <w:t> </w:t>
      </w:r>
      <w:r>
        <w:rPr/>
        <w:t>base al índice de marginación y se realiza la integración de los indicadores físico- naturales para determinar el riesgo a las inundaciones en la ZMT y posteriormente se aplica la </w:t>
      </w:r>
      <w:r>
        <w:rPr>
          <w:spacing w:val="-2"/>
        </w:rPr>
        <w:t>EMC </w:t>
      </w:r>
      <w:r>
        <w:rPr/>
        <w:t>en el municipio de Lerma. En el capítulo cinco se determina la vulnerabilidad</w:t>
      </w:r>
      <w:r>
        <w:rPr>
          <w:spacing w:val="-4"/>
        </w:rPr>
        <w:t> </w:t>
      </w:r>
      <w:r>
        <w:rPr/>
        <w:t>física</w:t>
      </w:r>
      <w:r>
        <w:rPr>
          <w:spacing w:val="-8"/>
        </w:rPr>
        <w:t> </w:t>
      </w:r>
      <w:r>
        <w:rPr/>
        <w:t>y</w:t>
      </w:r>
      <w:r>
        <w:rPr>
          <w:spacing w:val="-4"/>
        </w:rPr>
        <w:t> </w:t>
      </w:r>
      <w:r>
        <w:rPr/>
        <w:t>social</w:t>
      </w:r>
      <w:r>
        <w:rPr>
          <w:spacing w:val="-1"/>
        </w:rPr>
        <w:t> </w:t>
      </w:r>
      <w:r>
        <w:rPr/>
        <w:t>ante</w:t>
      </w:r>
      <w:r>
        <w:rPr>
          <w:spacing w:val="-8"/>
        </w:rPr>
        <w:t> </w:t>
      </w:r>
      <w:r>
        <w:rPr/>
        <w:t>las</w:t>
      </w:r>
      <w:r>
        <w:rPr>
          <w:spacing w:val="-9"/>
        </w:rPr>
        <w:t> </w:t>
      </w:r>
      <w:r>
        <w:rPr/>
        <w:t>inundaciones,</w:t>
      </w:r>
      <w:r>
        <w:rPr>
          <w:spacing w:val="-4"/>
        </w:rPr>
        <w:t> </w:t>
      </w:r>
      <w:r>
        <w:rPr/>
        <w:t>en</w:t>
      </w:r>
      <w:r>
        <w:rPr>
          <w:spacing w:val="-4"/>
        </w:rPr>
        <w:t> </w:t>
      </w:r>
      <w:r>
        <w:rPr/>
        <w:t>asentamientos</w:t>
      </w:r>
      <w:r>
        <w:rPr>
          <w:spacing w:val="-9"/>
        </w:rPr>
        <w:t> </w:t>
      </w:r>
      <w:r>
        <w:rPr/>
        <w:t>del</w:t>
      </w:r>
      <w:r>
        <w:rPr>
          <w:spacing w:val="-1"/>
        </w:rPr>
        <w:t> </w:t>
      </w:r>
      <w:r>
        <w:rPr/>
        <w:t>municipio de Lerma, se establece el perfil sociodemográfico, los daños físicos ocasionados por las inundaciones, presencia de las instituciones de gobierno, la percepción del riesgo, así como las estrategias de prevención y mitigación, la discusión de resultados, las conclusiones, la bibliografía y los</w:t>
      </w:r>
      <w:r>
        <w:rPr>
          <w:spacing w:val="-26"/>
        </w:rPr>
        <w:t> </w:t>
      </w:r>
      <w:r>
        <w:rPr/>
        <w:t>anexos</w:t>
      </w:r>
    </w:p>
    <w:p>
      <w:pPr>
        <w:spacing w:after="0" w:line="360" w:lineRule="auto"/>
        <w:jc w:val="both"/>
        <w:sectPr>
          <w:pgSz w:w="12240" w:h="15840"/>
          <w:pgMar w:header="0" w:footer="1031" w:top="1360" w:bottom="1220" w:left="1580" w:right="1580"/>
        </w:sectPr>
      </w:pPr>
    </w:p>
    <w:p>
      <w:pPr>
        <w:pStyle w:val="Heading2"/>
        <w:spacing w:before="42"/>
        <w:ind w:left="1344" w:right="70"/>
        <w:jc w:val="left"/>
      </w:pPr>
      <w:bookmarkStart w:name="_TOC_250049" w:id="5"/>
      <w:bookmarkEnd w:id="5"/>
      <w:r>
        <w:rPr/>
        <w:t>CAPITULO 1. FUNDAMENTOS DE LA INVESTIGACIÓN</w:t>
      </w:r>
    </w:p>
    <w:p>
      <w:pPr>
        <w:pStyle w:val="BodyText"/>
        <w:rPr>
          <w:b/>
          <w:sz w:val="29"/>
        </w:rPr>
      </w:pPr>
    </w:p>
    <w:p>
      <w:pPr>
        <w:pStyle w:val="BodyText"/>
        <w:spacing w:line="360" w:lineRule="auto"/>
        <w:ind w:left="119" w:right="113"/>
        <w:jc w:val="both"/>
      </w:pPr>
      <w:r>
        <w:rPr/>
        <w:t>Para</w:t>
      </w:r>
      <w:r>
        <w:rPr>
          <w:spacing w:val="-13"/>
        </w:rPr>
        <w:t> </w:t>
      </w:r>
      <w:r>
        <w:rPr/>
        <w:t>entender</w:t>
      </w:r>
      <w:r>
        <w:rPr>
          <w:spacing w:val="-20"/>
        </w:rPr>
        <w:t> </w:t>
      </w:r>
      <w:r>
        <w:rPr/>
        <w:t>la</w:t>
      </w:r>
      <w:r>
        <w:rPr>
          <w:spacing w:val="-13"/>
        </w:rPr>
        <w:t> </w:t>
      </w:r>
      <w:r>
        <w:rPr/>
        <w:t>noción</w:t>
      </w:r>
      <w:r>
        <w:rPr>
          <w:spacing w:val="-12"/>
        </w:rPr>
        <w:t> </w:t>
      </w:r>
      <w:r>
        <w:rPr/>
        <w:t>de</w:t>
      </w:r>
      <w:r>
        <w:rPr>
          <w:spacing w:val="-13"/>
        </w:rPr>
        <w:t> </w:t>
      </w:r>
      <w:r>
        <w:rPr/>
        <w:t>evaluación</w:t>
      </w:r>
      <w:r>
        <w:rPr>
          <w:spacing w:val="-12"/>
        </w:rPr>
        <w:t> </w:t>
      </w:r>
      <w:r>
        <w:rPr/>
        <w:t>del</w:t>
      </w:r>
      <w:r>
        <w:rPr>
          <w:spacing w:val="-14"/>
        </w:rPr>
        <w:t> </w:t>
      </w:r>
      <w:r>
        <w:rPr/>
        <w:t>riesgo</w:t>
      </w:r>
      <w:r>
        <w:rPr>
          <w:spacing w:val="-5"/>
        </w:rPr>
        <w:t> </w:t>
      </w:r>
      <w:r>
        <w:rPr/>
        <w:t>y</w:t>
      </w:r>
      <w:r>
        <w:rPr>
          <w:spacing w:val="-14"/>
        </w:rPr>
        <w:t> </w:t>
      </w:r>
      <w:r>
        <w:rPr/>
        <w:t>particularmente</w:t>
      </w:r>
      <w:r>
        <w:rPr>
          <w:spacing w:val="-17"/>
        </w:rPr>
        <w:t> </w:t>
      </w:r>
      <w:r>
        <w:rPr/>
        <w:t>la</w:t>
      </w:r>
      <w:r>
        <w:rPr>
          <w:spacing w:val="-13"/>
        </w:rPr>
        <w:t> </w:t>
      </w:r>
      <w:r>
        <w:rPr/>
        <w:t>evaluación</w:t>
      </w:r>
      <w:r>
        <w:rPr>
          <w:spacing w:val="-17"/>
        </w:rPr>
        <w:t> </w:t>
      </w:r>
      <w:r>
        <w:rPr/>
        <w:t>del riesgo por inundación en zonas urbanas, en este capítulo se identifican los antecedentes que han sentado las bases de </w:t>
      </w:r>
      <w:r>
        <w:rPr>
          <w:spacing w:val="-3"/>
        </w:rPr>
        <w:t>su </w:t>
      </w:r>
      <w:r>
        <w:rPr/>
        <w:t>estudio, los factores que incrementan la probabilidad de ocurrencia de un evento natural catastrófico, así como los fundamentos del diseño de la</w:t>
      </w:r>
      <w:r>
        <w:rPr>
          <w:spacing w:val="-20"/>
        </w:rPr>
        <w:t> </w:t>
      </w:r>
      <w:r>
        <w:rPr/>
        <w:t>investigación.</w:t>
      </w:r>
    </w:p>
    <w:p>
      <w:pPr>
        <w:pStyle w:val="BodyText"/>
        <w:spacing w:before="5"/>
      </w:pPr>
    </w:p>
    <w:p>
      <w:pPr>
        <w:pStyle w:val="BodyText"/>
        <w:spacing w:line="360" w:lineRule="auto"/>
        <w:ind w:left="119" w:right="113"/>
        <w:jc w:val="both"/>
      </w:pPr>
      <w:r>
        <w:rPr/>
        <w:t>El estudio de los desastres naturales se inició en los años veinte del siglo pasado, El primer estudio empírico lo llevó a cabo el canadiense Samuel Henry Prince en 1920, quien describió los efectos de </w:t>
      </w:r>
      <w:r>
        <w:rPr>
          <w:spacing w:val="3"/>
        </w:rPr>
        <w:t>la </w:t>
      </w:r>
      <w:r>
        <w:rPr/>
        <w:t>explosión de un barco de municiones en Halifax,</w:t>
      </w:r>
      <w:r>
        <w:rPr>
          <w:spacing w:val="-10"/>
        </w:rPr>
        <w:t> </w:t>
      </w:r>
      <w:r>
        <w:rPr/>
        <w:t>Nueva</w:t>
      </w:r>
      <w:r>
        <w:rPr>
          <w:spacing w:val="-10"/>
        </w:rPr>
        <w:t> </w:t>
      </w:r>
      <w:r>
        <w:rPr/>
        <w:t>Escocia.</w:t>
      </w:r>
      <w:r>
        <w:rPr>
          <w:spacing w:val="-10"/>
        </w:rPr>
        <w:t> </w:t>
      </w:r>
      <w:r>
        <w:rPr/>
        <w:t>En</w:t>
      </w:r>
      <w:r>
        <w:rPr>
          <w:spacing w:val="-15"/>
        </w:rPr>
        <w:t> </w:t>
      </w:r>
      <w:r>
        <w:rPr/>
        <w:t>la</w:t>
      </w:r>
      <w:r>
        <w:rPr>
          <w:spacing w:val="-10"/>
        </w:rPr>
        <w:t> </w:t>
      </w:r>
      <w:r>
        <w:rPr/>
        <w:t>actualidad</w:t>
      </w:r>
      <w:r>
        <w:rPr>
          <w:spacing w:val="-10"/>
        </w:rPr>
        <w:t> </w:t>
      </w:r>
      <w:r>
        <w:rPr>
          <w:spacing w:val="-3"/>
        </w:rPr>
        <w:t>se</w:t>
      </w:r>
      <w:r>
        <w:rPr>
          <w:spacing w:val="-10"/>
        </w:rPr>
        <w:t> </w:t>
      </w:r>
      <w:r>
        <w:rPr/>
        <w:t>le</w:t>
      </w:r>
      <w:r>
        <w:rPr>
          <w:spacing w:val="-15"/>
        </w:rPr>
        <w:t> </w:t>
      </w:r>
      <w:r>
        <w:rPr/>
        <w:t>reconoce</w:t>
      </w:r>
      <w:r>
        <w:rPr>
          <w:spacing w:val="-10"/>
        </w:rPr>
        <w:t> </w:t>
      </w:r>
      <w:r>
        <w:rPr>
          <w:spacing w:val="-4"/>
        </w:rPr>
        <w:t>como</w:t>
      </w:r>
      <w:r>
        <w:rPr>
          <w:spacing w:val="-10"/>
        </w:rPr>
        <w:t> </w:t>
      </w:r>
      <w:r>
        <w:rPr/>
        <w:t>el</w:t>
      </w:r>
      <w:r>
        <w:rPr>
          <w:spacing w:val="-6"/>
        </w:rPr>
        <w:t> </w:t>
      </w:r>
      <w:r>
        <w:rPr/>
        <w:t>primer</w:t>
      </w:r>
      <w:r>
        <w:rPr>
          <w:spacing w:val="-9"/>
        </w:rPr>
        <w:t> </w:t>
      </w:r>
      <w:r>
        <w:rPr/>
        <w:t>investigador en el campo de los desastres, desde entonces los estudios empíricos se han dedicado a probar o refutar la </w:t>
      </w:r>
      <w:r>
        <w:rPr>
          <w:b/>
        </w:rPr>
        <w:t>“</w:t>
      </w:r>
      <w:r>
        <w:rPr/>
        <w:t>Hipótesis de Prince</w:t>
      </w:r>
      <w:r>
        <w:rPr>
          <w:b/>
        </w:rPr>
        <w:t>”, </w:t>
      </w:r>
      <w:r>
        <w:rPr/>
        <w:t>en la que plantea que los eventos catastróficos, inducen un rápido cambio</w:t>
      </w:r>
      <w:r>
        <w:rPr>
          <w:spacing w:val="-24"/>
        </w:rPr>
        <w:t> </w:t>
      </w:r>
      <w:r>
        <w:rPr/>
        <w:t>social.</w:t>
      </w:r>
    </w:p>
    <w:p>
      <w:pPr>
        <w:pStyle w:val="BodyText"/>
        <w:spacing w:before="5"/>
      </w:pPr>
    </w:p>
    <w:p>
      <w:pPr>
        <w:pStyle w:val="BodyText"/>
        <w:spacing w:line="360" w:lineRule="auto"/>
        <w:ind w:left="119" w:right="122"/>
        <w:jc w:val="both"/>
      </w:pPr>
      <w:r>
        <w:rPr/>
        <w:t>Algunos estudiosos han encontrado que los desastres no dejan efectos de larga duración en las comunidades, simplemente las desorganizan temporalmente; otros afirman</w:t>
      </w:r>
      <w:r>
        <w:rPr>
          <w:spacing w:val="-7"/>
        </w:rPr>
        <w:t> </w:t>
      </w:r>
      <w:r>
        <w:rPr/>
        <w:t>que</w:t>
      </w:r>
      <w:r>
        <w:rPr>
          <w:spacing w:val="-7"/>
        </w:rPr>
        <w:t> </w:t>
      </w:r>
      <w:r>
        <w:rPr/>
        <w:t>los</w:t>
      </w:r>
      <w:r>
        <w:rPr>
          <w:spacing w:val="-13"/>
        </w:rPr>
        <w:t> </w:t>
      </w:r>
      <w:r>
        <w:rPr/>
        <w:t>desastres</w:t>
      </w:r>
      <w:r>
        <w:rPr>
          <w:spacing w:val="-8"/>
        </w:rPr>
        <w:t> </w:t>
      </w:r>
      <w:r>
        <w:rPr/>
        <w:t>pueden</w:t>
      </w:r>
      <w:r>
        <w:rPr>
          <w:spacing w:val="-7"/>
        </w:rPr>
        <w:t> </w:t>
      </w:r>
      <w:r>
        <w:rPr/>
        <w:t>acelerar</w:t>
      </w:r>
      <w:r>
        <w:rPr>
          <w:spacing w:val="-6"/>
        </w:rPr>
        <w:t> </w:t>
      </w:r>
      <w:r>
        <w:rPr/>
        <w:t>o</w:t>
      </w:r>
      <w:r>
        <w:rPr>
          <w:spacing w:val="-12"/>
        </w:rPr>
        <w:t> </w:t>
      </w:r>
      <w:r>
        <w:rPr/>
        <w:t>disminuir</w:t>
      </w:r>
      <w:r>
        <w:rPr>
          <w:spacing w:val="-11"/>
        </w:rPr>
        <w:t> </w:t>
      </w:r>
      <w:r>
        <w:rPr/>
        <w:t>la</w:t>
      </w:r>
      <w:r>
        <w:rPr>
          <w:spacing w:val="-7"/>
        </w:rPr>
        <w:t> </w:t>
      </w:r>
      <w:r>
        <w:rPr/>
        <w:t>velocidad</w:t>
      </w:r>
      <w:r>
        <w:rPr>
          <w:spacing w:val="-12"/>
        </w:rPr>
        <w:t> </w:t>
      </w:r>
      <w:r>
        <w:rPr/>
        <w:t>de</w:t>
      </w:r>
      <w:r>
        <w:rPr>
          <w:spacing w:val="-7"/>
        </w:rPr>
        <w:t> </w:t>
      </w:r>
      <w:r>
        <w:rPr/>
        <w:t>cambio,</w:t>
      </w:r>
      <w:r>
        <w:rPr>
          <w:spacing w:val="-7"/>
        </w:rPr>
        <w:t> </w:t>
      </w:r>
      <w:r>
        <w:rPr/>
        <w:t>pero en general no provocan cambios trascendentales. En tercer lugar se encuentran aquellos investigadores que han obtenido evidencias empíricas de que los desastres han inducido cambios mayores en las sociedades afectadas (Bates y Peacock</w:t>
      </w:r>
      <w:r>
        <w:rPr>
          <w:spacing w:val="-5"/>
        </w:rPr>
        <w:t> </w:t>
      </w:r>
      <w:r>
        <w:rPr/>
        <w:t>1987:292).</w:t>
      </w:r>
    </w:p>
    <w:p>
      <w:pPr>
        <w:pStyle w:val="BodyText"/>
        <w:spacing w:before="5"/>
      </w:pPr>
    </w:p>
    <w:p>
      <w:pPr>
        <w:pStyle w:val="BodyText"/>
        <w:spacing w:line="360" w:lineRule="auto"/>
        <w:ind w:left="119" w:right="121"/>
        <w:jc w:val="both"/>
      </w:pPr>
      <w:r>
        <w:rPr/>
        <w:t>García (1993) relata a través de la lectura de varios autores, que el primer estudio teórico</w:t>
      </w:r>
      <w:r>
        <w:rPr>
          <w:spacing w:val="-12"/>
        </w:rPr>
        <w:t> </w:t>
      </w:r>
      <w:r>
        <w:rPr/>
        <w:t>sobre</w:t>
      </w:r>
      <w:r>
        <w:rPr>
          <w:spacing w:val="-17"/>
        </w:rPr>
        <w:t> </w:t>
      </w:r>
      <w:r>
        <w:rPr/>
        <w:t>las</w:t>
      </w:r>
      <w:r>
        <w:rPr>
          <w:spacing w:val="-13"/>
        </w:rPr>
        <w:t> </w:t>
      </w:r>
      <w:r>
        <w:rPr/>
        <w:t>calamidades</w:t>
      </w:r>
      <w:r>
        <w:rPr>
          <w:spacing w:val="-13"/>
        </w:rPr>
        <w:t> </w:t>
      </w:r>
      <w:r>
        <w:rPr/>
        <w:t>o</w:t>
      </w:r>
      <w:r>
        <w:rPr>
          <w:spacing w:val="-12"/>
        </w:rPr>
        <w:t> </w:t>
      </w:r>
      <w:r>
        <w:rPr/>
        <w:t>desastres</w:t>
      </w:r>
      <w:r>
        <w:rPr>
          <w:spacing w:val="-13"/>
        </w:rPr>
        <w:t> </w:t>
      </w:r>
      <w:r>
        <w:rPr/>
        <w:t>fue</w:t>
      </w:r>
      <w:r>
        <w:rPr>
          <w:spacing w:val="-17"/>
        </w:rPr>
        <w:t> </w:t>
      </w:r>
      <w:r>
        <w:rPr/>
        <w:t>realizado</w:t>
      </w:r>
      <w:r>
        <w:rPr>
          <w:spacing w:val="-12"/>
        </w:rPr>
        <w:t> </w:t>
      </w:r>
      <w:r>
        <w:rPr/>
        <w:t>en</w:t>
      </w:r>
      <w:r>
        <w:rPr>
          <w:spacing w:val="-12"/>
        </w:rPr>
        <w:t> </w:t>
      </w:r>
      <w:r>
        <w:rPr/>
        <w:t>el</w:t>
      </w:r>
      <w:r>
        <w:rPr>
          <w:spacing w:val="-9"/>
        </w:rPr>
        <w:t> </w:t>
      </w:r>
      <w:r>
        <w:rPr/>
        <w:t>año</w:t>
      </w:r>
      <w:r>
        <w:rPr>
          <w:spacing w:val="-12"/>
        </w:rPr>
        <w:t> </w:t>
      </w:r>
      <w:r>
        <w:rPr/>
        <w:t>1942,</w:t>
      </w:r>
      <w:r>
        <w:rPr>
          <w:spacing w:val="-12"/>
        </w:rPr>
        <w:t> </w:t>
      </w:r>
      <w:r>
        <w:rPr/>
        <w:t>este</w:t>
      </w:r>
      <w:r>
        <w:rPr>
          <w:spacing w:val="-16"/>
        </w:rPr>
        <w:t> </w:t>
      </w:r>
      <w:r>
        <w:rPr/>
        <w:t>trabajo sugirió que los desastres deberían considerarse elementos importantes en las generalizaciones</w:t>
      </w:r>
      <w:r>
        <w:rPr>
          <w:spacing w:val="-12"/>
        </w:rPr>
        <w:t> </w:t>
      </w:r>
      <w:r>
        <w:rPr/>
        <w:t>científicas</w:t>
      </w:r>
      <w:r>
        <w:rPr>
          <w:spacing w:val="-16"/>
        </w:rPr>
        <w:t> </w:t>
      </w:r>
      <w:r>
        <w:rPr/>
        <w:t>inductivas</w:t>
      </w:r>
      <w:r>
        <w:rPr>
          <w:spacing w:val="-16"/>
        </w:rPr>
        <w:t> </w:t>
      </w:r>
      <w:r>
        <w:rPr/>
        <w:t>y</w:t>
      </w:r>
      <w:r>
        <w:rPr>
          <w:spacing w:val="-12"/>
        </w:rPr>
        <w:t> </w:t>
      </w:r>
      <w:r>
        <w:rPr/>
        <w:t>no</w:t>
      </w:r>
      <w:r>
        <w:rPr>
          <w:spacing w:val="-11"/>
        </w:rPr>
        <w:t> </w:t>
      </w:r>
      <w:r>
        <w:rPr>
          <w:spacing w:val="-3"/>
        </w:rPr>
        <w:t>como</w:t>
      </w:r>
      <w:r>
        <w:rPr>
          <w:spacing w:val="-11"/>
        </w:rPr>
        <w:t> </w:t>
      </w:r>
      <w:r>
        <w:rPr/>
        <w:t>eventos</w:t>
      </w:r>
      <w:r>
        <w:rPr>
          <w:spacing w:val="-12"/>
        </w:rPr>
        <w:t> </w:t>
      </w:r>
      <w:r>
        <w:rPr/>
        <w:t>sociales</w:t>
      </w:r>
      <w:r>
        <w:rPr>
          <w:spacing w:val="-12"/>
        </w:rPr>
        <w:t> </w:t>
      </w:r>
      <w:r>
        <w:rPr/>
        <w:t>únicos.</w:t>
      </w:r>
      <w:r>
        <w:rPr>
          <w:spacing w:val="-11"/>
        </w:rPr>
        <w:t> </w:t>
      </w:r>
      <w:r>
        <w:rPr/>
        <w:t>Después de la segunda guerra mundial surgieron los estudios sistemáticos sobre los desastres y se crean instituciones dedicadas a estos temas. También se realizaron exámenes empíricos sobre el comportamiento humano y la interacción social en períodos de emergencia, los estudios demostraron que la respuesta humana a los desastres </w:t>
      </w:r>
      <w:r>
        <w:rPr>
          <w:spacing w:val="-3"/>
        </w:rPr>
        <w:t>se </w:t>
      </w:r>
      <w:r>
        <w:rPr/>
        <w:t>caracteriza por altos niveles de actividad, racionalidad y</w:t>
      </w:r>
      <w:r>
        <w:rPr>
          <w:spacing w:val="-23"/>
        </w:rPr>
        <w:t> </w:t>
      </w:r>
      <w:r>
        <w:rPr/>
        <w:t>altruismo.</w:t>
      </w:r>
    </w:p>
    <w:p>
      <w:pPr>
        <w:spacing w:after="0" w:line="360" w:lineRule="auto"/>
        <w:jc w:val="both"/>
        <w:sectPr>
          <w:pgSz w:w="12240" w:h="15840"/>
          <w:pgMar w:header="0" w:footer="1031" w:top="1360" w:bottom="1220" w:left="1580" w:right="1580"/>
        </w:sectPr>
      </w:pPr>
    </w:p>
    <w:p>
      <w:pPr>
        <w:pStyle w:val="BodyText"/>
        <w:spacing w:line="360" w:lineRule="auto" w:before="52"/>
        <w:ind w:left="119" w:right="118"/>
        <w:jc w:val="both"/>
      </w:pPr>
      <w:r>
        <w:rPr/>
        <w:t>Actualmente existe mayor preocupación de los organismos internacionales y gobiernos</w:t>
      </w:r>
      <w:r>
        <w:rPr>
          <w:spacing w:val="-7"/>
        </w:rPr>
        <w:t> </w:t>
      </w:r>
      <w:r>
        <w:rPr/>
        <w:t>nacionales</w:t>
      </w:r>
      <w:r>
        <w:rPr>
          <w:spacing w:val="-7"/>
        </w:rPr>
        <w:t> </w:t>
      </w:r>
      <w:r>
        <w:rPr/>
        <w:t>por</w:t>
      </w:r>
      <w:r>
        <w:rPr>
          <w:spacing w:val="-5"/>
        </w:rPr>
        <w:t> </w:t>
      </w:r>
      <w:r>
        <w:rPr/>
        <w:t>la</w:t>
      </w:r>
      <w:r>
        <w:rPr>
          <w:spacing w:val="-6"/>
        </w:rPr>
        <w:t> </w:t>
      </w:r>
      <w:r>
        <w:rPr/>
        <w:t>tendencia</w:t>
      </w:r>
      <w:r>
        <w:rPr>
          <w:spacing w:val="-6"/>
        </w:rPr>
        <w:t> </w:t>
      </w:r>
      <w:r>
        <w:rPr/>
        <w:t>creciente</w:t>
      </w:r>
      <w:r>
        <w:rPr>
          <w:spacing w:val="-6"/>
        </w:rPr>
        <w:t> </w:t>
      </w:r>
      <w:r>
        <w:rPr/>
        <w:t>a</w:t>
      </w:r>
      <w:r>
        <w:rPr>
          <w:spacing w:val="-6"/>
        </w:rPr>
        <w:t> </w:t>
      </w:r>
      <w:r>
        <w:rPr/>
        <w:t>la</w:t>
      </w:r>
      <w:r>
        <w:rPr>
          <w:spacing w:val="-6"/>
        </w:rPr>
        <w:t> </w:t>
      </w:r>
      <w:r>
        <w:rPr/>
        <w:t>ocurrencia</w:t>
      </w:r>
      <w:r>
        <w:rPr>
          <w:spacing w:val="-6"/>
        </w:rPr>
        <w:t> </w:t>
      </w:r>
      <w:r>
        <w:rPr/>
        <w:t>de</w:t>
      </w:r>
      <w:r>
        <w:rPr>
          <w:spacing w:val="-6"/>
        </w:rPr>
        <w:t> </w:t>
      </w:r>
      <w:r>
        <w:rPr/>
        <w:t>desastres</w:t>
      </w:r>
      <w:r>
        <w:rPr>
          <w:spacing w:val="-7"/>
        </w:rPr>
        <w:t> </w:t>
      </w:r>
      <w:r>
        <w:rPr/>
        <w:t>en</w:t>
      </w:r>
      <w:r>
        <w:rPr>
          <w:spacing w:val="-11"/>
        </w:rPr>
        <w:t> </w:t>
      </w:r>
      <w:r>
        <w:rPr/>
        <w:t>las ciudades, tanto en el mundo subdesarrollado, como en las grandes metrópolis del primer</w:t>
      </w:r>
      <w:r>
        <w:rPr>
          <w:spacing w:val="-11"/>
        </w:rPr>
        <w:t> </w:t>
      </w:r>
      <w:r>
        <w:rPr/>
        <w:t>mundo.</w:t>
      </w:r>
      <w:r>
        <w:rPr>
          <w:spacing w:val="-12"/>
        </w:rPr>
        <w:t> </w:t>
      </w:r>
      <w:r>
        <w:rPr/>
        <w:t>Como</w:t>
      </w:r>
      <w:r>
        <w:rPr>
          <w:spacing w:val="-12"/>
        </w:rPr>
        <w:t> </w:t>
      </w:r>
      <w:r>
        <w:rPr/>
        <w:t>consecuencia</w:t>
      </w:r>
      <w:r>
        <w:rPr>
          <w:spacing w:val="-12"/>
        </w:rPr>
        <w:t> </w:t>
      </w:r>
      <w:r>
        <w:rPr/>
        <w:t>de</w:t>
      </w:r>
      <w:r>
        <w:rPr>
          <w:spacing w:val="-17"/>
        </w:rPr>
        <w:t> </w:t>
      </w:r>
      <w:r>
        <w:rPr/>
        <w:t>la</w:t>
      </w:r>
      <w:r>
        <w:rPr>
          <w:spacing w:val="-12"/>
        </w:rPr>
        <w:t> </w:t>
      </w:r>
      <w:r>
        <w:rPr/>
        <w:t>urbanización</w:t>
      </w:r>
      <w:r>
        <w:rPr>
          <w:spacing w:val="-12"/>
        </w:rPr>
        <w:t> </w:t>
      </w:r>
      <w:r>
        <w:rPr/>
        <w:t>caótica</w:t>
      </w:r>
      <w:r>
        <w:rPr>
          <w:spacing w:val="-12"/>
        </w:rPr>
        <w:t> </w:t>
      </w:r>
      <w:r>
        <w:rPr/>
        <w:t>se</w:t>
      </w:r>
      <w:r>
        <w:rPr>
          <w:spacing w:val="-17"/>
        </w:rPr>
        <w:t> </w:t>
      </w:r>
      <w:r>
        <w:rPr/>
        <w:t>prevé</w:t>
      </w:r>
      <w:r>
        <w:rPr>
          <w:spacing w:val="39"/>
        </w:rPr>
        <w:t> </w:t>
      </w:r>
      <w:r>
        <w:rPr/>
        <w:t>incremento en los niveles de riesgo y por lo tanto en el potencial de ocurrencia de desastres. (Mansilla, 2002:1, Olcina,</w:t>
      </w:r>
      <w:r>
        <w:rPr>
          <w:spacing w:val="-12"/>
        </w:rPr>
        <w:t> </w:t>
      </w:r>
      <w:r>
        <w:rPr/>
        <w:t>2010)</w:t>
      </w:r>
    </w:p>
    <w:p>
      <w:pPr>
        <w:pStyle w:val="BodyText"/>
        <w:spacing w:before="5"/>
      </w:pPr>
    </w:p>
    <w:p>
      <w:pPr>
        <w:pStyle w:val="BodyText"/>
        <w:spacing w:line="360" w:lineRule="auto"/>
        <w:ind w:left="119" w:right="118"/>
        <w:jc w:val="both"/>
      </w:pPr>
      <w:r>
        <w:rPr/>
        <w:t>En el decenio internacional para la reducción de </w:t>
      </w:r>
      <w:r>
        <w:rPr>
          <w:spacing w:val="5"/>
        </w:rPr>
        <w:t>los </w:t>
      </w:r>
      <w:r>
        <w:rPr/>
        <w:t>desastres (1990-1999) en el marco de la segunda conferencia de las Naciones Unidas sobre los Asentamientos Humanos</w:t>
      </w:r>
      <w:r>
        <w:rPr>
          <w:spacing w:val="-12"/>
        </w:rPr>
        <w:t> </w:t>
      </w:r>
      <w:r>
        <w:rPr/>
        <w:t>(Habitat</w:t>
      </w:r>
      <w:r>
        <w:rPr>
          <w:spacing w:val="-16"/>
        </w:rPr>
        <w:t> </w:t>
      </w:r>
      <w:r>
        <w:rPr/>
        <w:t>II),</w:t>
      </w:r>
      <w:r>
        <w:rPr>
          <w:spacing w:val="-16"/>
        </w:rPr>
        <w:t> </w:t>
      </w:r>
      <w:r>
        <w:rPr/>
        <w:t>subrayaron</w:t>
      </w:r>
      <w:r>
        <w:rPr>
          <w:spacing w:val="-16"/>
        </w:rPr>
        <w:t> </w:t>
      </w:r>
      <w:r>
        <w:rPr/>
        <w:t>los</w:t>
      </w:r>
      <w:r>
        <w:rPr>
          <w:spacing w:val="-16"/>
        </w:rPr>
        <w:t> </w:t>
      </w:r>
      <w:r>
        <w:rPr/>
        <w:t>efectos</w:t>
      </w:r>
      <w:r>
        <w:rPr>
          <w:spacing w:val="-16"/>
        </w:rPr>
        <w:t> </w:t>
      </w:r>
      <w:r>
        <w:rPr/>
        <w:t>de</w:t>
      </w:r>
      <w:r>
        <w:rPr>
          <w:spacing w:val="-11"/>
        </w:rPr>
        <w:t> </w:t>
      </w:r>
      <w:r>
        <w:rPr/>
        <w:t>la</w:t>
      </w:r>
      <w:r>
        <w:rPr>
          <w:spacing w:val="-11"/>
        </w:rPr>
        <w:t> </w:t>
      </w:r>
      <w:r>
        <w:rPr/>
        <w:t>urbanización</w:t>
      </w:r>
      <w:r>
        <w:rPr>
          <w:spacing w:val="-11"/>
        </w:rPr>
        <w:t> </w:t>
      </w:r>
      <w:r>
        <w:rPr/>
        <w:t>en</w:t>
      </w:r>
      <w:r>
        <w:rPr>
          <w:spacing w:val="-15"/>
        </w:rPr>
        <w:t> </w:t>
      </w:r>
      <w:r>
        <w:rPr/>
        <w:t>el</w:t>
      </w:r>
      <w:r>
        <w:rPr>
          <w:spacing w:val="-7"/>
        </w:rPr>
        <w:t> </w:t>
      </w:r>
      <w:r>
        <w:rPr/>
        <w:t>nivel</w:t>
      </w:r>
      <w:r>
        <w:rPr>
          <w:spacing w:val="-12"/>
        </w:rPr>
        <w:t> </w:t>
      </w:r>
      <w:r>
        <w:rPr/>
        <w:t>de</w:t>
      </w:r>
      <w:r>
        <w:rPr>
          <w:spacing w:val="-16"/>
        </w:rPr>
        <w:t> </w:t>
      </w:r>
      <w:r>
        <w:rPr/>
        <w:t>riesgo de</w:t>
      </w:r>
      <w:r>
        <w:rPr>
          <w:spacing w:val="-20"/>
        </w:rPr>
        <w:t> </w:t>
      </w:r>
      <w:r>
        <w:rPr/>
        <w:t>los</w:t>
      </w:r>
      <w:r>
        <w:rPr>
          <w:spacing w:val="-16"/>
        </w:rPr>
        <w:t> </w:t>
      </w:r>
      <w:r>
        <w:rPr/>
        <w:t>desastres</w:t>
      </w:r>
      <w:r>
        <w:rPr>
          <w:spacing w:val="-21"/>
        </w:rPr>
        <w:t> </w:t>
      </w:r>
      <w:r>
        <w:rPr/>
        <w:t>naturales</w:t>
      </w:r>
      <w:r>
        <w:rPr>
          <w:spacing w:val="-16"/>
        </w:rPr>
        <w:t> </w:t>
      </w:r>
      <w:r>
        <w:rPr/>
        <w:t>y</w:t>
      </w:r>
      <w:r>
        <w:rPr>
          <w:spacing w:val="-16"/>
        </w:rPr>
        <w:t> </w:t>
      </w:r>
      <w:r>
        <w:rPr/>
        <w:t>se</w:t>
      </w:r>
      <w:r>
        <w:rPr>
          <w:spacing w:val="-20"/>
        </w:rPr>
        <w:t> </w:t>
      </w:r>
      <w:r>
        <w:rPr/>
        <w:t>hizo</w:t>
      </w:r>
      <w:r>
        <w:rPr>
          <w:spacing w:val="-16"/>
        </w:rPr>
        <w:t> </w:t>
      </w:r>
      <w:r>
        <w:rPr/>
        <w:t>hincapié</w:t>
      </w:r>
      <w:r>
        <w:rPr>
          <w:spacing w:val="-16"/>
        </w:rPr>
        <w:t> </w:t>
      </w:r>
      <w:r>
        <w:rPr/>
        <w:t>en</w:t>
      </w:r>
      <w:r>
        <w:rPr>
          <w:spacing w:val="-16"/>
        </w:rPr>
        <w:t> </w:t>
      </w:r>
      <w:r>
        <w:rPr/>
        <w:t>tratar</w:t>
      </w:r>
      <w:r>
        <w:rPr>
          <w:spacing w:val="-20"/>
        </w:rPr>
        <w:t> </w:t>
      </w:r>
      <w:r>
        <w:rPr/>
        <w:t>las</w:t>
      </w:r>
      <w:r>
        <w:rPr>
          <w:spacing w:val="-16"/>
        </w:rPr>
        <w:t> </w:t>
      </w:r>
      <w:r>
        <w:rPr/>
        <w:t>actuaciones</w:t>
      </w:r>
      <w:r>
        <w:rPr>
          <w:spacing w:val="-21"/>
        </w:rPr>
        <w:t> </w:t>
      </w:r>
      <w:r>
        <w:rPr/>
        <w:t>de</w:t>
      </w:r>
      <w:r>
        <w:rPr>
          <w:spacing w:val="-16"/>
        </w:rPr>
        <w:t> </w:t>
      </w:r>
      <w:r>
        <w:rPr/>
        <w:t>prevención y mitigación en el marco de la planificación y el desarrollo</w:t>
      </w:r>
      <w:r>
        <w:rPr>
          <w:spacing w:val="-29"/>
        </w:rPr>
        <w:t> </w:t>
      </w:r>
      <w:r>
        <w:rPr/>
        <w:t>urbano.</w:t>
      </w:r>
    </w:p>
    <w:p>
      <w:pPr>
        <w:pStyle w:val="BodyText"/>
        <w:spacing w:before="10"/>
      </w:pPr>
    </w:p>
    <w:p>
      <w:pPr>
        <w:pStyle w:val="BodyText"/>
        <w:spacing w:line="360" w:lineRule="auto"/>
        <w:ind w:left="119" w:right="126"/>
        <w:jc w:val="both"/>
      </w:pPr>
      <w:r>
        <w:rPr/>
        <w:t>Se recomendó abordar la reducción de los desastres como una cuestión multisectorial, los principales aspectos que </w:t>
      </w:r>
      <w:r>
        <w:rPr>
          <w:spacing w:val="-3"/>
        </w:rPr>
        <w:t>se </w:t>
      </w:r>
      <w:r>
        <w:rPr/>
        <w:t>deben considerar, son: la pobreza urbana, el conocimiento público, la vivienda, la infraestructura, la utilización de las tierras</w:t>
      </w:r>
      <w:r>
        <w:rPr>
          <w:spacing w:val="-21"/>
        </w:rPr>
        <w:t> </w:t>
      </w:r>
      <w:r>
        <w:rPr/>
        <w:t>y</w:t>
      </w:r>
      <w:r>
        <w:rPr>
          <w:spacing w:val="-21"/>
        </w:rPr>
        <w:t> </w:t>
      </w:r>
      <w:r>
        <w:rPr/>
        <w:t>la</w:t>
      </w:r>
      <w:r>
        <w:rPr>
          <w:spacing w:val="-20"/>
        </w:rPr>
        <w:t> </w:t>
      </w:r>
      <w:r>
        <w:rPr/>
        <w:t>administración</w:t>
      </w:r>
      <w:r>
        <w:rPr>
          <w:spacing w:val="-20"/>
        </w:rPr>
        <w:t> </w:t>
      </w:r>
      <w:r>
        <w:rPr/>
        <w:t>urbana.</w:t>
      </w:r>
      <w:r>
        <w:rPr>
          <w:spacing w:val="-21"/>
        </w:rPr>
        <w:t> </w:t>
      </w:r>
      <w:r>
        <w:rPr/>
        <w:t>Se</w:t>
      </w:r>
      <w:r>
        <w:rPr>
          <w:spacing w:val="-16"/>
        </w:rPr>
        <w:t> </w:t>
      </w:r>
      <w:r>
        <w:rPr/>
        <w:t>precisó</w:t>
      </w:r>
      <w:r>
        <w:rPr>
          <w:spacing w:val="-25"/>
        </w:rPr>
        <w:t> </w:t>
      </w:r>
      <w:r>
        <w:rPr/>
        <w:t>la</w:t>
      </w:r>
      <w:r>
        <w:rPr>
          <w:spacing w:val="-21"/>
        </w:rPr>
        <w:t> </w:t>
      </w:r>
      <w:r>
        <w:rPr/>
        <w:t>importancia</w:t>
      </w:r>
      <w:r>
        <w:rPr>
          <w:spacing w:val="-20"/>
        </w:rPr>
        <w:t> </w:t>
      </w:r>
      <w:r>
        <w:rPr/>
        <w:t>de</w:t>
      </w:r>
      <w:r>
        <w:rPr>
          <w:spacing w:val="-20"/>
        </w:rPr>
        <w:t> </w:t>
      </w:r>
      <w:r>
        <w:rPr/>
        <w:t>realizar</w:t>
      </w:r>
      <w:r>
        <w:rPr>
          <w:spacing w:val="-20"/>
        </w:rPr>
        <w:t> </w:t>
      </w:r>
      <w:r>
        <w:rPr/>
        <w:t>evaluaciones del peligro y la vulnerabilidad, y el fortalecimiento de la capacidad de los gobiernos a prepararse y responder ante situaciones de desastre en zonas</w:t>
      </w:r>
      <w:r>
        <w:rPr>
          <w:spacing w:val="-33"/>
        </w:rPr>
        <w:t> </w:t>
      </w:r>
      <w:r>
        <w:rPr/>
        <w:t>urbanas.</w:t>
      </w:r>
    </w:p>
    <w:p>
      <w:pPr>
        <w:pStyle w:val="BodyText"/>
        <w:spacing w:before="10"/>
      </w:pPr>
    </w:p>
    <w:p>
      <w:pPr>
        <w:pStyle w:val="BodyText"/>
        <w:spacing w:line="360" w:lineRule="auto"/>
        <w:ind w:left="119" w:right="115"/>
        <w:jc w:val="both"/>
      </w:pPr>
      <w:r>
        <w:rPr/>
        <w:t>La evaluación del riesgo y la terminología asociada a </w:t>
      </w:r>
      <w:r>
        <w:rPr>
          <w:spacing w:val="-3"/>
        </w:rPr>
        <w:t>su </w:t>
      </w:r>
      <w:r>
        <w:rPr/>
        <w:t>definición no sólo ha variado con el tiempo, también ha variado desde la perspectiva disciplinar desde la cual se ha abordado su noción. Aun cuando al referirse a riesgo, la mayoría de quienes están relacionados con el tema cree que se está hablando del </w:t>
      </w:r>
      <w:r>
        <w:rPr>
          <w:spacing w:val="-3"/>
        </w:rPr>
        <w:t>mismo </w:t>
      </w:r>
      <w:r>
        <w:rPr/>
        <w:t>concepto, en realidad existen diferencias que no facilitan identificar de qué manera se puede reducir el riesgo. La amenaza se refiere a un peligro latente o factor de riesgo</w:t>
      </w:r>
      <w:r>
        <w:rPr>
          <w:spacing w:val="-6"/>
        </w:rPr>
        <w:t> </w:t>
      </w:r>
      <w:r>
        <w:rPr/>
        <w:t>externo</w:t>
      </w:r>
      <w:r>
        <w:rPr>
          <w:spacing w:val="-6"/>
        </w:rPr>
        <w:t> </w:t>
      </w:r>
      <w:r>
        <w:rPr/>
        <w:t>a</w:t>
      </w:r>
      <w:r>
        <w:rPr>
          <w:spacing w:val="-6"/>
        </w:rPr>
        <w:t> </w:t>
      </w:r>
      <w:r>
        <w:rPr/>
        <w:t>un</w:t>
      </w:r>
      <w:r>
        <w:rPr>
          <w:spacing w:val="-6"/>
        </w:rPr>
        <w:t> </w:t>
      </w:r>
      <w:r>
        <w:rPr/>
        <w:t>sistema</w:t>
      </w:r>
      <w:r>
        <w:rPr>
          <w:spacing w:val="-6"/>
        </w:rPr>
        <w:t> </w:t>
      </w:r>
      <w:r>
        <w:rPr/>
        <w:t>o</w:t>
      </w:r>
      <w:r>
        <w:rPr>
          <w:spacing w:val="-6"/>
        </w:rPr>
        <w:t> </w:t>
      </w:r>
      <w:r>
        <w:rPr/>
        <w:t>sujeto</w:t>
      </w:r>
      <w:r>
        <w:rPr>
          <w:spacing w:val="-6"/>
        </w:rPr>
        <w:t> </w:t>
      </w:r>
      <w:r>
        <w:rPr/>
        <w:t>expuesto,</w:t>
      </w:r>
      <w:r>
        <w:rPr>
          <w:spacing w:val="-6"/>
        </w:rPr>
        <w:t> </w:t>
      </w:r>
      <w:r>
        <w:rPr/>
        <w:t>la</w:t>
      </w:r>
      <w:r>
        <w:rPr>
          <w:spacing w:val="-6"/>
        </w:rPr>
        <w:t> </w:t>
      </w:r>
      <w:r>
        <w:rPr/>
        <w:t>vulnerabilidad</w:t>
      </w:r>
      <w:r>
        <w:rPr>
          <w:spacing w:val="-11"/>
        </w:rPr>
        <w:t> </w:t>
      </w:r>
      <w:r>
        <w:rPr/>
        <w:t>es</w:t>
      </w:r>
      <w:r>
        <w:rPr>
          <w:spacing w:val="-7"/>
        </w:rPr>
        <w:t> </w:t>
      </w:r>
      <w:r>
        <w:rPr/>
        <w:t>un</w:t>
      </w:r>
      <w:r>
        <w:rPr>
          <w:spacing w:val="-6"/>
        </w:rPr>
        <w:t> </w:t>
      </w:r>
      <w:r>
        <w:rPr/>
        <w:t>factor</w:t>
      </w:r>
      <w:r>
        <w:rPr>
          <w:spacing w:val="-5"/>
        </w:rPr>
        <w:t> </w:t>
      </w:r>
      <w:r>
        <w:rPr/>
        <w:t>interno que esta expresado en la factibilidad de que el sistema o sujeto expuesto sea afectado por el fenómeno que caracteriza la amenaza. De esta manera, el riesgo corresponde al potencial de pérdidas que pueden ocurrirle al sujeto o sistema expuesto,</w:t>
      </w:r>
      <w:r>
        <w:rPr>
          <w:spacing w:val="-17"/>
        </w:rPr>
        <w:t> </w:t>
      </w:r>
      <w:r>
        <w:rPr/>
        <w:t>resultado</w:t>
      </w:r>
      <w:r>
        <w:rPr>
          <w:spacing w:val="-17"/>
        </w:rPr>
        <w:t> </w:t>
      </w:r>
      <w:r>
        <w:rPr/>
        <w:t>de</w:t>
      </w:r>
      <w:r>
        <w:rPr>
          <w:spacing w:val="-25"/>
        </w:rPr>
        <w:t> </w:t>
      </w:r>
      <w:r>
        <w:rPr/>
        <w:t>la</w:t>
      </w:r>
      <w:r>
        <w:rPr>
          <w:spacing w:val="-17"/>
        </w:rPr>
        <w:t> </w:t>
      </w:r>
      <w:r>
        <w:rPr/>
        <w:t>convulsión</w:t>
      </w:r>
      <w:r>
        <w:rPr>
          <w:spacing w:val="-16"/>
        </w:rPr>
        <w:t> </w:t>
      </w:r>
      <w:r>
        <w:rPr/>
        <w:t>de</w:t>
      </w:r>
      <w:r>
        <w:rPr>
          <w:spacing w:val="-20"/>
        </w:rPr>
        <w:t> </w:t>
      </w:r>
      <w:r>
        <w:rPr/>
        <w:t>la</w:t>
      </w:r>
      <w:r>
        <w:rPr>
          <w:spacing w:val="-17"/>
        </w:rPr>
        <w:t> </w:t>
      </w:r>
      <w:r>
        <w:rPr/>
        <w:t>amenaza</w:t>
      </w:r>
      <w:r>
        <w:rPr>
          <w:spacing w:val="-17"/>
        </w:rPr>
        <w:t> </w:t>
      </w:r>
      <w:r>
        <w:rPr/>
        <w:t>y</w:t>
      </w:r>
      <w:r>
        <w:rPr>
          <w:spacing w:val="-21"/>
        </w:rPr>
        <w:t> </w:t>
      </w:r>
      <w:r>
        <w:rPr/>
        <w:t>la</w:t>
      </w:r>
      <w:r>
        <w:rPr>
          <w:spacing w:val="-17"/>
        </w:rPr>
        <w:t> </w:t>
      </w:r>
      <w:r>
        <w:rPr/>
        <w:t>vulnerabilidad.</w:t>
      </w:r>
      <w:r>
        <w:rPr>
          <w:spacing w:val="-17"/>
        </w:rPr>
        <w:t> </w:t>
      </w:r>
      <w:r>
        <w:rPr/>
        <w:t>Así,</w:t>
      </w:r>
      <w:r>
        <w:rPr>
          <w:spacing w:val="-17"/>
        </w:rPr>
        <w:t> </w:t>
      </w:r>
      <w:r>
        <w:rPr/>
        <w:t>el</w:t>
      </w:r>
      <w:r>
        <w:rPr>
          <w:spacing w:val="-18"/>
        </w:rPr>
        <w:t> </w:t>
      </w:r>
      <w:r>
        <w:rPr/>
        <w:t>riesgo puede</w:t>
      </w:r>
      <w:r>
        <w:rPr>
          <w:spacing w:val="47"/>
        </w:rPr>
        <w:t> </w:t>
      </w:r>
      <w:r>
        <w:rPr/>
        <w:t>expresarse</w:t>
      </w:r>
      <w:r>
        <w:rPr>
          <w:spacing w:val="47"/>
        </w:rPr>
        <w:t> </w:t>
      </w:r>
      <w:r>
        <w:rPr/>
        <w:t>como</w:t>
      </w:r>
      <w:r>
        <w:rPr>
          <w:spacing w:val="47"/>
        </w:rPr>
        <w:t> </w:t>
      </w:r>
      <w:r>
        <w:rPr/>
        <w:t>la</w:t>
      </w:r>
      <w:r>
        <w:rPr>
          <w:spacing w:val="47"/>
        </w:rPr>
        <w:t> </w:t>
      </w:r>
      <w:r>
        <w:rPr/>
        <w:t>probabilidad</w:t>
      </w:r>
      <w:r>
        <w:rPr>
          <w:spacing w:val="47"/>
        </w:rPr>
        <w:t> </w:t>
      </w:r>
      <w:r>
        <w:rPr/>
        <w:t>de</w:t>
      </w:r>
      <w:r>
        <w:rPr>
          <w:spacing w:val="42"/>
        </w:rPr>
        <w:t> </w:t>
      </w:r>
      <w:r>
        <w:rPr/>
        <w:t>exceder</w:t>
      </w:r>
      <w:r>
        <w:rPr>
          <w:spacing w:val="48"/>
        </w:rPr>
        <w:t> </w:t>
      </w:r>
      <w:r>
        <w:rPr/>
        <w:t>un</w:t>
      </w:r>
      <w:r>
        <w:rPr>
          <w:spacing w:val="47"/>
        </w:rPr>
        <w:t> </w:t>
      </w:r>
      <w:r>
        <w:rPr/>
        <w:t>nivel</w:t>
      </w:r>
      <w:r>
        <w:rPr>
          <w:spacing w:val="50"/>
        </w:rPr>
        <w:t> </w:t>
      </w:r>
      <w:r>
        <w:rPr/>
        <w:t>de</w:t>
      </w:r>
      <w:r>
        <w:rPr>
          <w:spacing w:val="47"/>
        </w:rPr>
        <w:t> </w:t>
      </w:r>
      <w:r>
        <w:rPr/>
        <w:t>consecuencias</w:t>
      </w:r>
    </w:p>
    <w:p>
      <w:pPr>
        <w:spacing w:after="0" w:line="360" w:lineRule="auto"/>
        <w:jc w:val="both"/>
        <w:sectPr>
          <w:pgSz w:w="12240" w:h="15840"/>
          <w:pgMar w:header="0" w:footer="1031" w:top="1360" w:bottom="1220" w:left="1580" w:right="1580"/>
        </w:sectPr>
      </w:pPr>
    </w:p>
    <w:p>
      <w:pPr>
        <w:pStyle w:val="BodyText"/>
        <w:spacing w:line="362" w:lineRule="auto" w:before="52"/>
        <w:ind w:left="119" w:right="127"/>
        <w:jc w:val="both"/>
      </w:pPr>
      <w:r>
        <w:rPr/>
        <w:t>económicas,</w:t>
      </w:r>
      <w:r>
        <w:rPr>
          <w:spacing w:val="-12"/>
        </w:rPr>
        <w:t> </w:t>
      </w:r>
      <w:r>
        <w:rPr/>
        <w:t>sociales</w:t>
      </w:r>
      <w:r>
        <w:rPr>
          <w:spacing w:val="-13"/>
        </w:rPr>
        <w:t> </w:t>
      </w:r>
      <w:r>
        <w:rPr/>
        <w:t>y</w:t>
      </w:r>
      <w:r>
        <w:rPr>
          <w:spacing w:val="-17"/>
        </w:rPr>
        <w:t> </w:t>
      </w:r>
      <w:r>
        <w:rPr/>
        <w:t>ambientales</w:t>
      </w:r>
      <w:r>
        <w:rPr>
          <w:spacing w:val="-17"/>
        </w:rPr>
        <w:t> </w:t>
      </w:r>
      <w:r>
        <w:rPr/>
        <w:t>en</w:t>
      </w:r>
      <w:r>
        <w:rPr>
          <w:spacing w:val="-12"/>
        </w:rPr>
        <w:t> </w:t>
      </w:r>
      <w:r>
        <w:rPr/>
        <w:t>un</w:t>
      </w:r>
      <w:r>
        <w:rPr>
          <w:spacing w:val="-12"/>
        </w:rPr>
        <w:t> </w:t>
      </w:r>
      <w:r>
        <w:rPr/>
        <w:t>cierto</w:t>
      </w:r>
      <w:r>
        <w:rPr>
          <w:spacing w:val="-11"/>
        </w:rPr>
        <w:t> </w:t>
      </w:r>
      <w:r>
        <w:rPr/>
        <w:t>sitio</w:t>
      </w:r>
      <w:r>
        <w:rPr>
          <w:spacing w:val="-12"/>
        </w:rPr>
        <w:t> </w:t>
      </w:r>
      <w:r>
        <w:rPr/>
        <w:t>y</w:t>
      </w:r>
      <w:r>
        <w:rPr>
          <w:spacing w:val="-17"/>
        </w:rPr>
        <w:t> </w:t>
      </w:r>
      <w:r>
        <w:rPr/>
        <w:t>período</w:t>
      </w:r>
      <w:r>
        <w:rPr>
          <w:spacing w:val="-12"/>
        </w:rPr>
        <w:t> </w:t>
      </w:r>
      <w:r>
        <w:rPr/>
        <w:t>de</w:t>
      </w:r>
      <w:r>
        <w:rPr>
          <w:spacing w:val="-16"/>
        </w:rPr>
        <w:t> </w:t>
      </w:r>
      <w:r>
        <w:rPr/>
        <w:t>tiempo</w:t>
      </w:r>
      <w:r>
        <w:rPr>
          <w:spacing w:val="-12"/>
        </w:rPr>
        <w:t> </w:t>
      </w:r>
      <w:r>
        <w:rPr/>
        <w:t>(Cardona, 2001:</w:t>
      </w:r>
      <w:r>
        <w:rPr>
          <w:spacing w:val="-4"/>
        </w:rPr>
        <w:t> </w:t>
      </w:r>
      <w:r>
        <w:rPr/>
        <w:t>2).</w:t>
      </w:r>
    </w:p>
    <w:p>
      <w:pPr>
        <w:pStyle w:val="BodyText"/>
        <w:spacing w:before="3"/>
      </w:pPr>
    </w:p>
    <w:p>
      <w:pPr>
        <w:pStyle w:val="BodyText"/>
        <w:spacing w:line="360" w:lineRule="auto"/>
        <w:ind w:left="119" w:right="114"/>
        <w:jc w:val="both"/>
      </w:pPr>
      <w:r>
        <w:rPr/>
        <w:t>Se estima que el número de afectados por tormentas e inundaciones se ha incrementado, Por ejemplo, el territorio europeo es tributario de riesgos variados, entre otros, las lluvias intensas que provocan las inundaciones. Algunas regiones se encuentran entre las zonas de riesgo máximo de alguno de estos eventos atmosféricos a escala planetaria (Cantos, 1999).</w:t>
      </w:r>
    </w:p>
    <w:p>
      <w:pPr>
        <w:pStyle w:val="BodyText"/>
        <w:spacing w:before="10"/>
      </w:pPr>
    </w:p>
    <w:p>
      <w:pPr>
        <w:pStyle w:val="BodyText"/>
        <w:spacing w:line="360" w:lineRule="auto"/>
        <w:ind w:left="119" w:right="121"/>
        <w:jc w:val="both"/>
      </w:pPr>
      <w:r>
        <w:rPr/>
        <w:t>América</w:t>
      </w:r>
      <w:r>
        <w:rPr>
          <w:spacing w:val="-16"/>
        </w:rPr>
        <w:t> </w:t>
      </w:r>
      <w:r>
        <w:rPr/>
        <w:t>Central</w:t>
      </w:r>
      <w:r>
        <w:rPr>
          <w:spacing w:val="-13"/>
        </w:rPr>
        <w:t> </w:t>
      </w:r>
      <w:r>
        <w:rPr/>
        <w:t>y</w:t>
      </w:r>
      <w:r>
        <w:rPr>
          <w:spacing w:val="-16"/>
        </w:rPr>
        <w:t> </w:t>
      </w:r>
      <w:r>
        <w:rPr/>
        <w:t>el</w:t>
      </w:r>
      <w:r>
        <w:rPr>
          <w:spacing w:val="-13"/>
        </w:rPr>
        <w:t> </w:t>
      </w:r>
      <w:r>
        <w:rPr/>
        <w:t>Caribe</w:t>
      </w:r>
      <w:r>
        <w:rPr>
          <w:spacing w:val="-12"/>
        </w:rPr>
        <w:t> </w:t>
      </w:r>
      <w:r>
        <w:rPr/>
        <w:t>(desde</w:t>
      </w:r>
      <w:r>
        <w:rPr>
          <w:spacing w:val="-16"/>
        </w:rPr>
        <w:t> </w:t>
      </w:r>
      <w:r>
        <w:rPr/>
        <w:t>México</w:t>
      </w:r>
      <w:r>
        <w:rPr>
          <w:spacing w:val="-16"/>
        </w:rPr>
        <w:t> </w:t>
      </w:r>
      <w:r>
        <w:rPr/>
        <w:t>hasta</w:t>
      </w:r>
      <w:r>
        <w:rPr>
          <w:spacing w:val="-15"/>
        </w:rPr>
        <w:t> </w:t>
      </w:r>
      <w:r>
        <w:rPr/>
        <w:t>Nicaragua</w:t>
      </w:r>
      <w:r>
        <w:rPr>
          <w:spacing w:val="-16"/>
        </w:rPr>
        <w:t> </w:t>
      </w:r>
      <w:r>
        <w:rPr/>
        <w:t>e</w:t>
      </w:r>
      <w:r>
        <w:rPr>
          <w:spacing w:val="-20"/>
        </w:rPr>
        <w:t> </w:t>
      </w:r>
      <w:r>
        <w:rPr/>
        <w:t>islas</w:t>
      </w:r>
      <w:r>
        <w:rPr>
          <w:spacing w:val="-16"/>
        </w:rPr>
        <w:t> </w:t>
      </w:r>
      <w:r>
        <w:rPr/>
        <w:t>caribeñas),</w:t>
      </w:r>
      <w:r>
        <w:rPr>
          <w:spacing w:val="-16"/>
        </w:rPr>
        <w:t> </w:t>
      </w:r>
      <w:r>
        <w:rPr/>
        <w:t>entre otras regiones se reconocen como “regiones-riesgo”, aquéllas que presentan alto grado de riesgo por la magnitud de los efectos y frecuencia de aparición de desastres (Olcina,</w:t>
      </w:r>
      <w:r>
        <w:rPr>
          <w:spacing w:val="-9"/>
        </w:rPr>
        <w:t> </w:t>
      </w:r>
      <w:r>
        <w:rPr/>
        <w:t>2008).</w:t>
      </w:r>
    </w:p>
    <w:p>
      <w:pPr>
        <w:pStyle w:val="BodyText"/>
        <w:spacing w:before="5"/>
      </w:pPr>
    </w:p>
    <w:p>
      <w:pPr>
        <w:pStyle w:val="BodyText"/>
        <w:spacing w:line="360" w:lineRule="auto"/>
        <w:ind w:left="119" w:right="124"/>
        <w:jc w:val="both"/>
      </w:pPr>
      <w:r>
        <w:rPr/>
        <w:t>El tipo de catástrofe </w:t>
      </w:r>
      <w:r>
        <w:rPr>
          <w:spacing w:val="-3"/>
        </w:rPr>
        <w:t>más </w:t>
      </w:r>
      <w:r>
        <w:rPr/>
        <w:t>repetida en el año 2007 fue la meteorológica, en este año se registraron 206 episodios, el 89,32% fueron de este tipo, el resto en su mayoría geológicas. </w:t>
      </w:r>
      <w:r>
        <w:rPr>
          <w:spacing w:val="-4"/>
        </w:rPr>
        <w:t>El </w:t>
      </w:r>
      <w:r>
        <w:rPr/>
        <w:t>subtipo de catástrofe que con mayor frecuencia se produjo fue el de los episodios de inundación con 62 casos, seguidos </w:t>
      </w:r>
      <w:r>
        <w:rPr>
          <w:spacing w:val="-3"/>
        </w:rPr>
        <w:t>muy </w:t>
      </w:r>
      <w:r>
        <w:rPr/>
        <w:t>de lejos por los tornados con 23 casos y los vientos fuertes con 17, todos de tipo meteorológico (PNUD, 2014).</w:t>
      </w:r>
    </w:p>
    <w:p>
      <w:pPr>
        <w:pStyle w:val="BodyText"/>
        <w:spacing w:before="10"/>
      </w:pPr>
    </w:p>
    <w:p>
      <w:pPr>
        <w:pStyle w:val="BodyText"/>
        <w:spacing w:line="360" w:lineRule="auto"/>
        <w:ind w:left="119" w:right="115"/>
        <w:jc w:val="both"/>
      </w:pPr>
      <w:r>
        <w:rPr/>
        <w:t>Las inundaciones son provocadas principalmente por el desborde de los ríos y sus afluentes</w:t>
      </w:r>
      <w:r>
        <w:rPr>
          <w:spacing w:val="-6"/>
        </w:rPr>
        <w:t> </w:t>
      </w:r>
      <w:r>
        <w:rPr/>
        <w:t>en</w:t>
      </w:r>
      <w:r>
        <w:rPr>
          <w:spacing w:val="-10"/>
        </w:rPr>
        <w:t> </w:t>
      </w:r>
      <w:r>
        <w:rPr/>
        <w:t>la</w:t>
      </w:r>
      <w:r>
        <w:rPr>
          <w:spacing w:val="-10"/>
        </w:rPr>
        <w:t> </w:t>
      </w:r>
      <w:r>
        <w:rPr/>
        <w:t>época</w:t>
      </w:r>
      <w:r>
        <w:rPr>
          <w:spacing w:val="-5"/>
        </w:rPr>
        <w:t> </w:t>
      </w:r>
      <w:r>
        <w:rPr/>
        <w:t>de</w:t>
      </w:r>
      <w:r>
        <w:rPr>
          <w:spacing w:val="-5"/>
        </w:rPr>
        <w:t> </w:t>
      </w:r>
      <w:r>
        <w:rPr/>
        <w:t>lluvias,</w:t>
      </w:r>
      <w:r>
        <w:rPr>
          <w:spacing w:val="-5"/>
        </w:rPr>
        <w:t> </w:t>
      </w:r>
      <w:r>
        <w:rPr/>
        <w:t>y</w:t>
      </w:r>
      <w:r>
        <w:rPr>
          <w:spacing w:val="-6"/>
        </w:rPr>
        <w:t> </w:t>
      </w:r>
      <w:r>
        <w:rPr/>
        <w:t>están</w:t>
      </w:r>
      <w:r>
        <w:rPr>
          <w:spacing w:val="-5"/>
        </w:rPr>
        <w:t> </w:t>
      </w:r>
      <w:r>
        <w:rPr/>
        <w:t>asociadas</w:t>
      </w:r>
      <w:r>
        <w:rPr>
          <w:spacing w:val="-6"/>
        </w:rPr>
        <w:t> </w:t>
      </w:r>
      <w:r>
        <w:rPr/>
        <w:t>a</w:t>
      </w:r>
      <w:r>
        <w:rPr>
          <w:spacing w:val="-5"/>
        </w:rPr>
        <w:t> </w:t>
      </w:r>
      <w:r>
        <w:rPr/>
        <w:t>fenómenos</w:t>
      </w:r>
      <w:r>
        <w:rPr>
          <w:spacing w:val="-6"/>
        </w:rPr>
        <w:t> </w:t>
      </w:r>
      <w:r>
        <w:rPr/>
        <w:t>meteorológicos</w:t>
      </w:r>
      <w:r>
        <w:rPr>
          <w:spacing w:val="-6"/>
        </w:rPr>
        <w:t> </w:t>
      </w:r>
      <w:r>
        <w:rPr/>
        <w:t>de fuertes o prolongadas precipitaciones. Los países con mayores riesgos asociados con las inundaciones son los que registran un bajo PIB per cápita, baja densidad demográfica y cifras importantes de personas expuestas. Los países de América Central (El Salvador, Honduras, Nicaragua), no sólo son los </w:t>
      </w:r>
      <w:r>
        <w:rPr>
          <w:spacing w:val="-3"/>
        </w:rPr>
        <w:t>más </w:t>
      </w:r>
      <w:r>
        <w:rPr/>
        <w:t>proclives a los desastres, sino también son los menos capacitados para responder a las consecuencias o para mitigar el impacto de las que se presentarán en el futuro. (Cardona A.,</w:t>
      </w:r>
      <w:r>
        <w:rPr>
          <w:spacing w:val="60"/>
        </w:rPr>
        <w:t> </w:t>
      </w:r>
      <w:r>
        <w:rPr/>
        <w:t>2005).</w:t>
      </w:r>
    </w:p>
    <w:p>
      <w:pPr>
        <w:pStyle w:val="BodyText"/>
        <w:spacing w:before="5"/>
      </w:pPr>
    </w:p>
    <w:p>
      <w:pPr>
        <w:pStyle w:val="BodyText"/>
        <w:spacing w:line="362" w:lineRule="auto"/>
        <w:ind w:left="119" w:right="128"/>
        <w:jc w:val="both"/>
      </w:pPr>
      <w:r>
        <w:rPr/>
        <w:t>La ubicación geográfica de México, en una región intertropical, lo hace sujeto a los embates de huracanes del océano Pacífico y del océano Atlántico. Los efectos  de</w:t>
      </w:r>
    </w:p>
    <w:p>
      <w:pPr>
        <w:spacing w:after="0" w:line="362" w:lineRule="auto"/>
        <w:jc w:val="both"/>
        <w:sectPr>
          <w:pgSz w:w="12240" w:h="15840"/>
          <w:pgMar w:header="0" w:footer="1031" w:top="1360" w:bottom="1220" w:left="1580" w:right="1580"/>
        </w:sectPr>
      </w:pPr>
    </w:p>
    <w:p>
      <w:pPr>
        <w:pStyle w:val="BodyText"/>
        <w:spacing w:line="360" w:lineRule="auto" w:before="52"/>
        <w:ind w:left="119" w:right="114"/>
        <w:jc w:val="both"/>
      </w:pPr>
      <w:r>
        <w:rPr/>
        <w:t>estos fenómenos se expresan en marejadas, vientos de gran velocidad y lluvias intensas. Estás últimas pueden causar inundaciones y deslaves, en las costas y al interior del territorio. Lo que asociado al dinámico proceso de urbanización, lo identifican como un país de alto riesgo, cuyo universo de afectación se ha incrementado en los últimos cincuenta años (1950-2000). En 1950 existían 94 localidades urbanas con más de 15,000 habitantes albergando al 25.6% de la población, en el año 2000 se contaba con 513 las localidades de más de 15,000 habitantes, las que concentraban 61% de la población total del país (INEGI. 2000).</w:t>
      </w:r>
    </w:p>
    <w:p>
      <w:pPr>
        <w:pStyle w:val="BodyText"/>
        <w:spacing w:before="10"/>
      </w:pPr>
    </w:p>
    <w:p>
      <w:pPr>
        <w:pStyle w:val="BodyText"/>
        <w:spacing w:line="360" w:lineRule="auto"/>
        <w:ind w:left="119" w:right="119"/>
        <w:jc w:val="both"/>
      </w:pPr>
      <w:r>
        <w:rPr/>
        <w:t>En nuestro país los fenómenos destructivos son de diversa índole, destacan los hidrometeorológico, su incidencia periódica comprende los ciclones tropicales, inundaciones, nevadas, tormentas eléctricas, lluvias torrenciales, sequías, temperaturas extremas, tempestades e inversiones térmicas. Cada temporada de lluvias</w:t>
      </w:r>
      <w:r>
        <w:rPr>
          <w:spacing w:val="-16"/>
        </w:rPr>
        <w:t> </w:t>
      </w:r>
      <w:r>
        <w:rPr/>
        <w:t>ha</w:t>
      </w:r>
      <w:r>
        <w:rPr>
          <w:spacing w:val="-15"/>
        </w:rPr>
        <w:t> </w:t>
      </w:r>
      <w:r>
        <w:rPr/>
        <w:t>traído</w:t>
      </w:r>
      <w:r>
        <w:rPr>
          <w:spacing w:val="-11"/>
        </w:rPr>
        <w:t> </w:t>
      </w:r>
      <w:r>
        <w:rPr/>
        <w:t>consigo</w:t>
      </w:r>
      <w:r>
        <w:rPr>
          <w:spacing w:val="-15"/>
        </w:rPr>
        <w:t> </w:t>
      </w:r>
      <w:r>
        <w:rPr/>
        <w:t>afectaciones</w:t>
      </w:r>
      <w:r>
        <w:rPr>
          <w:spacing w:val="-16"/>
        </w:rPr>
        <w:t> </w:t>
      </w:r>
      <w:r>
        <w:rPr/>
        <w:t>a</w:t>
      </w:r>
      <w:r>
        <w:rPr>
          <w:spacing w:val="-16"/>
        </w:rPr>
        <w:t> </w:t>
      </w:r>
      <w:r>
        <w:rPr/>
        <w:t>la</w:t>
      </w:r>
      <w:r>
        <w:rPr>
          <w:spacing w:val="-15"/>
        </w:rPr>
        <w:t> </w:t>
      </w:r>
      <w:r>
        <w:rPr/>
        <w:t>población,</w:t>
      </w:r>
      <w:r>
        <w:rPr>
          <w:spacing w:val="-16"/>
        </w:rPr>
        <w:t> </w:t>
      </w:r>
      <w:r>
        <w:rPr/>
        <w:t>las</w:t>
      </w:r>
      <w:r>
        <w:rPr>
          <w:spacing w:val="-16"/>
        </w:rPr>
        <w:t> </w:t>
      </w:r>
      <w:r>
        <w:rPr/>
        <w:t>viviendas</w:t>
      </w:r>
      <w:r>
        <w:rPr>
          <w:spacing w:val="-16"/>
        </w:rPr>
        <w:t> </w:t>
      </w:r>
      <w:r>
        <w:rPr/>
        <w:t>y</w:t>
      </w:r>
      <w:r>
        <w:rPr>
          <w:spacing w:val="-16"/>
        </w:rPr>
        <w:t> </w:t>
      </w:r>
      <w:r>
        <w:rPr/>
        <w:t>los</w:t>
      </w:r>
      <w:r>
        <w:rPr>
          <w:spacing w:val="-11"/>
        </w:rPr>
        <w:t> </w:t>
      </w:r>
      <w:r>
        <w:rPr/>
        <w:t>cultivos.</w:t>
      </w:r>
      <w:r>
        <w:rPr>
          <w:spacing w:val="-11"/>
        </w:rPr>
        <w:t> </w:t>
      </w:r>
      <w:r>
        <w:rPr/>
        <w:t>Las familias</w:t>
      </w:r>
      <w:r>
        <w:rPr>
          <w:spacing w:val="-10"/>
        </w:rPr>
        <w:t> </w:t>
      </w:r>
      <w:r>
        <w:rPr/>
        <w:t>ponen</w:t>
      </w:r>
      <w:r>
        <w:rPr>
          <w:spacing w:val="-14"/>
        </w:rPr>
        <w:t> </w:t>
      </w:r>
      <w:r>
        <w:rPr/>
        <w:t>en</w:t>
      </w:r>
      <w:r>
        <w:rPr>
          <w:spacing w:val="-14"/>
        </w:rPr>
        <w:t> </w:t>
      </w:r>
      <w:r>
        <w:rPr/>
        <w:t>riesgo</w:t>
      </w:r>
      <w:r>
        <w:rPr>
          <w:spacing w:val="-14"/>
        </w:rPr>
        <w:t> </w:t>
      </w:r>
      <w:r>
        <w:rPr/>
        <w:t>sus</w:t>
      </w:r>
      <w:r>
        <w:rPr>
          <w:spacing w:val="-15"/>
        </w:rPr>
        <w:t> </w:t>
      </w:r>
      <w:r>
        <w:rPr/>
        <w:t>vidas,</w:t>
      </w:r>
      <w:r>
        <w:rPr>
          <w:spacing w:val="-15"/>
        </w:rPr>
        <w:t> </w:t>
      </w:r>
      <w:r>
        <w:rPr/>
        <w:t>pierden</w:t>
      </w:r>
      <w:r>
        <w:rPr>
          <w:spacing w:val="-15"/>
        </w:rPr>
        <w:t> </w:t>
      </w:r>
      <w:r>
        <w:rPr/>
        <w:t>los</w:t>
      </w:r>
      <w:r>
        <w:rPr>
          <w:spacing w:val="-15"/>
        </w:rPr>
        <w:t> </w:t>
      </w:r>
      <w:r>
        <w:rPr/>
        <w:t>escasos</w:t>
      </w:r>
      <w:r>
        <w:rPr>
          <w:spacing w:val="-15"/>
        </w:rPr>
        <w:t> </w:t>
      </w:r>
      <w:r>
        <w:rPr/>
        <w:t>bienes</w:t>
      </w:r>
      <w:r>
        <w:rPr>
          <w:spacing w:val="-15"/>
        </w:rPr>
        <w:t> </w:t>
      </w:r>
      <w:r>
        <w:rPr/>
        <w:t>acumulados</w:t>
      </w:r>
      <w:r>
        <w:rPr>
          <w:spacing w:val="-15"/>
        </w:rPr>
        <w:t> </w:t>
      </w:r>
      <w:r>
        <w:rPr/>
        <w:t>a</w:t>
      </w:r>
      <w:r>
        <w:rPr>
          <w:spacing w:val="-14"/>
        </w:rPr>
        <w:t> </w:t>
      </w:r>
      <w:r>
        <w:rPr/>
        <w:t>través del tiempo, porque las inundaciones alcanzan niveles de hasta un metro dentro de las</w:t>
      </w:r>
      <w:r>
        <w:rPr>
          <w:spacing w:val="-14"/>
        </w:rPr>
        <w:t> </w:t>
      </w:r>
      <w:r>
        <w:rPr/>
        <w:t>casas</w:t>
      </w:r>
      <w:r>
        <w:rPr>
          <w:spacing w:val="-14"/>
        </w:rPr>
        <w:t> </w:t>
      </w:r>
      <w:r>
        <w:rPr/>
        <w:t>generando</w:t>
      </w:r>
      <w:r>
        <w:rPr>
          <w:spacing w:val="-13"/>
        </w:rPr>
        <w:t> </w:t>
      </w:r>
      <w:r>
        <w:rPr/>
        <w:t>adicionalmente</w:t>
      </w:r>
      <w:r>
        <w:rPr>
          <w:spacing w:val="-12"/>
        </w:rPr>
        <w:t> </w:t>
      </w:r>
      <w:r>
        <w:rPr/>
        <w:t>problemas</w:t>
      </w:r>
      <w:r>
        <w:rPr>
          <w:spacing w:val="-14"/>
        </w:rPr>
        <w:t> </w:t>
      </w:r>
      <w:r>
        <w:rPr/>
        <w:t>de</w:t>
      </w:r>
      <w:r>
        <w:rPr>
          <w:spacing w:val="-13"/>
        </w:rPr>
        <w:t> </w:t>
      </w:r>
      <w:r>
        <w:rPr/>
        <w:t>salud</w:t>
      </w:r>
      <w:r>
        <w:rPr>
          <w:spacing w:val="-17"/>
        </w:rPr>
        <w:t> </w:t>
      </w:r>
      <w:r>
        <w:rPr/>
        <w:t>pública</w:t>
      </w:r>
      <w:r>
        <w:rPr>
          <w:spacing w:val="-17"/>
        </w:rPr>
        <w:t> </w:t>
      </w:r>
      <w:r>
        <w:rPr/>
        <w:t>(Mancilla,</w:t>
      </w:r>
      <w:r>
        <w:rPr>
          <w:spacing w:val="-17"/>
        </w:rPr>
        <w:t> </w:t>
      </w:r>
      <w:r>
        <w:rPr/>
        <w:t>1993:7). Aun así, el Sistema Nacional de Protección Civil (SINAPROC) es reciente y sus resultados limitados (Ziccardi,</w:t>
      </w:r>
      <w:r>
        <w:rPr>
          <w:spacing w:val="-13"/>
        </w:rPr>
        <w:t> </w:t>
      </w:r>
      <w:r>
        <w:rPr/>
        <w:t>2003).</w:t>
      </w:r>
    </w:p>
    <w:p>
      <w:pPr>
        <w:pStyle w:val="BodyText"/>
        <w:spacing w:before="5"/>
      </w:pPr>
    </w:p>
    <w:p>
      <w:pPr>
        <w:pStyle w:val="BodyText"/>
        <w:spacing w:line="360" w:lineRule="auto"/>
        <w:ind w:left="119" w:right="120"/>
        <w:jc w:val="both"/>
      </w:pPr>
      <w:r>
        <w:rPr/>
        <w:t>De los 25 ciclones que en promedio llegan cada año a los mares cercanos al país, cuatro o cinco suelen penetrar en el territorio y causar daños severos. Provocando daños</w:t>
      </w:r>
      <w:r>
        <w:rPr>
          <w:spacing w:val="-11"/>
        </w:rPr>
        <w:t> </w:t>
      </w:r>
      <w:r>
        <w:rPr/>
        <w:t>a</w:t>
      </w:r>
      <w:r>
        <w:rPr>
          <w:spacing w:val="-19"/>
        </w:rPr>
        <w:t> </w:t>
      </w:r>
      <w:r>
        <w:rPr/>
        <w:t>la</w:t>
      </w:r>
      <w:r>
        <w:rPr>
          <w:spacing w:val="-10"/>
        </w:rPr>
        <w:t> </w:t>
      </w:r>
      <w:r>
        <w:rPr/>
        <w:t>población,</w:t>
      </w:r>
      <w:r>
        <w:rPr>
          <w:spacing w:val="-15"/>
        </w:rPr>
        <w:t> </w:t>
      </w:r>
      <w:r>
        <w:rPr/>
        <w:t>la</w:t>
      </w:r>
      <w:r>
        <w:rPr>
          <w:spacing w:val="-15"/>
        </w:rPr>
        <w:t> </w:t>
      </w:r>
      <w:r>
        <w:rPr/>
        <w:t>infraestructura,</w:t>
      </w:r>
      <w:r>
        <w:rPr>
          <w:spacing w:val="-15"/>
        </w:rPr>
        <w:t> </w:t>
      </w:r>
      <w:r>
        <w:rPr/>
        <w:t>los</w:t>
      </w:r>
      <w:r>
        <w:rPr>
          <w:spacing w:val="-11"/>
        </w:rPr>
        <w:t> </w:t>
      </w:r>
      <w:r>
        <w:rPr/>
        <w:t>servicios</w:t>
      </w:r>
      <w:r>
        <w:rPr>
          <w:spacing w:val="-11"/>
        </w:rPr>
        <w:t> </w:t>
      </w:r>
      <w:r>
        <w:rPr/>
        <w:t>y</w:t>
      </w:r>
      <w:r>
        <w:rPr>
          <w:spacing w:val="-15"/>
        </w:rPr>
        <w:t> </w:t>
      </w:r>
      <w:r>
        <w:rPr/>
        <w:t>a</w:t>
      </w:r>
      <w:r>
        <w:rPr>
          <w:spacing w:val="-15"/>
        </w:rPr>
        <w:t> </w:t>
      </w:r>
      <w:r>
        <w:rPr/>
        <w:t>los</w:t>
      </w:r>
      <w:r>
        <w:rPr>
          <w:spacing w:val="-15"/>
        </w:rPr>
        <w:t> </w:t>
      </w:r>
      <w:r>
        <w:rPr/>
        <w:t>sistemas</w:t>
      </w:r>
      <w:r>
        <w:rPr>
          <w:spacing w:val="-11"/>
        </w:rPr>
        <w:t> </w:t>
      </w:r>
      <w:r>
        <w:rPr/>
        <w:t>de</w:t>
      </w:r>
      <w:r>
        <w:rPr>
          <w:spacing w:val="-10"/>
        </w:rPr>
        <w:t> </w:t>
      </w:r>
      <w:r>
        <w:rPr/>
        <w:t>producción, los cuales </w:t>
      </w:r>
      <w:r>
        <w:rPr>
          <w:spacing w:val="-3"/>
        </w:rPr>
        <w:t>se </w:t>
      </w:r>
      <w:r>
        <w:rPr/>
        <w:t>ven agravados por el arrastre de suelos ocasionado por la deforestación, así como por la ubicación de asentamientos humanos en zonas susceptibles de inundación (CENAPRED,</w:t>
      </w:r>
      <w:r>
        <w:rPr>
          <w:spacing w:val="-18"/>
        </w:rPr>
        <w:t> </w:t>
      </w:r>
      <w:r>
        <w:rPr/>
        <w:t>2001).</w:t>
      </w:r>
    </w:p>
    <w:p>
      <w:pPr>
        <w:pStyle w:val="BodyText"/>
        <w:spacing w:before="11"/>
        <w:rPr>
          <w:sz w:val="23"/>
        </w:rPr>
      </w:pPr>
    </w:p>
    <w:p>
      <w:pPr>
        <w:pStyle w:val="ListParagraph"/>
        <w:numPr>
          <w:ilvl w:val="1"/>
          <w:numId w:val="10"/>
        </w:numPr>
        <w:tabs>
          <w:tab w:pos="1066" w:val="left" w:leader="none"/>
        </w:tabs>
        <w:spacing w:line="240" w:lineRule="auto" w:before="0" w:after="0"/>
        <w:ind w:left="1065" w:right="0" w:hanging="369"/>
        <w:jc w:val="left"/>
        <w:rPr>
          <w:b/>
          <w:sz w:val="22"/>
        </w:rPr>
      </w:pPr>
      <w:r>
        <w:rPr>
          <w:b/>
          <w:sz w:val="22"/>
        </w:rPr>
        <w:t>Justificación</w:t>
      </w:r>
    </w:p>
    <w:p>
      <w:pPr>
        <w:pStyle w:val="BodyText"/>
        <w:spacing w:before="9"/>
        <w:rPr>
          <w:b/>
        </w:rPr>
      </w:pPr>
    </w:p>
    <w:p>
      <w:pPr>
        <w:pStyle w:val="BodyText"/>
        <w:spacing w:line="360" w:lineRule="auto"/>
        <w:ind w:left="119" w:right="119"/>
        <w:jc w:val="both"/>
      </w:pPr>
      <w:r>
        <w:rPr/>
        <w:t>La Segunda Conferencia de las Naciones Unidas sobre los Asentamientos Humanos (Hábitat II) le atribuyó gran importancia a la realización de evaluaciones del  peligro  y  la  vulnerabilidad  para  el  fortalecimiento  de  la  capacidad  de  los</w:t>
      </w:r>
    </w:p>
    <w:p>
      <w:pPr>
        <w:spacing w:after="0" w:line="360" w:lineRule="auto"/>
        <w:jc w:val="both"/>
        <w:sectPr>
          <w:pgSz w:w="12240" w:h="15840"/>
          <w:pgMar w:header="0" w:footer="1031" w:top="1360" w:bottom="1220" w:left="1580" w:right="1580"/>
        </w:sectPr>
      </w:pPr>
    </w:p>
    <w:p>
      <w:pPr>
        <w:pStyle w:val="BodyText"/>
        <w:spacing w:line="362" w:lineRule="auto" w:before="52"/>
        <w:ind w:left="119" w:right="127"/>
        <w:jc w:val="both"/>
      </w:pPr>
      <w:r>
        <w:rPr/>
        <w:t>gobiernos y la población para prepararse y responder ante situaciones de riesgo y desastre.</w:t>
      </w:r>
    </w:p>
    <w:p>
      <w:pPr>
        <w:pStyle w:val="BodyText"/>
        <w:spacing w:before="3"/>
      </w:pPr>
    </w:p>
    <w:p>
      <w:pPr>
        <w:pStyle w:val="BodyText"/>
        <w:spacing w:line="360" w:lineRule="auto"/>
        <w:ind w:left="119" w:right="118"/>
        <w:jc w:val="both"/>
      </w:pPr>
      <w:r>
        <w:rPr/>
        <w:t>Las lluvias que se presentan en México cada año, tienen intensidad y duración variable, sin embargo los eventos meteorológicos extraordinario, han causado severos estragos materiales y han afectado principalmente a la población en zonas marginadas. Las precipitaciones torrenciales en la parte alta de las cuencas y la deforestación, determinan la velocidad y fuerza de las avenidas, el escurrimiento se acompaña de gran cantidad de material de arrastre y sedimento en suspensión, lo que provoca la modificación de los cauces, reducción del área hidráulica y la inoperancia de la capacidad de la infraestructura hidráulica (CAEM, 2007).</w:t>
      </w:r>
    </w:p>
    <w:p>
      <w:pPr>
        <w:pStyle w:val="BodyText"/>
        <w:spacing w:before="10"/>
      </w:pPr>
    </w:p>
    <w:p>
      <w:pPr>
        <w:pStyle w:val="BodyText"/>
        <w:spacing w:line="360" w:lineRule="auto"/>
        <w:ind w:left="119" w:right="114"/>
        <w:jc w:val="both"/>
      </w:pPr>
      <w:r>
        <w:rPr/>
        <w:t>En el Estado de México se identifican doscientos dieciséis sitios susceptibles a la inundaciones,</w:t>
      </w:r>
      <w:r>
        <w:rPr>
          <w:spacing w:val="-18"/>
        </w:rPr>
        <w:t> </w:t>
      </w:r>
      <w:r>
        <w:rPr/>
        <w:t>la</w:t>
      </w:r>
      <w:r>
        <w:rPr>
          <w:spacing w:val="-14"/>
        </w:rPr>
        <w:t> </w:t>
      </w:r>
      <w:r>
        <w:rPr/>
        <w:t>ocurrencia</w:t>
      </w:r>
      <w:r>
        <w:rPr>
          <w:spacing w:val="-14"/>
        </w:rPr>
        <w:t> </w:t>
      </w:r>
      <w:r>
        <w:rPr/>
        <w:t>de</w:t>
      </w:r>
      <w:r>
        <w:rPr>
          <w:spacing w:val="-8"/>
        </w:rPr>
        <w:t> </w:t>
      </w:r>
      <w:r>
        <w:rPr/>
        <w:t>este</w:t>
      </w:r>
      <w:r>
        <w:rPr>
          <w:spacing w:val="-13"/>
        </w:rPr>
        <w:t> </w:t>
      </w:r>
      <w:r>
        <w:rPr/>
        <w:t>fenómeno</w:t>
      </w:r>
      <w:r>
        <w:rPr>
          <w:spacing w:val="-14"/>
        </w:rPr>
        <w:t> </w:t>
      </w:r>
      <w:r>
        <w:rPr/>
        <w:t>hidrometeorológico,</w:t>
      </w:r>
      <w:r>
        <w:rPr>
          <w:spacing w:val="-14"/>
        </w:rPr>
        <w:t> </w:t>
      </w:r>
      <w:r>
        <w:rPr/>
        <w:t>está</w:t>
      </w:r>
      <w:r>
        <w:rPr>
          <w:spacing w:val="-7"/>
        </w:rPr>
        <w:t> </w:t>
      </w:r>
      <w:r>
        <w:rPr/>
        <w:t>relacionado con las precipitaciones extraordinarias que ocasionan el desbordamiento de los cauces y corrientes de agua, sus efectos pone en riesgo la seguridad de la población, impactan la economía local, la integridad, la convivencia social y ambiente natural (GEM,</w:t>
      </w:r>
      <w:r>
        <w:rPr>
          <w:spacing w:val="-9"/>
        </w:rPr>
        <w:t> </w:t>
      </w:r>
      <w:r>
        <w:rPr/>
        <w:t>2012).</w:t>
      </w:r>
    </w:p>
    <w:p>
      <w:pPr>
        <w:pStyle w:val="BodyText"/>
        <w:spacing w:before="5"/>
      </w:pPr>
    </w:p>
    <w:p>
      <w:pPr>
        <w:pStyle w:val="BodyText"/>
        <w:spacing w:line="360" w:lineRule="auto"/>
        <w:ind w:left="119" w:right="118"/>
        <w:jc w:val="both"/>
      </w:pPr>
      <w:r>
        <w:rPr>
          <w:spacing w:val="2"/>
        </w:rPr>
        <w:t>La </w:t>
      </w:r>
      <w:r>
        <w:rPr>
          <w:spacing w:val="3"/>
        </w:rPr>
        <w:t>experiencia </w:t>
      </w:r>
      <w:r>
        <w:rPr>
          <w:spacing w:val="2"/>
        </w:rPr>
        <w:t>en </w:t>
      </w:r>
      <w:r>
        <w:rPr>
          <w:spacing w:val="4"/>
        </w:rPr>
        <w:t>la </w:t>
      </w:r>
      <w:r>
        <w:rPr>
          <w:spacing w:val="3"/>
        </w:rPr>
        <w:t>entidad documenta </w:t>
      </w:r>
      <w:r>
        <w:rPr>
          <w:spacing w:val="2"/>
        </w:rPr>
        <w:t>el caso de </w:t>
      </w:r>
      <w:r>
        <w:rPr>
          <w:spacing w:val="4"/>
        </w:rPr>
        <w:t>la </w:t>
      </w:r>
      <w:r>
        <w:rPr/>
        <w:t>Zona Metropolitana de Toluca, que </w:t>
      </w:r>
      <w:r>
        <w:rPr>
          <w:spacing w:val="4"/>
        </w:rPr>
        <w:t>describe lluvias </w:t>
      </w:r>
      <w:r>
        <w:rPr>
          <w:spacing w:val="3"/>
        </w:rPr>
        <w:t>torrenciales </w:t>
      </w:r>
      <w:r>
        <w:rPr/>
        <w:t>y </w:t>
      </w:r>
      <w:r>
        <w:rPr>
          <w:spacing w:val="4"/>
        </w:rPr>
        <w:t>atípicas </w:t>
      </w:r>
      <w:r>
        <w:rPr>
          <w:spacing w:val="3"/>
        </w:rPr>
        <w:t>que </w:t>
      </w:r>
      <w:r>
        <w:rPr>
          <w:spacing w:val="4"/>
        </w:rPr>
        <w:t>ocasionaron inundaciones severas </w:t>
      </w:r>
      <w:r>
        <w:rPr/>
        <w:t>en </w:t>
      </w:r>
      <w:r>
        <w:rPr>
          <w:spacing w:val="2"/>
        </w:rPr>
        <w:t>el </w:t>
      </w:r>
      <w:r>
        <w:rPr/>
        <w:t>año </w:t>
      </w:r>
      <w:r>
        <w:rPr>
          <w:spacing w:val="4"/>
        </w:rPr>
        <w:t>2006. </w:t>
      </w:r>
      <w:r>
        <w:rPr>
          <w:spacing w:val="3"/>
        </w:rPr>
        <w:t>Las </w:t>
      </w:r>
      <w:r>
        <w:rPr>
          <w:spacing w:val="4"/>
        </w:rPr>
        <w:t>inundaciones </w:t>
      </w:r>
      <w:r>
        <w:rPr>
          <w:spacing w:val="3"/>
        </w:rPr>
        <w:t>alcanzaron </w:t>
      </w:r>
      <w:r>
        <w:rPr>
          <w:spacing w:val="2"/>
        </w:rPr>
        <w:t>un nivel de 40 </w:t>
      </w:r>
      <w:r>
        <w:rPr/>
        <w:t>y </w:t>
      </w:r>
      <w:r>
        <w:rPr>
          <w:spacing w:val="2"/>
        </w:rPr>
        <w:t>60 </w:t>
      </w:r>
      <w:r>
        <w:rPr>
          <w:spacing w:val="3"/>
        </w:rPr>
        <w:t>centímetros </w:t>
      </w:r>
      <w:r>
        <w:rPr>
          <w:spacing w:val="2"/>
        </w:rPr>
        <w:t>de </w:t>
      </w:r>
      <w:r>
        <w:rPr>
          <w:spacing w:val="4"/>
        </w:rPr>
        <w:t>altura </w:t>
      </w:r>
      <w:r>
        <w:rPr>
          <w:spacing w:val="2"/>
        </w:rPr>
        <w:t>en </w:t>
      </w:r>
      <w:r>
        <w:rPr>
          <w:spacing w:val="4"/>
        </w:rPr>
        <w:t>las </w:t>
      </w:r>
      <w:r>
        <w:rPr>
          <w:spacing w:val="3"/>
        </w:rPr>
        <w:t>porciones </w:t>
      </w:r>
      <w:r>
        <w:rPr>
          <w:spacing w:val="4"/>
        </w:rPr>
        <w:t>oriente </w:t>
      </w:r>
      <w:r>
        <w:rPr/>
        <w:t>y </w:t>
      </w:r>
      <w:r>
        <w:rPr>
          <w:spacing w:val="3"/>
        </w:rPr>
        <w:t>sur </w:t>
      </w:r>
      <w:r>
        <w:rPr/>
        <w:t>de la </w:t>
      </w:r>
      <w:r>
        <w:rPr>
          <w:spacing w:val="4"/>
        </w:rPr>
        <w:t>región. </w:t>
      </w:r>
      <w:r>
        <w:rPr/>
        <w:t>Las </w:t>
      </w:r>
      <w:r>
        <w:rPr>
          <w:spacing w:val="4"/>
        </w:rPr>
        <w:t>consecuencias cuentan los </w:t>
      </w:r>
      <w:r>
        <w:rPr>
          <w:spacing w:val="3"/>
        </w:rPr>
        <w:t>daños </w:t>
      </w:r>
      <w:r>
        <w:rPr>
          <w:spacing w:val="2"/>
        </w:rPr>
        <w:t>en </w:t>
      </w:r>
      <w:r>
        <w:rPr>
          <w:spacing w:val="4"/>
        </w:rPr>
        <w:t>las viviendas </w:t>
      </w:r>
      <w:r>
        <w:rPr>
          <w:spacing w:val="3"/>
        </w:rPr>
        <w:t>cercanas </w:t>
      </w:r>
      <w:r>
        <w:rPr/>
        <w:t>a </w:t>
      </w:r>
      <w:r>
        <w:rPr>
          <w:spacing w:val="4"/>
        </w:rPr>
        <w:t>los </w:t>
      </w:r>
      <w:r>
        <w:rPr>
          <w:spacing w:val="3"/>
        </w:rPr>
        <w:t>cuerpos </w:t>
      </w:r>
      <w:r>
        <w:rPr>
          <w:spacing w:val="2"/>
        </w:rPr>
        <w:t>de </w:t>
      </w:r>
      <w:r>
        <w:rPr>
          <w:spacing w:val="4"/>
        </w:rPr>
        <w:t>agua, </w:t>
      </w:r>
      <w:r>
        <w:rPr>
          <w:spacing w:val="3"/>
        </w:rPr>
        <w:t>pérdidas económicas </w:t>
      </w:r>
      <w:r>
        <w:rPr/>
        <w:t>y </w:t>
      </w:r>
      <w:r>
        <w:rPr>
          <w:spacing w:val="2"/>
        </w:rPr>
        <w:t>en </w:t>
      </w:r>
      <w:r>
        <w:rPr>
          <w:spacing w:val="3"/>
        </w:rPr>
        <w:t>general </w:t>
      </w:r>
      <w:r>
        <w:rPr>
          <w:spacing w:val="4"/>
        </w:rPr>
        <w:t>impacto </w:t>
      </w:r>
      <w:r>
        <w:rPr>
          <w:spacing w:val="2"/>
        </w:rPr>
        <w:t>en </w:t>
      </w:r>
      <w:r>
        <w:rPr>
          <w:spacing w:val="3"/>
        </w:rPr>
        <w:t>las </w:t>
      </w:r>
      <w:r>
        <w:rPr>
          <w:spacing w:val="4"/>
        </w:rPr>
        <w:t>actividades cotidianas, la </w:t>
      </w:r>
      <w:r>
        <w:rPr>
          <w:spacing w:val="3"/>
        </w:rPr>
        <w:t>población </w:t>
      </w:r>
      <w:r>
        <w:rPr/>
        <w:t>se </w:t>
      </w:r>
      <w:r>
        <w:rPr>
          <w:spacing w:val="2"/>
        </w:rPr>
        <w:t>vio </w:t>
      </w:r>
      <w:r>
        <w:rPr>
          <w:spacing w:val="4"/>
        </w:rPr>
        <w:t>imposibilitada para </w:t>
      </w:r>
      <w:r>
        <w:rPr>
          <w:spacing w:val="3"/>
        </w:rPr>
        <w:t>transitar por </w:t>
      </w:r>
      <w:r>
        <w:rPr>
          <w:spacing w:val="4"/>
        </w:rPr>
        <w:t>las </w:t>
      </w:r>
      <w:r>
        <w:rPr>
          <w:spacing w:val="3"/>
        </w:rPr>
        <w:t>calles </w:t>
      </w:r>
      <w:r>
        <w:rPr/>
        <w:t>e </w:t>
      </w:r>
      <w:r>
        <w:rPr>
          <w:spacing w:val="4"/>
        </w:rPr>
        <w:t>incluso </w:t>
      </w:r>
      <w:r>
        <w:rPr>
          <w:spacing w:val="2"/>
        </w:rPr>
        <w:t>salir de </w:t>
      </w:r>
      <w:r>
        <w:rPr>
          <w:spacing w:val="3"/>
        </w:rPr>
        <w:t>sus casas. </w:t>
      </w:r>
      <w:r>
        <w:rPr/>
        <w:t>El </w:t>
      </w:r>
      <w:r>
        <w:rPr>
          <w:spacing w:val="2"/>
        </w:rPr>
        <w:t>fenómeno </w:t>
      </w:r>
      <w:r>
        <w:rPr>
          <w:spacing w:val="4"/>
        </w:rPr>
        <w:t>rebasó la </w:t>
      </w:r>
      <w:r>
        <w:rPr>
          <w:spacing w:val="3"/>
        </w:rPr>
        <w:t>capacidad </w:t>
      </w:r>
      <w:r>
        <w:rPr>
          <w:spacing w:val="2"/>
        </w:rPr>
        <w:t>de </w:t>
      </w:r>
      <w:r>
        <w:rPr>
          <w:spacing w:val="4"/>
        </w:rPr>
        <w:t>respuesta </w:t>
      </w:r>
      <w:r>
        <w:rPr>
          <w:spacing w:val="2"/>
        </w:rPr>
        <w:t>de </w:t>
      </w:r>
      <w:r>
        <w:rPr>
          <w:spacing w:val="3"/>
        </w:rPr>
        <w:t>los municipios </w:t>
      </w:r>
      <w:r>
        <w:rPr/>
        <w:t>y   </w:t>
      </w:r>
      <w:r>
        <w:rPr>
          <w:spacing w:val="4"/>
        </w:rPr>
        <w:t>la </w:t>
      </w:r>
      <w:r>
        <w:rPr/>
        <w:t>del </w:t>
      </w:r>
      <w:r>
        <w:rPr>
          <w:spacing w:val="3"/>
        </w:rPr>
        <w:t>gobierno </w:t>
      </w:r>
      <w:r>
        <w:rPr>
          <w:spacing w:val="4"/>
        </w:rPr>
        <w:t>estatal, </w:t>
      </w:r>
      <w:r>
        <w:rPr>
          <w:spacing w:val="3"/>
        </w:rPr>
        <w:t>por </w:t>
      </w:r>
      <w:r>
        <w:rPr>
          <w:spacing w:val="4"/>
        </w:rPr>
        <w:t>lo </w:t>
      </w:r>
      <w:r>
        <w:rPr/>
        <w:t>que se </w:t>
      </w:r>
      <w:r>
        <w:rPr>
          <w:spacing w:val="3"/>
        </w:rPr>
        <w:t>implementó, </w:t>
      </w:r>
      <w:r>
        <w:rPr>
          <w:spacing w:val="6"/>
        </w:rPr>
        <w:t>al </w:t>
      </w:r>
      <w:r>
        <w:rPr>
          <w:spacing w:val="2"/>
        </w:rPr>
        <w:t>final de </w:t>
      </w:r>
      <w:r>
        <w:rPr>
          <w:spacing w:val="4"/>
        </w:rPr>
        <w:t>la </w:t>
      </w:r>
      <w:r>
        <w:rPr>
          <w:spacing w:val="3"/>
        </w:rPr>
        <w:t>temporada </w:t>
      </w:r>
      <w:r>
        <w:rPr>
          <w:spacing w:val="2"/>
        </w:rPr>
        <w:t>de </w:t>
      </w:r>
      <w:r>
        <w:rPr>
          <w:spacing w:val="4"/>
        </w:rPr>
        <w:t>lluvias, </w:t>
      </w:r>
      <w:r>
        <w:rPr/>
        <w:t>el </w:t>
      </w:r>
      <w:r>
        <w:rPr>
          <w:spacing w:val="3"/>
        </w:rPr>
        <w:t>Plan </w:t>
      </w:r>
      <w:r>
        <w:rPr>
          <w:spacing w:val="4"/>
        </w:rPr>
        <w:t>DN–III–E para </w:t>
      </w:r>
      <w:r>
        <w:rPr>
          <w:color w:val="1F487C"/>
          <w:spacing w:val="3"/>
        </w:rPr>
        <w:t>ob</w:t>
      </w:r>
      <w:r>
        <w:rPr>
          <w:spacing w:val="3"/>
        </w:rPr>
        <w:t>tener recursos del </w:t>
      </w:r>
      <w:r>
        <w:rPr>
          <w:spacing w:val="4"/>
        </w:rPr>
        <w:t>Fondo </w:t>
      </w:r>
      <w:r>
        <w:rPr>
          <w:spacing w:val="2"/>
        </w:rPr>
        <w:t>de </w:t>
      </w:r>
      <w:r>
        <w:rPr>
          <w:spacing w:val="4"/>
        </w:rPr>
        <w:t>Desastres Naturales </w:t>
      </w:r>
      <w:r>
        <w:rPr>
          <w:spacing w:val="2"/>
        </w:rPr>
        <w:t>(CAEM,</w:t>
      </w:r>
      <w:r>
        <w:rPr>
          <w:spacing w:val="21"/>
        </w:rPr>
        <w:t> </w:t>
      </w:r>
      <w:r>
        <w:rPr>
          <w:spacing w:val="4"/>
        </w:rPr>
        <w:t>2007).</w:t>
      </w:r>
    </w:p>
    <w:p>
      <w:pPr>
        <w:spacing w:after="0" w:line="360" w:lineRule="auto"/>
        <w:jc w:val="both"/>
        <w:sectPr>
          <w:pgSz w:w="12240" w:h="15840"/>
          <w:pgMar w:header="0" w:footer="1031" w:top="1360" w:bottom="1220" w:left="1580" w:right="1580"/>
        </w:sectPr>
      </w:pPr>
    </w:p>
    <w:p>
      <w:pPr>
        <w:pStyle w:val="BodyText"/>
        <w:spacing w:line="360" w:lineRule="auto" w:before="52"/>
        <w:ind w:left="119" w:right="119"/>
        <w:jc w:val="both"/>
      </w:pPr>
      <w:r>
        <w:rPr/>
        <w:t>Las medidas reactivas frente al desastre consumado en la ZMT, acusan el desconocimiento de los factores naturales y socioeconómicos que agudizan los impactos de los fenómenos hidrometeorológicos y la ausencia de medidas preventivas que preparen a la población para responder organizadamente a la ocurrencia de las inundaciones.</w:t>
      </w:r>
    </w:p>
    <w:p>
      <w:pPr>
        <w:pStyle w:val="BodyText"/>
        <w:spacing w:before="10"/>
      </w:pPr>
    </w:p>
    <w:p>
      <w:pPr>
        <w:pStyle w:val="BodyText"/>
        <w:spacing w:line="360" w:lineRule="auto"/>
        <w:ind w:left="119" w:right="117"/>
        <w:jc w:val="both"/>
      </w:pPr>
      <w:r>
        <w:rPr/>
        <w:t>En el marco de una línea de atención poco desarrollada se ubica el análisis de los factores</w:t>
      </w:r>
      <w:r>
        <w:rPr>
          <w:spacing w:val="-7"/>
        </w:rPr>
        <w:t> </w:t>
      </w:r>
      <w:r>
        <w:rPr/>
        <w:t>y</w:t>
      </w:r>
      <w:r>
        <w:rPr>
          <w:spacing w:val="-7"/>
        </w:rPr>
        <w:t> </w:t>
      </w:r>
      <w:r>
        <w:rPr/>
        <w:t>fenómenos</w:t>
      </w:r>
      <w:r>
        <w:rPr>
          <w:spacing w:val="-2"/>
        </w:rPr>
        <w:t> </w:t>
      </w:r>
      <w:r>
        <w:rPr/>
        <w:t>medio</w:t>
      </w:r>
      <w:r>
        <w:rPr>
          <w:spacing w:val="-6"/>
        </w:rPr>
        <w:t> </w:t>
      </w:r>
      <w:r>
        <w:rPr/>
        <w:t>ambientales</w:t>
      </w:r>
      <w:r>
        <w:rPr>
          <w:spacing w:val="-7"/>
        </w:rPr>
        <w:t> </w:t>
      </w:r>
      <w:r>
        <w:rPr/>
        <w:t>que</w:t>
      </w:r>
      <w:r>
        <w:rPr>
          <w:spacing w:val="-11"/>
        </w:rPr>
        <w:t> </w:t>
      </w:r>
      <w:r>
        <w:rPr/>
        <w:t>definen</w:t>
      </w:r>
      <w:r>
        <w:rPr>
          <w:spacing w:val="-6"/>
        </w:rPr>
        <w:t> </w:t>
      </w:r>
      <w:r>
        <w:rPr/>
        <w:t>el</w:t>
      </w:r>
      <w:r>
        <w:rPr>
          <w:spacing w:val="-3"/>
        </w:rPr>
        <w:t> </w:t>
      </w:r>
      <w:r>
        <w:rPr/>
        <w:t>grado</w:t>
      </w:r>
      <w:r>
        <w:rPr>
          <w:spacing w:val="-6"/>
        </w:rPr>
        <w:t> </w:t>
      </w:r>
      <w:r>
        <w:rPr/>
        <w:t>de</w:t>
      </w:r>
      <w:r>
        <w:rPr>
          <w:spacing w:val="-6"/>
        </w:rPr>
        <w:t> </w:t>
      </w:r>
      <w:r>
        <w:rPr/>
        <w:t>exposición</w:t>
      </w:r>
      <w:r>
        <w:rPr>
          <w:spacing w:val="-6"/>
        </w:rPr>
        <w:t> </w:t>
      </w:r>
      <w:r>
        <w:rPr/>
        <w:t>de</w:t>
      </w:r>
      <w:r>
        <w:rPr>
          <w:spacing w:val="-11"/>
        </w:rPr>
        <w:t> </w:t>
      </w:r>
      <w:r>
        <w:rPr/>
        <w:t>los asentamientos humanos a riesgos por inundación en la Zona Metropolitana de Toluca</w:t>
      </w:r>
      <w:r>
        <w:rPr>
          <w:spacing w:val="-20"/>
        </w:rPr>
        <w:t> </w:t>
      </w:r>
      <w:r>
        <w:rPr/>
        <w:t>(ZMT),</w:t>
      </w:r>
      <w:r>
        <w:rPr>
          <w:spacing w:val="-16"/>
        </w:rPr>
        <w:t> </w:t>
      </w:r>
      <w:r>
        <w:rPr/>
        <w:t>con</w:t>
      </w:r>
      <w:r>
        <w:rPr>
          <w:spacing w:val="-25"/>
        </w:rPr>
        <w:t> </w:t>
      </w:r>
      <w:r>
        <w:rPr/>
        <w:t>la</w:t>
      </w:r>
      <w:r>
        <w:rPr>
          <w:spacing w:val="-20"/>
        </w:rPr>
        <w:t> </w:t>
      </w:r>
      <w:r>
        <w:rPr/>
        <w:t>finalidad</w:t>
      </w:r>
      <w:r>
        <w:rPr>
          <w:spacing w:val="-20"/>
        </w:rPr>
        <w:t> </w:t>
      </w:r>
      <w:r>
        <w:rPr/>
        <w:t>de</w:t>
      </w:r>
      <w:r>
        <w:rPr>
          <w:spacing w:val="-18"/>
        </w:rPr>
        <w:t> </w:t>
      </w:r>
      <w:r>
        <w:rPr/>
        <w:t>aportar</w:t>
      </w:r>
      <w:r>
        <w:rPr>
          <w:spacing w:val="-19"/>
        </w:rPr>
        <w:t> </w:t>
      </w:r>
      <w:r>
        <w:rPr/>
        <w:t>estrategias</w:t>
      </w:r>
      <w:r>
        <w:rPr>
          <w:spacing w:val="-21"/>
        </w:rPr>
        <w:t> </w:t>
      </w:r>
      <w:r>
        <w:rPr/>
        <w:t>de</w:t>
      </w:r>
      <w:r>
        <w:rPr>
          <w:spacing w:val="-20"/>
        </w:rPr>
        <w:t> </w:t>
      </w:r>
      <w:r>
        <w:rPr/>
        <w:t>prevención,</w:t>
      </w:r>
      <w:r>
        <w:rPr>
          <w:spacing w:val="-21"/>
        </w:rPr>
        <w:t> </w:t>
      </w:r>
      <w:r>
        <w:rPr/>
        <w:t>control</w:t>
      </w:r>
      <w:r>
        <w:rPr>
          <w:spacing w:val="-13"/>
        </w:rPr>
        <w:t> </w:t>
      </w:r>
      <w:r>
        <w:rPr/>
        <w:t>y</w:t>
      </w:r>
      <w:r>
        <w:rPr>
          <w:spacing w:val="-21"/>
        </w:rPr>
        <w:t> </w:t>
      </w:r>
      <w:r>
        <w:rPr/>
        <w:t>gestión del riesgo por</w:t>
      </w:r>
      <w:r>
        <w:rPr>
          <w:spacing w:val="-10"/>
        </w:rPr>
        <w:t> </w:t>
      </w:r>
      <w:r>
        <w:rPr/>
        <w:t>inundación.</w:t>
      </w:r>
    </w:p>
    <w:p>
      <w:pPr>
        <w:pStyle w:val="BodyText"/>
        <w:spacing w:before="10"/>
      </w:pPr>
    </w:p>
    <w:p>
      <w:pPr>
        <w:pStyle w:val="ListParagraph"/>
        <w:numPr>
          <w:ilvl w:val="1"/>
          <w:numId w:val="10"/>
        </w:numPr>
        <w:tabs>
          <w:tab w:pos="1100" w:val="left" w:leader="none"/>
        </w:tabs>
        <w:spacing w:line="240" w:lineRule="auto" w:before="0" w:after="0"/>
        <w:ind w:left="1099" w:right="0" w:hanging="403"/>
        <w:jc w:val="left"/>
        <w:rPr>
          <w:sz w:val="24"/>
        </w:rPr>
      </w:pPr>
      <w:r>
        <w:rPr>
          <w:sz w:val="24"/>
        </w:rPr>
        <w:t>Planteamiento del</w:t>
      </w:r>
      <w:r>
        <w:rPr>
          <w:spacing w:val="-20"/>
          <w:sz w:val="24"/>
        </w:rPr>
        <w:t> </w:t>
      </w:r>
      <w:r>
        <w:rPr>
          <w:sz w:val="24"/>
        </w:rPr>
        <w:t>problema</w:t>
      </w:r>
    </w:p>
    <w:p>
      <w:pPr>
        <w:pStyle w:val="BodyText"/>
      </w:pPr>
    </w:p>
    <w:p>
      <w:pPr>
        <w:pStyle w:val="BodyText"/>
        <w:spacing w:line="360" w:lineRule="auto" w:before="139"/>
        <w:ind w:left="119" w:right="113"/>
        <w:jc w:val="both"/>
      </w:pPr>
      <w:r>
        <w:rPr/>
        <w:t>La</w:t>
      </w:r>
      <w:r>
        <w:rPr>
          <w:spacing w:val="-6"/>
        </w:rPr>
        <w:t> </w:t>
      </w:r>
      <w:r>
        <w:rPr/>
        <w:t>ciudad</w:t>
      </w:r>
      <w:r>
        <w:rPr>
          <w:spacing w:val="-11"/>
        </w:rPr>
        <w:t> </w:t>
      </w:r>
      <w:r>
        <w:rPr/>
        <w:t>de</w:t>
      </w:r>
      <w:r>
        <w:rPr>
          <w:spacing w:val="-11"/>
        </w:rPr>
        <w:t> </w:t>
      </w:r>
      <w:r>
        <w:rPr/>
        <w:t>Toluca</w:t>
      </w:r>
      <w:r>
        <w:rPr>
          <w:spacing w:val="-6"/>
        </w:rPr>
        <w:t> </w:t>
      </w:r>
      <w:r>
        <w:rPr/>
        <w:t>y</w:t>
      </w:r>
      <w:r>
        <w:rPr>
          <w:spacing w:val="-12"/>
        </w:rPr>
        <w:t> </w:t>
      </w:r>
      <w:r>
        <w:rPr/>
        <w:t>su</w:t>
      </w:r>
      <w:r>
        <w:rPr>
          <w:spacing w:val="-6"/>
        </w:rPr>
        <w:t> </w:t>
      </w:r>
      <w:r>
        <w:rPr/>
        <w:t>región</w:t>
      </w:r>
      <w:r>
        <w:rPr>
          <w:spacing w:val="-1"/>
        </w:rPr>
        <w:t> </w:t>
      </w:r>
      <w:r>
        <w:rPr/>
        <w:t>conforman</w:t>
      </w:r>
      <w:r>
        <w:rPr>
          <w:spacing w:val="-4"/>
        </w:rPr>
        <w:t> </w:t>
      </w:r>
      <w:r>
        <w:rPr/>
        <w:t>la</w:t>
      </w:r>
      <w:r>
        <w:rPr>
          <w:spacing w:val="-11"/>
        </w:rPr>
        <w:t> </w:t>
      </w:r>
      <w:r>
        <w:rPr/>
        <w:t>quinta</w:t>
      </w:r>
      <w:r>
        <w:rPr>
          <w:spacing w:val="-6"/>
        </w:rPr>
        <w:t> </w:t>
      </w:r>
      <w:r>
        <w:rPr/>
        <w:t>zona</w:t>
      </w:r>
      <w:r>
        <w:rPr>
          <w:spacing w:val="-6"/>
        </w:rPr>
        <w:t> </w:t>
      </w:r>
      <w:r>
        <w:rPr/>
        <w:t>metropolitana</w:t>
      </w:r>
      <w:r>
        <w:rPr>
          <w:spacing w:val="-6"/>
        </w:rPr>
        <w:t> </w:t>
      </w:r>
      <w:r>
        <w:rPr/>
        <w:t>del</w:t>
      </w:r>
      <w:r>
        <w:rPr>
          <w:spacing w:val="-7"/>
        </w:rPr>
        <w:t> </w:t>
      </w:r>
      <w:r>
        <w:rPr/>
        <w:t>país,</w:t>
      </w:r>
      <w:r>
        <w:rPr>
          <w:spacing w:val="-4"/>
        </w:rPr>
        <w:t> </w:t>
      </w:r>
      <w:r>
        <w:rPr/>
        <w:t>la ciudad alberga 819,561 habitantes y los catorce municipios que forman el conjunto metropolitano, alcanza 3,692, 232 habitantes distribuidos en 407 localidades (INEGI, 2010). El aumento de la población es un factor de presión que incrementa la</w:t>
      </w:r>
      <w:r>
        <w:rPr>
          <w:spacing w:val="-12"/>
        </w:rPr>
        <w:t> </w:t>
      </w:r>
      <w:r>
        <w:rPr/>
        <w:t>demanda</w:t>
      </w:r>
      <w:r>
        <w:rPr>
          <w:spacing w:val="-12"/>
        </w:rPr>
        <w:t> </w:t>
      </w:r>
      <w:r>
        <w:rPr/>
        <w:t>de</w:t>
      </w:r>
      <w:r>
        <w:rPr>
          <w:spacing w:val="-12"/>
        </w:rPr>
        <w:t> </w:t>
      </w:r>
      <w:r>
        <w:rPr/>
        <w:t>tierras</w:t>
      </w:r>
      <w:r>
        <w:rPr>
          <w:spacing w:val="-13"/>
        </w:rPr>
        <w:t> </w:t>
      </w:r>
      <w:r>
        <w:rPr/>
        <w:t>para</w:t>
      </w:r>
      <w:r>
        <w:rPr>
          <w:spacing w:val="-12"/>
        </w:rPr>
        <w:t> </w:t>
      </w:r>
      <w:r>
        <w:rPr/>
        <w:t>el</w:t>
      </w:r>
      <w:r>
        <w:rPr>
          <w:spacing w:val="-9"/>
        </w:rPr>
        <w:t> </w:t>
      </w:r>
      <w:r>
        <w:rPr/>
        <w:t>uso</w:t>
      </w:r>
      <w:r>
        <w:rPr>
          <w:spacing w:val="-16"/>
        </w:rPr>
        <w:t> </w:t>
      </w:r>
      <w:r>
        <w:rPr/>
        <w:t>habitacional,</w:t>
      </w:r>
      <w:r>
        <w:rPr>
          <w:spacing w:val="-13"/>
        </w:rPr>
        <w:t> </w:t>
      </w:r>
      <w:r>
        <w:rPr/>
        <w:t>lo</w:t>
      </w:r>
      <w:r>
        <w:rPr>
          <w:spacing w:val="-16"/>
        </w:rPr>
        <w:t> </w:t>
      </w:r>
      <w:r>
        <w:rPr/>
        <w:t>cual</w:t>
      </w:r>
      <w:r>
        <w:rPr>
          <w:spacing w:val="-9"/>
        </w:rPr>
        <w:t> </w:t>
      </w:r>
      <w:r>
        <w:rPr/>
        <w:t>ha</w:t>
      </w:r>
      <w:r>
        <w:rPr>
          <w:spacing w:val="-16"/>
        </w:rPr>
        <w:t> </w:t>
      </w:r>
      <w:r>
        <w:rPr/>
        <w:t>desbordado</w:t>
      </w:r>
      <w:r>
        <w:rPr>
          <w:spacing w:val="-16"/>
        </w:rPr>
        <w:t> </w:t>
      </w:r>
      <w:r>
        <w:rPr/>
        <w:t>el</w:t>
      </w:r>
      <w:r>
        <w:rPr>
          <w:spacing w:val="2"/>
        </w:rPr>
        <w:t> </w:t>
      </w:r>
      <w:r>
        <w:rPr/>
        <w:t>crecimiento de la ciudad hacia las áreas no aptas para la urbanización, en estás emergen los asentamientos humanos vulnerables a los fenómenos</w:t>
      </w:r>
      <w:r>
        <w:rPr>
          <w:spacing w:val="-18"/>
        </w:rPr>
        <w:t> </w:t>
      </w:r>
      <w:r>
        <w:rPr/>
        <w:t>hidrometeorológicos.</w:t>
      </w:r>
    </w:p>
    <w:p>
      <w:pPr>
        <w:pStyle w:val="BodyText"/>
        <w:spacing w:before="5"/>
      </w:pPr>
    </w:p>
    <w:p>
      <w:pPr>
        <w:pStyle w:val="BodyText"/>
        <w:spacing w:line="360" w:lineRule="auto"/>
        <w:ind w:left="119" w:right="114"/>
        <w:jc w:val="both"/>
      </w:pPr>
      <w:r>
        <w:rPr/>
        <w:t>Las elevaciones principales, entre ellas el volcán Nevado de Toluca y la Sierra de las Cruces, configuran el curso alto de la cuenca alta del río Lerma. La zona de estudio ocupa la porción baja del valle, domina la pendiente suave y suelos arcillosos propios de un origen lacustre. La deforestación y el material arenoso de las elevaciones, en condiciones de lluvia torrencial, aumentan la fuerza de los escurrimientos de agua, acarreando sedimentos que se depositan en los terrenos bajos, azolvan los cauces de los ríos y los sistemas de drenaje (CAEM, 2007).</w:t>
      </w:r>
    </w:p>
    <w:p>
      <w:pPr>
        <w:pStyle w:val="BodyText"/>
        <w:spacing w:before="5"/>
      </w:pPr>
    </w:p>
    <w:p>
      <w:pPr>
        <w:pStyle w:val="BodyText"/>
        <w:spacing w:line="360" w:lineRule="auto"/>
        <w:ind w:left="119" w:right="126"/>
        <w:jc w:val="both"/>
      </w:pPr>
      <w:r>
        <w:rPr/>
        <w:t>La acumulación del agua se intensifica debido a que la mayor parte de los cuerpos de</w:t>
      </w:r>
      <w:r>
        <w:rPr>
          <w:spacing w:val="-7"/>
        </w:rPr>
        <w:t> </w:t>
      </w:r>
      <w:r>
        <w:rPr/>
        <w:t>agua</w:t>
      </w:r>
      <w:r>
        <w:rPr>
          <w:spacing w:val="-7"/>
        </w:rPr>
        <w:t> </w:t>
      </w:r>
      <w:r>
        <w:rPr/>
        <w:t>que</w:t>
      </w:r>
      <w:r>
        <w:rPr>
          <w:spacing w:val="-7"/>
        </w:rPr>
        <w:t> </w:t>
      </w:r>
      <w:r>
        <w:rPr/>
        <w:t>permitían</w:t>
      </w:r>
      <w:r>
        <w:rPr>
          <w:spacing w:val="-7"/>
        </w:rPr>
        <w:t> </w:t>
      </w:r>
      <w:r>
        <w:rPr/>
        <w:t>el</w:t>
      </w:r>
      <w:r>
        <w:rPr>
          <w:spacing w:val="-4"/>
        </w:rPr>
        <w:t> </w:t>
      </w:r>
      <w:r>
        <w:rPr/>
        <w:t>desahogo</w:t>
      </w:r>
      <w:r>
        <w:rPr>
          <w:spacing w:val="-7"/>
        </w:rPr>
        <w:t> </w:t>
      </w:r>
      <w:r>
        <w:rPr/>
        <w:t>de</w:t>
      </w:r>
      <w:r>
        <w:rPr>
          <w:spacing w:val="-7"/>
        </w:rPr>
        <w:t> </w:t>
      </w:r>
      <w:r>
        <w:rPr/>
        <w:t>la</w:t>
      </w:r>
      <w:r>
        <w:rPr>
          <w:spacing w:val="-7"/>
        </w:rPr>
        <w:t> </w:t>
      </w:r>
      <w:r>
        <w:rPr/>
        <w:t>carga</w:t>
      </w:r>
      <w:r>
        <w:rPr>
          <w:spacing w:val="-7"/>
        </w:rPr>
        <w:t> </w:t>
      </w:r>
      <w:r>
        <w:rPr/>
        <w:t>fluvial</w:t>
      </w:r>
      <w:r>
        <w:rPr>
          <w:spacing w:val="-4"/>
        </w:rPr>
        <w:t> </w:t>
      </w:r>
      <w:r>
        <w:rPr/>
        <w:t>han</w:t>
      </w:r>
      <w:r>
        <w:rPr>
          <w:spacing w:val="-7"/>
        </w:rPr>
        <w:t> </w:t>
      </w:r>
      <w:r>
        <w:rPr/>
        <w:t>sido</w:t>
      </w:r>
      <w:r>
        <w:rPr>
          <w:spacing w:val="-7"/>
        </w:rPr>
        <w:t> </w:t>
      </w:r>
      <w:r>
        <w:rPr/>
        <w:t>desecados,</w:t>
      </w:r>
      <w:r>
        <w:rPr>
          <w:spacing w:val="-7"/>
        </w:rPr>
        <w:t> </w:t>
      </w:r>
      <w:r>
        <w:rPr/>
        <w:t>algunos son</w:t>
      </w:r>
      <w:r>
        <w:rPr>
          <w:spacing w:val="23"/>
        </w:rPr>
        <w:t> </w:t>
      </w:r>
      <w:r>
        <w:rPr/>
        <w:t>utilizados</w:t>
      </w:r>
      <w:r>
        <w:rPr>
          <w:spacing w:val="22"/>
        </w:rPr>
        <w:t> </w:t>
      </w:r>
      <w:r>
        <w:rPr/>
        <w:t>como</w:t>
      </w:r>
      <w:r>
        <w:rPr>
          <w:spacing w:val="23"/>
        </w:rPr>
        <w:t> </w:t>
      </w:r>
      <w:r>
        <w:rPr/>
        <w:t>colectores</w:t>
      </w:r>
      <w:r>
        <w:rPr>
          <w:spacing w:val="22"/>
        </w:rPr>
        <w:t> </w:t>
      </w:r>
      <w:r>
        <w:rPr/>
        <w:t>de</w:t>
      </w:r>
      <w:r>
        <w:rPr>
          <w:spacing w:val="23"/>
        </w:rPr>
        <w:t> </w:t>
      </w:r>
      <w:r>
        <w:rPr/>
        <w:t>aguas</w:t>
      </w:r>
      <w:r>
        <w:rPr>
          <w:spacing w:val="22"/>
        </w:rPr>
        <w:t> </w:t>
      </w:r>
      <w:r>
        <w:rPr/>
        <w:t>negras,</w:t>
      </w:r>
      <w:r>
        <w:rPr>
          <w:spacing w:val="22"/>
        </w:rPr>
        <w:t> </w:t>
      </w:r>
      <w:r>
        <w:rPr/>
        <w:t>otros</w:t>
      </w:r>
      <w:r>
        <w:rPr>
          <w:spacing w:val="22"/>
        </w:rPr>
        <w:t> </w:t>
      </w:r>
      <w:r>
        <w:rPr/>
        <w:t>han</w:t>
      </w:r>
      <w:r>
        <w:rPr>
          <w:spacing w:val="23"/>
        </w:rPr>
        <w:t> </w:t>
      </w:r>
      <w:r>
        <w:rPr/>
        <w:t>sido</w:t>
      </w:r>
      <w:r>
        <w:rPr>
          <w:spacing w:val="18"/>
        </w:rPr>
        <w:t> </w:t>
      </w:r>
      <w:r>
        <w:rPr/>
        <w:t>reducidos</w:t>
      </w:r>
      <w:r>
        <w:rPr>
          <w:spacing w:val="17"/>
        </w:rPr>
        <w:t> </w:t>
      </w:r>
      <w:r>
        <w:rPr/>
        <w:t>por</w:t>
      </w:r>
      <w:r>
        <w:rPr>
          <w:spacing w:val="18"/>
        </w:rPr>
        <w:t> </w:t>
      </w:r>
      <w:r>
        <w:rPr/>
        <w:t>la</w:t>
      </w:r>
    </w:p>
    <w:p>
      <w:pPr>
        <w:spacing w:after="0" w:line="360" w:lineRule="auto"/>
        <w:jc w:val="both"/>
        <w:sectPr>
          <w:pgSz w:w="12240" w:h="15840"/>
          <w:pgMar w:header="0" w:footer="1031" w:top="1360" w:bottom="1220" w:left="1580" w:right="1580"/>
        </w:sectPr>
      </w:pPr>
    </w:p>
    <w:p>
      <w:pPr>
        <w:pStyle w:val="BodyText"/>
        <w:spacing w:line="360" w:lineRule="auto" w:before="52"/>
        <w:ind w:left="119" w:right="118"/>
        <w:jc w:val="both"/>
      </w:pPr>
      <w:r>
        <w:rPr/>
        <w:t>colmatación, o están obstruidos por desechos sólidos; las áreas urbanas se han extendido sobre terrenos desecados antes destinados a la agricultura: existen casas,</w:t>
      </w:r>
      <w:r>
        <w:rPr>
          <w:spacing w:val="-6"/>
        </w:rPr>
        <w:t> </w:t>
      </w:r>
      <w:r>
        <w:rPr/>
        <w:t>escuelas,</w:t>
      </w:r>
      <w:r>
        <w:rPr>
          <w:spacing w:val="-6"/>
        </w:rPr>
        <w:t> </w:t>
      </w:r>
      <w:r>
        <w:rPr/>
        <w:t>comercios</w:t>
      </w:r>
      <w:r>
        <w:rPr>
          <w:spacing w:val="-7"/>
        </w:rPr>
        <w:t> </w:t>
      </w:r>
      <w:r>
        <w:rPr/>
        <w:t>y</w:t>
      </w:r>
      <w:r>
        <w:rPr>
          <w:spacing w:val="-7"/>
        </w:rPr>
        <w:t> </w:t>
      </w:r>
      <w:r>
        <w:rPr/>
        <w:t>calles</w:t>
      </w:r>
      <w:r>
        <w:rPr>
          <w:spacing w:val="-12"/>
        </w:rPr>
        <w:t> </w:t>
      </w:r>
      <w:r>
        <w:rPr/>
        <w:t>en</w:t>
      </w:r>
      <w:r>
        <w:rPr>
          <w:spacing w:val="-11"/>
        </w:rPr>
        <w:t> </w:t>
      </w:r>
      <w:r>
        <w:rPr>
          <w:spacing w:val="3"/>
        </w:rPr>
        <w:t>las</w:t>
      </w:r>
      <w:r>
        <w:rPr>
          <w:spacing w:val="-7"/>
        </w:rPr>
        <w:t> </w:t>
      </w:r>
      <w:r>
        <w:rPr/>
        <w:t>zonas</w:t>
      </w:r>
      <w:r>
        <w:rPr>
          <w:spacing w:val="-7"/>
        </w:rPr>
        <w:t> </w:t>
      </w:r>
      <w:r>
        <w:rPr/>
        <w:t>que</w:t>
      </w:r>
      <w:r>
        <w:rPr>
          <w:spacing w:val="-6"/>
        </w:rPr>
        <w:t> </w:t>
      </w:r>
      <w:r>
        <w:rPr/>
        <w:t>se</w:t>
      </w:r>
      <w:r>
        <w:rPr>
          <w:spacing w:val="-11"/>
        </w:rPr>
        <w:t> </w:t>
      </w:r>
      <w:r>
        <w:rPr/>
        <w:t>inundan</w:t>
      </w:r>
      <w:r>
        <w:rPr>
          <w:spacing w:val="-2"/>
        </w:rPr>
        <w:t> </w:t>
      </w:r>
      <w:r>
        <w:rPr/>
        <w:t>constantemente</w:t>
      </w:r>
      <w:r>
        <w:rPr>
          <w:spacing w:val="-3"/>
        </w:rPr>
        <w:t> </w:t>
      </w:r>
      <w:r>
        <w:rPr/>
        <w:t>y se urbanizan terrenos baldíos que están mezclados con usos de suelo incompatibles.</w:t>
      </w:r>
    </w:p>
    <w:p>
      <w:pPr>
        <w:pStyle w:val="BodyText"/>
        <w:spacing w:before="10"/>
      </w:pPr>
    </w:p>
    <w:p>
      <w:pPr>
        <w:pStyle w:val="BodyText"/>
        <w:spacing w:line="360" w:lineRule="auto"/>
        <w:ind w:left="119" w:right="124"/>
        <w:jc w:val="both"/>
      </w:pPr>
      <w:r>
        <w:rPr/>
        <w:t>La probabilidad de ocurrencia de las inundaciones se relaciona con las descargas hídricas en cada temporada de lluvia. Las precipitaciones atípicas han causado el desbordamiento</w:t>
      </w:r>
      <w:r>
        <w:rPr>
          <w:spacing w:val="-1"/>
        </w:rPr>
        <w:t> </w:t>
      </w:r>
      <w:r>
        <w:rPr/>
        <w:t>de</w:t>
      </w:r>
      <w:r>
        <w:rPr>
          <w:spacing w:val="-11"/>
        </w:rPr>
        <w:t> </w:t>
      </w:r>
      <w:r>
        <w:rPr/>
        <w:t>los</w:t>
      </w:r>
      <w:r>
        <w:rPr>
          <w:spacing w:val="-2"/>
        </w:rPr>
        <w:t> </w:t>
      </w:r>
      <w:r>
        <w:rPr/>
        <w:t>cauces</w:t>
      </w:r>
      <w:r>
        <w:rPr>
          <w:spacing w:val="-7"/>
        </w:rPr>
        <w:t> </w:t>
      </w:r>
      <w:r>
        <w:rPr/>
        <w:t>de</w:t>
      </w:r>
      <w:r>
        <w:rPr>
          <w:spacing w:val="-6"/>
        </w:rPr>
        <w:t> </w:t>
      </w:r>
      <w:r>
        <w:rPr/>
        <w:t>los</w:t>
      </w:r>
      <w:r>
        <w:rPr>
          <w:spacing w:val="-2"/>
        </w:rPr>
        <w:t> </w:t>
      </w:r>
      <w:r>
        <w:rPr/>
        <w:t>ríos,</w:t>
      </w:r>
      <w:r>
        <w:rPr>
          <w:spacing w:val="-6"/>
        </w:rPr>
        <w:t> </w:t>
      </w:r>
      <w:r>
        <w:rPr/>
        <w:t>inundaciones</w:t>
      </w:r>
      <w:r>
        <w:rPr>
          <w:spacing w:val="-7"/>
        </w:rPr>
        <w:t> </w:t>
      </w:r>
      <w:r>
        <w:rPr/>
        <w:t>y</w:t>
      </w:r>
      <w:r>
        <w:rPr>
          <w:spacing w:val="-2"/>
        </w:rPr>
        <w:t> </w:t>
      </w:r>
      <w:r>
        <w:rPr/>
        <w:t>deslizamientos</w:t>
      </w:r>
      <w:r>
        <w:rPr>
          <w:spacing w:val="-7"/>
        </w:rPr>
        <w:t> </w:t>
      </w:r>
      <w:r>
        <w:rPr/>
        <w:t>de</w:t>
      </w:r>
      <w:r>
        <w:rPr>
          <w:spacing w:val="-6"/>
        </w:rPr>
        <w:t> </w:t>
      </w:r>
      <w:r>
        <w:rPr/>
        <w:t>suelo, que no solo afectan a la población de bajos recursos, la exposición al riesgo se expresa en todos los niveles</w:t>
      </w:r>
      <w:r>
        <w:rPr>
          <w:spacing w:val="-20"/>
        </w:rPr>
        <w:t> </w:t>
      </w:r>
      <w:r>
        <w:rPr/>
        <w:t>socioeconómicos.</w:t>
      </w:r>
    </w:p>
    <w:p>
      <w:pPr>
        <w:pStyle w:val="BodyText"/>
        <w:spacing w:before="10"/>
      </w:pPr>
    </w:p>
    <w:p>
      <w:pPr>
        <w:pStyle w:val="BodyText"/>
        <w:spacing w:line="360" w:lineRule="auto"/>
        <w:ind w:left="119" w:right="114"/>
        <w:jc w:val="both"/>
      </w:pPr>
      <w:r>
        <w:rPr/>
        <w:t>No</w:t>
      </w:r>
      <w:r>
        <w:rPr>
          <w:spacing w:val="-1"/>
        </w:rPr>
        <w:t> </w:t>
      </w:r>
      <w:r>
        <w:rPr/>
        <w:t>obstante</w:t>
      </w:r>
      <w:r>
        <w:rPr>
          <w:spacing w:val="-6"/>
        </w:rPr>
        <w:t> </w:t>
      </w:r>
      <w:r>
        <w:rPr/>
        <w:t>que</w:t>
      </w:r>
      <w:r>
        <w:rPr>
          <w:spacing w:val="-6"/>
        </w:rPr>
        <w:t> </w:t>
      </w:r>
      <w:r>
        <w:rPr/>
        <w:t>la</w:t>
      </w:r>
      <w:r>
        <w:rPr>
          <w:spacing w:val="-2"/>
        </w:rPr>
        <w:t> </w:t>
      </w:r>
      <w:r>
        <w:rPr/>
        <w:t>Ley</w:t>
      </w:r>
      <w:r>
        <w:rPr>
          <w:spacing w:val="-7"/>
        </w:rPr>
        <w:t> </w:t>
      </w:r>
      <w:r>
        <w:rPr/>
        <w:t>de</w:t>
      </w:r>
      <w:r>
        <w:rPr>
          <w:spacing w:val="-6"/>
        </w:rPr>
        <w:t> </w:t>
      </w:r>
      <w:r>
        <w:rPr/>
        <w:t>Asentamientos</w:t>
      </w:r>
      <w:r>
        <w:rPr>
          <w:spacing w:val="-7"/>
        </w:rPr>
        <w:t> </w:t>
      </w:r>
      <w:r>
        <w:rPr/>
        <w:t>Humanos</w:t>
      </w:r>
      <w:r>
        <w:rPr>
          <w:spacing w:val="-2"/>
        </w:rPr>
        <w:t> </w:t>
      </w:r>
      <w:r>
        <w:rPr/>
        <w:t>establece</w:t>
      </w:r>
      <w:r>
        <w:rPr>
          <w:spacing w:val="-11"/>
        </w:rPr>
        <w:t> </w:t>
      </w:r>
      <w:r>
        <w:rPr/>
        <w:t>la</w:t>
      </w:r>
      <w:r>
        <w:rPr>
          <w:spacing w:val="-6"/>
        </w:rPr>
        <w:t> </w:t>
      </w:r>
      <w:r>
        <w:rPr/>
        <w:t>obligatoriedad</w:t>
      </w:r>
      <w:r>
        <w:rPr>
          <w:spacing w:val="-6"/>
        </w:rPr>
        <w:t> </w:t>
      </w:r>
      <w:r>
        <w:rPr/>
        <w:t>del ordenamiento territorial, dispone en lo general la prevención, control y atención de riesgos y contingencias ambientales en los centros de población principales (DOF, 1993),</w:t>
      </w:r>
      <w:r>
        <w:rPr>
          <w:spacing w:val="-15"/>
        </w:rPr>
        <w:t> </w:t>
      </w:r>
      <w:r>
        <w:rPr/>
        <w:t>dejando</w:t>
      </w:r>
      <w:r>
        <w:rPr>
          <w:spacing w:val="-12"/>
        </w:rPr>
        <w:t> </w:t>
      </w:r>
      <w:r>
        <w:rPr/>
        <w:t>de</w:t>
      </w:r>
      <w:r>
        <w:rPr>
          <w:spacing w:val="-17"/>
        </w:rPr>
        <w:t> </w:t>
      </w:r>
      <w:r>
        <w:rPr/>
        <w:t>lado</w:t>
      </w:r>
      <w:r>
        <w:rPr>
          <w:spacing w:val="-17"/>
        </w:rPr>
        <w:t> </w:t>
      </w:r>
      <w:r>
        <w:rPr/>
        <w:t>los</w:t>
      </w:r>
      <w:r>
        <w:rPr>
          <w:spacing w:val="-13"/>
        </w:rPr>
        <w:t> </w:t>
      </w:r>
      <w:r>
        <w:rPr/>
        <w:t>asentamientos</w:t>
      </w:r>
      <w:r>
        <w:rPr>
          <w:spacing w:val="-8"/>
        </w:rPr>
        <w:t> </w:t>
      </w:r>
      <w:r>
        <w:rPr/>
        <w:t>humanos</w:t>
      </w:r>
      <w:r>
        <w:rPr>
          <w:spacing w:val="-13"/>
        </w:rPr>
        <w:t> </w:t>
      </w:r>
      <w:r>
        <w:rPr/>
        <w:t>o</w:t>
      </w:r>
      <w:r>
        <w:rPr>
          <w:spacing w:val="-12"/>
        </w:rPr>
        <w:t> </w:t>
      </w:r>
      <w:r>
        <w:rPr/>
        <w:t>conglomerados</w:t>
      </w:r>
      <w:r>
        <w:rPr>
          <w:spacing w:val="-13"/>
        </w:rPr>
        <w:t> </w:t>
      </w:r>
      <w:r>
        <w:rPr/>
        <w:t>demográficos de menor importancia para el desarrollo</w:t>
      </w:r>
      <w:r>
        <w:rPr>
          <w:spacing w:val="-15"/>
        </w:rPr>
        <w:t> </w:t>
      </w:r>
      <w:r>
        <w:rPr/>
        <w:t>urbano.</w:t>
      </w:r>
    </w:p>
    <w:p>
      <w:pPr>
        <w:pStyle w:val="BodyText"/>
        <w:spacing w:before="10"/>
      </w:pPr>
    </w:p>
    <w:p>
      <w:pPr>
        <w:pStyle w:val="BodyText"/>
        <w:spacing w:line="360" w:lineRule="auto"/>
        <w:ind w:left="119" w:right="113"/>
        <w:jc w:val="both"/>
      </w:pPr>
      <w:r>
        <w:rPr/>
        <w:t>En este sentido el enfoque de </w:t>
      </w:r>
      <w:r>
        <w:rPr>
          <w:spacing w:val="-3"/>
        </w:rPr>
        <w:t>manejo </w:t>
      </w:r>
      <w:r>
        <w:rPr/>
        <w:t>y gestión de cuencas hidrográficas, relacionado</w:t>
      </w:r>
      <w:r>
        <w:rPr>
          <w:spacing w:val="-8"/>
        </w:rPr>
        <w:t> </w:t>
      </w:r>
      <w:r>
        <w:rPr/>
        <w:t>con</w:t>
      </w:r>
      <w:r>
        <w:rPr>
          <w:spacing w:val="-14"/>
        </w:rPr>
        <w:t> </w:t>
      </w:r>
      <w:r>
        <w:rPr/>
        <w:t>la</w:t>
      </w:r>
      <w:r>
        <w:rPr>
          <w:spacing w:val="-15"/>
        </w:rPr>
        <w:t> </w:t>
      </w:r>
      <w:r>
        <w:rPr/>
        <w:t>reducción</w:t>
      </w:r>
      <w:r>
        <w:rPr>
          <w:spacing w:val="-9"/>
        </w:rPr>
        <w:t> </w:t>
      </w:r>
      <w:r>
        <w:rPr/>
        <w:t>de</w:t>
      </w:r>
      <w:r>
        <w:rPr>
          <w:spacing w:val="-15"/>
        </w:rPr>
        <w:t> </w:t>
      </w:r>
      <w:r>
        <w:rPr/>
        <w:t>la</w:t>
      </w:r>
      <w:r>
        <w:rPr>
          <w:spacing w:val="-10"/>
        </w:rPr>
        <w:t> </w:t>
      </w:r>
      <w:r>
        <w:rPr/>
        <w:t>vulnerabilidad</w:t>
      </w:r>
      <w:r>
        <w:rPr>
          <w:spacing w:val="-10"/>
        </w:rPr>
        <w:t> </w:t>
      </w:r>
      <w:r>
        <w:rPr/>
        <w:t>a</w:t>
      </w:r>
      <w:r>
        <w:rPr>
          <w:spacing w:val="-9"/>
        </w:rPr>
        <w:t> </w:t>
      </w:r>
      <w:r>
        <w:rPr/>
        <w:t>los</w:t>
      </w:r>
      <w:r>
        <w:rPr>
          <w:spacing w:val="-15"/>
        </w:rPr>
        <w:t> </w:t>
      </w:r>
      <w:r>
        <w:rPr/>
        <w:t>riesgos</w:t>
      </w:r>
      <w:r>
        <w:rPr>
          <w:spacing w:val="-9"/>
        </w:rPr>
        <w:t> </w:t>
      </w:r>
      <w:r>
        <w:rPr/>
        <w:t>naturales,</w:t>
      </w:r>
      <w:r>
        <w:rPr>
          <w:spacing w:val="-10"/>
        </w:rPr>
        <w:t> </w:t>
      </w:r>
      <w:r>
        <w:rPr/>
        <w:t>dota</w:t>
      </w:r>
      <w:r>
        <w:rPr>
          <w:spacing w:val="-14"/>
        </w:rPr>
        <w:t> </w:t>
      </w:r>
      <w:r>
        <w:rPr/>
        <w:t>de</w:t>
      </w:r>
      <w:r>
        <w:rPr>
          <w:spacing w:val="-15"/>
        </w:rPr>
        <w:t> </w:t>
      </w:r>
      <w:r>
        <w:rPr/>
        <w:t>las herramientas para el análisis, prevención y atención de los fenómenos hidrometeorológicos extremos en la zona de</w:t>
      </w:r>
      <w:r>
        <w:rPr>
          <w:spacing w:val="-18"/>
        </w:rPr>
        <w:t> </w:t>
      </w:r>
      <w:r>
        <w:rPr/>
        <w:t>estudio.</w:t>
      </w:r>
    </w:p>
    <w:p>
      <w:pPr>
        <w:pStyle w:val="BodyText"/>
        <w:spacing w:before="7"/>
        <w:rPr>
          <w:sz w:val="23"/>
        </w:rPr>
      </w:pPr>
    </w:p>
    <w:p>
      <w:pPr>
        <w:pStyle w:val="Heading2"/>
        <w:numPr>
          <w:ilvl w:val="1"/>
          <w:numId w:val="10"/>
        </w:numPr>
        <w:tabs>
          <w:tab w:pos="522" w:val="left" w:leader="none"/>
        </w:tabs>
        <w:spacing w:line="240" w:lineRule="auto" w:before="0" w:after="0"/>
        <w:ind w:left="521" w:right="0" w:hanging="402"/>
        <w:jc w:val="both"/>
      </w:pPr>
      <w:bookmarkStart w:name="_TOC_250048" w:id="6"/>
      <w:bookmarkEnd w:id="6"/>
      <w:r>
        <w:rPr/>
        <w:t>Hipótesis</w:t>
      </w:r>
    </w:p>
    <w:p>
      <w:pPr>
        <w:pStyle w:val="BodyText"/>
        <w:spacing w:before="2"/>
        <w:rPr>
          <w:b/>
          <w:sz w:val="25"/>
        </w:rPr>
      </w:pPr>
    </w:p>
    <w:p>
      <w:pPr>
        <w:pStyle w:val="BodyText"/>
        <w:spacing w:line="362" w:lineRule="auto" w:before="1"/>
        <w:ind w:left="119" w:right="124"/>
        <w:jc w:val="both"/>
      </w:pPr>
      <w:r>
        <w:rPr/>
        <w:t>La susceptibilidad de los asentamientos humanos a los riesgos por inundación en la ZMT, es un fenómeno localizado que estará determinado por factores biofísicos y socioeconómicos.</w:t>
      </w:r>
    </w:p>
    <w:p>
      <w:pPr>
        <w:spacing w:after="0" w:line="362" w:lineRule="auto"/>
        <w:jc w:val="both"/>
        <w:sectPr>
          <w:pgSz w:w="12240" w:h="15840"/>
          <w:pgMar w:header="0" w:footer="1031" w:top="1360" w:bottom="1220" w:left="1580" w:right="1580"/>
        </w:sectPr>
      </w:pPr>
    </w:p>
    <w:p>
      <w:pPr>
        <w:pStyle w:val="Heading2"/>
        <w:numPr>
          <w:ilvl w:val="1"/>
          <w:numId w:val="10"/>
        </w:numPr>
        <w:tabs>
          <w:tab w:pos="522" w:val="left" w:leader="none"/>
        </w:tabs>
        <w:spacing w:line="240" w:lineRule="auto" w:before="47" w:after="0"/>
        <w:ind w:left="521" w:right="0" w:hanging="402"/>
        <w:jc w:val="both"/>
      </w:pPr>
      <w:bookmarkStart w:name="_TOC_250047" w:id="7"/>
      <w:bookmarkEnd w:id="7"/>
      <w:r>
        <w:rPr/>
        <w:t>Objetivos</w:t>
      </w:r>
    </w:p>
    <w:p>
      <w:pPr>
        <w:pStyle w:val="BodyText"/>
        <w:rPr>
          <w:b/>
        </w:rPr>
      </w:pPr>
    </w:p>
    <w:p>
      <w:pPr>
        <w:pStyle w:val="BodyText"/>
        <w:spacing w:before="5"/>
        <w:rPr>
          <w:b/>
          <w:sz w:val="25"/>
        </w:rPr>
      </w:pPr>
    </w:p>
    <w:p>
      <w:pPr>
        <w:pStyle w:val="BodyText"/>
        <w:spacing w:before="1"/>
        <w:ind w:left="119"/>
        <w:jc w:val="both"/>
      </w:pPr>
      <w:r>
        <w:rPr/>
        <w:t>Objetivo general</w:t>
      </w:r>
    </w:p>
    <w:p>
      <w:pPr>
        <w:pStyle w:val="BodyText"/>
        <w:spacing w:before="2"/>
        <w:rPr>
          <w:sz w:val="28"/>
        </w:rPr>
      </w:pPr>
    </w:p>
    <w:p>
      <w:pPr>
        <w:pStyle w:val="BodyText"/>
        <w:spacing w:line="362" w:lineRule="auto"/>
        <w:ind w:left="119" w:right="115"/>
        <w:jc w:val="both"/>
      </w:pPr>
      <w:r>
        <w:rPr/>
        <w:t>Evaluar los factores físico-naturales y sociales que definen el grado de exposición de los asentamientos humanos a los riesgos por inundación en la Zona Metropolitana de Toluca, con la finalidad de aportar estrategias de prevención y gestión urbana.</w:t>
      </w:r>
    </w:p>
    <w:p>
      <w:pPr>
        <w:pStyle w:val="BodyText"/>
        <w:spacing w:before="9"/>
        <w:rPr>
          <w:sz w:val="23"/>
        </w:rPr>
      </w:pPr>
    </w:p>
    <w:p>
      <w:pPr>
        <w:pStyle w:val="BodyText"/>
        <w:ind w:left="119"/>
        <w:jc w:val="both"/>
      </w:pPr>
      <w:r>
        <w:rPr/>
        <w:t>Objetivos específicos</w:t>
      </w:r>
    </w:p>
    <w:p>
      <w:pPr>
        <w:pStyle w:val="BodyText"/>
        <w:spacing w:before="2"/>
        <w:rPr>
          <w:sz w:val="28"/>
        </w:rPr>
      </w:pPr>
    </w:p>
    <w:p>
      <w:pPr>
        <w:pStyle w:val="ListParagraph"/>
        <w:numPr>
          <w:ilvl w:val="2"/>
          <w:numId w:val="10"/>
        </w:numPr>
        <w:tabs>
          <w:tab w:pos="836" w:val="left" w:leader="none"/>
        </w:tabs>
        <w:spacing w:line="362" w:lineRule="auto" w:before="0" w:after="0"/>
        <w:ind w:left="835" w:right="125" w:hanging="360"/>
        <w:jc w:val="both"/>
        <w:rPr>
          <w:sz w:val="24"/>
        </w:rPr>
      </w:pPr>
      <w:r>
        <w:rPr>
          <w:sz w:val="24"/>
        </w:rPr>
        <w:t>Fundamentar</w:t>
      </w:r>
      <w:r>
        <w:rPr>
          <w:spacing w:val="-16"/>
          <w:sz w:val="24"/>
        </w:rPr>
        <w:t> </w:t>
      </w:r>
      <w:r>
        <w:rPr>
          <w:sz w:val="24"/>
        </w:rPr>
        <w:t>los</w:t>
      </w:r>
      <w:r>
        <w:rPr>
          <w:spacing w:val="-13"/>
          <w:sz w:val="24"/>
        </w:rPr>
        <w:t> </w:t>
      </w:r>
      <w:r>
        <w:rPr>
          <w:sz w:val="24"/>
        </w:rPr>
        <w:t>aspectos</w:t>
      </w:r>
      <w:r>
        <w:rPr>
          <w:spacing w:val="-13"/>
          <w:sz w:val="24"/>
        </w:rPr>
        <w:t> </w:t>
      </w:r>
      <w:r>
        <w:rPr>
          <w:sz w:val="24"/>
        </w:rPr>
        <w:t>teóricos</w:t>
      </w:r>
      <w:r>
        <w:rPr>
          <w:spacing w:val="-13"/>
          <w:sz w:val="24"/>
        </w:rPr>
        <w:t> </w:t>
      </w:r>
      <w:r>
        <w:rPr>
          <w:sz w:val="24"/>
        </w:rPr>
        <w:t>y</w:t>
      </w:r>
      <w:r>
        <w:rPr>
          <w:spacing w:val="-13"/>
          <w:sz w:val="24"/>
        </w:rPr>
        <w:t> </w:t>
      </w:r>
      <w:r>
        <w:rPr>
          <w:sz w:val="24"/>
        </w:rPr>
        <w:t>empíricos</w:t>
      </w:r>
      <w:r>
        <w:rPr>
          <w:spacing w:val="-13"/>
          <w:sz w:val="24"/>
        </w:rPr>
        <w:t> </w:t>
      </w:r>
      <w:r>
        <w:rPr>
          <w:sz w:val="24"/>
        </w:rPr>
        <w:t>de</w:t>
      </w:r>
      <w:r>
        <w:rPr>
          <w:spacing w:val="-12"/>
          <w:sz w:val="24"/>
        </w:rPr>
        <w:t> </w:t>
      </w:r>
      <w:r>
        <w:rPr>
          <w:sz w:val="24"/>
        </w:rPr>
        <w:t>los</w:t>
      </w:r>
      <w:r>
        <w:rPr>
          <w:spacing w:val="-12"/>
          <w:sz w:val="24"/>
        </w:rPr>
        <w:t> </w:t>
      </w:r>
      <w:r>
        <w:rPr>
          <w:sz w:val="24"/>
        </w:rPr>
        <w:t>riesgos</w:t>
      </w:r>
      <w:r>
        <w:rPr>
          <w:spacing w:val="-13"/>
          <w:sz w:val="24"/>
        </w:rPr>
        <w:t> </w:t>
      </w:r>
      <w:r>
        <w:rPr>
          <w:sz w:val="24"/>
        </w:rPr>
        <w:t>por</w:t>
      </w:r>
      <w:r>
        <w:rPr>
          <w:spacing w:val="-16"/>
          <w:sz w:val="24"/>
        </w:rPr>
        <w:t> </w:t>
      </w:r>
      <w:r>
        <w:rPr>
          <w:sz w:val="24"/>
        </w:rPr>
        <w:t>inundación en los  asentamientos</w:t>
      </w:r>
      <w:r>
        <w:rPr>
          <w:spacing w:val="-14"/>
          <w:sz w:val="24"/>
        </w:rPr>
        <w:t> </w:t>
      </w:r>
      <w:r>
        <w:rPr>
          <w:sz w:val="24"/>
        </w:rPr>
        <w:t>humanos.</w:t>
      </w:r>
    </w:p>
    <w:p>
      <w:pPr>
        <w:pStyle w:val="ListParagraph"/>
        <w:numPr>
          <w:ilvl w:val="2"/>
          <w:numId w:val="10"/>
        </w:numPr>
        <w:tabs>
          <w:tab w:pos="836" w:val="left" w:leader="none"/>
        </w:tabs>
        <w:spacing w:line="360" w:lineRule="auto" w:before="0" w:after="0"/>
        <w:ind w:left="835" w:right="116" w:hanging="360"/>
        <w:jc w:val="both"/>
        <w:rPr>
          <w:sz w:val="24"/>
        </w:rPr>
      </w:pPr>
      <w:r>
        <w:rPr>
          <w:sz w:val="24"/>
        </w:rPr>
        <w:t>Analizar los factores físico-naturales y socioeconómicos que provocan las inundaciones en la Zona Metropolitana de</w:t>
      </w:r>
      <w:r>
        <w:rPr>
          <w:spacing w:val="-22"/>
          <w:sz w:val="24"/>
        </w:rPr>
        <w:t> </w:t>
      </w:r>
      <w:r>
        <w:rPr>
          <w:sz w:val="24"/>
        </w:rPr>
        <w:t>Toluca</w:t>
      </w:r>
    </w:p>
    <w:p>
      <w:pPr>
        <w:pStyle w:val="ListParagraph"/>
        <w:numPr>
          <w:ilvl w:val="2"/>
          <w:numId w:val="10"/>
        </w:numPr>
        <w:tabs>
          <w:tab w:pos="836" w:val="left" w:leader="none"/>
        </w:tabs>
        <w:spacing w:line="360" w:lineRule="auto" w:before="7" w:after="0"/>
        <w:ind w:left="835" w:right="115" w:hanging="360"/>
        <w:jc w:val="both"/>
        <w:rPr>
          <w:sz w:val="24"/>
        </w:rPr>
      </w:pPr>
      <w:r>
        <w:rPr>
          <w:spacing w:val="4"/>
          <w:sz w:val="24"/>
        </w:rPr>
        <w:t>Identificar</w:t>
      </w:r>
      <w:r>
        <w:rPr>
          <w:spacing w:val="-3"/>
          <w:sz w:val="24"/>
        </w:rPr>
        <w:t> </w:t>
      </w:r>
      <w:r>
        <w:rPr>
          <w:spacing w:val="3"/>
          <w:sz w:val="24"/>
        </w:rPr>
        <w:t>las</w:t>
      </w:r>
      <w:r>
        <w:rPr>
          <w:spacing w:val="-8"/>
          <w:sz w:val="24"/>
        </w:rPr>
        <w:t> </w:t>
      </w:r>
      <w:r>
        <w:rPr>
          <w:spacing w:val="3"/>
          <w:sz w:val="24"/>
        </w:rPr>
        <w:t>zonas</w:t>
      </w:r>
      <w:r>
        <w:rPr>
          <w:spacing w:val="-6"/>
          <w:sz w:val="24"/>
        </w:rPr>
        <w:t> </w:t>
      </w:r>
      <w:r>
        <w:rPr>
          <w:spacing w:val="4"/>
          <w:sz w:val="24"/>
        </w:rPr>
        <w:t>vulnerables</w:t>
      </w:r>
      <w:r>
        <w:rPr>
          <w:spacing w:val="-8"/>
          <w:sz w:val="24"/>
        </w:rPr>
        <w:t> </w:t>
      </w:r>
      <w:r>
        <w:rPr>
          <w:sz w:val="24"/>
        </w:rPr>
        <w:t>a</w:t>
      </w:r>
      <w:r>
        <w:rPr>
          <w:spacing w:val="-12"/>
          <w:sz w:val="24"/>
        </w:rPr>
        <w:t> </w:t>
      </w:r>
      <w:r>
        <w:rPr>
          <w:spacing w:val="4"/>
          <w:sz w:val="24"/>
        </w:rPr>
        <w:t>los</w:t>
      </w:r>
      <w:r>
        <w:rPr>
          <w:spacing w:val="-4"/>
          <w:sz w:val="24"/>
        </w:rPr>
        <w:t> </w:t>
      </w:r>
      <w:r>
        <w:rPr>
          <w:spacing w:val="3"/>
          <w:sz w:val="24"/>
        </w:rPr>
        <w:t>riesgos</w:t>
      </w:r>
      <w:r>
        <w:rPr>
          <w:spacing w:val="-8"/>
          <w:sz w:val="24"/>
        </w:rPr>
        <w:t> </w:t>
      </w:r>
      <w:r>
        <w:rPr>
          <w:spacing w:val="3"/>
          <w:sz w:val="24"/>
        </w:rPr>
        <w:t>por</w:t>
      </w:r>
      <w:r>
        <w:rPr>
          <w:spacing w:val="-6"/>
          <w:sz w:val="24"/>
        </w:rPr>
        <w:t> </w:t>
      </w:r>
      <w:r>
        <w:rPr>
          <w:spacing w:val="4"/>
          <w:sz w:val="24"/>
        </w:rPr>
        <w:t>inundaciones,</w:t>
      </w:r>
      <w:r>
        <w:rPr>
          <w:spacing w:val="-7"/>
          <w:sz w:val="24"/>
        </w:rPr>
        <w:t> </w:t>
      </w:r>
      <w:r>
        <w:rPr>
          <w:spacing w:val="3"/>
          <w:sz w:val="24"/>
        </w:rPr>
        <w:t>por</w:t>
      </w:r>
      <w:r>
        <w:rPr>
          <w:spacing w:val="-6"/>
          <w:sz w:val="24"/>
        </w:rPr>
        <w:t> </w:t>
      </w:r>
      <w:r>
        <w:rPr>
          <w:spacing w:val="2"/>
          <w:sz w:val="24"/>
        </w:rPr>
        <w:t>medio de </w:t>
      </w:r>
      <w:r>
        <w:rPr>
          <w:spacing w:val="4"/>
          <w:sz w:val="24"/>
        </w:rPr>
        <w:t>los </w:t>
      </w:r>
      <w:r>
        <w:rPr>
          <w:sz w:val="24"/>
        </w:rPr>
        <w:t>Sistemas de Información Geográfica utilizando el método evaluación multicriterio</w:t>
      </w:r>
      <w:r>
        <w:rPr>
          <w:spacing w:val="-5"/>
          <w:sz w:val="24"/>
        </w:rPr>
        <w:t> </w:t>
      </w:r>
      <w:r>
        <w:rPr>
          <w:sz w:val="24"/>
        </w:rPr>
        <w:t>(EMC).</w:t>
      </w:r>
    </w:p>
    <w:p>
      <w:pPr>
        <w:pStyle w:val="ListParagraph"/>
        <w:numPr>
          <w:ilvl w:val="2"/>
          <w:numId w:val="10"/>
        </w:numPr>
        <w:tabs>
          <w:tab w:pos="836" w:val="left" w:leader="none"/>
        </w:tabs>
        <w:spacing w:line="362" w:lineRule="auto" w:before="3" w:after="0"/>
        <w:ind w:left="835" w:right="124" w:hanging="360"/>
        <w:jc w:val="both"/>
        <w:rPr>
          <w:sz w:val="24"/>
        </w:rPr>
      </w:pPr>
      <w:r>
        <w:rPr>
          <w:sz w:val="24"/>
        </w:rPr>
        <w:t>Diseñar</w:t>
      </w:r>
      <w:r>
        <w:rPr>
          <w:spacing w:val="-17"/>
          <w:sz w:val="24"/>
        </w:rPr>
        <w:t> </w:t>
      </w:r>
      <w:r>
        <w:rPr>
          <w:sz w:val="24"/>
        </w:rPr>
        <w:t>estrategias</w:t>
      </w:r>
      <w:r>
        <w:rPr>
          <w:spacing w:val="-18"/>
          <w:sz w:val="24"/>
        </w:rPr>
        <w:t> </w:t>
      </w:r>
      <w:r>
        <w:rPr>
          <w:sz w:val="24"/>
        </w:rPr>
        <w:t>para</w:t>
      </w:r>
      <w:r>
        <w:rPr>
          <w:spacing w:val="-21"/>
          <w:sz w:val="24"/>
        </w:rPr>
        <w:t> </w:t>
      </w:r>
      <w:r>
        <w:rPr>
          <w:sz w:val="24"/>
        </w:rPr>
        <w:t>la</w:t>
      </w:r>
      <w:r>
        <w:rPr>
          <w:spacing w:val="-18"/>
          <w:sz w:val="24"/>
        </w:rPr>
        <w:t> </w:t>
      </w:r>
      <w:r>
        <w:rPr>
          <w:sz w:val="24"/>
        </w:rPr>
        <w:t>prevención</w:t>
      </w:r>
      <w:r>
        <w:rPr>
          <w:spacing w:val="-18"/>
          <w:sz w:val="24"/>
        </w:rPr>
        <w:t> </w:t>
      </w:r>
      <w:r>
        <w:rPr>
          <w:sz w:val="24"/>
        </w:rPr>
        <w:t>y</w:t>
      </w:r>
      <w:r>
        <w:rPr>
          <w:spacing w:val="-22"/>
          <w:sz w:val="24"/>
        </w:rPr>
        <w:t> </w:t>
      </w:r>
      <w:r>
        <w:rPr>
          <w:sz w:val="24"/>
        </w:rPr>
        <w:t>gestión</w:t>
      </w:r>
      <w:r>
        <w:rPr>
          <w:spacing w:val="-18"/>
          <w:sz w:val="24"/>
        </w:rPr>
        <w:t> </w:t>
      </w:r>
      <w:r>
        <w:rPr>
          <w:sz w:val="24"/>
        </w:rPr>
        <w:t>urbana</w:t>
      </w:r>
      <w:r>
        <w:rPr>
          <w:spacing w:val="-21"/>
          <w:sz w:val="24"/>
        </w:rPr>
        <w:t> </w:t>
      </w:r>
      <w:r>
        <w:rPr>
          <w:sz w:val="24"/>
        </w:rPr>
        <w:t>en</w:t>
      </w:r>
      <w:r>
        <w:rPr>
          <w:spacing w:val="-21"/>
          <w:sz w:val="24"/>
        </w:rPr>
        <w:t> </w:t>
      </w:r>
      <w:r>
        <w:rPr>
          <w:sz w:val="24"/>
        </w:rPr>
        <w:t>los</w:t>
      </w:r>
      <w:r>
        <w:rPr>
          <w:spacing w:val="-22"/>
          <w:sz w:val="24"/>
        </w:rPr>
        <w:t> </w:t>
      </w:r>
      <w:r>
        <w:rPr>
          <w:sz w:val="24"/>
        </w:rPr>
        <w:t>asentamientos humanos expuestos a las</w:t>
      </w:r>
      <w:r>
        <w:rPr>
          <w:spacing w:val="-17"/>
          <w:sz w:val="24"/>
        </w:rPr>
        <w:t> </w:t>
      </w:r>
      <w:r>
        <w:rPr>
          <w:sz w:val="24"/>
        </w:rPr>
        <w:t>inundaciones.</w:t>
      </w:r>
    </w:p>
    <w:p>
      <w:pPr>
        <w:pStyle w:val="BodyText"/>
        <w:spacing w:before="9"/>
        <w:rPr>
          <w:sz w:val="23"/>
        </w:rPr>
      </w:pPr>
    </w:p>
    <w:p>
      <w:pPr>
        <w:pStyle w:val="Heading2"/>
        <w:numPr>
          <w:ilvl w:val="1"/>
          <w:numId w:val="10"/>
        </w:numPr>
        <w:tabs>
          <w:tab w:pos="522" w:val="left" w:leader="none"/>
        </w:tabs>
        <w:spacing w:line="240" w:lineRule="auto" w:before="0" w:after="0"/>
        <w:ind w:left="521" w:right="0" w:hanging="402"/>
        <w:jc w:val="both"/>
      </w:pPr>
      <w:bookmarkStart w:name="_TOC_250046" w:id="8"/>
      <w:r>
        <w:rPr/>
        <w:t>Diseño</w:t>
      </w:r>
      <w:r>
        <w:rPr>
          <w:spacing w:val="-9"/>
        </w:rPr>
        <w:t> </w:t>
      </w:r>
      <w:bookmarkEnd w:id="8"/>
      <w:r>
        <w:rPr/>
        <w:t>metodológico</w:t>
      </w:r>
    </w:p>
    <w:p>
      <w:pPr>
        <w:pStyle w:val="BodyText"/>
        <w:rPr>
          <w:b/>
        </w:rPr>
      </w:pPr>
    </w:p>
    <w:p>
      <w:pPr>
        <w:pStyle w:val="BodyText"/>
        <w:spacing w:line="360" w:lineRule="auto" w:before="149"/>
        <w:ind w:left="119" w:right="116"/>
        <w:jc w:val="both"/>
      </w:pPr>
      <w:r>
        <w:rPr/>
        <w:t>El diseño de la investigación partió de un procedimiento hipotético-deductivo, inicio en la revisión de literatura, a través de la cual se establecieron los componentes metodológicos</w:t>
      </w:r>
      <w:r>
        <w:rPr>
          <w:spacing w:val="-20"/>
        </w:rPr>
        <w:t> </w:t>
      </w:r>
      <w:r>
        <w:rPr/>
        <w:t>del</w:t>
      </w:r>
      <w:r>
        <w:rPr>
          <w:spacing w:val="-16"/>
        </w:rPr>
        <w:t> </w:t>
      </w:r>
      <w:r>
        <w:rPr/>
        <w:t>proyecto</w:t>
      </w:r>
      <w:r>
        <w:rPr>
          <w:spacing w:val="-23"/>
        </w:rPr>
        <w:t> </w:t>
      </w:r>
      <w:r>
        <w:rPr/>
        <w:t>investigación:</w:t>
      </w:r>
      <w:r>
        <w:rPr>
          <w:spacing w:val="-13"/>
        </w:rPr>
        <w:t> </w:t>
      </w:r>
      <w:r>
        <w:rPr/>
        <w:t>Planteamiento</w:t>
      </w:r>
      <w:r>
        <w:rPr>
          <w:spacing w:val="-19"/>
        </w:rPr>
        <w:t> </w:t>
      </w:r>
      <w:r>
        <w:rPr/>
        <w:t>del</w:t>
      </w:r>
      <w:r>
        <w:rPr>
          <w:spacing w:val="-16"/>
        </w:rPr>
        <w:t> </w:t>
      </w:r>
      <w:r>
        <w:rPr/>
        <w:t>problema,</w:t>
      </w:r>
      <w:r>
        <w:rPr>
          <w:spacing w:val="-20"/>
        </w:rPr>
        <w:t> </w:t>
      </w:r>
      <w:r>
        <w:rPr/>
        <w:t>justificación, pregunta de investigación, hipótesis, objetivos, y el modelo operacional de la hipótesis y la metodología específica, en el siguiente diagrama se describe </w:t>
      </w:r>
      <w:r>
        <w:rPr>
          <w:spacing w:val="-4"/>
        </w:rPr>
        <w:t>de </w:t>
      </w:r>
      <w:r>
        <w:rPr/>
        <w:t>manera gráfica el diseño metodológico de la</w:t>
      </w:r>
      <w:r>
        <w:rPr>
          <w:spacing w:val="-19"/>
        </w:rPr>
        <w:t> </w:t>
      </w:r>
      <w:r>
        <w:rPr/>
        <w:t>investigación.</w:t>
      </w:r>
    </w:p>
    <w:p>
      <w:pPr>
        <w:spacing w:after="0" w:line="360" w:lineRule="auto"/>
        <w:jc w:val="both"/>
        <w:sectPr>
          <w:pgSz w:w="12240" w:h="15840"/>
          <w:pgMar w:header="0" w:footer="1031" w:top="1360" w:bottom="1220" w:left="1580" w:right="1580"/>
        </w:sectPr>
      </w:pPr>
    </w:p>
    <w:p>
      <w:pPr>
        <w:spacing w:before="51"/>
        <w:ind w:left="2275" w:right="0" w:firstLine="0"/>
        <w:jc w:val="left"/>
        <w:rPr>
          <w:sz w:val="22"/>
        </w:rPr>
      </w:pPr>
      <w:r>
        <w:rPr>
          <w:sz w:val="22"/>
        </w:rPr>
        <w:t>Figura 1. Diagrama de flujo de la investigación</w:t>
      </w:r>
    </w:p>
    <w:p>
      <w:pPr>
        <w:pStyle w:val="BodyText"/>
        <w:rPr>
          <w:sz w:val="20"/>
        </w:rPr>
      </w:pPr>
    </w:p>
    <w:p>
      <w:pPr>
        <w:pStyle w:val="BodyText"/>
        <w:spacing w:before="4"/>
        <w:rPr>
          <w:sz w:val="10"/>
        </w:rPr>
      </w:pPr>
      <w:r>
        <w:rPr/>
        <w:pict>
          <v:group style="position:absolute;margin-left:119.650002pt;margin-top:7.919898pt;width:403.95pt;height:414.95pt;mso-position-horizontal-relative:page;mso-position-vertical-relative:paragraph;z-index:1360;mso-wrap-distance-left:0;mso-wrap-distance-right:0" coordorigin="2393,158" coordsize="8079,8299">
            <v:shape style="position:absolute;left:7821;top:4073;width:800;height:150" coordorigin="7821,4073" coordsize="800,150" path="m8471,4073l8471,4223,8571,4173,8496,4173,8496,4123,8571,4123,8471,4073xm8471,4123l7821,4123,7821,4173,8471,4173,8471,4123xm8571,4123l8496,4123,8496,4173,8571,4173,8621,4148,8571,4123xe" filled="true" fillcolor="#000000" stroked="false">
              <v:path arrowok="t"/>
              <v:fill type="solid"/>
            </v:shape>
            <v:line style="position:absolute" from="4893,989" to="4847,7749" stroked="true" strokeweight="2.5pt" strokecolor="#000000"/>
            <v:rect style="position:absolute;left:2931;top:1308;width:4045;height:640" filled="true" fillcolor="#ffffff" stroked="false">
              <v:fill type="solid"/>
            </v:rect>
            <v:shape style="position:absolute;left:2957;top:1408;width:3994;height:442" type="#_x0000_t75" stroked="false">
              <v:imagedata r:id="rId16" o:title=""/>
            </v:shape>
            <v:rect style="position:absolute;left:3658;top:2144;width:2713;height:379" filled="true" fillcolor="#ffffff" stroked="false">
              <v:fill type="solid"/>
            </v:rect>
            <v:shape style="position:absolute;left:3682;top:2243;width:2664;height:182" type="#_x0000_t75" stroked="false">
              <v:imagedata r:id="rId17" o:title=""/>
            </v:shape>
            <v:rect style="position:absolute;left:3618;top:2700;width:2730;height:386" filled="true" fillcolor="#ffffff" stroked="false">
              <v:fill type="solid"/>
            </v:rect>
            <v:shape style="position:absolute;left:3643;top:2800;width:2678;height:192" type="#_x0000_t75" stroked="false">
              <v:imagedata r:id="rId18" o:title=""/>
            </v:shape>
            <v:rect style="position:absolute;left:4191;top:3238;width:1384;height:406" filled="true" fillcolor="#ffffff" stroked="false">
              <v:fill type="solid"/>
            </v:rect>
            <v:shape style="position:absolute;left:4214;top:3337;width:1334;height:211" type="#_x0000_t75" stroked="false">
              <v:imagedata r:id="rId19" o:title=""/>
            </v:shape>
            <v:rect style="position:absolute;left:2418;top:3851;width:5334;height:1035" filled="true" fillcolor="#ffffff" stroked="false">
              <v:fill type="solid"/>
            </v:rect>
            <v:shape style="position:absolute;left:2443;top:3947;width:5285;height:845" type="#_x0000_t75" stroked="false">
              <v:imagedata r:id="rId20" o:title=""/>
            </v:shape>
            <v:shape style="position:absolute;left:3707;top:183;width:2297;height:978" coordorigin="3707,183" coordsize="2297,978" path="m4856,183l4751,185,4649,191,4550,201,4455,214,4363,230,4276,250,4193,273,4116,298,4043,327,3977,357,3917,390,3864,426,3779,502,3726,585,3707,672,3712,717,3748,802,3818,882,3917,954,3977,987,4043,1018,4116,1046,4193,1072,4276,1095,4363,1114,4455,1131,4550,1144,4649,1154,4751,1159,4856,1161,4960,1159,5062,1154,5161,1144,5256,1131,5348,1114,5435,1095,5518,1072,5595,1046,5668,1018,5734,987,5794,954,5847,919,5932,843,5985,760,6004,672,5999,628,5963,542,5893,463,5794,390,5734,357,5668,327,5595,298,5518,273,5435,250,5348,230,5256,214,5161,201,5062,191,4960,185,4856,183xe" filled="true" fillcolor="#ffffff" stroked="false">
              <v:path arrowok="t"/>
              <v:fill type="solid"/>
            </v:shape>
            <v:shape style="position:absolute;left:3707;top:183;width:2297;height:978" coordorigin="3707,183" coordsize="2297,978" path="m3707,672l3726,585,3779,502,3864,426,3917,390,3977,357,4043,327,4116,298,4193,273,4276,250,4363,230,4455,214,4550,201,4649,191,4751,185,4856,183,4960,185,5062,191,5161,201,5256,214,5348,230,5435,250,5518,273,5595,298,5668,327,5734,357,5794,390,5847,426,5932,502,5985,585,6004,672,5999,717,5963,802,5893,882,5794,954,5734,987,5668,1018,5595,1046,5518,1072,5435,1095,5348,1114,5256,1131,5161,1144,5062,1154,4960,1159,4856,1161,4751,1159,4649,1154,4550,1144,4455,1131,4363,1114,4276,1095,4193,1072,4116,1046,4043,1018,3977,987,3917,954,3864,919,3779,843,3726,760,3707,672xe" filled="false" stroked="true" strokeweight="2.5pt" strokecolor="#000000">
              <v:path arrowok="t"/>
            </v:shape>
            <v:shape style="position:absolute;left:4070;top:424;width:1574;height:499" type="#_x0000_t75" stroked="false">
              <v:imagedata r:id="rId21" o:title=""/>
            </v:shape>
            <v:shape style="position:absolute;left:8516;top:4019;width:1292;height:663" coordorigin="8516,4019" coordsize="1292,663" path="m9808,4019l8774,4019,8516,4682,9550,4682,9808,4019xe" filled="true" fillcolor="#ffffff" stroked="false">
              <v:path arrowok="t"/>
              <v:fill type="solid"/>
            </v:shape>
            <v:shape style="position:absolute;left:8516;top:4019;width:1292;height:663" coordorigin="8516,4019" coordsize="1292,663" path="m8516,4682l8774,4019,9808,4019,9550,4682,8516,4682xe" filled="false" stroked="true" strokeweight="2.5pt" strokecolor="#000000">
              <v:path arrowok="t"/>
            </v:shape>
            <v:shape style="position:absolute;left:8798;top:4115;width:725;height:470" type="#_x0000_t75" stroked="false">
              <v:imagedata r:id="rId22" o:title=""/>
            </v:shape>
            <v:rect style="position:absolute;left:2539;top:5142;width:4901;height:634" filled="true" fillcolor="#ffffff" stroked="false">
              <v:fill type="solid"/>
            </v:rect>
            <v:shape style="position:absolute;left:2563;top:5238;width:4853;height:442" type="#_x0000_t75" stroked="false">
              <v:imagedata r:id="rId23" o:title=""/>
            </v:shape>
            <v:rect style="position:absolute;left:2557;top:6051;width:4764;height:1089" filled="true" fillcolor="#ffffff" stroked="false">
              <v:fill type="solid"/>
            </v:rect>
            <v:shape style="position:absolute;left:2582;top:6150;width:4714;height:893" type="#_x0000_t75" stroked="false">
              <v:imagedata r:id="rId24" o:title=""/>
            </v:shape>
            <v:shape style="position:absolute;left:8384;top:4886;width:1209;height:850" coordorigin="8384,4886" coordsize="1209,850" path="m8384,5736l8626,4886,9593,4886,9351,5736,8384,5736xe" filled="false" stroked="true" strokeweight="2.5pt" strokecolor="#000000">
              <v:path arrowok="t"/>
            </v:shape>
            <v:shape style="position:absolute;left:8650;top:4984;width:677;height:658" type="#_x0000_t75" stroked="false">
              <v:imagedata r:id="rId25" o:title=""/>
            </v:shape>
            <v:shape style="position:absolute;left:7872;top:6205;width:2575;height:885" coordorigin="7872,6205" coordsize="2575,885" path="m7872,7090l8387,6205,10447,6205,9932,7090,7872,7090xe" filled="false" stroked="true" strokeweight="2.5pt" strokecolor="#000000">
              <v:path arrowok="t"/>
            </v:shape>
            <v:shape style="position:absolute;left:8414;top:6304;width:1493;height:691" type="#_x0000_t75" stroked="false">
              <v:imagedata r:id="rId26" o:title=""/>
            </v:shape>
            <v:shape style="position:absolute;left:3507;top:7440;width:2783;height:992" coordorigin="3507,7440" coordsize="2783,992" path="m4899,7440l4790,7442,4683,7446,4580,7453,4479,7463,4381,7476,4287,7491,4196,7508,4110,7528,4028,7549,3951,7573,3879,7599,3813,7626,3752,7655,3697,7686,3607,7752,3544,7823,3511,7898,3507,7936,3511,7975,3544,8050,3607,8121,3697,8187,3752,8218,3813,8247,3879,8274,3951,8300,4028,8323,4110,8345,4196,8365,4287,8382,4381,8397,4479,8409,4580,8419,4683,8427,4790,8431,4899,8432,5007,8431,5114,8427,5218,8419,5319,8409,5416,8397,5510,8382,5601,8365,5687,8345,5769,8323,5846,8300,5918,8274,5984,8247,6045,8218,6100,8187,6190,8121,6253,8050,6286,7975,6290,7936,6286,7898,6253,7823,6190,7752,6100,7686,6045,7655,5984,7626,5918,7599,5846,7573,5769,7549,5687,7528,5601,7508,5510,7491,5416,7476,5319,7463,5218,7453,5114,7446,5007,7442,4899,7440xe" filled="true" fillcolor="#ffffff" stroked="false">
              <v:path arrowok="t"/>
              <v:fill type="solid"/>
            </v:shape>
            <v:shape style="position:absolute;left:3507;top:7440;width:2783;height:992" coordorigin="3507,7440" coordsize="2783,992" path="m3507,7936l3524,7860,3572,7787,3648,7718,3752,7655,3813,7626,3879,7599,3951,7573,4028,7549,4110,7528,4196,7508,4287,7491,4381,7476,4479,7463,4580,7453,4683,7446,4790,7442,4899,7440,5007,7442,5114,7446,5218,7453,5319,7463,5416,7476,5510,7491,5601,7508,5687,7528,5769,7549,5846,7573,5918,7599,5984,7626,6045,7655,6100,7686,6190,7752,6253,7823,6286,7898,6290,7936,6286,7975,6253,8050,6190,8121,6100,8187,6045,8218,5984,8247,5918,8274,5846,8300,5769,8323,5687,8345,5601,8365,5510,8382,5416,8397,5319,8409,5218,8419,5114,8427,5007,8431,4899,8432,4790,8431,4683,8427,4580,8419,4479,8409,4381,8397,4287,8382,4196,8365,4110,8345,4028,8323,3951,8300,3879,8274,3813,8247,3752,8218,3697,8187,3607,8121,3544,8050,3511,7975,3507,7936xe" filled="false" stroked="true" strokeweight="2.5pt" strokecolor="#000000">
              <v:path arrowok="t"/>
            </v:shape>
            <v:shape style="position:absolute;left:3941;top:7681;width:1915;height:509" type="#_x0000_t75" stroked="false">
              <v:imagedata r:id="rId27" o:title=""/>
            </v:shape>
            <v:shape style="position:absolute;left:7443;top:6177;width:775;height:150" coordorigin="7443,6177" coordsize="775,150" path="m8068,6177l8068,6327,8168,6277,8093,6277,8093,6227,8168,6227,8068,6177xm8068,6227l7443,6227,7443,6277,8068,6277,8068,6227xm8168,6227l8093,6227,8093,6277,8168,6277,8218,6252,8168,6227xe" filled="true" fillcolor="#000000" stroked="false">
              <v:path arrowok="t"/>
              <v:fill type="solid"/>
            </v:shape>
            <v:shape style="position:absolute;left:7650;top:5089;width:776;height:150" coordorigin="7650,5089" coordsize="776,150" path="m8276,5089l8276,5239,8376,5189,8301,5189,8301,5139,8376,5139,8276,5089xm8276,5139l7650,5139,7650,5189,8276,5189,8276,5139xm8376,5139l8301,5139,8301,5189,8376,5189,8426,5164,8376,5139xe" filled="true" fillcolor="#000000" stroked="false">
              <v:path arrowok="t"/>
              <v:fill type="solid"/>
            </v:shape>
            <v:shape style="position:absolute;left:7821;top:4546;width:678;height:150" coordorigin="7821,4546" coordsize="678,150" path="m7971,4546l7821,4621,7971,4696,7971,4646,7946,4646,7946,4596,7971,4596,7971,4546xm7971,4596l7946,4596,7946,4646,7971,4646,7971,4596xm8499,4596l7971,4596,7971,4646,8499,4646,8499,4596xe" filled="true" fillcolor="#000000" stroked="false">
              <v:path arrowok="t"/>
              <v:fill type="solid"/>
            </v:shape>
            <v:shape style="position:absolute;left:7603;top:5505;width:678;height:150" coordorigin="7603,5505" coordsize="678,150" path="m7753,5505l7603,5580,7753,5655,7753,5605,7728,5605,7728,5555,7753,5555,7753,5505xm7753,5555l7728,5555,7728,5605,7753,5605,7753,5555xm8281,5555l7753,5555,7753,5605,8281,5605,8281,5555xe" filled="true" fillcolor="#000000" stroked="false">
              <v:path arrowok="t"/>
              <v:fill type="solid"/>
            </v:shape>
            <v:shape style="position:absolute;left:7412;top:6597;width:678;height:150" coordorigin="7412,6597" coordsize="678,150" path="m7562,6597l7412,6672,7562,6747,7562,6697,7537,6697,7537,6647,7562,6647,7562,6597xm7562,6647l7537,6647,7537,6697,7562,6697,7562,6647xm8090,6647l7562,6647,7562,6697,8090,6697,8090,6647xe" filled="true" fillcolor="#000000" stroked="false">
              <v:path arrowok="t"/>
              <v:fill type="solid"/>
            </v:shape>
            <v:shape style="position:absolute;left:4278;top:435;width:1173;height:500" type="#_x0000_t202" filled="false" stroked="false">
              <v:textbox inset="0,0,0,0">
                <w:txbxContent>
                  <w:p>
                    <w:pPr>
                      <w:spacing w:line="186" w:lineRule="exact" w:before="0"/>
                      <w:ind w:left="19" w:right="-7" w:hanging="20"/>
                      <w:jc w:val="left"/>
                      <w:rPr>
                        <w:sz w:val="18"/>
                      </w:rPr>
                    </w:pPr>
                    <w:r>
                      <w:rPr>
                        <w:sz w:val="18"/>
                      </w:rPr>
                      <w:t>REVISIÓN DE</w:t>
                    </w:r>
                  </w:p>
                  <w:p>
                    <w:pPr>
                      <w:spacing w:line="203" w:lineRule="exact" w:before="110"/>
                      <w:ind w:left="19" w:right="-7" w:firstLine="0"/>
                      <w:jc w:val="left"/>
                      <w:rPr>
                        <w:sz w:val="18"/>
                      </w:rPr>
                    </w:pPr>
                    <w:r>
                      <w:rPr>
                        <w:sz w:val="18"/>
                      </w:rPr>
                      <w:t>LITERATURA</w:t>
                    </w:r>
                  </w:p>
                </w:txbxContent>
              </v:textbox>
              <w10:wrap type="none"/>
            </v:shape>
            <v:shape style="position:absolute;left:8946;top:4148;width:342;height:437" type="#_x0000_t202" filled="false" stroked="false">
              <v:textbox inset="0,0,0,0">
                <w:txbxContent>
                  <w:p>
                    <w:pPr>
                      <w:spacing w:line="185" w:lineRule="exact" w:before="0"/>
                      <w:ind w:left="0" w:right="-16" w:firstLine="0"/>
                      <w:jc w:val="left"/>
                      <w:rPr>
                        <w:rFonts w:ascii="Calibri"/>
                        <w:sz w:val="18"/>
                      </w:rPr>
                    </w:pPr>
                    <w:r>
                      <w:rPr>
                        <w:rFonts w:ascii="Calibri"/>
                        <w:sz w:val="18"/>
                      </w:rPr>
                      <w:t>SIG</w:t>
                    </w:r>
                  </w:p>
                  <w:p>
                    <w:pPr>
                      <w:spacing w:line="217" w:lineRule="exact" w:before="34"/>
                      <w:ind w:left="0" w:right="-16" w:firstLine="0"/>
                      <w:jc w:val="left"/>
                      <w:rPr>
                        <w:rFonts w:ascii="Calibri"/>
                        <w:sz w:val="18"/>
                      </w:rPr>
                    </w:pPr>
                    <w:r>
                      <w:rPr>
                        <w:rFonts w:ascii="Calibri"/>
                        <w:sz w:val="18"/>
                      </w:rPr>
                      <w:t>EMC</w:t>
                    </w:r>
                  </w:p>
                </w:txbxContent>
              </v:textbox>
              <w10:wrap type="none"/>
            </v:shape>
            <v:shape style="position:absolute;left:8797;top:5017;width:342;height:634" type="#_x0000_t202" filled="false" stroked="false">
              <v:textbox inset="0,0,0,0">
                <w:txbxContent>
                  <w:p>
                    <w:pPr>
                      <w:spacing w:line="185" w:lineRule="exact" w:before="0"/>
                      <w:ind w:left="0" w:right="-16" w:firstLine="0"/>
                      <w:jc w:val="left"/>
                      <w:rPr>
                        <w:rFonts w:ascii="Calibri"/>
                        <w:sz w:val="18"/>
                      </w:rPr>
                    </w:pPr>
                    <w:r>
                      <w:rPr>
                        <w:rFonts w:ascii="Calibri"/>
                        <w:sz w:val="18"/>
                      </w:rPr>
                      <w:t>SIG</w:t>
                    </w:r>
                  </w:p>
                  <w:p>
                    <w:pPr>
                      <w:spacing w:line="240" w:lineRule="auto" w:before="1"/>
                      <w:rPr>
                        <w:sz w:val="20"/>
                      </w:rPr>
                    </w:pPr>
                  </w:p>
                  <w:p>
                    <w:pPr>
                      <w:spacing w:line="217" w:lineRule="exact" w:before="0"/>
                      <w:ind w:left="0" w:right="-16" w:firstLine="0"/>
                      <w:jc w:val="left"/>
                      <w:rPr>
                        <w:rFonts w:ascii="Calibri"/>
                        <w:sz w:val="18"/>
                      </w:rPr>
                    </w:pPr>
                    <w:r>
                      <w:rPr>
                        <w:rFonts w:ascii="Calibri"/>
                        <w:sz w:val="18"/>
                      </w:rPr>
                      <w:t>EMC</w:t>
                    </w:r>
                  </w:p>
                </w:txbxContent>
              </v:textbox>
              <w10:wrap type="none"/>
            </v:shape>
            <v:shape style="position:absolute;left:8595;top:6338;width:1135;height:687" type="#_x0000_t202" filled="false" stroked="false">
              <v:textbox inset="0,0,0,0">
                <w:txbxContent>
                  <w:p>
                    <w:pPr>
                      <w:spacing w:line="185" w:lineRule="exact" w:before="0"/>
                      <w:ind w:left="0" w:right="0" w:firstLine="0"/>
                      <w:jc w:val="center"/>
                      <w:rPr>
                        <w:rFonts w:ascii="Calibri" w:hAnsi="Calibri"/>
                        <w:sz w:val="18"/>
                      </w:rPr>
                    </w:pPr>
                    <w:r>
                      <w:rPr>
                        <w:rFonts w:ascii="Calibri" w:hAnsi="Calibri"/>
                        <w:sz w:val="18"/>
                      </w:rPr>
                      <w:t>APLICACIÓN DE</w:t>
                    </w:r>
                  </w:p>
                  <w:p>
                    <w:pPr>
                      <w:spacing w:before="30"/>
                      <w:ind w:left="7" w:right="0" w:firstLine="0"/>
                      <w:jc w:val="center"/>
                      <w:rPr>
                        <w:rFonts w:ascii="Calibri"/>
                        <w:sz w:val="18"/>
                      </w:rPr>
                    </w:pPr>
                    <w:r>
                      <w:rPr>
                        <w:rFonts w:ascii="Calibri"/>
                        <w:sz w:val="18"/>
                      </w:rPr>
                      <w:t>CUESTIONARIO</w:t>
                    </w:r>
                  </w:p>
                  <w:p>
                    <w:pPr>
                      <w:spacing w:line="217" w:lineRule="exact" w:before="34"/>
                      <w:ind w:left="8" w:right="0" w:firstLine="0"/>
                      <w:jc w:val="center"/>
                      <w:rPr>
                        <w:rFonts w:ascii="Calibri"/>
                        <w:sz w:val="18"/>
                      </w:rPr>
                    </w:pPr>
                    <w:r>
                      <w:rPr>
                        <w:rFonts w:ascii="Calibri"/>
                        <w:sz w:val="18"/>
                      </w:rPr>
                      <w:t>EN CAMPO</w:t>
                    </w:r>
                  </w:p>
                </w:txbxContent>
              </v:textbox>
              <w10:wrap type="none"/>
            </v:shape>
            <v:shape style="position:absolute;left:4091;top:7694;width:1625;height:496" type="#_x0000_t202" filled="false" stroked="false">
              <v:textbox inset="0,0,0,0">
                <w:txbxContent>
                  <w:p>
                    <w:pPr>
                      <w:spacing w:line="186" w:lineRule="exact" w:before="0"/>
                      <w:ind w:left="0" w:right="-6" w:firstLine="0"/>
                      <w:jc w:val="left"/>
                      <w:rPr>
                        <w:sz w:val="18"/>
                      </w:rPr>
                    </w:pPr>
                    <w:r>
                      <w:rPr>
                        <w:sz w:val="18"/>
                      </w:rPr>
                      <w:t>CONCLUSIONES Y</w:t>
                    </w:r>
                  </w:p>
                  <w:p>
                    <w:pPr>
                      <w:spacing w:line="203" w:lineRule="exact" w:before="105"/>
                      <w:ind w:left="0" w:right="-16" w:firstLine="0"/>
                      <w:jc w:val="left"/>
                      <w:rPr>
                        <w:sz w:val="18"/>
                      </w:rPr>
                    </w:pPr>
                    <w:r>
                      <w:rPr>
                        <w:sz w:val="18"/>
                      </w:rPr>
                      <w:t>RECOMENDACION</w:t>
                    </w:r>
                  </w:p>
                </w:txbxContent>
              </v:textbox>
              <w10:wrap type="none"/>
            </v:shape>
            <v:shape style="position:absolute;left:2931;top:1308;width:4045;height:640" type="#_x0000_t202" filled="false" stroked="true" strokeweight="2.5pt" strokecolor="#000000">
              <v:textbox inset="0,0,0,0">
                <w:txbxContent>
                  <w:p>
                    <w:pPr>
                      <w:spacing w:before="69"/>
                      <w:ind w:left="518" w:right="515" w:firstLine="0"/>
                      <w:jc w:val="center"/>
                      <w:rPr>
                        <w:sz w:val="18"/>
                      </w:rPr>
                    </w:pPr>
                    <w:r>
                      <w:rPr>
                        <w:sz w:val="18"/>
                      </w:rPr>
                      <w:t>JUSTIFICACIÓN DEL TEMA Y</w:t>
                    </w:r>
                  </w:p>
                  <w:p>
                    <w:pPr>
                      <w:spacing w:before="28"/>
                      <w:ind w:left="519" w:right="515" w:firstLine="0"/>
                      <w:jc w:val="center"/>
                      <w:rPr>
                        <w:sz w:val="18"/>
                      </w:rPr>
                    </w:pPr>
                    <w:r>
                      <w:rPr>
                        <w:sz w:val="18"/>
                      </w:rPr>
                      <w:t>PLANTEAMIENTO DEL PROBLEMA</w:t>
                    </w:r>
                  </w:p>
                </w:txbxContent>
              </v:textbox>
              <w10:wrap type="none"/>
            </v:shape>
            <v:shape style="position:absolute;left:3658;top:2144;width:2713;height:379" type="#_x0000_t202" filled="false" stroked="true" strokeweight="2.5pt" strokecolor="#000000">
              <v:textbox inset="0,0,0,0">
                <w:txbxContent>
                  <w:p>
                    <w:pPr>
                      <w:spacing w:before="69"/>
                      <w:ind w:left="431" w:right="0" w:firstLine="0"/>
                      <w:jc w:val="left"/>
                      <w:rPr>
                        <w:sz w:val="18"/>
                      </w:rPr>
                    </w:pPr>
                    <w:r>
                      <w:rPr>
                        <w:sz w:val="18"/>
                      </w:rPr>
                      <w:t>OBJETIVO GENERAL</w:t>
                    </w:r>
                  </w:p>
                </w:txbxContent>
              </v:textbox>
              <w10:wrap type="none"/>
            </v:shape>
            <v:shape style="position:absolute;left:3618;top:2700;width:2730;height:386" type="#_x0000_t202" filled="false" stroked="true" strokeweight="2.5pt" strokecolor="#000000">
              <v:textbox inset="0,0,0,0">
                <w:txbxContent>
                  <w:p>
                    <w:pPr>
                      <w:spacing w:before="70"/>
                      <w:ind w:left="203" w:right="0" w:firstLine="0"/>
                      <w:jc w:val="left"/>
                      <w:rPr>
                        <w:sz w:val="18"/>
                      </w:rPr>
                    </w:pPr>
                    <w:r>
                      <w:rPr>
                        <w:sz w:val="18"/>
                      </w:rPr>
                      <w:t>OBJETIVOS ESPECÍFICOS</w:t>
                    </w:r>
                  </w:p>
                </w:txbxContent>
              </v:textbox>
              <w10:wrap type="none"/>
            </v:shape>
            <v:shape style="position:absolute;left:4191;top:3238;width:1384;height:406" type="#_x0000_t202" filled="false" stroked="true" strokeweight="2.5pt" strokecolor="#000000">
              <v:textbox inset="0,0,0,0">
                <w:txbxContent>
                  <w:p>
                    <w:pPr>
                      <w:spacing w:before="70"/>
                      <w:ind w:left="187" w:right="0" w:firstLine="0"/>
                      <w:jc w:val="left"/>
                      <w:rPr>
                        <w:sz w:val="18"/>
                      </w:rPr>
                    </w:pPr>
                    <w:r>
                      <w:rPr>
                        <w:sz w:val="18"/>
                      </w:rPr>
                      <w:t>HIPÓTESIS</w:t>
                    </w:r>
                  </w:p>
                </w:txbxContent>
              </v:textbox>
              <w10:wrap type="none"/>
            </v:shape>
            <v:shape style="position:absolute;left:2418;top:3851;width:5334;height:1035" type="#_x0000_t202" filled="false" stroked="true" strokeweight="2.5pt" strokecolor="#000000">
              <v:textbox inset="0,0,0,0">
                <w:txbxContent>
                  <w:p>
                    <w:pPr>
                      <w:spacing w:line="364" w:lineRule="auto" w:before="62"/>
                      <w:ind w:left="202" w:right="193" w:hanging="2"/>
                      <w:jc w:val="center"/>
                      <w:rPr>
                        <w:sz w:val="18"/>
                      </w:rPr>
                    </w:pPr>
                    <w:r>
                      <w:rPr>
                        <w:sz w:val="18"/>
                      </w:rPr>
                      <w:t>ANÁLISIS DE LOS FACTORES FÍSICO-NATURALES Y LA ESTRUCTURA SOCIOECONÓMICA QUE PROVOCAN LAS INUNDACIONES EN LA ZMT</w:t>
                    </w:r>
                  </w:p>
                </w:txbxContent>
              </v:textbox>
              <w10:wrap type="none"/>
            </v:shape>
            <v:shape style="position:absolute;left:2539;top:5142;width:4901;height:634" type="#_x0000_t202" filled="false" stroked="true" strokeweight="2.5pt" strokecolor="#000000">
              <v:textbox inset="0,0,0,0">
                <w:txbxContent>
                  <w:p>
                    <w:pPr>
                      <w:spacing w:line="278" w:lineRule="auto" w:before="67"/>
                      <w:ind w:left="1733" w:right="0" w:hanging="1546"/>
                      <w:jc w:val="left"/>
                      <w:rPr>
                        <w:sz w:val="18"/>
                      </w:rPr>
                    </w:pPr>
                    <w:r>
                      <w:rPr>
                        <w:sz w:val="18"/>
                      </w:rPr>
                      <w:t>IDENTIFICACIÓN DE LAS ZONAS DE RIESGOS POR INUNDACIONES</w:t>
                    </w:r>
                  </w:p>
                </w:txbxContent>
              </v:textbox>
              <w10:wrap type="none"/>
            </v:shape>
            <v:shape style="position:absolute;left:2557;top:6051;width:4764;height:1089" type="#_x0000_t202" filled="false" stroked="true" strokeweight="2.5pt" strokecolor="#000000">
              <v:textbox inset="0,0,0,0">
                <w:txbxContent>
                  <w:p>
                    <w:pPr>
                      <w:spacing w:line="273" w:lineRule="auto" w:before="70"/>
                      <w:ind w:left="251" w:right="246" w:firstLine="22"/>
                      <w:jc w:val="center"/>
                      <w:rPr>
                        <w:sz w:val="18"/>
                      </w:rPr>
                    </w:pPr>
                    <w:r>
                      <w:rPr>
                        <w:sz w:val="18"/>
                      </w:rPr>
                      <w:t>ANÁLISIS DE LA VULNERABILIDAD FÍSICA Y SOCIAL ANTE LAS INUNDACIONES, EN ASENTAMIENTOS HUMANOS DEL MUNICIPIO DE LERMA, ESTADO DE MÉXICO</w:t>
                    </w:r>
                  </w:p>
                </w:txbxContent>
              </v:textbox>
              <w10:wrap type="none"/>
            </v:shape>
            <w10:wrap type="topAndBottom"/>
          </v:group>
        </w:pict>
      </w:r>
    </w:p>
    <w:p>
      <w:pPr>
        <w:pStyle w:val="BodyText"/>
        <w:rPr>
          <w:sz w:val="22"/>
        </w:rPr>
      </w:pPr>
    </w:p>
    <w:p>
      <w:pPr>
        <w:spacing w:before="135"/>
        <w:ind w:left="119" w:right="0" w:firstLine="0"/>
        <w:jc w:val="both"/>
        <w:rPr>
          <w:sz w:val="20"/>
        </w:rPr>
      </w:pPr>
      <w:r>
        <w:rPr>
          <w:sz w:val="20"/>
        </w:rPr>
        <w:t>Fuente: Elaboración propia.</w:t>
      </w:r>
    </w:p>
    <w:p>
      <w:pPr>
        <w:pStyle w:val="BodyText"/>
        <w:rPr>
          <w:sz w:val="20"/>
        </w:rPr>
      </w:pPr>
    </w:p>
    <w:p>
      <w:pPr>
        <w:pStyle w:val="BodyText"/>
        <w:spacing w:before="6"/>
        <w:rPr>
          <w:sz w:val="28"/>
        </w:rPr>
      </w:pPr>
    </w:p>
    <w:p>
      <w:pPr>
        <w:pStyle w:val="BodyText"/>
        <w:ind w:left="177"/>
        <w:jc w:val="both"/>
      </w:pPr>
      <w:r>
        <w:rPr/>
        <w:t>1.5.1 Diseño operacional de las variables e indicadores</w:t>
      </w:r>
    </w:p>
    <w:p>
      <w:pPr>
        <w:pStyle w:val="BodyText"/>
        <w:spacing w:before="4"/>
      </w:pPr>
    </w:p>
    <w:p>
      <w:pPr>
        <w:pStyle w:val="BodyText"/>
        <w:spacing w:line="360" w:lineRule="auto" w:before="1"/>
        <w:ind w:left="177" w:right="106"/>
        <w:jc w:val="both"/>
      </w:pPr>
      <w:r>
        <w:rPr/>
        <w:t>El</w:t>
      </w:r>
      <w:r>
        <w:rPr>
          <w:spacing w:val="-8"/>
        </w:rPr>
        <w:t> </w:t>
      </w:r>
      <w:r>
        <w:rPr/>
        <w:t>alcance</w:t>
      </w:r>
      <w:r>
        <w:rPr>
          <w:spacing w:val="-12"/>
        </w:rPr>
        <w:t> </w:t>
      </w:r>
      <w:r>
        <w:rPr/>
        <w:t>de</w:t>
      </w:r>
      <w:r>
        <w:rPr>
          <w:spacing w:val="-17"/>
        </w:rPr>
        <w:t> </w:t>
      </w:r>
      <w:r>
        <w:rPr/>
        <w:t>la</w:t>
      </w:r>
      <w:r>
        <w:rPr>
          <w:spacing w:val="-21"/>
        </w:rPr>
        <w:t> </w:t>
      </w:r>
      <w:r>
        <w:rPr/>
        <w:t>investigación</w:t>
      </w:r>
      <w:r>
        <w:rPr>
          <w:spacing w:val="-12"/>
        </w:rPr>
        <w:t> </w:t>
      </w:r>
      <w:r>
        <w:rPr/>
        <w:t>está</w:t>
      </w:r>
      <w:r>
        <w:rPr>
          <w:spacing w:val="-12"/>
        </w:rPr>
        <w:t> </w:t>
      </w:r>
      <w:r>
        <w:rPr/>
        <w:t>definido</w:t>
      </w:r>
      <w:r>
        <w:rPr>
          <w:spacing w:val="-17"/>
        </w:rPr>
        <w:t> </w:t>
      </w:r>
      <w:r>
        <w:rPr/>
        <w:t>por</w:t>
      </w:r>
      <w:r>
        <w:rPr>
          <w:spacing w:val="-16"/>
        </w:rPr>
        <w:t> </w:t>
      </w:r>
      <w:r>
        <w:rPr/>
        <w:t>los</w:t>
      </w:r>
      <w:r>
        <w:rPr>
          <w:spacing w:val="-12"/>
        </w:rPr>
        <w:t> </w:t>
      </w:r>
      <w:r>
        <w:rPr/>
        <w:t>objetivos</w:t>
      </w:r>
      <w:r>
        <w:rPr>
          <w:spacing w:val="-13"/>
        </w:rPr>
        <w:t> </w:t>
      </w:r>
      <w:r>
        <w:rPr/>
        <w:t>de</w:t>
      </w:r>
      <w:r>
        <w:rPr>
          <w:spacing w:val="-17"/>
        </w:rPr>
        <w:t> </w:t>
      </w:r>
      <w:r>
        <w:rPr/>
        <w:t>la</w:t>
      </w:r>
      <w:r>
        <w:rPr>
          <w:spacing w:val="-16"/>
        </w:rPr>
        <w:t> </w:t>
      </w:r>
      <w:r>
        <w:rPr/>
        <w:t>misma</w:t>
      </w:r>
      <w:r>
        <w:rPr>
          <w:spacing w:val="-12"/>
        </w:rPr>
        <w:t> </w:t>
      </w:r>
      <w:r>
        <w:rPr/>
        <w:t>y</w:t>
      </w:r>
      <w:r>
        <w:rPr>
          <w:spacing w:val="-13"/>
        </w:rPr>
        <w:t> </w:t>
      </w:r>
      <w:r>
        <w:rPr/>
        <w:t>el</w:t>
      </w:r>
      <w:r>
        <w:rPr>
          <w:spacing w:val="-8"/>
        </w:rPr>
        <w:t> </w:t>
      </w:r>
      <w:r>
        <w:rPr/>
        <w:t>diseño operacional de las variables e indicadores, derivados del planteamiento del problema y la</w:t>
      </w:r>
      <w:r>
        <w:rPr>
          <w:spacing w:val="-8"/>
        </w:rPr>
        <w:t> </w:t>
      </w:r>
      <w:r>
        <w:rPr/>
        <w:t>hipótesis.</w:t>
      </w:r>
    </w:p>
    <w:p>
      <w:pPr>
        <w:pStyle w:val="BodyText"/>
        <w:spacing w:before="9"/>
      </w:pPr>
    </w:p>
    <w:p>
      <w:pPr>
        <w:pStyle w:val="BodyText"/>
        <w:spacing w:line="360" w:lineRule="auto" w:before="1"/>
        <w:ind w:left="177" w:right="100"/>
        <w:jc w:val="both"/>
      </w:pPr>
      <w:r>
        <w:rPr/>
        <w:t>La variable dependiente (VD) es la susceptibilidad de los asentamientos humanos a</w:t>
      </w:r>
      <w:r>
        <w:rPr>
          <w:spacing w:val="-16"/>
        </w:rPr>
        <w:t> </w:t>
      </w:r>
      <w:r>
        <w:rPr/>
        <w:t>los</w:t>
      </w:r>
      <w:r>
        <w:rPr>
          <w:spacing w:val="-16"/>
        </w:rPr>
        <w:t> </w:t>
      </w:r>
      <w:r>
        <w:rPr/>
        <w:t>riesgos</w:t>
      </w:r>
      <w:r>
        <w:rPr>
          <w:spacing w:val="-16"/>
        </w:rPr>
        <w:t> </w:t>
      </w:r>
      <w:r>
        <w:rPr/>
        <w:t>por</w:t>
      </w:r>
      <w:r>
        <w:rPr>
          <w:spacing w:val="-20"/>
        </w:rPr>
        <w:t> </w:t>
      </w:r>
      <w:r>
        <w:rPr/>
        <w:t>inundación</w:t>
      </w:r>
      <w:r>
        <w:rPr>
          <w:spacing w:val="-16"/>
        </w:rPr>
        <w:t> </w:t>
      </w:r>
      <w:r>
        <w:rPr/>
        <w:t>en</w:t>
      </w:r>
      <w:r>
        <w:rPr>
          <w:spacing w:val="-16"/>
        </w:rPr>
        <w:t> </w:t>
      </w:r>
      <w:r>
        <w:rPr/>
        <w:t>la</w:t>
      </w:r>
      <w:r>
        <w:rPr>
          <w:spacing w:val="-16"/>
        </w:rPr>
        <w:t> </w:t>
      </w:r>
      <w:r>
        <w:rPr/>
        <w:t>ZMT,</w:t>
      </w:r>
      <w:r>
        <w:rPr>
          <w:spacing w:val="-16"/>
        </w:rPr>
        <w:t> </w:t>
      </w:r>
      <w:r>
        <w:rPr/>
        <w:t>y</w:t>
      </w:r>
      <w:r>
        <w:rPr>
          <w:spacing w:val="-16"/>
        </w:rPr>
        <w:t> </w:t>
      </w:r>
      <w:r>
        <w:rPr/>
        <w:t>las</w:t>
      </w:r>
      <w:r>
        <w:rPr>
          <w:spacing w:val="-16"/>
        </w:rPr>
        <w:t> </w:t>
      </w:r>
      <w:r>
        <w:rPr/>
        <w:t>variables</w:t>
      </w:r>
      <w:r>
        <w:rPr>
          <w:spacing w:val="-21"/>
        </w:rPr>
        <w:t> </w:t>
      </w:r>
      <w:r>
        <w:rPr/>
        <w:t>independientes</w:t>
      </w:r>
      <w:r>
        <w:rPr>
          <w:spacing w:val="-16"/>
        </w:rPr>
        <w:t> </w:t>
      </w:r>
      <w:r>
        <w:rPr/>
        <w:t>(VI)</w:t>
      </w:r>
      <w:r>
        <w:rPr>
          <w:spacing w:val="-14"/>
        </w:rPr>
        <w:t> </w:t>
      </w:r>
      <w:r>
        <w:rPr/>
        <w:t>o</w:t>
      </w:r>
      <w:r>
        <w:rPr>
          <w:spacing w:val="-16"/>
        </w:rPr>
        <w:t> </w:t>
      </w:r>
      <w:r>
        <w:rPr/>
        <w:t>causas</w:t>
      </w:r>
    </w:p>
    <w:p>
      <w:pPr>
        <w:spacing w:after="0" w:line="360" w:lineRule="auto"/>
        <w:jc w:val="both"/>
        <w:sectPr>
          <w:pgSz w:w="12240" w:h="15840"/>
          <w:pgMar w:header="0" w:footer="1031" w:top="1360" w:bottom="1220" w:left="1580" w:right="1600"/>
        </w:sectPr>
      </w:pPr>
    </w:p>
    <w:p>
      <w:pPr>
        <w:pStyle w:val="BodyText"/>
        <w:spacing w:line="362" w:lineRule="auto" w:before="52"/>
        <w:ind w:left="177" w:right="70"/>
      </w:pPr>
      <w:r>
        <w:rPr/>
        <w:t>son biofísicas, socioeconómicas y políticas. En la tabla 1 se listan las variables e indicadores que consideramos en esta investigación.</w:t>
      </w:r>
    </w:p>
    <w:p>
      <w:pPr>
        <w:pStyle w:val="BodyText"/>
        <w:spacing w:before="7"/>
      </w:pPr>
    </w:p>
    <w:p>
      <w:pPr>
        <w:spacing w:before="0"/>
        <w:ind w:left="119" w:right="70" w:firstLine="0"/>
        <w:jc w:val="left"/>
        <w:rPr>
          <w:sz w:val="22"/>
        </w:rPr>
      </w:pPr>
      <w:r>
        <w:rPr>
          <w:sz w:val="22"/>
        </w:rPr>
        <w:t>Tabla 1. Síntesis de las variables e indicadores.</w:t>
      </w:r>
    </w:p>
    <w:p>
      <w:pPr>
        <w:pStyle w:val="BodyText"/>
        <w:spacing w:before="11"/>
        <w:rPr>
          <w:sz w:val="10"/>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52"/>
        <w:gridCol w:w="3102"/>
        <w:gridCol w:w="2978"/>
      </w:tblGrid>
      <w:tr>
        <w:trPr>
          <w:trHeight w:val="216" w:hRule="exact"/>
        </w:trPr>
        <w:tc>
          <w:tcPr>
            <w:tcW w:w="2752" w:type="dxa"/>
          </w:tcPr>
          <w:p>
            <w:pPr>
              <w:pStyle w:val="TableParagraph"/>
              <w:spacing w:line="201" w:lineRule="exact"/>
              <w:ind w:left="264" w:right="255"/>
              <w:jc w:val="center"/>
              <w:rPr>
                <w:b/>
                <w:sz w:val="18"/>
              </w:rPr>
            </w:pPr>
            <w:r>
              <w:rPr>
                <w:b/>
                <w:sz w:val="18"/>
              </w:rPr>
              <w:t>Tema</w:t>
            </w:r>
          </w:p>
        </w:tc>
        <w:tc>
          <w:tcPr>
            <w:tcW w:w="3102" w:type="dxa"/>
          </w:tcPr>
          <w:p>
            <w:pPr>
              <w:pStyle w:val="TableParagraph"/>
              <w:spacing w:line="201" w:lineRule="exact"/>
              <w:ind w:left="1056" w:right="1047"/>
              <w:jc w:val="center"/>
              <w:rPr>
                <w:b/>
                <w:sz w:val="18"/>
              </w:rPr>
            </w:pPr>
            <w:r>
              <w:rPr>
                <w:b/>
                <w:sz w:val="18"/>
              </w:rPr>
              <w:t>Variables</w:t>
            </w:r>
          </w:p>
        </w:tc>
        <w:tc>
          <w:tcPr>
            <w:tcW w:w="2978" w:type="dxa"/>
          </w:tcPr>
          <w:p>
            <w:pPr>
              <w:pStyle w:val="TableParagraph"/>
              <w:spacing w:line="201" w:lineRule="exact"/>
              <w:ind w:left="1062" w:right="1055"/>
              <w:jc w:val="center"/>
              <w:rPr>
                <w:b/>
                <w:sz w:val="18"/>
              </w:rPr>
            </w:pPr>
            <w:r>
              <w:rPr>
                <w:b/>
                <w:sz w:val="18"/>
              </w:rPr>
              <w:t>Indicador</w:t>
            </w:r>
          </w:p>
        </w:tc>
      </w:tr>
      <w:tr>
        <w:trPr>
          <w:trHeight w:val="418" w:hRule="exact"/>
        </w:trPr>
        <w:tc>
          <w:tcPr>
            <w:tcW w:w="2752" w:type="dxa"/>
            <w:vMerge w:val="restart"/>
          </w:tcPr>
          <w:p>
            <w:pPr>
              <w:pStyle w:val="TableParagraph"/>
              <w:rPr>
                <w:sz w:val="18"/>
              </w:rPr>
            </w:pPr>
          </w:p>
          <w:p>
            <w:pPr>
              <w:pStyle w:val="TableParagraph"/>
              <w:rPr>
                <w:sz w:val="18"/>
              </w:rPr>
            </w:pPr>
          </w:p>
          <w:p>
            <w:pPr>
              <w:pStyle w:val="TableParagraph"/>
              <w:rPr>
                <w:sz w:val="18"/>
              </w:rPr>
            </w:pPr>
          </w:p>
          <w:p>
            <w:pPr>
              <w:pStyle w:val="TableParagraph"/>
              <w:spacing w:before="8"/>
              <w:rPr>
                <w:sz w:val="17"/>
              </w:rPr>
            </w:pPr>
          </w:p>
          <w:p>
            <w:pPr>
              <w:pStyle w:val="TableParagraph"/>
              <w:ind w:left="259" w:right="259"/>
              <w:jc w:val="center"/>
              <w:rPr>
                <w:sz w:val="18"/>
              </w:rPr>
            </w:pPr>
            <w:r>
              <w:rPr>
                <w:sz w:val="18"/>
              </w:rPr>
              <w:t>Físico-naturales</w:t>
            </w: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2"/>
              <w:rPr>
                <w:sz w:val="20"/>
              </w:rPr>
            </w:pPr>
          </w:p>
          <w:p>
            <w:pPr>
              <w:pStyle w:val="TableParagraph"/>
              <w:spacing w:line="477" w:lineRule="auto" w:before="1"/>
              <w:ind w:left="264" w:right="259"/>
              <w:jc w:val="center"/>
              <w:rPr>
                <w:sz w:val="18"/>
              </w:rPr>
            </w:pPr>
            <w:r>
              <w:rPr>
                <w:sz w:val="18"/>
              </w:rPr>
              <w:t>Características hidrológicas (morfometría de la cuenca)</w:t>
            </w:r>
          </w:p>
        </w:tc>
        <w:tc>
          <w:tcPr>
            <w:tcW w:w="3102" w:type="dxa"/>
          </w:tcPr>
          <w:p>
            <w:pPr>
              <w:pStyle w:val="TableParagraph"/>
              <w:spacing w:line="206" w:lineRule="exact"/>
              <w:ind w:left="105"/>
              <w:rPr>
                <w:sz w:val="18"/>
              </w:rPr>
            </w:pPr>
            <w:r>
              <w:rPr>
                <w:sz w:val="18"/>
              </w:rPr>
              <w:t>Uso de suelo y vegetación</w:t>
            </w:r>
          </w:p>
        </w:tc>
        <w:tc>
          <w:tcPr>
            <w:tcW w:w="2978" w:type="dxa"/>
          </w:tcPr>
          <w:p>
            <w:pPr>
              <w:pStyle w:val="TableParagraph"/>
              <w:spacing w:line="206" w:lineRule="exact"/>
              <w:ind w:left="105" w:right="11"/>
              <w:rPr>
                <w:sz w:val="18"/>
              </w:rPr>
            </w:pPr>
            <w:r>
              <w:rPr>
                <w:sz w:val="18"/>
              </w:rPr>
              <w:t>Tipo y porcentaje de cobertura</w:t>
            </w:r>
          </w:p>
        </w:tc>
      </w:tr>
      <w:tr>
        <w:trPr>
          <w:trHeight w:val="423" w:hRule="exact"/>
        </w:trPr>
        <w:tc>
          <w:tcPr>
            <w:tcW w:w="2752" w:type="dxa"/>
            <w:vMerge/>
          </w:tcPr>
          <w:p>
            <w:pPr/>
          </w:p>
        </w:tc>
        <w:tc>
          <w:tcPr>
            <w:tcW w:w="3102" w:type="dxa"/>
          </w:tcPr>
          <w:p>
            <w:pPr>
              <w:pStyle w:val="TableParagraph"/>
              <w:spacing w:line="201" w:lineRule="exact"/>
              <w:ind w:left="105"/>
              <w:rPr>
                <w:sz w:val="18"/>
              </w:rPr>
            </w:pPr>
            <w:r>
              <w:rPr>
                <w:sz w:val="18"/>
              </w:rPr>
              <w:t>Edafología</w:t>
            </w:r>
          </w:p>
        </w:tc>
        <w:tc>
          <w:tcPr>
            <w:tcW w:w="2978" w:type="dxa"/>
          </w:tcPr>
          <w:p>
            <w:pPr>
              <w:pStyle w:val="TableParagraph"/>
              <w:ind w:left="105" w:right="11"/>
              <w:rPr>
                <w:sz w:val="18"/>
              </w:rPr>
            </w:pPr>
            <w:r>
              <w:rPr>
                <w:sz w:val="18"/>
              </w:rPr>
              <w:t>Tipo de suelo y porcentaje de cobertura</w:t>
            </w:r>
          </w:p>
        </w:tc>
      </w:tr>
      <w:tr>
        <w:trPr>
          <w:trHeight w:val="427" w:hRule="exact"/>
        </w:trPr>
        <w:tc>
          <w:tcPr>
            <w:tcW w:w="2752" w:type="dxa"/>
            <w:vMerge/>
          </w:tcPr>
          <w:p>
            <w:pPr/>
          </w:p>
        </w:tc>
        <w:tc>
          <w:tcPr>
            <w:tcW w:w="3102" w:type="dxa"/>
          </w:tcPr>
          <w:p>
            <w:pPr>
              <w:pStyle w:val="TableParagraph"/>
              <w:spacing w:line="206" w:lineRule="exact"/>
              <w:ind w:left="105"/>
              <w:rPr>
                <w:sz w:val="18"/>
              </w:rPr>
            </w:pPr>
            <w:r>
              <w:rPr>
                <w:sz w:val="18"/>
              </w:rPr>
              <w:t>Pendiente media</w:t>
            </w:r>
          </w:p>
        </w:tc>
        <w:tc>
          <w:tcPr>
            <w:tcW w:w="2978" w:type="dxa"/>
          </w:tcPr>
          <w:p>
            <w:pPr>
              <w:pStyle w:val="TableParagraph"/>
              <w:ind w:left="105" w:right="11"/>
              <w:rPr>
                <w:sz w:val="18"/>
              </w:rPr>
            </w:pPr>
            <w:r>
              <w:rPr>
                <w:sz w:val="18"/>
              </w:rPr>
              <w:t>Tipo de pendiente? medida en grados</w:t>
            </w:r>
          </w:p>
        </w:tc>
      </w:tr>
      <w:tr>
        <w:trPr>
          <w:trHeight w:val="422" w:hRule="exact"/>
        </w:trPr>
        <w:tc>
          <w:tcPr>
            <w:tcW w:w="2752" w:type="dxa"/>
            <w:vMerge/>
          </w:tcPr>
          <w:p>
            <w:pPr/>
          </w:p>
        </w:tc>
        <w:tc>
          <w:tcPr>
            <w:tcW w:w="3102" w:type="dxa"/>
          </w:tcPr>
          <w:p>
            <w:pPr>
              <w:pStyle w:val="TableParagraph"/>
              <w:spacing w:line="201" w:lineRule="exact"/>
              <w:ind w:left="105"/>
              <w:rPr>
                <w:sz w:val="18"/>
              </w:rPr>
            </w:pPr>
            <w:r>
              <w:rPr>
                <w:sz w:val="18"/>
              </w:rPr>
              <w:t>Forma</w:t>
            </w:r>
          </w:p>
        </w:tc>
        <w:tc>
          <w:tcPr>
            <w:tcW w:w="2978" w:type="dxa"/>
          </w:tcPr>
          <w:p>
            <w:pPr>
              <w:pStyle w:val="TableParagraph"/>
              <w:ind w:left="105" w:right="11"/>
              <w:rPr>
                <w:sz w:val="18"/>
              </w:rPr>
            </w:pPr>
            <w:r>
              <w:rPr>
                <w:sz w:val="18"/>
              </w:rPr>
              <w:t>Indica la peligrosidad de crecidas por la lluvia el cual es adimensional</w:t>
            </w:r>
          </w:p>
        </w:tc>
      </w:tr>
      <w:tr>
        <w:trPr>
          <w:trHeight w:val="634" w:hRule="exact"/>
        </w:trPr>
        <w:tc>
          <w:tcPr>
            <w:tcW w:w="2752" w:type="dxa"/>
            <w:vMerge/>
          </w:tcPr>
          <w:p>
            <w:pPr/>
          </w:p>
        </w:tc>
        <w:tc>
          <w:tcPr>
            <w:tcW w:w="3102" w:type="dxa"/>
          </w:tcPr>
          <w:p>
            <w:pPr>
              <w:pStyle w:val="TableParagraph"/>
              <w:spacing w:line="201" w:lineRule="exact"/>
              <w:ind w:left="105"/>
              <w:rPr>
                <w:sz w:val="18"/>
              </w:rPr>
            </w:pPr>
            <w:r>
              <w:rPr>
                <w:sz w:val="18"/>
              </w:rPr>
              <w:t>Densidad de drenaje</w:t>
            </w:r>
          </w:p>
        </w:tc>
        <w:tc>
          <w:tcPr>
            <w:tcW w:w="2978" w:type="dxa"/>
          </w:tcPr>
          <w:p>
            <w:pPr>
              <w:pStyle w:val="TableParagraph"/>
              <w:spacing w:line="237" w:lineRule="auto"/>
              <w:ind w:left="105" w:right="95"/>
              <w:jc w:val="both"/>
              <w:rPr>
                <w:sz w:val="12"/>
              </w:rPr>
            </w:pPr>
            <w:r>
              <w:rPr>
                <w:sz w:val="18"/>
              </w:rPr>
              <w:t>Determina </w:t>
            </w:r>
            <w:r>
              <w:rPr>
                <w:spacing w:val="-3"/>
                <w:sz w:val="18"/>
              </w:rPr>
              <w:t>el </w:t>
            </w:r>
            <w:r>
              <w:rPr>
                <w:sz w:val="18"/>
              </w:rPr>
              <w:t>grado de</w:t>
            </w:r>
            <w:r>
              <w:rPr>
                <w:spacing w:val="-33"/>
                <w:sz w:val="18"/>
              </w:rPr>
              <w:t> </w:t>
            </w:r>
            <w:r>
              <w:rPr>
                <w:sz w:val="18"/>
              </w:rPr>
              <w:t>ramificación de una cuenca (longitud de corrientes sobre</w:t>
            </w:r>
            <w:r>
              <w:rPr>
                <w:spacing w:val="-4"/>
                <w:sz w:val="18"/>
              </w:rPr>
              <w:t> </w:t>
            </w:r>
            <w:r>
              <w:rPr>
                <w:sz w:val="18"/>
              </w:rPr>
              <w:t>km</w:t>
            </w:r>
            <w:r>
              <w:rPr>
                <w:position w:val="6"/>
                <w:sz w:val="12"/>
              </w:rPr>
              <w:t>2)</w:t>
            </w:r>
          </w:p>
        </w:tc>
      </w:tr>
      <w:tr>
        <w:trPr>
          <w:trHeight w:val="835" w:hRule="exact"/>
        </w:trPr>
        <w:tc>
          <w:tcPr>
            <w:tcW w:w="2752" w:type="dxa"/>
            <w:vMerge/>
          </w:tcPr>
          <w:p>
            <w:pPr/>
          </w:p>
        </w:tc>
        <w:tc>
          <w:tcPr>
            <w:tcW w:w="3102" w:type="dxa"/>
          </w:tcPr>
          <w:p>
            <w:pPr>
              <w:pStyle w:val="TableParagraph"/>
              <w:spacing w:line="201" w:lineRule="exact"/>
              <w:ind w:left="105"/>
              <w:rPr>
                <w:sz w:val="18"/>
              </w:rPr>
            </w:pPr>
            <w:r>
              <w:rPr>
                <w:sz w:val="18"/>
              </w:rPr>
              <w:t>Tiempo de concentración</w:t>
            </w:r>
          </w:p>
        </w:tc>
        <w:tc>
          <w:tcPr>
            <w:tcW w:w="2978" w:type="dxa"/>
          </w:tcPr>
          <w:p>
            <w:pPr>
              <w:pStyle w:val="TableParagraph"/>
              <w:ind w:left="105" w:right="95"/>
              <w:jc w:val="both"/>
              <w:rPr>
                <w:sz w:val="18"/>
              </w:rPr>
            </w:pPr>
            <w:r>
              <w:rPr>
                <w:sz w:val="18"/>
              </w:rPr>
              <w:t>Tiempo que tarda </w:t>
            </w:r>
            <w:r>
              <w:rPr>
                <w:spacing w:val="-3"/>
                <w:sz w:val="18"/>
              </w:rPr>
              <w:t>una </w:t>
            </w:r>
            <w:r>
              <w:rPr>
                <w:sz w:val="18"/>
              </w:rPr>
              <w:t>gota para recorrer </w:t>
            </w:r>
            <w:r>
              <w:rPr>
                <w:spacing w:val="-3"/>
                <w:sz w:val="18"/>
              </w:rPr>
              <w:t>una </w:t>
            </w:r>
            <w:r>
              <w:rPr>
                <w:sz w:val="18"/>
              </w:rPr>
              <w:t>distancia existente entre</w:t>
            </w:r>
            <w:r>
              <w:rPr>
                <w:spacing w:val="-11"/>
                <w:sz w:val="18"/>
              </w:rPr>
              <w:t> </w:t>
            </w:r>
            <w:r>
              <w:rPr>
                <w:spacing w:val="-3"/>
                <w:sz w:val="18"/>
              </w:rPr>
              <w:t>el</w:t>
            </w:r>
            <w:r>
              <w:rPr>
                <w:spacing w:val="-7"/>
                <w:sz w:val="18"/>
              </w:rPr>
              <w:t> </w:t>
            </w:r>
            <w:r>
              <w:rPr>
                <w:sz w:val="18"/>
              </w:rPr>
              <w:t>sitio</w:t>
            </w:r>
            <w:r>
              <w:rPr>
                <w:spacing w:val="-16"/>
                <w:sz w:val="18"/>
              </w:rPr>
              <w:t> </w:t>
            </w:r>
            <w:r>
              <w:rPr>
                <w:sz w:val="18"/>
              </w:rPr>
              <w:t>más</w:t>
            </w:r>
            <w:r>
              <w:rPr>
                <w:spacing w:val="-16"/>
                <w:sz w:val="18"/>
              </w:rPr>
              <w:t> </w:t>
            </w:r>
            <w:r>
              <w:rPr>
                <w:sz w:val="18"/>
              </w:rPr>
              <w:t>lejano</w:t>
            </w:r>
            <w:r>
              <w:rPr>
                <w:spacing w:val="-11"/>
                <w:sz w:val="18"/>
              </w:rPr>
              <w:t> </w:t>
            </w:r>
            <w:r>
              <w:rPr>
                <w:spacing w:val="-3"/>
                <w:sz w:val="18"/>
              </w:rPr>
              <w:t>del</w:t>
            </w:r>
            <w:r>
              <w:rPr>
                <w:spacing w:val="-7"/>
                <w:sz w:val="18"/>
              </w:rPr>
              <w:t> </w:t>
            </w:r>
            <w:r>
              <w:rPr>
                <w:sz w:val="18"/>
              </w:rPr>
              <w:t>área</w:t>
            </w:r>
            <w:r>
              <w:rPr>
                <w:spacing w:val="-11"/>
                <w:sz w:val="18"/>
              </w:rPr>
              <w:t> </w:t>
            </w:r>
            <w:r>
              <w:rPr>
                <w:sz w:val="18"/>
              </w:rPr>
              <w:t>de drenaje y </w:t>
            </w:r>
            <w:r>
              <w:rPr>
                <w:spacing w:val="-3"/>
                <w:sz w:val="18"/>
              </w:rPr>
              <w:t>el </w:t>
            </w:r>
            <w:r>
              <w:rPr>
                <w:sz w:val="18"/>
              </w:rPr>
              <w:t>lugar de</w:t>
            </w:r>
            <w:r>
              <w:rPr>
                <w:spacing w:val="3"/>
                <w:sz w:val="18"/>
              </w:rPr>
              <w:t> </w:t>
            </w:r>
            <w:r>
              <w:rPr>
                <w:sz w:val="18"/>
              </w:rPr>
              <w:t>salida</w:t>
            </w:r>
          </w:p>
        </w:tc>
      </w:tr>
      <w:tr>
        <w:trPr>
          <w:trHeight w:val="634" w:hRule="exact"/>
        </w:trPr>
        <w:tc>
          <w:tcPr>
            <w:tcW w:w="2752" w:type="dxa"/>
            <w:vMerge/>
          </w:tcPr>
          <w:p>
            <w:pPr/>
          </w:p>
        </w:tc>
        <w:tc>
          <w:tcPr>
            <w:tcW w:w="3102" w:type="dxa"/>
          </w:tcPr>
          <w:p>
            <w:pPr>
              <w:pStyle w:val="TableParagraph"/>
              <w:spacing w:line="201" w:lineRule="exact"/>
              <w:ind w:left="105"/>
              <w:rPr>
                <w:sz w:val="18"/>
              </w:rPr>
            </w:pPr>
            <w:r>
              <w:rPr>
                <w:sz w:val="18"/>
              </w:rPr>
              <w:t>Relación de elongación</w:t>
            </w:r>
          </w:p>
        </w:tc>
        <w:tc>
          <w:tcPr>
            <w:tcW w:w="2978" w:type="dxa"/>
          </w:tcPr>
          <w:p>
            <w:pPr>
              <w:pStyle w:val="TableParagraph"/>
              <w:ind w:left="105" w:right="97"/>
              <w:jc w:val="both"/>
              <w:rPr>
                <w:sz w:val="18"/>
              </w:rPr>
            </w:pPr>
            <w:r>
              <w:rPr>
                <w:sz w:val="18"/>
              </w:rPr>
              <w:t>Define </w:t>
            </w:r>
            <w:r>
              <w:rPr>
                <w:spacing w:val="-3"/>
                <w:sz w:val="18"/>
              </w:rPr>
              <w:t>el </w:t>
            </w:r>
            <w:r>
              <w:rPr>
                <w:sz w:val="18"/>
              </w:rPr>
              <w:t>relieve de la cuenca </w:t>
            </w:r>
            <w:r>
              <w:rPr>
                <w:spacing w:val="-3"/>
                <w:sz w:val="18"/>
              </w:rPr>
              <w:t>en </w:t>
            </w:r>
            <w:r>
              <w:rPr>
                <w:sz w:val="18"/>
              </w:rPr>
              <w:t>función de un círculo y los </w:t>
            </w:r>
            <w:r>
              <w:rPr>
                <w:spacing w:val="-3"/>
                <w:sz w:val="18"/>
              </w:rPr>
              <w:t>valores </w:t>
            </w:r>
            <w:r>
              <w:rPr>
                <w:sz w:val="18"/>
              </w:rPr>
              <w:t>son</w:t>
            </w:r>
            <w:r>
              <w:rPr>
                <w:spacing w:val="-13"/>
                <w:sz w:val="18"/>
              </w:rPr>
              <w:t> </w:t>
            </w:r>
            <w:r>
              <w:rPr>
                <w:sz w:val="18"/>
              </w:rPr>
              <w:t>cercanos</w:t>
            </w:r>
            <w:r>
              <w:rPr>
                <w:spacing w:val="-12"/>
                <w:sz w:val="18"/>
              </w:rPr>
              <w:t> </w:t>
            </w:r>
            <w:r>
              <w:rPr>
                <w:sz w:val="18"/>
              </w:rPr>
              <w:t>o</w:t>
            </w:r>
            <w:r>
              <w:rPr>
                <w:spacing w:val="-12"/>
                <w:sz w:val="18"/>
              </w:rPr>
              <w:t> </w:t>
            </w:r>
            <w:r>
              <w:rPr>
                <w:sz w:val="18"/>
              </w:rPr>
              <w:t>lejanos</w:t>
            </w:r>
            <w:r>
              <w:rPr>
                <w:spacing w:val="-12"/>
                <w:sz w:val="18"/>
              </w:rPr>
              <w:t> </w:t>
            </w:r>
            <w:r>
              <w:rPr>
                <w:sz w:val="18"/>
              </w:rPr>
              <w:t>a</w:t>
            </w:r>
            <w:r>
              <w:rPr>
                <w:spacing w:val="-13"/>
                <w:sz w:val="18"/>
              </w:rPr>
              <w:t> </w:t>
            </w:r>
            <w:r>
              <w:rPr>
                <w:sz w:val="18"/>
              </w:rPr>
              <w:t>la</w:t>
            </w:r>
            <w:r>
              <w:rPr>
                <w:spacing w:val="-13"/>
                <w:sz w:val="18"/>
              </w:rPr>
              <w:t> </w:t>
            </w:r>
            <w:r>
              <w:rPr>
                <w:sz w:val="18"/>
              </w:rPr>
              <w:t>unidad.</w:t>
            </w:r>
          </w:p>
        </w:tc>
      </w:tr>
      <w:tr>
        <w:trPr>
          <w:trHeight w:val="216" w:hRule="exact"/>
        </w:trPr>
        <w:tc>
          <w:tcPr>
            <w:tcW w:w="2752" w:type="dxa"/>
            <w:vMerge/>
          </w:tcPr>
          <w:p>
            <w:pPr/>
          </w:p>
        </w:tc>
        <w:tc>
          <w:tcPr>
            <w:tcW w:w="3102" w:type="dxa"/>
          </w:tcPr>
          <w:p>
            <w:pPr>
              <w:pStyle w:val="TableParagraph"/>
              <w:spacing w:line="201" w:lineRule="exact"/>
              <w:ind w:left="105"/>
              <w:rPr>
                <w:sz w:val="18"/>
              </w:rPr>
            </w:pPr>
            <w:r>
              <w:rPr>
                <w:sz w:val="18"/>
              </w:rPr>
              <w:t>Población total</w:t>
            </w:r>
          </w:p>
        </w:tc>
        <w:tc>
          <w:tcPr>
            <w:tcW w:w="2978" w:type="dxa"/>
          </w:tcPr>
          <w:p>
            <w:pPr>
              <w:pStyle w:val="TableParagraph"/>
              <w:spacing w:line="201" w:lineRule="exact"/>
              <w:ind w:left="105" w:right="11"/>
              <w:rPr>
                <w:sz w:val="18"/>
              </w:rPr>
            </w:pPr>
            <w:r>
              <w:rPr>
                <w:sz w:val="18"/>
              </w:rPr>
              <w:t>No total de habitantes</w:t>
            </w:r>
          </w:p>
        </w:tc>
      </w:tr>
      <w:tr>
        <w:trPr>
          <w:trHeight w:val="216" w:hRule="exact"/>
        </w:trPr>
        <w:tc>
          <w:tcPr>
            <w:tcW w:w="2752"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
              <w:rPr>
                <w:sz w:val="17"/>
              </w:rPr>
            </w:pPr>
          </w:p>
          <w:p>
            <w:pPr>
              <w:pStyle w:val="TableParagraph"/>
              <w:ind w:left="105"/>
              <w:rPr>
                <w:sz w:val="18"/>
              </w:rPr>
            </w:pPr>
            <w:r>
              <w:rPr>
                <w:sz w:val="18"/>
              </w:rPr>
              <w:t>Socioeconómicas</w:t>
            </w:r>
          </w:p>
        </w:tc>
        <w:tc>
          <w:tcPr>
            <w:tcW w:w="3102" w:type="dxa"/>
          </w:tcPr>
          <w:p>
            <w:pPr>
              <w:pStyle w:val="TableParagraph"/>
              <w:spacing w:line="201" w:lineRule="exact"/>
              <w:ind w:left="105"/>
              <w:rPr>
                <w:sz w:val="18"/>
              </w:rPr>
            </w:pPr>
            <w:r>
              <w:rPr>
                <w:sz w:val="18"/>
              </w:rPr>
              <w:t>Densidad de población</w:t>
            </w:r>
          </w:p>
        </w:tc>
        <w:tc>
          <w:tcPr>
            <w:tcW w:w="2978" w:type="dxa"/>
          </w:tcPr>
          <w:p>
            <w:pPr>
              <w:pStyle w:val="TableParagraph"/>
              <w:spacing w:line="201" w:lineRule="exact"/>
              <w:ind w:left="105" w:right="11"/>
              <w:rPr>
                <w:sz w:val="12"/>
              </w:rPr>
            </w:pPr>
            <w:r>
              <w:rPr>
                <w:sz w:val="18"/>
              </w:rPr>
              <w:t>No de habitantes por km</w:t>
            </w:r>
            <w:r>
              <w:rPr>
                <w:position w:val="6"/>
                <w:sz w:val="12"/>
              </w:rPr>
              <w:t>2</w:t>
            </w:r>
          </w:p>
        </w:tc>
      </w:tr>
      <w:tr>
        <w:trPr>
          <w:trHeight w:val="422" w:hRule="exact"/>
        </w:trPr>
        <w:tc>
          <w:tcPr>
            <w:tcW w:w="2752" w:type="dxa"/>
            <w:vMerge/>
          </w:tcPr>
          <w:p>
            <w:pPr/>
          </w:p>
        </w:tc>
        <w:tc>
          <w:tcPr>
            <w:tcW w:w="3102"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ind w:left="1056" w:right="1049"/>
              <w:jc w:val="center"/>
              <w:rPr>
                <w:sz w:val="18"/>
              </w:rPr>
            </w:pPr>
            <w:r>
              <w:rPr>
                <w:sz w:val="18"/>
              </w:rPr>
              <w:t>Índice de marginación</w:t>
            </w:r>
          </w:p>
        </w:tc>
        <w:tc>
          <w:tcPr>
            <w:tcW w:w="2978" w:type="dxa"/>
          </w:tcPr>
          <w:p>
            <w:pPr>
              <w:pStyle w:val="TableParagraph"/>
              <w:ind w:left="105" w:right="11"/>
              <w:rPr>
                <w:sz w:val="18"/>
              </w:rPr>
            </w:pPr>
            <w:r>
              <w:rPr>
                <w:sz w:val="18"/>
              </w:rPr>
              <w:t>% Población de 15 años o más analfabeta</w:t>
            </w:r>
          </w:p>
        </w:tc>
      </w:tr>
      <w:tr>
        <w:trPr>
          <w:trHeight w:val="427" w:hRule="exact"/>
        </w:trPr>
        <w:tc>
          <w:tcPr>
            <w:tcW w:w="2752" w:type="dxa"/>
            <w:vMerge/>
          </w:tcPr>
          <w:p>
            <w:pPr/>
          </w:p>
        </w:tc>
        <w:tc>
          <w:tcPr>
            <w:tcW w:w="3102" w:type="dxa"/>
            <w:vMerge/>
          </w:tcPr>
          <w:p>
            <w:pPr/>
          </w:p>
        </w:tc>
        <w:tc>
          <w:tcPr>
            <w:tcW w:w="2978" w:type="dxa"/>
          </w:tcPr>
          <w:p>
            <w:pPr>
              <w:pStyle w:val="TableParagraph"/>
              <w:spacing w:line="244" w:lineRule="auto"/>
              <w:ind w:left="105" w:right="81"/>
              <w:rPr>
                <w:sz w:val="18"/>
              </w:rPr>
            </w:pPr>
            <w:r>
              <w:rPr>
                <w:sz w:val="18"/>
              </w:rPr>
              <w:t>% Población de 15 años o más sin primaria completa</w:t>
            </w:r>
          </w:p>
        </w:tc>
      </w:tr>
      <w:tr>
        <w:trPr>
          <w:trHeight w:val="423" w:hRule="exact"/>
        </w:trPr>
        <w:tc>
          <w:tcPr>
            <w:tcW w:w="2752" w:type="dxa"/>
            <w:vMerge/>
          </w:tcPr>
          <w:p>
            <w:pPr/>
          </w:p>
        </w:tc>
        <w:tc>
          <w:tcPr>
            <w:tcW w:w="3102" w:type="dxa"/>
            <w:vMerge/>
          </w:tcPr>
          <w:p>
            <w:pPr/>
          </w:p>
        </w:tc>
        <w:tc>
          <w:tcPr>
            <w:tcW w:w="2978" w:type="dxa"/>
          </w:tcPr>
          <w:p>
            <w:pPr>
              <w:pStyle w:val="TableParagraph"/>
              <w:ind w:left="105" w:right="11"/>
              <w:rPr>
                <w:sz w:val="18"/>
              </w:rPr>
            </w:pPr>
            <w:r>
              <w:rPr>
                <w:sz w:val="18"/>
              </w:rPr>
              <w:t>% Ocupantes en viviendas sin drenaje ni excusado</w:t>
            </w:r>
          </w:p>
        </w:tc>
      </w:tr>
      <w:tr>
        <w:trPr>
          <w:trHeight w:val="624" w:hRule="exact"/>
        </w:trPr>
        <w:tc>
          <w:tcPr>
            <w:tcW w:w="2752" w:type="dxa"/>
            <w:vMerge/>
          </w:tcPr>
          <w:p>
            <w:pPr/>
          </w:p>
        </w:tc>
        <w:tc>
          <w:tcPr>
            <w:tcW w:w="3102" w:type="dxa"/>
            <w:vMerge/>
          </w:tcPr>
          <w:p>
            <w:pPr/>
          </w:p>
        </w:tc>
        <w:tc>
          <w:tcPr>
            <w:tcW w:w="2978" w:type="dxa"/>
          </w:tcPr>
          <w:p>
            <w:pPr>
              <w:pStyle w:val="TableParagraph"/>
              <w:spacing w:line="202" w:lineRule="exact" w:before="1"/>
              <w:ind w:left="105" w:right="11"/>
              <w:rPr>
                <w:sz w:val="18"/>
              </w:rPr>
            </w:pPr>
            <w:r>
              <w:rPr>
                <w:sz w:val="18"/>
              </w:rPr>
              <w:t>% Ocupantes en viviendas sin energía eléctrica</w:t>
            </w:r>
          </w:p>
        </w:tc>
      </w:tr>
      <w:tr>
        <w:trPr>
          <w:trHeight w:val="422" w:hRule="exact"/>
        </w:trPr>
        <w:tc>
          <w:tcPr>
            <w:tcW w:w="2752" w:type="dxa"/>
            <w:vMerge/>
          </w:tcPr>
          <w:p>
            <w:pPr/>
          </w:p>
        </w:tc>
        <w:tc>
          <w:tcPr>
            <w:tcW w:w="3102" w:type="dxa"/>
            <w:vMerge/>
          </w:tcPr>
          <w:p>
            <w:pPr/>
          </w:p>
        </w:tc>
        <w:tc>
          <w:tcPr>
            <w:tcW w:w="2978" w:type="dxa"/>
          </w:tcPr>
          <w:p>
            <w:pPr>
              <w:pStyle w:val="TableParagraph"/>
              <w:ind w:left="105" w:right="81"/>
              <w:rPr>
                <w:sz w:val="18"/>
              </w:rPr>
            </w:pPr>
            <w:r>
              <w:rPr>
                <w:sz w:val="18"/>
              </w:rPr>
              <w:t>% Ocupantes en viviendas sin agua entubada</w:t>
            </w:r>
          </w:p>
        </w:tc>
      </w:tr>
      <w:tr>
        <w:trPr>
          <w:trHeight w:val="428" w:hRule="exact"/>
        </w:trPr>
        <w:tc>
          <w:tcPr>
            <w:tcW w:w="2752" w:type="dxa"/>
            <w:vMerge/>
          </w:tcPr>
          <w:p>
            <w:pPr/>
          </w:p>
        </w:tc>
        <w:tc>
          <w:tcPr>
            <w:tcW w:w="3102" w:type="dxa"/>
            <w:vMerge/>
          </w:tcPr>
          <w:p>
            <w:pPr/>
          </w:p>
        </w:tc>
        <w:tc>
          <w:tcPr>
            <w:tcW w:w="2978" w:type="dxa"/>
          </w:tcPr>
          <w:p>
            <w:pPr>
              <w:pStyle w:val="TableParagraph"/>
              <w:spacing w:line="244" w:lineRule="auto"/>
              <w:ind w:left="105" w:right="11"/>
              <w:rPr>
                <w:sz w:val="18"/>
              </w:rPr>
            </w:pPr>
            <w:r>
              <w:rPr>
                <w:sz w:val="18"/>
              </w:rPr>
              <w:t>% Viviendas con algún nivel de hacinamiento</w:t>
            </w:r>
          </w:p>
        </w:tc>
      </w:tr>
      <w:tr>
        <w:trPr>
          <w:trHeight w:val="422" w:hRule="exact"/>
        </w:trPr>
        <w:tc>
          <w:tcPr>
            <w:tcW w:w="2752" w:type="dxa"/>
            <w:vMerge/>
          </w:tcPr>
          <w:p>
            <w:pPr/>
          </w:p>
        </w:tc>
        <w:tc>
          <w:tcPr>
            <w:tcW w:w="3102" w:type="dxa"/>
            <w:vMerge/>
          </w:tcPr>
          <w:p>
            <w:pPr/>
          </w:p>
        </w:tc>
        <w:tc>
          <w:tcPr>
            <w:tcW w:w="2978" w:type="dxa"/>
          </w:tcPr>
          <w:p>
            <w:pPr>
              <w:pStyle w:val="TableParagraph"/>
              <w:ind w:left="105" w:right="11"/>
              <w:rPr>
                <w:sz w:val="18"/>
              </w:rPr>
            </w:pPr>
            <w:r>
              <w:rPr>
                <w:sz w:val="18"/>
              </w:rPr>
              <w:t>%Ocupantes en viviendas con piso de tierra</w:t>
            </w:r>
          </w:p>
        </w:tc>
      </w:tr>
      <w:tr>
        <w:trPr>
          <w:trHeight w:val="629" w:hRule="exact"/>
        </w:trPr>
        <w:tc>
          <w:tcPr>
            <w:tcW w:w="2752" w:type="dxa"/>
            <w:vMerge/>
          </w:tcPr>
          <w:p>
            <w:pPr/>
          </w:p>
        </w:tc>
        <w:tc>
          <w:tcPr>
            <w:tcW w:w="3102" w:type="dxa"/>
            <w:vMerge/>
          </w:tcPr>
          <w:p>
            <w:pPr/>
          </w:p>
        </w:tc>
        <w:tc>
          <w:tcPr>
            <w:tcW w:w="2978" w:type="dxa"/>
          </w:tcPr>
          <w:p>
            <w:pPr>
              <w:pStyle w:val="TableParagraph"/>
              <w:ind w:left="105" w:right="11"/>
              <w:rPr>
                <w:sz w:val="18"/>
              </w:rPr>
            </w:pPr>
            <w:r>
              <w:rPr>
                <w:sz w:val="18"/>
              </w:rPr>
              <w:t>% Población en localidades con menos    de    5    000    habitantes</w:t>
            </w:r>
          </w:p>
        </w:tc>
      </w:tr>
      <w:tr>
        <w:trPr>
          <w:trHeight w:val="1340" w:hRule="exact"/>
        </w:trPr>
        <w:tc>
          <w:tcPr>
            <w:tcW w:w="2752" w:type="dxa"/>
            <w:vMerge/>
          </w:tcPr>
          <w:p>
            <w:pPr/>
          </w:p>
        </w:tc>
        <w:tc>
          <w:tcPr>
            <w:tcW w:w="3102" w:type="dxa"/>
            <w:vMerge/>
          </w:tcPr>
          <w:p>
            <w:pPr/>
          </w:p>
        </w:tc>
        <w:tc>
          <w:tcPr>
            <w:tcW w:w="2978" w:type="dxa"/>
          </w:tcPr>
          <w:p>
            <w:pPr>
              <w:pStyle w:val="TableParagraph"/>
              <w:spacing w:line="242" w:lineRule="auto"/>
              <w:ind w:left="105" w:right="95"/>
              <w:jc w:val="both"/>
              <w:rPr>
                <w:sz w:val="18"/>
              </w:rPr>
            </w:pPr>
            <w:r>
              <w:rPr>
                <w:sz w:val="18"/>
              </w:rPr>
              <w:t>% Población ocupada con ingresos de hasta 2 salarios mínimos</w:t>
            </w:r>
          </w:p>
        </w:tc>
      </w:tr>
    </w:tbl>
    <w:p>
      <w:pPr>
        <w:pStyle w:val="BodyText"/>
        <w:rPr>
          <w:sz w:val="13"/>
        </w:rPr>
      </w:pPr>
    </w:p>
    <w:p>
      <w:pPr>
        <w:spacing w:before="76"/>
        <w:ind w:left="177" w:right="70" w:firstLine="0"/>
        <w:jc w:val="left"/>
        <w:rPr>
          <w:sz w:val="20"/>
        </w:rPr>
      </w:pPr>
      <w:r>
        <w:rPr>
          <w:sz w:val="20"/>
        </w:rPr>
        <w:t>Elaboración propia</w:t>
      </w:r>
    </w:p>
    <w:p>
      <w:pPr>
        <w:spacing w:after="0"/>
        <w:jc w:val="left"/>
        <w:rPr>
          <w:sz w:val="20"/>
        </w:rPr>
        <w:sectPr>
          <w:pgSz w:w="12240" w:h="15840"/>
          <w:pgMar w:header="0" w:footer="1031" w:top="1360" w:bottom="1220" w:left="1580" w:right="1580"/>
        </w:sectPr>
      </w:pPr>
    </w:p>
    <w:p>
      <w:pPr>
        <w:pStyle w:val="Heading2"/>
        <w:spacing w:before="42"/>
        <w:ind w:left="1651" w:right="70"/>
        <w:jc w:val="left"/>
      </w:pPr>
      <w:bookmarkStart w:name="_TOC_250045" w:id="9"/>
      <w:bookmarkEnd w:id="9"/>
      <w:r>
        <w:rPr/>
        <w:t>CAPÍTULO 2. MARCO TEÓRICO- METODOLÓGICO</w:t>
      </w:r>
    </w:p>
    <w:p>
      <w:pPr>
        <w:pStyle w:val="BodyText"/>
        <w:rPr>
          <w:b/>
          <w:sz w:val="29"/>
        </w:rPr>
      </w:pPr>
    </w:p>
    <w:p>
      <w:pPr>
        <w:pStyle w:val="BodyText"/>
        <w:spacing w:line="360" w:lineRule="auto"/>
        <w:ind w:left="119" w:right="114"/>
        <w:jc w:val="both"/>
      </w:pPr>
      <w:r>
        <w:rPr/>
        <w:t>El objetivo de este capítulo es fundamentar los aspectos teóricos y desarrollos empíricos de los riesgos por inundación en los asentamientos humanos, así como su interconexión con el campo del urbanismo y la metodología que se utilizará a lo largo del desarrollo del trabajo.</w:t>
      </w:r>
    </w:p>
    <w:p>
      <w:pPr>
        <w:pStyle w:val="BodyText"/>
        <w:spacing w:before="7"/>
        <w:rPr>
          <w:sz w:val="23"/>
        </w:rPr>
      </w:pPr>
    </w:p>
    <w:p>
      <w:pPr>
        <w:pStyle w:val="Heading2"/>
        <w:ind w:left="696" w:right="70"/>
        <w:jc w:val="left"/>
      </w:pPr>
      <w:bookmarkStart w:name="_TOC_250044" w:id="10"/>
      <w:bookmarkEnd w:id="10"/>
      <w:r>
        <w:rPr/>
        <w:t>2.1 Antecedentes</w:t>
      </w:r>
    </w:p>
    <w:p>
      <w:pPr>
        <w:pStyle w:val="BodyText"/>
        <w:spacing w:before="9"/>
        <w:rPr>
          <w:b/>
        </w:rPr>
      </w:pPr>
    </w:p>
    <w:p>
      <w:pPr>
        <w:pStyle w:val="Heading2"/>
        <w:numPr>
          <w:ilvl w:val="2"/>
          <w:numId w:val="11"/>
        </w:numPr>
        <w:tabs>
          <w:tab w:pos="725" w:val="left" w:leader="none"/>
        </w:tabs>
        <w:spacing w:line="240" w:lineRule="auto" w:before="0" w:after="0"/>
        <w:ind w:left="725" w:right="0" w:hanging="606"/>
        <w:jc w:val="both"/>
      </w:pPr>
      <w:bookmarkStart w:name="_TOC_250043" w:id="11"/>
      <w:r>
        <w:rPr/>
        <w:t>La ciudad escenario susceptible a los</w:t>
      </w:r>
      <w:r>
        <w:rPr>
          <w:spacing w:val="-25"/>
        </w:rPr>
        <w:t> </w:t>
      </w:r>
      <w:bookmarkEnd w:id="11"/>
      <w:r>
        <w:rPr/>
        <w:t>riesgos.</w:t>
      </w:r>
    </w:p>
    <w:p>
      <w:pPr>
        <w:pStyle w:val="BodyText"/>
        <w:rPr>
          <w:b/>
        </w:rPr>
      </w:pPr>
    </w:p>
    <w:p>
      <w:pPr>
        <w:pStyle w:val="BodyText"/>
        <w:spacing w:line="360" w:lineRule="auto" w:before="149"/>
        <w:ind w:left="119" w:right="128"/>
        <w:jc w:val="both"/>
      </w:pPr>
      <w:r>
        <w:rPr/>
        <w:t>La ocurrencia de desastres naturales en países en vías de desarrollo aumenta significativamente,</w:t>
      </w:r>
      <w:r>
        <w:rPr>
          <w:spacing w:val="-3"/>
        </w:rPr>
        <w:t> </w:t>
      </w:r>
      <w:r>
        <w:rPr/>
        <w:t>la</w:t>
      </w:r>
      <w:r>
        <w:rPr>
          <w:spacing w:val="-8"/>
        </w:rPr>
        <w:t> </w:t>
      </w:r>
      <w:r>
        <w:rPr/>
        <w:t>explicación</w:t>
      </w:r>
      <w:r>
        <w:rPr>
          <w:spacing w:val="-3"/>
        </w:rPr>
        <w:t> </w:t>
      </w:r>
      <w:r>
        <w:rPr/>
        <w:t>se</w:t>
      </w:r>
      <w:r>
        <w:rPr>
          <w:spacing w:val="-8"/>
        </w:rPr>
        <w:t> </w:t>
      </w:r>
      <w:r>
        <w:rPr/>
        <w:t>encuentra</w:t>
      </w:r>
      <w:r>
        <w:rPr>
          <w:spacing w:val="-4"/>
        </w:rPr>
        <w:t> </w:t>
      </w:r>
      <w:r>
        <w:rPr/>
        <w:t>en</w:t>
      </w:r>
      <w:r>
        <w:rPr>
          <w:spacing w:val="-13"/>
        </w:rPr>
        <w:t> </w:t>
      </w:r>
      <w:r>
        <w:rPr/>
        <w:t>las</w:t>
      </w:r>
      <w:r>
        <w:rPr>
          <w:spacing w:val="-4"/>
        </w:rPr>
        <w:t> </w:t>
      </w:r>
      <w:r>
        <w:rPr/>
        <w:t>condiciones</w:t>
      </w:r>
      <w:r>
        <w:rPr>
          <w:spacing w:val="-9"/>
        </w:rPr>
        <w:t> </w:t>
      </w:r>
      <w:r>
        <w:rPr/>
        <w:t>de</w:t>
      </w:r>
      <w:r>
        <w:rPr>
          <w:spacing w:val="-8"/>
        </w:rPr>
        <w:t> </w:t>
      </w:r>
      <w:r>
        <w:rPr/>
        <w:t>vulnerabilidad de la población y los asentamientos humanos (Maskrey A,</w:t>
      </w:r>
      <w:r>
        <w:rPr>
          <w:spacing w:val="-17"/>
        </w:rPr>
        <w:t> </w:t>
      </w:r>
      <w:r>
        <w:rPr/>
        <w:t>1993:13).</w:t>
      </w:r>
    </w:p>
    <w:p>
      <w:pPr>
        <w:pStyle w:val="BodyText"/>
        <w:spacing w:before="10"/>
      </w:pPr>
    </w:p>
    <w:p>
      <w:pPr>
        <w:pStyle w:val="BodyText"/>
        <w:spacing w:line="360" w:lineRule="auto"/>
        <w:ind w:left="119" w:right="116"/>
        <w:jc w:val="both"/>
      </w:pPr>
      <w:r>
        <w:rPr/>
        <w:t>Algunos de los factores que agudizan la exposición al riesgo, es la expansión desordenada</w:t>
      </w:r>
      <w:r>
        <w:rPr>
          <w:spacing w:val="-17"/>
        </w:rPr>
        <w:t> </w:t>
      </w:r>
      <w:r>
        <w:rPr/>
        <w:t>de</w:t>
      </w:r>
      <w:r>
        <w:rPr>
          <w:spacing w:val="-21"/>
        </w:rPr>
        <w:t> </w:t>
      </w:r>
      <w:r>
        <w:rPr/>
        <w:t>las</w:t>
      </w:r>
      <w:r>
        <w:rPr>
          <w:spacing w:val="-17"/>
        </w:rPr>
        <w:t> </w:t>
      </w:r>
      <w:r>
        <w:rPr/>
        <w:t>ciudades</w:t>
      </w:r>
      <w:r>
        <w:rPr>
          <w:spacing w:val="-12"/>
        </w:rPr>
        <w:t> </w:t>
      </w:r>
      <w:r>
        <w:rPr/>
        <w:t>y</w:t>
      </w:r>
      <w:r>
        <w:rPr>
          <w:spacing w:val="-17"/>
        </w:rPr>
        <w:t> </w:t>
      </w:r>
      <w:r>
        <w:rPr/>
        <w:t>el</w:t>
      </w:r>
      <w:r>
        <w:rPr>
          <w:spacing w:val="-13"/>
        </w:rPr>
        <w:t> </w:t>
      </w:r>
      <w:r>
        <w:rPr/>
        <w:t>uso</w:t>
      </w:r>
      <w:r>
        <w:rPr>
          <w:spacing w:val="-17"/>
        </w:rPr>
        <w:t> </w:t>
      </w:r>
      <w:r>
        <w:rPr/>
        <w:t>del</w:t>
      </w:r>
      <w:r>
        <w:rPr>
          <w:spacing w:val="-13"/>
        </w:rPr>
        <w:t> </w:t>
      </w:r>
      <w:r>
        <w:rPr/>
        <w:t>suelo</w:t>
      </w:r>
      <w:r>
        <w:rPr>
          <w:spacing w:val="-17"/>
        </w:rPr>
        <w:t> </w:t>
      </w:r>
      <w:r>
        <w:rPr/>
        <w:t>habitacional</w:t>
      </w:r>
      <w:r>
        <w:rPr>
          <w:spacing w:val="-9"/>
        </w:rPr>
        <w:t> </w:t>
      </w:r>
      <w:r>
        <w:rPr/>
        <w:t>en</w:t>
      </w:r>
      <w:r>
        <w:rPr>
          <w:spacing w:val="-17"/>
        </w:rPr>
        <w:t> </w:t>
      </w:r>
      <w:r>
        <w:rPr/>
        <w:t>áreas</w:t>
      </w:r>
      <w:r>
        <w:rPr>
          <w:spacing w:val="-16"/>
        </w:rPr>
        <w:t> </w:t>
      </w:r>
      <w:r>
        <w:rPr/>
        <w:t>que</w:t>
      </w:r>
      <w:r>
        <w:rPr>
          <w:spacing w:val="-17"/>
        </w:rPr>
        <w:t> </w:t>
      </w:r>
      <w:r>
        <w:rPr/>
        <w:t>presentan limitantes para la urbanización. La población de menos recursos ocupa las peores tierras, zonas de laderas inestables, zonas inundables, tanto en el ámbito urbano como en el</w:t>
      </w:r>
      <w:r>
        <w:rPr>
          <w:spacing w:val="-6"/>
        </w:rPr>
        <w:t> </w:t>
      </w:r>
      <w:r>
        <w:rPr/>
        <w:t>rural.</w:t>
      </w:r>
    </w:p>
    <w:p>
      <w:pPr>
        <w:pStyle w:val="BodyText"/>
        <w:spacing w:before="5"/>
      </w:pPr>
    </w:p>
    <w:p>
      <w:pPr>
        <w:pStyle w:val="BodyText"/>
        <w:spacing w:line="360" w:lineRule="auto"/>
        <w:ind w:left="119" w:right="114"/>
        <w:jc w:val="both"/>
      </w:pPr>
      <w:r>
        <w:rPr/>
        <w:t>En la perspectiva de la escuela de Chicago </w:t>
      </w:r>
      <w:r>
        <w:rPr>
          <w:spacing w:val="-3"/>
        </w:rPr>
        <w:t>se </w:t>
      </w:r>
      <w:r>
        <w:rPr/>
        <w:t>planteó la comprensión </w:t>
      </w:r>
      <w:r>
        <w:rPr>
          <w:spacing w:val="-3"/>
        </w:rPr>
        <w:t>del </w:t>
      </w:r>
      <w:r>
        <w:rPr/>
        <w:t>riesgo urbano, a partir del análisis del proceso de conformación y desarrollo de la reproducción</w:t>
      </w:r>
      <w:r>
        <w:rPr>
          <w:spacing w:val="-17"/>
        </w:rPr>
        <w:t> </w:t>
      </w:r>
      <w:r>
        <w:rPr/>
        <w:t>del</w:t>
      </w:r>
      <w:r>
        <w:rPr>
          <w:spacing w:val="-8"/>
        </w:rPr>
        <w:t> </w:t>
      </w:r>
      <w:r>
        <w:rPr/>
        <w:t>capital</w:t>
      </w:r>
      <w:r>
        <w:rPr>
          <w:spacing w:val="-9"/>
        </w:rPr>
        <w:t> </w:t>
      </w:r>
      <w:r>
        <w:rPr/>
        <w:t>en</w:t>
      </w:r>
      <w:r>
        <w:rPr>
          <w:spacing w:val="-20"/>
        </w:rPr>
        <w:t> </w:t>
      </w:r>
      <w:r>
        <w:rPr/>
        <w:t>la</w:t>
      </w:r>
      <w:r>
        <w:rPr>
          <w:spacing w:val="-12"/>
        </w:rPr>
        <w:t> </w:t>
      </w:r>
      <w:r>
        <w:rPr/>
        <w:t>ciudad,</w:t>
      </w:r>
      <w:r>
        <w:rPr>
          <w:spacing w:val="-12"/>
        </w:rPr>
        <w:t> </w:t>
      </w:r>
      <w:r>
        <w:rPr/>
        <w:t>para</w:t>
      </w:r>
      <w:r>
        <w:rPr>
          <w:spacing w:val="-16"/>
        </w:rPr>
        <w:t> </w:t>
      </w:r>
      <w:r>
        <w:rPr/>
        <w:t>ello</w:t>
      </w:r>
      <w:r>
        <w:rPr>
          <w:spacing w:val="-16"/>
        </w:rPr>
        <w:t> </w:t>
      </w:r>
      <w:r>
        <w:rPr/>
        <w:t>se</w:t>
      </w:r>
      <w:r>
        <w:rPr>
          <w:spacing w:val="-11"/>
        </w:rPr>
        <w:t> </w:t>
      </w:r>
      <w:r>
        <w:rPr/>
        <w:t>sugirió</w:t>
      </w:r>
      <w:r>
        <w:rPr>
          <w:spacing w:val="-12"/>
        </w:rPr>
        <w:t> </w:t>
      </w:r>
      <w:r>
        <w:rPr/>
        <w:t>estudiar</w:t>
      </w:r>
      <w:r>
        <w:rPr>
          <w:spacing w:val="-14"/>
        </w:rPr>
        <w:t> </w:t>
      </w:r>
      <w:r>
        <w:rPr/>
        <w:t>los</w:t>
      </w:r>
      <w:r>
        <w:rPr>
          <w:spacing w:val="-12"/>
        </w:rPr>
        <w:t> </w:t>
      </w:r>
      <w:r>
        <w:rPr/>
        <w:t>elementos</w:t>
      </w:r>
      <w:r>
        <w:rPr>
          <w:spacing w:val="-13"/>
        </w:rPr>
        <w:t> </w:t>
      </w:r>
      <w:r>
        <w:rPr/>
        <w:t>que configuran la ciudad (zonas industriales, habitacionales, comerciales, etcétera) y la forma</w:t>
      </w:r>
      <w:r>
        <w:rPr>
          <w:spacing w:val="-1"/>
        </w:rPr>
        <w:t> </w:t>
      </w:r>
      <w:r>
        <w:rPr/>
        <w:t>en</w:t>
      </w:r>
      <w:r>
        <w:rPr>
          <w:spacing w:val="-6"/>
        </w:rPr>
        <w:t> </w:t>
      </w:r>
      <w:r>
        <w:rPr/>
        <w:t>la</w:t>
      </w:r>
      <w:r>
        <w:rPr>
          <w:spacing w:val="-6"/>
        </w:rPr>
        <w:t> </w:t>
      </w:r>
      <w:r>
        <w:rPr/>
        <w:t>que</w:t>
      </w:r>
      <w:r>
        <w:rPr>
          <w:spacing w:val="-6"/>
        </w:rPr>
        <w:t> </w:t>
      </w:r>
      <w:r>
        <w:rPr/>
        <w:t>opera</w:t>
      </w:r>
      <w:r>
        <w:rPr>
          <w:spacing w:val="-3"/>
        </w:rPr>
        <w:t> </w:t>
      </w:r>
      <w:r>
        <w:rPr/>
        <w:t>la</w:t>
      </w:r>
      <w:r>
        <w:rPr>
          <w:spacing w:val="-6"/>
        </w:rPr>
        <w:t> </w:t>
      </w:r>
      <w:r>
        <w:rPr/>
        <w:t>ciudad</w:t>
      </w:r>
      <w:r>
        <w:rPr>
          <w:spacing w:val="-1"/>
        </w:rPr>
        <w:t> </w:t>
      </w:r>
      <w:r>
        <w:rPr/>
        <w:t>como</w:t>
      </w:r>
      <w:r>
        <w:rPr>
          <w:spacing w:val="-2"/>
        </w:rPr>
        <w:t> </w:t>
      </w:r>
      <w:r>
        <w:rPr/>
        <w:t>polo</w:t>
      </w:r>
      <w:r>
        <w:rPr>
          <w:spacing w:val="-6"/>
        </w:rPr>
        <w:t> </w:t>
      </w:r>
      <w:r>
        <w:rPr/>
        <w:t>de</w:t>
      </w:r>
      <w:r>
        <w:rPr>
          <w:spacing w:val="-6"/>
        </w:rPr>
        <w:t> </w:t>
      </w:r>
      <w:r>
        <w:rPr/>
        <w:t>atracción</w:t>
      </w:r>
      <w:r>
        <w:rPr>
          <w:spacing w:val="-6"/>
        </w:rPr>
        <w:t> </w:t>
      </w:r>
      <w:r>
        <w:rPr/>
        <w:t>de</w:t>
      </w:r>
      <w:r>
        <w:rPr>
          <w:spacing w:val="-2"/>
        </w:rPr>
        <w:t> </w:t>
      </w:r>
      <w:r>
        <w:rPr/>
        <w:t>mano</w:t>
      </w:r>
      <w:r>
        <w:rPr>
          <w:spacing w:val="-2"/>
        </w:rPr>
        <w:t> </w:t>
      </w:r>
      <w:r>
        <w:rPr/>
        <w:t>de</w:t>
      </w:r>
      <w:r>
        <w:rPr>
          <w:spacing w:val="-6"/>
        </w:rPr>
        <w:t> </w:t>
      </w:r>
      <w:r>
        <w:rPr/>
        <w:t>obra,</w:t>
      </w:r>
      <w:r>
        <w:rPr>
          <w:spacing w:val="4"/>
        </w:rPr>
        <w:t> </w:t>
      </w:r>
      <w:r>
        <w:rPr/>
        <w:t>mercado y nuevos servicios (Robert Park,</w:t>
      </w:r>
      <w:r>
        <w:rPr>
          <w:spacing w:val="-9"/>
        </w:rPr>
        <w:t> </w:t>
      </w:r>
      <w:r>
        <w:rPr/>
        <w:t>1999).</w:t>
      </w:r>
    </w:p>
    <w:p>
      <w:pPr>
        <w:pStyle w:val="BodyText"/>
        <w:spacing w:before="10"/>
      </w:pPr>
    </w:p>
    <w:p>
      <w:pPr>
        <w:pStyle w:val="BodyText"/>
        <w:spacing w:line="360" w:lineRule="auto"/>
        <w:ind w:left="119" w:right="115"/>
        <w:jc w:val="both"/>
      </w:pPr>
      <w:r>
        <w:rPr/>
        <w:t>Por ejemplo, la urbanización ligada a la primera revolución industrial en Londres Inglaterra</w:t>
      </w:r>
      <w:r>
        <w:rPr>
          <w:spacing w:val="-6"/>
        </w:rPr>
        <w:t> </w:t>
      </w:r>
      <w:r>
        <w:rPr/>
        <w:t>a</w:t>
      </w:r>
      <w:r>
        <w:rPr>
          <w:spacing w:val="-11"/>
        </w:rPr>
        <w:t> </w:t>
      </w:r>
      <w:r>
        <w:rPr/>
        <w:t>finales</w:t>
      </w:r>
      <w:r>
        <w:rPr>
          <w:spacing w:val="-12"/>
        </w:rPr>
        <w:t> </w:t>
      </w:r>
      <w:r>
        <w:rPr/>
        <w:t>del</w:t>
      </w:r>
      <w:r>
        <w:rPr>
          <w:spacing w:val="-3"/>
        </w:rPr>
        <w:t> </w:t>
      </w:r>
      <w:r>
        <w:rPr/>
        <w:t>siglo</w:t>
      </w:r>
      <w:r>
        <w:rPr>
          <w:spacing w:val="-6"/>
        </w:rPr>
        <w:t> </w:t>
      </w:r>
      <w:r>
        <w:rPr/>
        <w:t>XIX,</w:t>
      </w:r>
      <w:r>
        <w:rPr>
          <w:spacing w:val="-6"/>
        </w:rPr>
        <w:t> </w:t>
      </w:r>
      <w:r>
        <w:rPr/>
        <w:t>fue</w:t>
      </w:r>
      <w:r>
        <w:rPr>
          <w:spacing w:val="-11"/>
        </w:rPr>
        <w:t> </w:t>
      </w:r>
      <w:r>
        <w:rPr/>
        <w:t>un</w:t>
      </w:r>
      <w:r>
        <w:rPr>
          <w:spacing w:val="-11"/>
        </w:rPr>
        <w:t> </w:t>
      </w:r>
      <w:r>
        <w:rPr/>
        <w:t>proceso</w:t>
      </w:r>
      <w:r>
        <w:rPr>
          <w:spacing w:val="-6"/>
        </w:rPr>
        <w:t> </w:t>
      </w:r>
      <w:r>
        <w:rPr/>
        <w:t>de</w:t>
      </w:r>
      <w:r>
        <w:rPr>
          <w:spacing w:val="-11"/>
        </w:rPr>
        <w:t> </w:t>
      </w:r>
      <w:r>
        <w:rPr/>
        <w:t>organización</w:t>
      </w:r>
      <w:r>
        <w:rPr>
          <w:spacing w:val="-11"/>
        </w:rPr>
        <w:t> </w:t>
      </w:r>
      <w:r>
        <w:rPr/>
        <w:t>del</w:t>
      </w:r>
      <w:r>
        <w:rPr>
          <w:spacing w:val="-3"/>
        </w:rPr>
        <w:t> </w:t>
      </w:r>
      <w:r>
        <w:rPr/>
        <w:t>espacio,</w:t>
      </w:r>
      <w:r>
        <w:rPr>
          <w:spacing w:val="-11"/>
        </w:rPr>
        <w:t> </w:t>
      </w:r>
      <w:r>
        <w:rPr/>
        <w:t>lo</w:t>
      </w:r>
      <w:r>
        <w:rPr>
          <w:spacing w:val="-11"/>
        </w:rPr>
        <w:t> </w:t>
      </w:r>
      <w:r>
        <w:rPr/>
        <w:t>que significo la concentración de mano de obra, la creación de un mercado y la constitución de un medio industrial (Guglielmo,</w:t>
      </w:r>
      <w:r>
        <w:rPr>
          <w:spacing w:val="-17"/>
        </w:rPr>
        <w:t> </w:t>
      </w:r>
      <w:r>
        <w:rPr/>
        <w:t>1996).</w:t>
      </w:r>
    </w:p>
    <w:p>
      <w:pPr>
        <w:spacing w:after="0" w:line="360" w:lineRule="auto"/>
        <w:jc w:val="both"/>
        <w:sectPr>
          <w:pgSz w:w="12240" w:h="15840"/>
          <w:pgMar w:header="0" w:footer="1031" w:top="1360" w:bottom="1220" w:left="1580" w:right="1580"/>
        </w:sectPr>
      </w:pPr>
    </w:p>
    <w:p>
      <w:pPr>
        <w:pStyle w:val="BodyText"/>
        <w:spacing w:line="360" w:lineRule="auto" w:before="52"/>
        <w:ind w:left="119" w:right="117"/>
        <w:jc w:val="both"/>
      </w:pPr>
      <w:r>
        <w:rPr/>
        <w:t>La</w:t>
      </w:r>
      <w:r>
        <w:rPr>
          <w:spacing w:val="-6"/>
        </w:rPr>
        <w:t> </w:t>
      </w:r>
      <w:r>
        <w:rPr/>
        <w:t>atracción</w:t>
      </w:r>
      <w:r>
        <w:rPr>
          <w:spacing w:val="-6"/>
        </w:rPr>
        <w:t> </w:t>
      </w:r>
      <w:r>
        <w:rPr/>
        <w:t>de</w:t>
      </w:r>
      <w:r>
        <w:rPr>
          <w:spacing w:val="-6"/>
        </w:rPr>
        <w:t> </w:t>
      </w:r>
      <w:r>
        <w:rPr/>
        <w:t>población</w:t>
      </w:r>
      <w:r>
        <w:rPr>
          <w:spacing w:val="-6"/>
        </w:rPr>
        <w:t> </w:t>
      </w:r>
      <w:r>
        <w:rPr/>
        <w:t>genera</w:t>
      </w:r>
      <w:r>
        <w:rPr>
          <w:spacing w:val="-11"/>
        </w:rPr>
        <w:t> </w:t>
      </w:r>
      <w:r>
        <w:rPr/>
        <w:t>nuevas</w:t>
      </w:r>
      <w:r>
        <w:rPr>
          <w:spacing w:val="-7"/>
        </w:rPr>
        <w:t> </w:t>
      </w:r>
      <w:r>
        <w:rPr/>
        <w:t>necesidades,</w:t>
      </w:r>
      <w:r>
        <w:rPr>
          <w:spacing w:val="-6"/>
        </w:rPr>
        <w:t> </w:t>
      </w:r>
      <w:r>
        <w:rPr/>
        <w:t>entre</w:t>
      </w:r>
      <w:r>
        <w:rPr>
          <w:spacing w:val="-6"/>
        </w:rPr>
        <w:t> </w:t>
      </w:r>
      <w:r>
        <w:rPr/>
        <w:t>ellas,</w:t>
      </w:r>
      <w:r>
        <w:rPr>
          <w:spacing w:val="-11"/>
        </w:rPr>
        <w:t> </w:t>
      </w:r>
      <w:r>
        <w:rPr/>
        <w:t>los</w:t>
      </w:r>
      <w:r>
        <w:rPr>
          <w:spacing w:val="-12"/>
        </w:rPr>
        <w:t> </w:t>
      </w:r>
      <w:r>
        <w:rPr/>
        <w:t>lugares</w:t>
      </w:r>
      <w:r>
        <w:rPr>
          <w:spacing w:val="-7"/>
        </w:rPr>
        <w:t> </w:t>
      </w:r>
      <w:r>
        <w:rPr/>
        <w:t>para vivir, está es una característica estructural de </w:t>
      </w:r>
      <w:r>
        <w:rPr>
          <w:spacing w:val="4"/>
        </w:rPr>
        <w:t>las </w:t>
      </w:r>
      <w:r>
        <w:rPr/>
        <w:t>ciudades, que gracias a su dinamismo</w:t>
      </w:r>
      <w:r>
        <w:rPr>
          <w:spacing w:val="-8"/>
        </w:rPr>
        <w:t> </w:t>
      </w:r>
      <w:r>
        <w:rPr/>
        <w:t>económico</w:t>
      </w:r>
      <w:r>
        <w:rPr>
          <w:spacing w:val="-8"/>
        </w:rPr>
        <w:t> </w:t>
      </w:r>
      <w:r>
        <w:rPr/>
        <w:t>y</w:t>
      </w:r>
      <w:r>
        <w:rPr>
          <w:spacing w:val="-9"/>
        </w:rPr>
        <w:t> </w:t>
      </w:r>
      <w:r>
        <w:rPr/>
        <w:t>urbano</w:t>
      </w:r>
      <w:r>
        <w:rPr>
          <w:spacing w:val="-7"/>
        </w:rPr>
        <w:t> </w:t>
      </w:r>
      <w:r>
        <w:rPr/>
        <w:t>atraen</w:t>
      </w:r>
      <w:r>
        <w:rPr>
          <w:spacing w:val="-13"/>
        </w:rPr>
        <w:t> </w:t>
      </w:r>
      <w:r>
        <w:rPr/>
        <w:t>población,</w:t>
      </w:r>
      <w:r>
        <w:rPr>
          <w:spacing w:val="-10"/>
        </w:rPr>
        <w:t> </w:t>
      </w:r>
      <w:r>
        <w:rPr/>
        <w:t>en</w:t>
      </w:r>
      <w:r>
        <w:rPr>
          <w:spacing w:val="-13"/>
        </w:rPr>
        <w:t> </w:t>
      </w:r>
      <w:r>
        <w:rPr/>
        <w:t>consecuencia</w:t>
      </w:r>
      <w:r>
        <w:rPr>
          <w:spacing w:val="-13"/>
        </w:rPr>
        <w:t> </w:t>
      </w:r>
      <w:r>
        <w:rPr/>
        <w:t>produce</w:t>
      </w:r>
      <w:r>
        <w:rPr>
          <w:spacing w:val="-9"/>
        </w:rPr>
        <w:t> </w:t>
      </w:r>
      <w:r>
        <w:rPr/>
        <w:t>formas planificadas</w:t>
      </w:r>
      <w:r>
        <w:rPr>
          <w:spacing w:val="-13"/>
        </w:rPr>
        <w:t> </w:t>
      </w:r>
      <w:r>
        <w:rPr/>
        <w:t>para</w:t>
      </w:r>
      <w:r>
        <w:rPr>
          <w:spacing w:val="-8"/>
        </w:rPr>
        <w:t> </w:t>
      </w:r>
      <w:r>
        <w:rPr/>
        <w:t>habitar</w:t>
      </w:r>
      <w:r>
        <w:rPr>
          <w:spacing w:val="-15"/>
        </w:rPr>
        <w:t> </w:t>
      </w:r>
      <w:r>
        <w:rPr/>
        <w:t>la</w:t>
      </w:r>
      <w:r>
        <w:rPr>
          <w:spacing w:val="-12"/>
        </w:rPr>
        <w:t> </w:t>
      </w:r>
      <w:r>
        <w:rPr/>
        <w:t>ciudad</w:t>
      </w:r>
      <w:r>
        <w:rPr>
          <w:spacing w:val="-15"/>
        </w:rPr>
        <w:t> </w:t>
      </w:r>
      <w:r>
        <w:rPr/>
        <w:t>o</w:t>
      </w:r>
      <w:r>
        <w:rPr>
          <w:spacing w:val="-12"/>
        </w:rPr>
        <w:t> </w:t>
      </w:r>
      <w:r>
        <w:rPr/>
        <w:t>bien</w:t>
      </w:r>
      <w:r>
        <w:rPr>
          <w:spacing w:val="-15"/>
        </w:rPr>
        <w:t> </w:t>
      </w:r>
      <w:r>
        <w:rPr/>
        <w:t>espacios</w:t>
      </w:r>
      <w:r>
        <w:rPr>
          <w:spacing w:val="-13"/>
        </w:rPr>
        <w:t> </w:t>
      </w:r>
      <w:r>
        <w:rPr/>
        <w:t>suburbanos</w:t>
      </w:r>
      <w:r>
        <w:rPr>
          <w:spacing w:val="-13"/>
        </w:rPr>
        <w:t> </w:t>
      </w:r>
      <w:r>
        <w:rPr/>
        <w:t>y</w:t>
      </w:r>
      <w:r>
        <w:rPr>
          <w:spacing w:val="-13"/>
        </w:rPr>
        <w:t> </w:t>
      </w:r>
      <w:r>
        <w:rPr/>
        <w:t>semi</w:t>
      </w:r>
      <w:r>
        <w:rPr>
          <w:spacing w:val="-8"/>
        </w:rPr>
        <w:t> </w:t>
      </w:r>
      <w:r>
        <w:rPr/>
        <w:t>rurales</w:t>
      </w:r>
      <w:r>
        <w:rPr>
          <w:spacing w:val="-13"/>
        </w:rPr>
        <w:t> </w:t>
      </w:r>
      <w:r>
        <w:rPr/>
        <w:t>en</w:t>
      </w:r>
      <w:r>
        <w:rPr>
          <w:spacing w:val="-16"/>
        </w:rPr>
        <w:t> </w:t>
      </w:r>
      <w:r>
        <w:rPr/>
        <w:t>las periferias y con frecuencia en espacios no aptos para el desarrollo</w:t>
      </w:r>
      <w:r>
        <w:rPr>
          <w:spacing w:val="-26"/>
        </w:rPr>
        <w:t> </w:t>
      </w:r>
      <w:r>
        <w:rPr/>
        <w:t>urbano.</w:t>
      </w:r>
    </w:p>
    <w:p>
      <w:pPr>
        <w:pStyle w:val="BodyText"/>
        <w:spacing w:before="10"/>
      </w:pPr>
    </w:p>
    <w:p>
      <w:pPr>
        <w:pStyle w:val="BodyText"/>
        <w:spacing w:line="360" w:lineRule="auto"/>
        <w:ind w:left="119" w:right="114"/>
        <w:jc w:val="both"/>
      </w:pPr>
      <w:r>
        <w:rPr/>
        <w:t>El</w:t>
      </w:r>
      <w:r>
        <w:rPr>
          <w:spacing w:val="-9"/>
        </w:rPr>
        <w:t> </w:t>
      </w:r>
      <w:r>
        <w:rPr/>
        <w:t>crecimiento</w:t>
      </w:r>
      <w:r>
        <w:rPr>
          <w:spacing w:val="-11"/>
        </w:rPr>
        <w:t> </w:t>
      </w:r>
      <w:r>
        <w:rPr/>
        <w:t>poblacional</w:t>
      </w:r>
      <w:r>
        <w:rPr>
          <w:spacing w:val="-9"/>
        </w:rPr>
        <w:t> </w:t>
      </w:r>
      <w:r>
        <w:rPr/>
        <w:t>y</w:t>
      </w:r>
      <w:r>
        <w:rPr>
          <w:spacing w:val="-17"/>
        </w:rPr>
        <w:t> </w:t>
      </w:r>
      <w:r>
        <w:rPr/>
        <w:t>la</w:t>
      </w:r>
      <w:r>
        <w:rPr>
          <w:spacing w:val="-12"/>
        </w:rPr>
        <w:t> </w:t>
      </w:r>
      <w:r>
        <w:rPr/>
        <w:t>urbanización</w:t>
      </w:r>
      <w:r>
        <w:rPr>
          <w:spacing w:val="-12"/>
        </w:rPr>
        <w:t> </w:t>
      </w:r>
      <w:r>
        <w:rPr/>
        <w:t>acelerada</w:t>
      </w:r>
      <w:r>
        <w:rPr>
          <w:spacing w:val="-12"/>
        </w:rPr>
        <w:t> </w:t>
      </w:r>
      <w:r>
        <w:rPr/>
        <w:t>de</w:t>
      </w:r>
      <w:r>
        <w:rPr>
          <w:spacing w:val="-12"/>
        </w:rPr>
        <w:t> </w:t>
      </w:r>
      <w:r>
        <w:rPr/>
        <w:t>las</w:t>
      </w:r>
      <w:r>
        <w:rPr>
          <w:spacing w:val="-12"/>
        </w:rPr>
        <w:t> </w:t>
      </w:r>
      <w:r>
        <w:rPr/>
        <w:t>ciudades,</w:t>
      </w:r>
      <w:r>
        <w:rPr>
          <w:spacing w:val="-2"/>
        </w:rPr>
        <w:t> </w:t>
      </w:r>
      <w:r>
        <w:rPr/>
        <w:t>representan un escenario de riesgo, que plantea retos presentes y futuros para la población y las</w:t>
      </w:r>
      <w:r>
        <w:rPr>
          <w:spacing w:val="-2"/>
        </w:rPr>
        <w:t> </w:t>
      </w:r>
      <w:r>
        <w:rPr/>
        <w:t>autoridades.</w:t>
      </w:r>
    </w:p>
    <w:p>
      <w:pPr>
        <w:pStyle w:val="BodyText"/>
        <w:spacing w:before="10"/>
      </w:pPr>
    </w:p>
    <w:p>
      <w:pPr>
        <w:pStyle w:val="BodyText"/>
        <w:spacing w:line="360" w:lineRule="auto"/>
        <w:ind w:left="119" w:right="115"/>
        <w:jc w:val="both"/>
      </w:pPr>
      <w:r>
        <w:rPr/>
        <w:t>Aunque la investigación en este campo es escasa y los factores de riesgo en el ámbito urbano son múltiples y dependen del contexto en el que tienen lugar.</w:t>
      </w:r>
      <w:r>
        <w:rPr>
          <w:spacing w:val="-29"/>
        </w:rPr>
        <w:t> </w:t>
      </w:r>
      <w:r>
        <w:rPr/>
        <w:t>Existe una relación intrínseca entre el fenómeno urbano y los riesgos a los que se enfrentan</w:t>
      </w:r>
      <w:r>
        <w:rPr>
          <w:spacing w:val="-10"/>
        </w:rPr>
        <w:t> </w:t>
      </w:r>
      <w:r>
        <w:rPr/>
        <w:t>las</w:t>
      </w:r>
      <w:r>
        <w:rPr>
          <w:spacing w:val="-10"/>
        </w:rPr>
        <w:t> </w:t>
      </w:r>
      <w:r>
        <w:rPr/>
        <w:t>áreas</w:t>
      </w:r>
      <w:r>
        <w:rPr>
          <w:spacing w:val="-7"/>
        </w:rPr>
        <w:t> </w:t>
      </w:r>
      <w:r>
        <w:rPr/>
        <w:t>habitadas</w:t>
      </w:r>
      <w:r>
        <w:rPr>
          <w:spacing w:val="-11"/>
        </w:rPr>
        <w:t> </w:t>
      </w:r>
      <w:r>
        <w:rPr/>
        <w:t>en</w:t>
      </w:r>
      <w:r>
        <w:rPr>
          <w:spacing w:val="-10"/>
        </w:rPr>
        <w:t> </w:t>
      </w:r>
      <w:r>
        <w:rPr/>
        <w:t>zonas</w:t>
      </w:r>
      <w:r>
        <w:rPr>
          <w:spacing w:val="-11"/>
        </w:rPr>
        <w:t> </w:t>
      </w:r>
      <w:r>
        <w:rPr/>
        <w:t>susceptibles</w:t>
      </w:r>
      <w:r>
        <w:rPr>
          <w:spacing w:val="-11"/>
        </w:rPr>
        <w:t> </w:t>
      </w:r>
      <w:r>
        <w:rPr/>
        <w:t>a</w:t>
      </w:r>
      <w:r>
        <w:rPr>
          <w:spacing w:val="-15"/>
        </w:rPr>
        <w:t> </w:t>
      </w:r>
      <w:r>
        <w:rPr/>
        <w:t>los</w:t>
      </w:r>
      <w:r>
        <w:rPr>
          <w:spacing w:val="-11"/>
        </w:rPr>
        <w:t> </w:t>
      </w:r>
      <w:r>
        <w:rPr/>
        <w:t>deslaves</w:t>
      </w:r>
      <w:r>
        <w:rPr>
          <w:spacing w:val="-11"/>
        </w:rPr>
        <w:t> </w:t>
      </w:r>
      <w:r>
        <w:rPr/>
        <w:t>e</w:t>
      </w:r>
      <w:r>
        <w:rPr>
          <w:spacing w:val="-10"/>
        </w:rPr>
        <w:t> </w:t>
      </w:r>
      <w:r>
        <w:rPr/>
        <w:t>inundaciones, por</w:t>
      </w:r>
      <w:r>
        <w:rPr>
          <w:spacing w:val="-4"/>
        </w:rPr>
        <w:t> </w:t>
      </w:r>
      <w:r>
        <w:rPr/>
        <w:t>ejemplo.</w:t>
      </w:r>
    </w:p>
    <w:p>
      <w:pPr>
        <w:pStyle w:val="BodyText"/>
        <w:spacing w:before="10"/>
      </w:pPr>
    </w:p>
    <w:p>
      <w:pPr>
        <w:pStyle w:val="BodyText"/>
        <w:spacing w:line="360" w:lineRule="auto"/>
        <w:ind w:left="119" w:right="114"/>
        <w:jc w:val="both"/>
      </w:pPr>
      <w:r>
        <w:rPr/>
        <w:t>Robert Park (1999) señala como rasgos característicos del riesgo urbano, los siguientes: a) La velocidad del cambio, b) la degradación ambiental urbana, c) La vulnerabilidad del ámbito urbano y c) aparición de nuevos riesgos. En estas dimensiones, los componentes del riesgo (amenaza y vulnerabilidad) tienen alto índice de participación humana y a diferencia de los contextos rurales, donde los factores de riesgo cambian a velocidades lentas, en las ciudades estos factores se exacerban de manera tal que muchas veces es imposible seguir su evolución. La escala temporal con la que cambian estos factores es reducida y su periodo de conformación es acumulativo, los cambios no sólo son más violentos, sino que tienden a complejizarse.</w:t>
      </w:r>
    </w:p>
    <w:p>
      <w:pPr>
        <w:pStyle w:val="BodyText"/>
        <w:spacing w:before="5"/>
      </w:pPr>
    </w:p>
    <w:p>
      <w:pPr>
        <w:pStyle w:val="BodyText"/>
        <w:spacing w:line="362" w:lineRule="auto"/>
        <w:ind w:left="119" w:right="116"/>
        <w:jc w:val="both"/>
      </w:pPr>
      <w:r>
        <w:rPr/>
        <w:t>Un factor que ha contribuido en la agudización de amenazas existentes y la conformación</w:t>
      </w:r>
      <w:r>
        <w:rPr>
          <w:spacing w:val="-18"/>
        </w:rPr>
        <w:t> </w:t>
      </w:r>
      <w:r>
        <w:rPr/>
        <w:t>de</w:t>
      </w:r>
      <w:r>
        <w:rPr>
          <w:spacing w:val="-22"/>
        </w:rPr>
        <w:t> </w:t>
      </w:r>
      <w:r>
        <w:rPr/>
        <w:t>nuevas</w:t>
      </w:r>
      <w:r>
        <w:rPr>
          <w:spacing w:val="-18"/>
        </w:rPr>
        <w:t> </w:t>
      </w:r>
      <w:r>
        <w:rPr/>
        <w:t>amenazas,</w:t>
      </w:r>
      <w:r>
        <w:rPr>
          <w:spacing w:val="-18"/>
        </w:rPr>
        <w:t> </w:t>
      </w:r>
      <w:r>
        <w:rPr/>
        <w:t>es</w:t>
      </w:r>
      <w:r>
        <w:rPr>
          <w:spacing w:val="-23"/>
        </w:rPr>
        <w:t> </w:t>
      </w:r>
      <w:r>
        <w:rPr/>
        <w:t>la</w:t>
      </w:r>
      <w:r>
        <w:rPr>
          <w:spacing w:val="-18"/>
        </w:rPr>
        <w:t> </w:t>
      </w:r>
      <w:r>
        <w:rPr/>
        <w:t>degradación</w:t>
      </w:r>
      <w:r>
        <w:rPr>
          <w:spacing w:val="-17"/>
        </w:rPr>
        <w:t> </w:t>
      </w:r>
      <w:r>
        <w:rPr/>
        <w:t>ambiental</w:t>
      </w:r>
      <w:r>
        <w:rPr>
          <w:spacing w:val="-4"/>
        </w:rPr>
        <w:t> </w:t>
      </w:r>
      <w:r>
        <w:rPr/>
        <w:t>del</w:t>
      </w:r>
      <w:r>
        <w:rPr>
          <w:spacing w:val="-19"/>
        </w:rPr>
        <w:t> </w:t>
      </w:r>
      <w:r>
        <w:rPr/>
        <w:t>ámbito</w:t>
      </w:r>
      <w:r>
        <w:rPr>
          <w:spacing w:val="-17"/>
        </w:rPr>
        <w:t> </w:t>
      </w:r>
      <w:r>
        <w:rPr/>
        <w:t>urbano.</w:t>
      </w:r>
    </w:p>
    <w:p>
      <w:pPr>
        <w:pStyle w:val="BodyText"/>
        <w:spacing w:before="3"/>
      </w:pPr>
    </w:p>
    <w:p>
      <w:pPr>
        <w:pStyle w:val="BodyText"/>
        <w:spacing w:line="360" w:lineRule="auto"/>
        <w:ind w:left="119" w:right="128"/>
        <w:jc w:val="both"/>
      </w:pPr>
      <w:r>
        <w:rPr/>
        <w:t>La relación entre el desarrollo urbano y el incremento del riesgo al deterioro ambiental, está presente, a tal grado de convertirse en objeto de algunas investigaciones. La situación del riesgo local es grave, ya que a la vulnerabilidad</w:t>
      </w:r>
    </w:p>
    <w:p>
      <w:pPr>
        <w:spacing w:after="0" w:line="360" w:lineRule="auto"/>
        <w:jc w:val="both"/>
        <w:sectPr>
          <w:pgSz w:w="12240" w:h="15840"/>
          <w:pgMar w:header="0" w:footer="1031" w:top="1360" w:bottom="1220" w:left="1580" w:right="1580"/>
        </w:sectPr>
      </w:pPr>
    </w:p>
    <w:p>
      <w:pPr>
        <w:pStyle w:val="BodyText"/>
        <w:spacing w:line="362" w:lineRule="auto" w:before="52"/>
        <w:ind w:left="119" w:right="118"/>
        <w:jc w:val="both"/>
      </w:pPr>
      <w:r>
        <w:rPr/>
        <w:t>física,</w:t>
      </w:r>
      <w:r>
        <w:rPr>
          <w:spacing w:val="-6"/>
        </w:rPr>
        <w:t> </w:t>
      </w:r>
      <w:r>
        <w:rPr/>
        <w:t>social,</w:t>
      </w:r>
      <w:r>
        <w:rPr>
          <w:spacing w:val="-6"/>
        </w:rPr>
        <w:t> </w:t>
      </w:r>
      <w:r>
        <w:rPr/>
        <w:t>ambiental</w:t>
      </w:r>
      <w:r>
        <w:rPr>
          <w:spacing w:val="-3"/>
        </w:rPr>
        <w:t> </w:t>
      </w:r>
      <w:r>
        <w:rPr/>
        <w:t>y</w:t>
      </w:r>
      <w:r>
        <w:rPr>
          <w:spacing w:val="-7"/>
        </w:rPr>
        <w:t> </w:t>
      </w:r>
      <w:r>
        <w:rPr/>
        <w:t>económica,</w:t>
      </w:r>
      <w:r>
        <w:rPr>
          <w:spacing w:val="-6"/>
        </w:rPr>
        <w:t> </w:t>
      </w:r>
      <w:r>
        <w:rPr/>
        <w:t>se</w:t>
      </w:r>
      <w:r>
        <w:rPr>
          <w:spacing w:val="-6"/>
        </w:rPr>
        <w:t> </w:t>
      </w:r>
      <w:r>
        <w:rPr/>
        <w:t>agrega</w:t>
      </w:r>
      <w:r>
        <w:rPr>
          <w:spacing w:val="-6"/>
        </w:rPr>
        <w:t> </w:t>
      </w:r>
      <w:r>
        <w:rPr/>
        <w:t>la</w:t>
      </w:r>
      <w:r>
        <w:rPr>
          <w:spacing w:val="-6"/>
        </w:rPr>
        <w:t> </w:t>
      </w:r>
      <w:r>
        <w:rPr/>
        <w:t>falta</w:t>
      </w:r>
      <w:r>
        <w:rPr>
          <w:spacing w:val="-6"/>
        </w:rPr>
        <w:t> </w:t>
      </w:r>
      <w:r>
        <w:rPr/>
        <w:t>de</w:t>
      </w:r>
      <w:r>
        <w:rPr>
          <w:spacing w:val="-6"/>
        </w:rPr>
        <w:t> </w:t>
      </w:r>
      <w:r>
        <w:rPr/>
        <w:t>recursos</w:t>
      </w:r>
      <w:r>
        <w:rPr>
          <w:spacing w:val="-7"/>
        </w:rPr>
        <w:t> </w:t>
      </w:r>
      <w:r>
        <w:rPr/>
        <w:t>económicos</w:t>
      </w:r>
      <w:r>
        <w:rPr>
          <w:spacing w:val="-7"/>
        </w:rPr>
        <w:t> </w:t>
      </w:r>
      <w:r>
        <w:rPr/>
        <w:t>de parte de las autoridades del gobierno central y de los gobiernos locales (Martínez, 2007:1).</w:t>
      </w:r>
    </w:p>
    <w:p>
      <w:pPr>
        <w:pStyle w:val="BodyText"/>
        <w:spacing w:before="2"/>
      </w:pPr>
    </w:p>
    <w:p>
      <w:pPr>
        <w:pStyle w:val="BodyText"/>
        <w:spacing w:line="360" w:lineRule="auto"/>
        <w:ind w:left="119" w:right="116"/>
        <w:jc w:val="both"/>
      </w:pPr>
      <w:r>
        <w:rPr/>
        <w:t>La degradación del medio ambiente urbano expresa los efectos de los usos y abusos de la ciudad y su entorno, de modo que se observan problemas de contaminación atmosférica agudizada por el incesante aumento del parque vehicular, despilfarro y contaminación del agua servida, acumulación de los desechos sólidos ocasionada por la deficiencia de los sistemas sanitarios (drenaje y</w:t>
      </w:r>
      <w:r>
        <w:rPr>
          <w:spacing w:val="-7"/>
        </w:rPr>
        <w:t> </w:t>
      </w:r>
      <w:r>
        <w:rPr/>
        <w:t>recolección</w:t>
      </w:r>
      <w:r>
        <w:rPr>
          <w:spacing w:val="-6"/>
        </w:rPr>
        <w:t> </w:t>
      </w:r>
      <w:r>
        <w:rPr/>
        <w:t>de</w:t>
      </w:r>
      <w:r>
        <w:rPr>
          <w:spacing w:val="-11"/>
        </w:rPr>
        <w:t> </w:t>
      </w:r>
      <w:r>
        <w:rPr/>
        <w:t>basura)</w:t>
      </w:r>
      <w:r>
        <w:rPr>
          <w:spacing w:val="-6"/>
        </w:rPr>
        <w:t> </w:t>
      </w:r>
      <w:r>
        <w:rPr/>
        <w:t>y</w:t>
      </w:r>
      <w:r>
        <w:rPr>
          <w:spacing w:val="-7"/>
        </w:rPr>
        <w:t> </w:t>
      </w:r>
      <w:r>
        <w:rPr/>
        <w:t>en</w:t>
      </w:r>
      <w:r>
        <w:rPr>
          <w:spacing w:val="-6"/>
        </w:rPr>
        <w:t> </w:t>
      </w:r>
      <w:r>
        <w:rPr/>
        <w:t>síntesis</w:t>
      </w:r>
      <w:r>
        <w:rPr>
          <w:spacing w:val="-12"/>
        </w:rPr>
        <w:t> </w:t>
      </w:r>
      <w:r>
        <w:rPr/>
        <w:t>el</w:t>
      </w:r>
      <w:r>
        <w:rPr>
          <w:spacing w:val="-7"/>
        </w:rPr>
        <w:t> </w:t>
      </w:r>
      <w:r>
        <w:rPr/>
        <w:t>deterioro</w:t>
      </w:r>
      <w:r>
        <w:rPr>
          <w:spacing w:val="-6"/>
        </w:rPr>
        <w:t> </w:t>
      </w:r>
      <w:r>
        <w:rPr/>
        <w:t>de</w:t>
      </w:r>
      <w:r>
        <w:rPr>
          <w:spacing w:val="-6"/>
        </w:rPr>
        <w:t> </w:t>
      </w:r>
      <w:r>
        <w:rPr/>
        <w:t>entorno</w:t>
      </w:r>
      <w:r>
        <w:rPr>
          <w:spacing w:val="-11"/>
        </w:rPr>
        <w:t> </w:t>
      </w:r>
      <w:r>
        <w:rPr/>
        <w:t>y</w:t>
      </w:r>
      <w:r>
        <w:rPr>
          <w:spacing w:val="-12"/>
        </w:rPr>
        <w:t> </w:t>
      </w:r>
      <w:r>
        <w:rPr/>
        <w:t>la</w:t>
      </w:r>
      <w:r>
        <w:rPr>
          <w:spacing w:val="-11"/>
        </w:rPr>
        <w:t> </w:t>
      </w:r>
      <w:r>
        <w:rPr/>
        <w:t>calidad</w:t>
      </w:r>
      <w:r>
        <w:rPr>
          <w:spacing w:val="-11"/>
        </w:rPr>
        <w:t> </w:t>
      </w:r>
      <w:r>
        <w:rPr/>
        <w:t>de</w:t>
      </w:r>
      <w:r>
        <w:rPr>
          <w:spacing w:val="-11"/>
        </w:rPr>
        <w:t> </w:t>
      </w:r>
      <w:r>
        <w:rPr/>
        <w:t>vida</w:t>
      </w:r>
      <w:r>
        <w:rPr>
          <w:spacing w:val="-6"/>
        </w:rPr>
        <w:t> </w:t>
      </w:r>
      <w:r>
        <w:rPr/>
        <w:t>de los habitantes de la ciudad, en este sentido la evaluación de los factores de riesgo adquiere importancia en el presente y futuro de las</w:t>
      </w:r>
      <w:r>
        <w:rPr>
          <w:spacing w:val="-19"/>
        </w:rPr>
        <w:t> </w:t>
      </w:r>
      <w:r>
        <w:rPr/>
        <w:t>ciudades.</w:t>
      </w:r>
    </w:p>
    <w:p>
      <w:pPr>
        <w:pStyle w:val="BodyText"/>
        <w:spacing w:before="5"/>
      </w:pPr>
    </w:p>
    <w:p>
      <w:pPr>
        <w:pStyle w:val="Heading2"/>
      </w:pPr>
      <w:r>
        <w:rPr/>
        <w:t>La vulnerabilidad del ámbito urbano</w:t>
      </w:r>
    </w:p>
    <w:p>
      <w:pPr>
        <w:pStyle w:val="BodyText"/>
        <w:rPr>
          <w:b/>
        </w:rPr>
      </w:pPr>
    </w:p>
    <w:p>
      <w:pPr>
        <w:pStyle w:val="BodyText"/>
        <w:spacing w:line="362" w:lineRule="auto" w:before="144"/>
        <w:ind w:left="119" w:right="117"/>
        <w:jc w:val="both"/>
      </w:pPr>
      <w:r>
        <w:rPr/>
        <w:t>La vulnerabilidad se </w:t>
      </w:r>
      <w:r>
        <w:rPr>
          <w:spacing w:val="-3"/>
        </w:rPr>
        <w:t>ve </w:t>
      </w:r>
      <w:r>
        <w:rPr/>
        <w:t>incrementada por el proceso de urbanización, el cual presenta</w:t>
      </w:r>
      <w:r>
        <w:rPr>
          <w:spacing w:val="-11"/>
        </w:rPr>
        <w:t> </w:t>
      </w:r>
      <w:r>
        <w:rPr/>
        <w:t>sus</w:t>
      </w:r>
      <w:r>
        <w:rPr>
          <w:spacing w:val="-8"/>
        </w:rPr>
        <w:t> </w:t>
      </w:r>
      <w:r>
        <w:rPr/>
        <w:t>matices,</w:t>
      </w:r>
      <w:r>
        <w:rPr>
          <w:spacing w:val="-7"/>
        </w:rPr>
        <w:t> </w:t>
      </w:r>
      <w:r>
        <w:rPr/>
        <w:t>según</w:t>
      </w:r>
      <w:r>
        <w:rPr>
          <w:spacing w:val="-7"/>
        </w:rPr>
        <w:t> </w:t>
      </w:r>
      <w:r>
        <w:rPr/>
        <w:t>el</w:t>
      </w:r>
      <w:r>
        <w:rPr>
          <w:spacing w:val="-4"/>
        </w:rPr>
        <w:t> </w:t>
      </w:r>
      <w:r>
        <w:rPr/>
        <w:t>área</w:t>
      </w:r>
      <w:r>
        <w:rPr>
          <w:spacing w:val="-7"/>
        </w:rPr>
        <w:t> </w:t>
      </w:r>
      <w:r>
        <w:rPr/>
        <w:t>geográfica</w:t>
      </w:r>
      <w:r>
        <w:rPr>
          <w:spacing w:val="-7"/>
        </w:rPr>
        <w:t> </w:t>
      </w:r>
      <w:r>
        <w:rPr/>
        <w:t>y</w:t>
      </w:r>
      <w:r>
        <w:rPr>
          <w:spacing w:val="-8"/>
        </w:rPr>
        <w:t> </w:t>
      </w:r>
      <w:r>
        <w:rPr/>
        <w:t>el</w:t>
      </w:r>
      <w:r>
        <w:rPr>
          <w:spacing w:val="-8"/>
        </w:rPr>
        <w:t> </w:t>
      </w:r>
      <w:r>
        <w:rPr/>
        <w:t>contexto</w:t>
      </w:r>
      <w:r>
        <w:rPr>
          <w:spacing w:val="-7"/>
        </w:rPr>
        <w:t> </w:t>
      </w:r>
      <w:r>
        <w:rPr/>
        <w:t>sociopolítico</w:t>
      </w:r>
      <w:r>
        <w:rPr>
          <w:spacing w:val="-7"/>
        </w:rPr>
        <w:t> </w:t>
      </w:r>
      <w:r>
        <w:rPr/>
        <w:t>en</w:t>
      </w:r>
      <w:r>
        <w:rPr>
          <w:spacing w:val="-7"/>
        </w:rPr>
        <w:t> </w:t>
      </w:r>
      <w:r>
        <w:rPr/>
        <w:t>el</w:t>
      </w:r>
      <w:r>
        <w:rPr>
          <w:spacing w:val="-4"/>
        </w:rPr>
        <w:t> </w:t>
      </w:r>
      <w:r>
        <w:rPr/>
        <w:t>que se ubique.</w:t>
      </w:r>
    </w:p>
    <w:p>
      <w:pPr>
        <w:pStyle w:val="BodyText"/>
        <w:spacing w:before="2"/>
      </w:pPr>
    </w:p>
    <w:p>
      <w:pPr>
        <w:pStyle w:val="BodyText"/>
        <w:spacing w:line="360" w:lineRule="auto"/>
        <w:ind w:left="119" w:right="119"/>
        <w:jc w:val="both"/>
      </w:pPr>
      <w:r>
        <w:rPr/>
        <w:t>En este contexto la vulnerabilidad se manifiesta en dos sentidos: En el ámbito regional de la ciudad se expresa, en la suma de vulnerabilidades de diversos tipos, a partir de las condiciones de crecimiento de la ciudad principal y su región. En un segundo nivel escalar están los lugares o sitios, susceptibles a sufrir daños, causados por amenazas de distinta magnitud, y por estructuras expuestas a los daños: Zonas industriales, infraestructura, asentamientos humanos, entre otros.</w:t>
      </w:r>
    </w:p>
    <w:p>
      <w:pPr>
        <w:pStyle w:val="BodyText"/>
        <w:spacing w:before="5"/>
      </w:pPr>
    </w:p>
    <w:p>
      <w:pPr>
        <w:pStyle w:val="BodyText"/>
        <w:spacing w:line="360" w:lineRule="auto"/>
        <w:ind w:left="119" w:right="116"/>
        <w:jc w:val="both"/>
      </w:pPr>
      <w:r>
        <w:rPr/>
        <w:t>La complejidad de la ciudad y su región, implica con mayor énfasis la incidencia de los riesgos provocados por la intervención </w:t>
      </w:r>
      <w:r>
        <w:rPr>
          <w:spacing w:val="-2"/>
        </w:rPr>
        <w:t>humana </w:t>
      </w:r>
      <w:r>
        <w:rPr/>
        <w:t>(Socio-naturales, Antrópicas y tecnológicas). Sin embargo cualquiera que sea el origen de la amenaza, natural o humana,</w:t>
      </w:r>
      <w:r>
        <w:rPr>
          <w:spacing w:val="-4"/>
        </w:rPr>
        <w:t> </w:t>
      </w:r>
      <w:r>
        <w:rPr/>
        <w:t>las</w:t>
      </w:r>
      <w:r>
        <w:rPr>
          <w:spacing w:val="-5"/>
        </w:rPr>
        <w:t> </w:t>
      </w:r>
      <w:r>
        <w:rPr/>
        <w:t>afectaciones</w:t>
      </w:r>
      <w:r>
        <w:rPr>
          <w:spacing w:val="-5"/>
        </w:rPr>
        <w:t> </w:t>
      </w:r>
      <w:r>
        <w:rPr/>
        <w:t>en</w:t>
      </w:r>
      <w:r>
        <w:rPr>
          <w:spacing w:val="-9"/>
        </w:rPr>
        <w:t> </w:t>
      </w:r>
      <w:r>
        <w:rPr/>
        <w:t>las</w:t>
      </w:r>
      <w:r>
        <w:rPr>
          <w:spacing w:val="-5"/>
        </w:rPr>
        <w:t> </w:t>
      </w:r>
      <w:r>
        <w:rPr/>
        <w:t>ciudades,</w:t>
      </w:r>
      <w:r>
        <w:rPr>
          <w:spacing w:val="-4"/>
        </w:rPr>
        <w:t> </w:t>
      </w:r>
      <w:r>
        <w:rPr/>
        <w:t>van </w:t>
      </w:r>
      <w:r>
        <w:rPr>
          <w:spacing w:val="-3"/>
        </w:rPr>
        <w:t>más</w:t>
      </w:r>
      <w:r>
        <w:rPr>
          <w:spacing w:val="-5"/>
        </w:rPr>
        <w:t> </w:t>
      </w:r>
      <w:r>
        <w:rPr/>
        <w:t>allá</w:t>
      </w:r>
      <w:r>
        <w:rPr>
          <w:spacing w:val="-4"/>
        </w:rPr>
        <w:t> </w:t>
      </w:r>
      <w:r>
        <w:rPr/>
        <w:t>de</w:t>
      </w:r>
      <w:r>
        <w:rPr>
          <w:spacing w:val="-9"/>
        </w:rPr>
        <w:t> </w:t>
      </w:r>
      <w:r>
        <w:rPr/>
        <w:t>las</w:t>
      </w:r>
      <w:r>
        <w:rPr>
          <w:spacing w:val="-5"/>
        </w:rPr>
        <w:t> </w:t>
      </w:r>
      <w:r>
        <w:rPr/>
        <w:t>pérdidas</w:t>
      </w:r>
      <w:r>
        <w:rPr>
          <w:spacing w:val="-5"/>
        </w:rPr>
        <w:t> </w:t>
      </w:r>
      <w:r>
        <w:rPr/>
        <w:t>humanas</w:t>
      </w:r>
      <w:r>
        <w:rPr>
          <w:spacing w:val="-5"/>
        </w:rPr>
        <w:t> </w:t>
      </w:r>
      <w:r>
        <w:rPr/>
        <w:t>y económicas, es decir se interrumpe la función local, regional y global de las ciudades, esto último trastoca la economía mundial, por ejemplo las afectaciones acaecidas</w:t>
      </w:r>
      <w:r>
        <w:rPr>
          <w:spacing w:val="25"/>
        </w:rPr>
        <w:t> </w:t>
      </w:r>
      <w:r>
        <w:rPr/>
        <w:t>en</w:t>
      </w:r>
      <w:r>
        <w:rPr>
          <w:spacing w:val="25"/>
        </w:rPr>
        <w:t> </w:t>
      </w:r>
      <w:r>
        <w:rPr/>
        <w:t>Japón</w:t>
      </w:r>
      <w:r>
        <w:rPr>
          <w:spacing w:val="25"/>
        </w:rPr>
        <w:t> </w:t>
      </w:r>
      <w:r>
        <w:rPr/>
        <w:t>por</w:t>
      </w:r>
      <w:r>
        <w:rPr>
          <w:spacing w:val="26"/>
        </w:rPr>
        <w:t> </w:t>
      </w:r>
      <w:r>
        <w:rPr/>
        <w:t>el</w:t>
      </w:r>
      <w:r>
        <w:rPr>
          <w:spacing w:val="29"/>
        </w:rPr>
        <w:t> </w:t>
      </w:r>
      <w:r>
        <w:rPr/>
        <w:t>tsunami</w:t>
      </w:r>
      <w:r>
        <w:rPr>
          <w:spacing w:val="29"/>
        </w:rPr>
        <w:t> </w:t>
      </w:r>
      <w:r>
        <w:rPr/>
        <w:t>que</w:t>
      </w:r>
      <w:r>
        <w:rPr>
          <w:spacing w:val="25"/>
        </w:rPr>
        <w:t> </w:t>
      </w:r>
      <w:r>
        <w:rPr/>
        <w:t>se</w:t>
      </w:r>
      <w:r>
        <w:rPr>
          <w:spacing w:val="30"/>
        </w:rPr>
        <w:t> </w:t>
      </w:r>
      <w:r>
        <w:rPr/>
        <w:t>presentó</w:t>
      </w:r>
      <w:r>
        <w:rPr>
          <w:spacing w:val="23"/>
        </w:rPr>
        <w:t> </w:t>
      </w:r>
      <w:r>
        <w:rPr/>
        <w:t>en</w:t>
      </w:r>
      <w:r>
        <w:rPr>
          <w:spacing w:val="25"/>
        </w:rPr>
        <w:t> </w:t>
      </w:r>
      <w:r>
        <w:rPr/>
        <w:t>el</w:t>
      </w:r>
      <w:r>
        <w:rPr>
          <w:spacing w:val="29"/>
        </w:rPr>
        <w:t> </w:t>
      </w:r>
      <w:r>
        <w:rPr/>
        <w:t>año</w:t>
      </w:r>
      <w:r>
        <w:rPr>
          <w:spacing w:val="25"/>
        </w:rPr>
        <w:t> </w:t>
      </w:r>
      <w:r>
        <w:rPr/>
        <w:t>2011,</w:t>
      </w:r>
      <w:r>
        <w:rPr>
          <w:spacing w:val="25"/>
        </w:rPr>
        <w:t> </w:t>
      </w:r>
      <w:r>
        <w:rPr/>
        <w:t>entre</w:t>
      </w:r>
      <w:r>
        <w:rPr>
          <w:spacing w:val="25"/>
        </w:rPr>
        <w:t> </w:t>
      </w:r>
      <w:r>
        <w:rPr/>
        <w:t>otros</w:t>
      </w:r>
    </w:p>
    <w:p>
      <w:pPr>
        <w:spacing w:after="0" w:line="360" w:lineRule="auto"/>
        <w:jc w:val="both"/>
        <w:sectPr>
          <w:footerReference w:type="default" r:id="rId28"/>
          <w:pgSz w:w="12240" w:h="15840"/>
          <w:pgMar w:footer="1031" w:header="0" w:top="1360" w:bottom="1220" w:left="1580" w:right="1580"/>
          <w:pgNumType w:start="22"/>
        </w:sectPr>
      </w:pPr>
    </w:p>
    <w:p>
      <w:pPr>
        <w:pStyle w:val="BodyText"/>
        <w:spacing w:line="362" w:lineRule="auto" w:before="52"/>
        <w:ind w:left="119" w:right="130"/>
        <w:jc w:val="both"/>
      </w:pPr>
      <w:r>
        <w:rPr/>
        <w:t>casos que han puesto en crisis la base productiva de un país y han afectado la economía mundial.</w:t>
      </w:r>
    </w:p>
    <w:p>
      <w:pPr>
        <w:pStyle w:val="BodyText"/>
        <w:spacing w:before="3"/>
      </w:pPr>
    </w:p>
    <w:p>
      <w:pPr>
        <w:pStyle w:val="BodyText"/>
        <w:spacing w:line="360" w:lineRule="auto"/>
        <w:ind w:left="119" w:right="128"/>
        <w:jc w:val="both"/>
      </w:pPr>
      <w:r>
        <w:rPr/>
        <w:t>El reto de las administraciones de las ciudades actuales será la reducción de los índices de vulnerabilidad a los riesgos, que cada día se incrementan por la urbanización desordenada que caracteriza a las ciudades de los países en desarrollo, particularmente las ciudades de América Latina y el Caribe.</w:t>
      </w:r>
    </w:p>
    <w:p>
      <w:pPr>
        <w:pStyle w:val="BodyText"/>
        <w:spacing w:before="10"/>
      </w:pPr>
    </w:p>
    <w:p>
      <w:pPr>
        <w:pStyle w:val="BodyText"/>
        <w:spacing w:line="360" w:lineRule="auto"/>
        <w:ind w:left="119" w:right="121"/>
        <w:jc w:val="both"/>
      </w:pPr>
      <w:r>
        <w:rPr/>
        <w:t>Los</w:t>
      </w:r>
      <w:r>
        <w:rPr>
          <w:spacing w:val="-13"/>
        </w:rPr>
        <w:t> </w:t>
      </w:r>
      <w:r>
        <w:rPr/>
        <w:t>analistas</w:t>
      </w:r>
      <w:r>
        <w:rPr>
          <w:spacing w:val="-17"/>
        </w:rPr>
        <w:t> </w:t>
      </w:r>
      <w:r>
        <w:rPr/>
        <w:t>urbanos</w:t>
      </w:r>
      <w:r>
        <w:rPr>
          <w:spacing w:val="-13"/>
        </w:rPr>
        <w:t> </w:t>
      </w:r>
      <w:r>
        <w:rPr/>
        <w:t>reconocen</w:t>
      </w:r>
      <w:r>
        <w:rPr>
          <w:spacing w:val="-17"/>
        </w:rPr>
        <w:t> </w:t>
      </w:r>
      <w:r>
        <w:rPr/>
        <w:t>numerosas</w:t>
      </w:r>
      <w:r>
        <w:rPr>
          <w:spacing w:val="-13"/>
        </w:rPr>
        <w:t> </w:t>
      </w:r>
      <w:r>
        <w:rPr/>
        <w:t>variantes</w:t>
      </w:r>
      <w:r>
        <w:rPr>
          <w:spacing w:val="-13"/>
        </w:rPr>
        <w:t> </w:t>
      </w:r>
      <w:r>
        <w:rPr/>
        <w:t>culturales</w:t>
      </w:r>
      <w:r>
        <w:rPr>
          <w:spacing w:val="-17"/>
        </w:rPr>
        <w:t> </w:t>
      </w:r>
      <w:r>
        <w:rPr/>
        <w:t>de</w:t>
      </w:r>
      <w:r>
        <w:rPr>
          <w:spacing w:val="-12"/>
        </w:rPr>
        <w:t> </w:t>
      </w:r>
      <w:r>
        <w:rPr/>
        <w:t>ciudades,</w:t>
      </w:r>
      <w:r>
        <w:rPr>
          <w:spacing w:val="-12"/>
        </w:rPr>
        <w:t> </w:t>
      </w:r>
      <w:r>
        <w:rPr/>
        <w:t>cada una funcionalmente organizada y con expresiones geográficas distintas, con sus propios</w:t>
      </w:r>
      <w:r>
        <w:rPr>
          <w:spacing w:val="-16"/>
        </w:rPr>
        <w:t> </w:t>
      </w:r>
      <w:r>
        <w:rPr/>
        <w:t>patrones</w:t>
      </w:r>
      <w:r>
        <w:rPr>
          <w:spacing w:val="-16"/>
        </w:rPr>
        <w:t> </w:t>
      </w:r>
      <w:r>
        <w:rPr/>
        <w:t>de</w:t>
      </w:r>
      <w:r>
        <w:rPr>
          <w:spacing w:val="-15"/>
        </w:rPr>
        <w:t> </w:t>
      </w:r>
      <w:r>
        <w:rPr/>
        <w:t>uso</w:t>
      </w:r>
      <w:r>
        <w:rPr>
          <w:spacing w:val="-15"/>
        </w:rPr>
        <w:t> </w:t>
      </w:r>
      <w:r>
        <w:rPr/>
        <w:t>de</w:t>
      </w:r>
      <w:r>
        <w:rPr>
          <w:spacing w:val="-15"/>
        </w:rPr>
        <w:t> </w:t>
      </w:r>
      <w:r>
        <w:rPr/>
        <w:t>suelo</w:t>
      </w:r>
      <w:r>
        <w:rPr>
          <w:spacing w:val="-15"/>
        </w:rPr>
        <w:t> </w:t>
      </w:r>
      <w:r>
        <w:rPr/>
        <w:t>y</w:t>
      </w:r>
      <w:r>
        <w:rPr>
          <w:spacing w:val="-12"/>
        </w:rPr>
        <w:t> </w:t>
      </w:r>
      <w:r>
        <w:rPr/>
        <w:t>distribución</w:t>
      </w:r>
      <w:r>
        <w:rPr>
          <w:spacing w:val="-11"/>
        </w:rPr>
        <w:t> </w:t>
      </w:r>
      <w:r>
        <w:rPr/>
        <w:t>de</w:t>
      </w:r>
      <w:r>
        <w:rPr>
          <w:spacing w:val="-20"/>
        </w:rPr>
        <w:t> </w:t>
      </w:r>
      <w:r>
        <w:rPr/>
        <w:t>la</w:t>
      </w:r>
      <w:r>
        <w:rPr>
          <w:spacing w:val="-16"/>
        </w:rPr>
        <w:t> </w:t>
      </w:r>
      <w:r>
        <w:rPr/>
        <w:t>población.</w:t>
      </w:r>
      <w:r>
        <w:rPr>
          <w:spacing w:val="-11"/>
        </w:rPr>
        <w:t> </w:t>
      </w:r>
      <w:r>
        <w:rPr/>
        <w:t>Cuando</w:t>
      </w:r>
      <w:r>
        <w:rPr>
          <w:spacing w:val="-15"/>
        </w:rPr>
        <w:t> </w:t>
      </w:r>
      <w:r>
        <w:rPr/>
        <w:t>un</w:t>
      </w:r>
      <w:r>
        <w:rPr>
          <w:spacing w:val="-15"/>
        </w:rPr>
        <w:t> </w:t>
      </w:r>
      <w:r>
        <w:rPr/>
        <w:t>desastre golpea una ciudad, destruye no solo las vidas de los ciudadanos y la estructura física, sino también la organización funcional de las metrópolis (Mitchell,</w:t>
      </w:r>
      <w:r>
        <w:rPr>
          <w:spacing w:val="-28"/>
        </w:rPr>
        <w:t> </w:t>
      </w:r>
      <w:r>
        <w:rPr/>
        <w:t>1996).</w:t>
      </w:r>
    </w:p>
    <w:p>
      <w:pPr>
        <w:pStyle w:val="BodyText"/>
        <w:spacing w:before="5"/>
      </w:pPr>
    </w:p>
    <w:p>
      <w:pPr>
        <w:pStyle w:val="BodyText"/>
        <w:spacing w:line="362" w:lineRule="auto"/>
        <w:ind w:left="119" w:right="128"/>
        <w:jc w:val="both"/>
      </w:pPr>
      <w:r>
        <w:rPr/>
        <w:t>Los desastres en las grandes ciudades presentan características diferentes a los ocurridos en comunidades más pequeñas, generando problemas distintos como son:</w:t>
      </w:r>
    </w:p>
    <w:p>
      <w:pPr>
        <w:pStyle w:val="BodyText"/>
        <w:spacing w:before="2"/>
      </w:pPr>
    </w:p>
    <w:p>
      <w:pPr>
        <w:pStyle w:val="BodyText"/>
        <w:spacing w:line="360" w:lineRule="auto" w:before="1"/>
        <w:ind w:left="119" w:right="115" w:firstLine="710"/>
        <w:jc w:val="both"/>
      </w:pPr>
      <w:r>
        <w:rPr/>
        <w:t>Los desastres que impactan en zonas metropolitanas que controlan el mercado de los medios masivos de comunicación son difundidos extensa,</w:t>
      </w:r>
      <w:r>
        <w:rPr>
          <w:spacing w:val="-37"/>
        </w:rPr>
        <w:t> </w:t>
      </w:r>
      <w:r>
        <w:rPr/>
        <w:t>continua y obsesivamente, mientras que el impacto sobre otras comunidades con menos acceso a esos canales son desdeñados, afectando la ayuda</w:t>
      </w:r>
      <w:r>
        <w:rPr>
          <w:spacing w:val="-20"/>
        </w:rPr>
        <w:t> </w:t>
      </w:r>
      <w:r>
        <w:rPr/>
        <w:t>post-desastre.</w:t>
      </w:r>
    </w:p>
    <w:p>
      <w:pPr>
        <w:pStyle w:val="BodyText"/>
      </w:pPr>
    </w:p>
    <w:p>
      <w:pPr>
        <w:pStyle w:val="BodyText"/>
        <w:spacing w:line="362" w:lineRule="auto" w:before="139"/>
        <w:ind w:left="119" w:right="123" w:firstLine="710"/>
        <w:jc w:val="both"/>
      </w:pPr>
      <w:r>
        <w:rPr/>
        <w:t>Las complejas mezclas sociales de las grandes ciudades imponen nuevos problemas</w:t>
      </w:r>
      <w:r>
        <w:rPr>
          <w:spacing w:val="-17"/>
        </w:rPr>
        <w:t> </w:t>
      </w:r>
      <w:r>
        <w:rPr/>
        <w:t>para</w:t>
      </w:r>
      <w:r>
        <w:rPr>
          <w:spacing w:val="-17"/>
        </w:rPr>
        <w:t> </w:t>
      </w:r>
      <w:r>
        <w:rPr/>
        <w:t>el</w:t>
      </w:r>
      <w:r>
        <w:rPr>
          <w:spacing w:val="-13"/>
        </w:rPr>
        <w:t> </w:t>
      </w:r>
      <w:r>
        <w:rPr/>
        <w:t>funcionamiento</w:t>
      </w:r>
      <w:r>
        <w:rPr>
          <w:spacing w:val="-16"/>
        </w:rPr>
        <w:t> </w:t>
      </w:r>
      <w:r>
        <w:rPr/>
        <w:t>de</w:t>
      </w:r>
      <w:r>
        <w:rPr>
          <w:spacing w:val="-17"/>
        </w:rPr>
        <w:t> </w:t>
      </w:r>
      <w:r>
        <w:rPr/>
        <w:t>servicios</w:t>
      </w:r>
      <w:r>
        <w:rPr>
          <w:spacing w:val="-22"/>
        </w:rPr>
        <w:t> </w:t>
      </w:r>
      <w:r>
        <w:rPr/>
        <w:t>de</w:t>
      </w:r>
      <w:r>
        <w:rPr>
          <w:spacing w:val="-17"/>
        </w:rPr>
        <w:t> </w:t>
      </w:r>
      <w:r>
        <w:rPr/>
        <w:t>rescate,</w:t>
      </w:r>
      <w:r>
        <w:rPr>
          <w:spacing w:val="-17"/>
        </w:rPr>
        <w:t> </w:t>
      </w:r>
      <w:r>
        <w:rPr/>
        <w:t>respuesta</w:t>
      </w:r>
      <w:r>
        <w:rPr>
          <w:spacing w:val="-16"/>
        </w:rPr>
        <w:t> </w:t>
      </w:r>
      <w:r>
        <w:rPr/>
        <w:t>a</w:t>
      </w:r>
      <w:r>
        <w:rPr>
          <w:spacing w:val="-17"/>
        </w:rPr>
        <w:t> </w:t>
      </w:r>
      <w:r>
        <w:rPr/>
        <w:t>emergencias y distribución de ayuda, diferencias étnicas y lingüísticas</w:t>
      </w:r>
      <w:r>
        <w:rPr>
          <w:spacing w:val="-30"/>
        </w:rPr>
        <w:t> </w:t>
      </w:r>
      <w:r>
        <w:rPr/>
        <w:t>marcadas.</w:t>
      </w:r>
    </w:p>
    <w:p>
      <w:pPr>
        <w:pStyle w:val="BodyText"/>
        <w:spacing w:before="10"/>
        <w:rPr>
          <w:sz w:val="35"/>
        </w:rPr>
      </w:pPr>
    </w:p>
    <w:p>
      <w:pPr>
        <w:pStyle w:val="BodyText"/>
        <w:spacing w:line="362" w:lineRule="auto"/>
        <w:ind w:left="119" w:right="118" w:firstLine="710"/>
        <w:jc w:val="both"/>
      </w:pPr>
      <w:r>
        <w:rPr/>
        <w:t>El tamaño y complejidad de las redes de infraestructura de las grandes ciudades las hacen parcialmente propensas a la disyunción.</w:t>
      </w:r>
    </w:p>
    <w:p>
      <w:pPr>
        <w:pStyle w:val="BodyText"/>
        <w:spacing w:line="360" w:lineRule="auto"/>
        <w:ind w:left="119" w:right="128" w:firstLine="710"/>
        <w:jc w:val="both"/>
      </w:pPr>
      <w:r>
        <w:rPr/>
        <w:t>La</w:t>
      </w:r>
      <w:r>
        <w:rPr>
          <w:spacing w:val="-11"/>
        </w:rPr>
        <w:t> </w:t>
      </w:r>
      <w:r>
        <w:rPr/>
        <w:t>recuperación</w:t>
      </w:r>
      <w:r>
        <w:rPr>
          <w:spacing w:val="-15"/>
        </w:rPr>
        <w:t> </w:t>
      </w:r>
      <w:r>
        <w:rPr/>
        <w:t>está</w:t>
      </w:r>
      <w:r>
        <w:rPr>
          <w:spacing w:val="-15"/>
        </w:rPr>
        <w:t> </w:t>
      </w:r>
      <w:r>
        <w:rPr/>
        <w:t>expuesta</w:t>
      </w:r>
      <w:r>
        <w:rPr>
          <w:spacing w:val="-15"/>
        </w:rPr>
        <w:t> </w:t>
      </w:r>
      <w:r>
        <w:rPr/>
        <w:t>a</w:t>
      </w:r>
      <w:r>
        <w:rPr>
          <w:spacing w:val="-11"/>
        </w:rPr>
        <w:t> </w:t>
      </w:r>
      <w:r>
        <w:rPr/>
        <w:t>ocurrir</w:t>
      </w:r>
      <w:r>
        <w:rPr>
          <w:spacing w:val="-11"/>
        </w:rPr>
        <w:t> </w:t>
      </w:r>
      <w:r>
        <w:rPr/>
        <w:t>en</w:t>
      </w:r>
      <w:r>
        <w:rPr>
          <w:spacing w:val="-11"/>
        </w:rPr>
        <w:t> </w:t>
      </w:r>
      <w:r>
        <w:rPr>
          <w:spacing w:val="-4"/>
        </w:rPr>
        <w:t>forma</w:t>
      </w:r>
      <w:r>
        <w:rPr>
          <w:spacing w:val="-6"/>
        </w:rPr>
        <w:t> </w:t>
      </w:r>
      <w:r>
        <w:rPr>
          <w:spacing w:val="-3"/>
        </w:rPr>
        <w:t>más</w:t>
      </w:r>
      <w:r>
        <w:rPr>
          <w:spacing w:val="-12"/>
        </w:rPr>
        <w:t> </w:t>
      </w:r>
      <w:r>
        <w:rPr/>
        <w:t>lenta</w:t>
      </w:r>
      <w:r>
        <w:rPr>
          <w:spacing w:val="-15"/>
        </w:rPr>
        <w:t> </w:t>
      </w:r>
      <w:r>
        <w:rPr/>
        <w:t>que</w:t>
      </w:r>
      <w:r>
        <w:rPr>
          <w:spacing w:val="-15"/>
        </w:rPr>
        <w:t> </w:t>
      </w:r>
      <w:r>
        <w:rPr/>
        <w:t>en</w:t>
      </w:r>
      <w:r>
        <w:rPr>
          <w:spacing w:val="-15"/>
        </w:rPr>
        <w:t> </w:t>
      </w:r>
      <w:r>
        <w:rPr/>
        <w:t>sitios</w:t>
      </w:r>
      <w:r>
        <w:rPr>
          <w:spacing w:val="-12"/>
        </w:rPr>
        <w:t> </w:t>
      </w:r>
      <w:r>
        <w:rPr>
          <w:spacing w:val="-3"/>
        </w:rPr>
        <w:t>más </w:t>
      </w:r>
      <w:r>
        <w:rPr/>
        <w:t>pequeños.</w:t>
      </w:r>
    </w:p>
    <w:p>
      <w:pPr>
        <w:spacing w:after="0" w:line="360" w:lineRule="auto"/>
        <w:jc w:val="both"/>
        <w:sectPr>
          <w:pgSz w:w="12240" w:h="15840"/>
          <w:pgMar w:header="0" w:footer="1031" w:top="1360" w:bottom="1220" w:left="1580" w:right="1580"/>
        </w:sectPr>
      </w:pPr>
    </w:p>
    <w:p>
      <w:pPr>
        <w:pStyle w:val="BodyText"/>
        <w:spacing w:line="360" w:lineRule="auto" w:before="52"/>
        <w:ind w:left="119" w:right="113"/>
        <w:jc w:val="both"/>
      </w:pPr>
      <w:r>
        <w:rPr/>
        <w:t>Las</w:t>
      </w:r>
      <w:r>
        <w:rPr>
          <w:spacing w:val="-6"/>
        </w:rPr>
        <w:t> </w:t>
      </w:r>
      <w:r>
        <w:rPr/>
        <w:t>áreas</w:t>
      </w:r>
      <w:r>
        <w:rPr>
          <w:spacing w:val="-6"/>
        </w:rPr>
        <w:t> </w:t>
      </w:r>
      <w:r>
        <w:rPr/>
        <w:t>metropolitanas</w:t>
      </w:r>
      <w:r>
        <w:rPr>
          <w:spacing w:val="-11"/>
        </w:rPr>
        <w:t> </w:t>
      </w:r>
      <w:r>
        <w:rPr/>
        <w:t>se</w:t>
      </w:r>
      <w:r>
        <w:rPr>
          <w:spacing w:val="-5"/>
        </w:rPr>
        <w:t> </w:t>
      </w:r>
      <w:r>
        <w:rPr/>
        <w:t>han</w:t>
      </w:r>
      <w:r>
        <w:rPr>
          <w:spacing w:val="-5"/>
        </w:rPr>
        <w:t> </w:t>
      </w:r>
      <w:r>
        <w:rPr/>
        <w:t>convertido</w:t>
      </w:r>
      <w:r>
        <w:rPr>
          <w:spacing w:val="-5"/>
        </w:rPr>
        <w:t> </w:t>
      </w:r>
      <w:r>
        <w:rPr/>
        <w:t>cada</w:t>
      </w:r>
      <w:r>
        <w:rPr>
          <w:spacing w:val="-5"/>
        </w:rPr>
        <w:t> </w:t>
      </w:r>
      <w:r>
        <w:rPr/>
        <w:t>vez</w:t>
      </w:r>
      <w:r>
        <w:rPr>
          <w:spacing w:val="-11"/>
        </w:rPr>
        <w:t> </w:t>
      </w:r>
      <w:r>
        <w:rPr>
          <w:spacing w:val="-3"/>
        </w:rPr>
        <w:t>más</w:t>
      </w:r>
      <w:r>
        <w:rPr>
          <w:spacing w:val="-6"/>
        </w:rPr>
        <w:t> </w:t>
      </w:r>
      <w:r>
        <w:rPr/>
        <w:t>vulnerables</w:t>
      </w:r>
      <w:r>
        <w:rPr>
          <w:spacing w:val="-6"/>
        </w:rPr>
        <w:t> </w:t>
      </w:r>
      <w:r>
        <w:rPr/>
        <w:t>a</w:t>
      </w:r>
      <w:r>
        <w:rPr>
          <w:spacing w:val="-14"/>
        </w:rPr>
        <w:t> </w:t>
      </w:r>
      <w:r>
        <w:rPr/>
        <w:t>los</w:t>
      </w:r>
      <w:r>
        <w:rPr>
          <w:spacing w:val="-11"/>
        </w:rPr>
        <w:t> </w:t>
      </w:r>
      <w:r>
        <w:rPr/>
        <w:t>riesgos y los desastres, </w:t>
      </w:r>
      <w:r>
        <w:rPr>
          <w:spacing w:val="-4"/>
        </w:rPr>
        <w:t>como</w:t>
      </w:r>
      <w:r>
        <w:rPr>
          <w:spacing w:val="58"/>
        </w:rPr>
        <w:t> </w:t>
      </w:r>
      <w:r>
        <w:rPr/>
        <w:t>consecuencia de la concentración de población e infraestructura</w:t>
      </w:r>
      <w:r>
        <w:rPr>
          <w:spacing w:val="-6"/>
        </w:rPr>
        <w:t> </w:t>
      </w:r>
      <w:r>
        <w:rPr/>
        <w:t>urbana.</w:t>
      </w:r>
      <w:r>
        <w:rPr>
          <w:spacing w:val="-6"/>
        </w:rPr>
        <w:t> </w:t>
      </w:r>
      <w:r>
        <w:rPr/>
        <w:t>Debe</w:t>
      </w:r>
      <w:r>
        <w:rPr>
          <w:spacing w:val="-6"/>
        </w:rPr>
        <w:t> </w:t>
      </w:r>
      <w:r>
        <w:rPr/>
        <w:t>reconocerse</w:t>
      </w:r>
      <w:r>
        <w:rPr>
          <w:spacing w:val="-6"/>
        </w:rPr>
        <w:t> </w:t>
      </w:r>
      <w:r>
        <w:rPr/>
        <w:t>que</w:t>
      </w:r>
      <w:r>
        <w:rPr>
          <w:spacing w:val="-11"/>
        </w:rPr>
        <w:t> </w:t>
      </w:r>
      <w:r>
        <w:rPr/>
        <w:t>la</w:t>
      </w:r>
      <w:r>
        <w:rPr>
          <w:spacing w:val="-6"/>
        </w:rPr>
        <w:t> </w:t>
      </w:r>
      <w:r>
        <w:rPr/>
        <w:t>prevención</w:t>
      </w:r>
      <w:r>
        <w:rPr>
          <w:spacing w:val="-6"/>
        </w:rPr>
        <w:t> </w:t>
      </w:r>
      <w:r>
        <w:rPr/>
        <w:t>de</w:t>
      </w:r>
      <w:r>
        <w:rPr>
          <w:spacing w:val="-11"/>
        </w:rPr>
        <w:t> </w:t>
      </w:r>
      <w:r>
        <w:rPr/>
        <w:t>riesgos</w:t>
      </w:r>
      <w:r>
        <w:rPr>
          <w:spacing w:val="-7"/>
        </w:rPr>
        <w:t> </w:t>
      </w:r>
      <w:r>
        <w:rPr/>
        <w:t>y</w:t>
      </w:r>
      <w:r>
        <w:rPr>
          <w:spacing w:val="-7"/>
        </w:rPr>
        <w:t> </w:t>
      </w:r>
      <w:r>
        <w:rPr/>
        <w:t>desastres en áreas urbanas es uno de los factores </w:t>
      </w:r>
      <w:r>
        <w:rPr>
          <w:spacing w:val="-3"/>
        </w:rPr>
        <w:t>más </w:t>
      </w:r>
      <w:r>
        <w:rPr/>
        <w:t>importantes que contribuyen al desarrollo sustentable en países en desarrollo, donde la urbanización avanza rápidamente (Durand,</w:t>
      </w:r>
      <w:r>
        <w:rPr>
          <w:spacing w:val="-12"/>
        </w:rPr>
        <w:t> </w:t>
      </w:r>
      <w:r>
        <w:rPr/>
        <w:t>1995).</w:t>
      </w:r>
    </w:p>
    <w:p>
      <w:pPr>
        <w:pStyle w:val="BodyText"/>
        <w:spacing w:before="7"/>
        <w:rPr>
          <w:sz w:val="23"/>
        </w:rPr>
      </w:pPr>
    </w:p>
    <w:p>
      <w:pPr>
        <w:pStyle w:val="Heading2"/>
        <w:numPr>
          <w:ilvl w:val="2"/>
          <w:numId w:val="11"/>
        </w:numPr>
        <w:tabs>
          <w:tab w:pos="725" w:val="left" w:leader="none"/>
        </w:tabs>
        <w:spacing w:line="240" w:lineRule="auto" w:before="0" w:after="0"/>
        <w:ind w:left="725" w:right="0" w:hanging="606"/>
        <w:jc w:val="both"/>
      </w:pPr>
      <w:bookmarkStart w:name="_TOC_250042" w:id="12"/>
      <w:r>
        <w:rPr/>
        <w:t>Experiencias</w:t>
      </w:r>
      <w:r>
        <w:rPr>
          <w:spacing w:val="-18"/>
        </w:rPr>
        <w:t> </w:t>
      </w:r>
      <w:bookmarkEnd w:id="12"/>
      <w:r>
        <w:rPr/>
        <w:t>metodológicas</w:t>
      </w:r>
    </w:p>
    <w:p>
      <w:pPr>
        <w:pStyle w:val="BodyText"/>
        <w:spacing w:before="2"/>
        <w:rPr>
          <w:b/>
          <w:sz w:val="25"/>
        </w:rPr>
      </w:pPr>
    </w:p>
    <w:p>
      <w:pPr>
        <w:pStyle w:val="BodyText"/>
        <w:spacing w:line="360" w:lineRule="auto" w:before="1"/>
        <w:ind w:left="119" w:right="114"/>
        <w:jc w:val="both"/>
      </w:pPr>
      <w:r>
        <w:rPr/>
        <w:t>La vulnerabilidad es en parte un producto de ambientes creados por el hombre, aunque varía en diferentes grupos de personas. Los sistemas sociales y económicos asignan los recursos de las sociedades en detrimento de algunos grupos y en beneficio de otros, y esto afecta la capacidad que tiene la población para resistir las amenazas y la expone a riesgos de manera desigual (Blaikie, p. 169-170).</w:t>
      </w:r>
    </w:p>
    <w:p>
      <w:pPr>
        <w:pStyle w:val="BodyText"/>
        <w:spacing w:before="10"/>
      </w:pPr>
    </w:p>
    <w:p>
      <w:pPr>
        <w:pStyle w:val="BodyText"/>
        <w:spacing w:line="360" w:lineRule="auto"/>
        <w:ind w:left="119" w:right="125"/>
        <w:jc w:val="both"/>
      </w:pPr>
      <w:r>
        <w:rPr/>
        <w:t>La</w:t>
      </w:r>
      <w:r>
        <w:rPr>
          <w:spacing w:val="-11"/>
        </w:rPr>
        <w:t> </w:t>
      </w:r>
      <w:r>
        <w:rPr/>
        <w:t>carencia</w:t>
      </w:r>
      <w:r>
        <w:rPr>
          <w:spacing w:val="-11"/>
        </w:rPr>
        <w:t> </w:t>
      </w:r>
      <w:r>
        <w:rPr/>
        <w:t>de</w:t>
      </w:r>
      <w:r>
        <w:rPr>
          <w:spacing w:val="-8"/>
        </w:rPr>
        <w:t> </w:t>
      </w:r>
      <w:r>
        <w:rPr/>
        <w:t>medios</w:t>
      </w:r>
      <w:r>
        <w:rPr>
          <w:spacing w:val="-12"/>
        </w:rPr>
        <w:t> </w:t>
      </w:r>
      <w:r>
        <w:rPr/>
        <w:t>de</w:t>
      </w:r>
      <w:r>
        <w:rPr>
          <w:spacing w:val="-11"/>
        </w:rPr>
        <w:t> </w:t>
      </w:r>
      <w:r>
        <w:rPr/>
        <w:t>subsistencia,</w:t>
      </w:r>
      <w:r>
        <w:rPr>
          <w:spacing w:val="-11"/>
        </w:rPr>
        <w:t> </w:t>
      </w:r>
      <w:r>
        <w:rPr/>
        <w:t>lleva</w:t>
      </w:r>
      <w:r>
        <w:rPr>
          <w:spacing w:val="-11"/>
        </w:rPr>
        <w:t> </w:t>
      </w:r>
      <w:r>
        <w:rPr/>
        <w:t>a</w:t>
      </w:r>
      <w:r>
        <w:rPr>
          <w:spacing w:val="-14"/>
        </w:rPr>
        <w:t> </w:t>
      </w:r>
      <w:r>
        <w:rPr/>
        <w:t>la</w:t>
      </w:r>
      <w:r>
        <w:rPr>
          <w:spacing w:val="-11"/>
        </w:rPr>
        <w:t> </w:t>
      </w:r>
      <w:r>
        <w:rPr/>
        <w:t>población</w:t>
      </w:r>
      <w:r>
        <w:rPr>
          <w:spacing w:val="-11"/>
        </w:rPr>
        <w:t> </w:t>
      </w:r>
      <w:r>
        <w:rPr/>
        <w:t>a</w:t>
      </w:r>
      <w:r>
        <w:rPr>
          <w:spacing w:val="-11"/>
        </w:rPr>
        <w:t> </w:t>
      </w:r>
      <w:r>
        <w:rPr/>
        <w:t>establecerse</w:t>
      </w:r>
      <w:r>
        <w:rPr>
          <w:spacing w:val="-11"/>
        </w:rPr>
        <w:t> </w:t>
      </w:r>
      <w:r>
        <w:rPr/>
        <w:t>en</w:t>
      </w:r>
      <w:r>
        <w:rPr>
          <w:spacing w:val="-11"/>
        </w:rPr>
        <w:t> </w:t>
      </w:r>
      <w:r>
        <w:rPr/>
        <w:t>áreas rurales y urbanas propensas a inundaciones, y el número de personas vulnerables aumenta a medida que la población crece y la falta de lugares alternativos de asentamientos, </w:t>
      </w:r>
      <w:r>
        <w:rPr>
          <w:spacing w:val="-3"/>
        </w:rPr>
        <w:t>empuja </w:t>
      </w:r>
      <w:r>
        <w:rPr/>
        <w:t>a mucha gente a los terrenos</w:t>
      </w:r>
      <w:r>
        <w:rPr>
          <w:spacing w:val="-2"/>
        </w:rPr>
        <w:t> </w:t>
      </w:r>
      <w:r>
        <w:rPr/>
        <w:t>aluviales.</w:t>
      </w:r>
    </w:p>
    <w:p>
      <w:pPr>
        <w:pStyle w:val="BodyText"/>
        <w:spacing w:before="5"/>
      </w:pPr>
    </w:p>
    <w:p>
      <w:pPr>
        <w:pStyle w:val="BodyText"/>
        <w:spacing w:line="362" w:lineRule="auto"/>
        <w:ind w:left="119" w:right="127"/>
        <w:jc w:val="both"/>
      </w:pPr>
      <w:r>
        <w:rPr/>
        <w:t>En las ciudades, la combinación de la presión poblacional, la demanda de tierras y servicios, las condiciones de la infraestructura urbana y la falta de planificación, incrementan el riesgo por inundación.</w:t>
      </w:r>
    </w:p>
    <w:p>
      <w:pPr>
        <w:pStyle w:val="BodyText"/>
        <w:spacing w:before="2"/>
      </w:pPr>
    </w:p>
    <w:p>
      <w:pPr>
        <w:pStyle w:val="BodyText"/>
        <w:spacing w:line="360" w:lineRule="auto"/>
        <w:ind w:left="119" w:right="113"/>
        <w:jc w:val="both"/>
      </w:pPr>
      <w:r>
        <w:rPr/>
        <w:t>Cada año las inundaciones producen daños mayores, esto se debe al deterioro progresivo de las cuencas, los cauces de los ríos y las quebradas, en ellos las personas depositan basura, realizan talas y quemas que aumentan la erosión, y habitan lugares inundables. El agua torrencial que causa las inundaciones cae con intensidad alta y tan rápidamente que el suelo no es capaz de absorberla, en consecuencia los sistemas de drenaje se colapsan por la falta de capacidad para transportarla,  entonces  produce  la  escorrentía  que  erosiona  la  tierra,</w:t>
      </w:r>
      <w:r>
        <w:rPr>
          <w:spacing w:val="57"/>
        </w:rPr>
        <w:t> </w:t>
      </w:r>
      <w:r>
        <w:rPr/>
        <w:t>provoca</w:t>
      </w:r>
    </w:p>
    <w:p>
      <w:pPr>
        <w:spacing w:after="0" w:line="360" w:lineRule="auto"/>
        <w:jc w:val="both"/>
        <w:sectPr>
          <w:pgSz w:w="12240" w:h="15840"/>
          <w:pgMar w:header="0" w:footer="1031" w:top="1360" w:bottom="1220" w:left="1580" w:right="1580"/>
        </w:sectPr>
      </w:pPr>
    </w:p>
    <w:p>
      <w:pPr>
        <w:pStyle w:val="BodyText"/>
        <w:spacing w:line="362" w:lineRule="auto" w:before="52"/>
        <w:ind w:left="119" w:right="114"/>
        <w:jc w:val="both"/>
      </w:pPr>
      <w:r>
        <w:rPr/>
        <w:t>deslizamientos, debilita las cimentaciones, destruye cosechas y en general afecta personas y animales (Martínez, 2007).</w:t>
      </w:r>
    </w:p>
    <w:p>
      <w:pPr>
        <w:pStyle w:val="BodyText"/>
        <w:spacing w:before="3"/>
      </w:pPr>
    </w:p>
    <w:p>
      <w:pPr>
        <w:pStyle w:val="BodyText"/>
        <w:spacing w:line="360" w:lineRule="auto"/>
        <w:ind w:left="119" w:right="126"/>
        <w:jc w:val="both"/>
      </w:pPr>
      <w:r>
        <w:rPr/>
        <w:t>La identificación de las áreas de riesgo en una unidad geográfica determinada, presupone un proceso de jerarquización, de acuerdo a criterios biofísicos y socioeconómicos, a fin de lograr la definición de estas áreas para su respectivo tratamiento.</w:t>
      </w:r>
    </w:p>
    <w:p>
      <w:pPr>
        <w:pStyle w:val="BodyText"/>
        <w:spacing w:before="10"/>
      </w:pPr>
    </w:p>
    <w:p>
      <w:pPr>
        <w:pStyle w:val="BodyText"/>
        <w:spacing w:line="360" w:lineRule="auto"/>
        <w:ind w:left="119" w:right="118"/>
        <w:jc w:val="both"/>
      </w:pPr>
      <w:r>
        <w:rPr/>
        <w:t>Una de las propuestas metodológicas para identificar las áreas vulnerables es la referida al diagnóstico físico conservacionista en cuencas hidrográficas, elaborado por el Centro Interamericano de Desarrollo Integral de Aguas y Tierras (CIDIAT)</w:t>
      </w:r>
      <w:r>
        <w:rPr>
          <w:spacing w:val="-40"/>
        </w:rPr>
        <w:t> </w:t>
      </w:r>
      <w:r>
        <w:rPr/>
        <w:t>de Venezuela. La metodología tiene como objetivo determinar el estado de conservación o deterioro, en que se encuentra una cuenca hidrográfica, considerando las variables que conforman la fórmula que define el proceso de erosión o deterioro del suelo en función del clima, relieve y vegetación (CIDIAT, 1984).</w:t>
      </w:r>
    </w:p>
    <w:p>
      <w:pPr>
        <w:pStyle w:val="BodyText"/>
        <w:spacing w:before="10"/>
      </w:pPr>
    </w:p>
    <w:p>
      <w:pPr>
        <w:pStyle w:val="BodyText"/>
        <w:spacing w:line="360" w:lineRule="auto"/>
        <w:ind w:left="119" w:right="115"/>
        <w:jc w:val="both"/>
      </w:pPr>
      <w:r>
        <w:rPr/>
        <w:t>Adicionalmente</w:t>
      </w:r>
      <w:r>
        <w:rPr>
          <w:spacing w:val="-13"/>
        </w:rPr>
        <w:t> </w:t>
      </w:r>
      <w:r>
        <w:rPr/>
        <w:t>el</w:t>
      </w:r>
      <w:r>
        <w:rPr>
          <w:spacing w:val="-10"/>
        </w:rPr>
        <w:t> </w:t>
      </w:r>
      <w:r>
        <w:rPr/>
        <w:t>CIDIAT</w:t>
      </w:r>
      <w:r>
        <w:rPr>
          <w:spacing w:val="-17"/>
        </w:rPr>
        <w:t> </w:t>
      </w:r>
      <w:r>
        <w:rPr/>
        <w:t>propuso</w:t>
      </w:r>
      <w:r>
        <w:rPr>
          <w:spacing w:val="-18"/>
        </w:rPr>
        <w:t> </w:t>
      </w:r>
      <w:r>
        <w:rPr/>
        <w:t>una</w:t>
      </w:r>
      <w:r>
        <w:rPr>
          <w:spacing w:val="-14"/>
        </w:rPr>
        <w:t> </w:t>
      </w:r>
      <w:r>
        <w:rPr/>
        <w:t>metodología</w:t>
      </w:r>
      <w:r>
        <w:rPr>
          <w:spacing w:val="-13"/>
        </w:rPr>
        <w:t> </w:t>
      </w:r>
      <w:r>
        <w:rPr/>
        <w:t>práctica</w:t>
      </w:r>
      <w:r>
        <w:rPr>
          <w:spacing w:val="-17"/>
        </w:rPr>
        <w:t> </w:t>
      </w:r>
      <w:r>
        <w:rPr/>
        <w:t>que</w:t>
      </w:r>
      <w:r>
        <w:rPr>
          <w:spacing w:val="-17"/>
        </w:rPr>
        <w:t> </w:t>
      </w:r>
      <w:r>
        <w:rPr/>
        <w:t>estima</w:t>
      </w:r>
      <w:r>
        <w:rPr>
          <w:spacing w:val="-14"/>
        </w:rPr>
        <w:t> </w:t>
      </w:r>
      <w:r>
        <w:rPr/>
        <w:t>prioridades a nivel de cuencas y subcuencas, con base en siete parámetros principales que definen los aspectos </w:t>
      </w:r>
      <w:r>
        <w:rPr>
          <w:spacing w:val="-3"/>
        </w:rPr>
        <w:t>más </w:t>
      </w:r>
      <w:r>
        <w:rPr/>
        <w:t>importantes de índole conservacionista, social y económica a través de los cuales puede ser evaluada la importancia que presenta la cuenca para </w:t>
      </w:r>
      <w:r>
        <w:rPr>
          <w:spacing w:val="-3"/>
        </w:rPr>
        <w:t>su </w:t>
      </w:r>
      <w:r>
        <w:rPr/>
        <w:t>manejo. Los parámetros utilizados fueron: La erosión y sedimentación, penetración campesina, importancia de la cuenca como abastecedora</w:t>
      </w:r>
      <w:r>
        <w:rPr>
          <w:spacing w:val="-12"/>
        </w:rPr>
        <w:t> </w:t>
      </w:r>
      <w:r>
        <w:rPr/>
        <w:t>de</w:t>
      </w:r>
      <w:r>
        <w:rPr>
          <w:spacing w:val="-8"/>
        </w:rPr>
        <w:t> </w:t>
      </w:r>
      <w:r>
        <w:rPr/>
        <w:t>agua,</w:t>
      </w:r>
      <w:r>
        <w:rPr>
          <w:spacing w:val="-4"/>
        </w:rPr>
        <w:t> </w:t>
      </w:r>
      <w:r>
        <w:rPr/>
        <w:t>obras</w:t>
      </w:r>
      <w:r>
        <w:rPr>
          <w:spacing w:val="-9"/>
        </w:rPr>
        <w:t> </w:t>
      </w:r>
      <w:r>
        <w:rPr/>
        <w:t>construidas</w:t>
      </w:r>
      <w:r>
        <w:rPr>
          <w:spacing w:val="-9"/>
        </w:rPr>
        <w:t> </w:t>
      </w:r>
      <w:r>
        <w:rPr/>
        <w:t>o</w:t>
      </w:r>
      <w:r>
        <w:rPr>
          <w:spacing w:val="-12"/>
        </w:rPr>
        <w:t> </w:t>
      </w:r>
      <w:r>
        <w:rPr/>
        <w:t>por</w:t>
      </w:r>
      <w:r>
        <w:rPr>
          <w:spacing w:val="-7"/>
        </w:rPr>
        <w:t> </w:t>
      </w:r>
      <w:r>
        <w:rPr/>
        <w:t>construir,</w:t>
      </w:r>
      <w:r>
        <w:rPr>
          <w:spacing w:val="-12"/>
        </w:rPr>
        <w:t> </w:t>
      </w:r>
      <w:r>
        <w:rPr/>
        <w:t>potencial</w:t>
      </w:r>
      <w:r>
        <w:rPr>
          <w:spacing w:val="-9"/>
        </w:rPr>
        <w:t> </w:t>
      </w:r>
      <w:r>
        <w:rPr/>
        <w:t>de</w:t>
      </w:r>
      <w:r>
        <w:rPr>
          <w:spacing w:val="-8"/>
        </w:rPr>
        <w:t> </w:t>
      </w:r>
      <w:r>
        <w:rPr/>
        <w:t>utilización</w:t>
      </w:r>
      <w:r>
        <w:rPr>
          <w:spacing w:val="-8"/>
        </w:rPr>
        <w:t> </w:t>
      </w:r>
      <w:r>
        <w:rPr/>
        <w:t>de los</w:t>
      </w:r>
      <w:r>
        <w:rPr>
          <w:spacing w:val="-13"/>
        </w:rPr>
        <w:t> </w:t>
      </w:r>
      <w:r>
        <w:rPr/>
        <w:t>recursos</w:t>
      </w:r>
      <w:r>
        <w:rPr>
          <w:spacing w:val="-8"/>
        </w:rPr>
        <w:t> </w:t>
      </w:r>
      <w:r>
        <w:rPr/>
        <w:t>de</w:t>
      </w:r>
      <w:r>
        <w:rPr>
          <w:spacing w:val="-7"/>
        </w:rPr>
        <w:t> </w:t>
      </w:r>
      <w:r>
        <w:rPr/>
        <w:t>aguas</w:t>
      </w:r>
      <w:r>
        <w:rPr>
          <w:spacing w:val="-8"/>
        </w:rPr>
        <w:t> </w:t>
      </w:r>
      <w:r>
        <w:rPr/>
        <w:t>arriba,</w:t>
      </w:r>
      <w:r>
        <w:rPr>
          <w:spacing w:val="-7"/>
        </w:rPr>
        <w:t> </w:t>
      </w:r>
      <w:r>
        <w:rPr/>
        <w:t>potencial</w:t>
      </w:r>
      <w:r>
        <w:rPr>
          <w:spacing w:val="-5"/>
        </w:rPr>
        <w:t> </w:t>
      </w:r>
      <w:r>
        <w:rPr/>
        <w:t>de</w:t>
      </w:r>
      <w:r>
        <w:rPr>
          <w:spacing w:val="-12"/>
        </w:rPr>
        <w:t> </w:t>
      </w:r>
      <w:r>
        <w:rPr/>
        <w:t>utilización</w:t>
      </w:r>
      <w:r>
        <w:rPr>
          <w:spacing w:val="-12"/>
        </w:rPr>
        <w:t> </w:t>
      </w:r>
      <w:r>
        <w:rPr/>
        <w:t>de</w:t>
      </w:r>
      <w:r>
        <w:rPr>
          <w:spacing w:val="-7"/>
        </w:rPr>
        <w:t> </w:t>
      </w:r>
      <w:r>
        <w:rPr/>
        <w:t>aguas</w:t>
      </w:r>
      <w:r>
        <w:rPr>
          <w:spacing w:val="-8"/>
        </w:rPr>
        <w:t> </w:t>
      </w:r>
      <w:r>
        <w:rPr/>
        <w:t>abajo,</w:t>
      </w:r>
      <w:r>
        <w:rPr>
          <w:spacing w:val="-7"/>
        </w:rPr>
        <w:t> </w:t>
      </w:r>
      <w:r>
        <w:rPr/>
        <w:t>periodicidad</w:t>
      </w:r>
      <w:r>
        <w:rPr>
          <w:spacing w:val="-7"/>
        </w:rPr>
        <w:t> </w:t>
      </w:r>
      <w:r>
        <w:rPr/>
        <w:t>y amplitud de los incendios de</w:t>
      </w:r>
      <w:r>
        <w:rPr>
          <w:spacing w:val="-17"/>
        </w:rPr>
        <w:t> </w:t>
      </w:r>
      <w:r>
        <w:rPr/>
        <w:t>vegetación.</w:t>
      </w:r>
    </w:p>
    <w:p>
      <w:pPr>
        <w:pStyle w:val="BodyText"/>
        <w:spacing w:before="5"/>
      </w:pPr>
    </w:p>
    <w:p>
      <w:pPr>
        <w:pStyle w:val="BodyText"/>
        <w:spacing w:line="360" w:lineRule="auto"/>
        <w:ind w:left="119" w:right="119"/>
        <w:jc w:val="both"/>
      </w:pPr>
      <w:r>
        <w:rPr/>
        <w:t>En 1987, Cabrera propuso identificar en la cuenca superior del </w:t>
      </w:r>
      <w:r>
        <w:rPr>
          <w:spacing w:val="3"/>
        </w:rPr>
        <w:t>río </w:t>
      </w:r>
      <w:r>
        <w:rPr/>
        <w:t>Chixoy, Guatemala, aquellas áreas consideradas como vulnerables desde el punto de</w:t>
      </w:r>
      <w:r>
        <w:rPr>
          <w:spacing w:val="-39"/>
        </w:rPr>
        <w:t> </w:t>
      </w:r>
      <w:r>
        <w:rPr/>
        <w:t>vista biofísico (causas naturales y antrópicas), cuyo impacto negativo significarían sitios de alto potencial de aporte de sedimentos aguas abajo, mediante reconocimiento de campo, se abordó la determinación de la capacidad de uso de la tierra y la degradación específica (coeficiente de Fournier). Los resultados fueron</w:t>
      </w:r>
      <w:r>
        <w:rPr>
          <w:spacing w:val="-20"/>
        </w:rPr>
        <w:t> </w:t>
      </w:r>
      <w:r>
        <w:rPr/>
        <w:t>adecuados</w:t>
      </w:r>
    </w:p>
    <w:p>
      <w:pPr>
        <w:spacing w:after="0" w:line="360" w:lineRule="auto"/>
        <w:jc w:val="both"/>
        <w:sectPr>
          <w:pgSz w:w="12240" w:h="15840"/>
          <w:pgMar w:header="0" w:footer="1031" w:top="1360" w:bottom="1220" w:left="1580" w:right="1580"/>
        </w:sectPr>
      </w:pPr>
    </w:p>
    <w:p>
      <w:pPr>
        <w:pStyle w:val="BodyText"/>
        <w:spacing w:line="362" w:lineRule="auto" w:before="52"/>
        <w:ind w:left="119" w:right="105"/>
        <w:jc w:val="both"/>
      </w:pPr>
      <w:r>
        <w:rPr/>
        <w:t>para la cuenca, pero la aplicación del coeficiente de Fournier no fue representativa para toda la zona de estudio. En la metodología no se utilizaron variables socioeconómicas.</w:t>
      </w:r>
    </w:p>
    <w:p>
      <w:pPr>
        <w:pStyle w:val="BodyText"/>
        <w:spacing w:before="2"/>
      </w:pPr>
    </w:p>
    <w:p>
      <w:pPr>
        <w:pStyle w:val="BodyText"/>
        <w:spacing w:line="360" w:lineRule="auto"/>
        <w:ind w:left="119" w:right="112"/>
        <w:jc w:val="both"/>
      </w:pPr>
      <w:r>
        <w:rPr/>
        <w:t>En el estudio realizado por Medina (1995), a través de los Sistema de Información Geográfica (SIG) en la cuenca del Río Purires, Costa Rica, identificó áreas vulnerables, realizó la superposición de los mapas de uso actual y capacidad de uso. Después determinó los costos de reforestación de las áreas críticas de la parte alta de esta cuenca.</w:t>
      </w:r>
    </w:p>
    <w:p>
      <w:pPr>
        <w:pStyle w:val="BodyText"/>
        <w:spacing w:before="10"/>
      </w:pPr>
    </w:p>
    <w:p>
      <w:pPr>
        <w:pStyle w:val="BodyText"/>
        <w:spacing w:line="360" w:lineRule="auto"/>
        <w:ind w:left="119" w:right="108"/>
        <w:jc w:val="both"/>
      </w:pPr>
      <w:r>
        <w:rPr/>
        <w:t>Sáenz (2000) propuso una metodología para identificar áreas de riesgo de forma rápida en la cuenca del río Pacuare, Costa Rica, utilizando un Sistema de Información Geográfica. La metodología tiene un carácter cuantitativo, considero criterios de tipo biofísico. Los resultados, permitieron identificar diferentes niveles de riesgo y degradación de las áreas críticas.</w:t>
      </w:r>
    </w:p>
    <w:p>
      <w:pPr>
        <w:pStyle w:val="BodyText"/>
        <w:spacing w:before="10"/>
      </w:pPr>
    </w:p>
    <w:p>
      <w:pPr>
        <w:pStyle w:val="BodyText"/>
        <w:spacing w:line="360" w:lineRule="auto"/>
        <w:ind w:left="119" w:right="109"/>
        <w:jc w:val="both"/>
      </w:pPr>
      <w:r>
        <w:rPr/>
        <w:t>Otro estudio de tipo hidrológico realizado en Colombia, considero el registro de precipitación acumulada en 24 horas, estimó (con un cierto margen de error) la cantidad de la lluvia precipitada en una hora, normalmente tiene una mayor intensidad respecto a la de 24 h, por lo que es esta última la que tiene mayor interés para efectos de una posible inundación. Estas lluvias son las que se llaman umbrales de Lluvia para efectos de medir el peligro por precipitaciones intensas (Domínguez (2004).</w:t>
      </w:r>
    </w:p>
    <w:p>
      <w:pPr>
        <w:pStyle w:val="BodyText"/>
        <w:spacing w:before="10"/>
      </w:pPr>
    </w:p>
    <w:p>
      <w:pPr>
        <w:pStyle w:val="BodyText"/>
        <w:spacing w:line="360" w:lineRule="auto"/>
        <w:ind w:left="119" w:right="113"/>
        <w:jc w:val="both"/>
      </w:pPr>
      <w:r>
        <w:rPr/>
        <w:t>El </w:t>
      </w:r>
      <w:r>
        <w:rPr>
          <w:spacing w:val="3"/>
        </w:rPr>
        <w:t>estudio hidrológico </w:t>
      </w:r>
      <w:r>
        <w:rPr>
          <w:spacing w:val="4"/>
        </w:rPr>
        <w:t>realizado </w:t>
      </w:r>
      <w:r>
        <w:rPr/>
        <w:t>por </w:t>
      </w:r>
      <w:r>
        <w:rPr>
          <w:spacing w:val="3"/>
        </w:rPr>
        <w:t>Garnica </w:t>
      </w:r>
      <w:r>
        <w:rPr/>
        <w:t>y </w:t>
      </w:r>
      <w:r>
        <w:rPr>
          <w:spacing w:val="4"/>
        </w:rPr>
        <w:t>Alcántara (2007) </w:t>
      </w:r>
      <w:r>
        <w:rPr>
          <w:spacing w:val="3"/>
        </w:rPr>
        <w:t>en </w:t>
      </w:r>
      <w:r>
        <w:rPr/>
        <w:t>el </w:t>
      </w:r>
      <w:r>
        <w:rPr>
          <w:spacing w:val="3"/>
        </w:rPr>
        <w:t>curso </w:t>
      </w:r>
      <w:r>
        <w:rPr>
          <w:spacing w:val="2"/>
        </w:rPr>
        <w:t>bajo </w:t>
      </w:r>
      <w:r>
        <w:rPr>
          <w:spacing w:val="3"/>
        </w:rPr>
        <w:t>del </w:t>
      </w:r>
      <w:r>
        <w:rPr/>
        <w:t>río </w:t>
      </w:r>
      <w:r>
        <w:rPr>
          <w:spacing w:val="4"/>
        </w:rPr>
        <w:t>Tecolutla, </w:t>
      </w:r>
      <w:r>
        <w:rPr>
          <w:spacing w:val="3"/>
        </w:rPr>
        <w:t>Veracruz, </w:t>
      </w:r>
      <w:r>
        <w:rPr/>
        <w:t>a </w:t>
      </w:r>
      <w:r>
        <w:rPr>
          <w:spacing w:val="3"/>
        </w:rPr>
        <w:t>través </w:t>
      </w:r>
      <w:r>
        <w:rPr/>
        <w:t>del </w:t>
      </w:r>
      <w:r>
        <w:rPr>
          <w:spacing w:val="3"/>
        </w:rPr>
        <w:t>análisis de vulnerabilidad, determinaron </w:t>
      </w:r>
      <w:r>
        <w:rPr>
          <w:spacing w:val="2"/>
        </w:rPr>
        <w:t>el </w:t>
      </w:r>
      <w:r>
        <w:rPr>
          <w:spacing w:val="4"/>
        </w:rPr>
        <w:t>riesgo </w:t>
      </w:r>
      <w:r>
        <w:rPr/>
        <w:t>de </w:t>
      </w:r>
      <w:r>
        <w:rPr>
          <w:spacing w:val="4"/>
        </w:rPr>
        <w:t>la </w:t>
      </w:r>
      <w:r>
        <w:rPr>
          <w:spacing w:val="3"/>
        </w:rPr>
        <w:t>región </w:t>
      </w:r>
      <w:r>
        <w:rPr/>
        <w:t>y </w:t>
      </w:r>
      <w:r>
        <w:rPr>
          <w:spacing w:val="4"/>
        </w:rPr>
        <w:t>estableciendo </w:t>
      </w:r>
      <w:r>
        <w:rPr/>
        <w:t>que </w:t>
      </w:r>
      <w:r>
        <w:rPr>
          <w:spacing w:val="3"/>
        </w:rPr>
        <w:t>aproximadamente </w:t>
      </w:r>
      <w:r>
        <w:rPr>
          <w:spacing w:val="2"/>
        </w:rPr>
        <w:t>el </w:t>
      </w:r>
      <w:r>
        <w:rPr/>
        <w:t>30% </w:t>
      </w:r>
      <w:r>
        <w:rPr>
          <w:spacing w:val="2"/>
        </w:rPr>
        <w:t>de </w:t>
      </w:r>
      <w:r>
        <w:rPr>
          <w:spacing w:val="4"/>
        </w:rPr>
        <w:t>la población </w:t>
      </w:r>
      <w:r>
        <w:rPr>
          <w:spacing w:val="2"/>
        </w:rPr>
        <w:t>es </w:t>
      </w:r>
      <w:r>
        <w:rPr>
          <w:spacing w:val="4"/>
        </w:rPr>
        <w:t>susceptible </w:t>
      </w:r>
      <w:r>
        <w:rPr/>
        <w:t>a </w:t>
      </w:r>
      <w:r>
        <w:rPr>
          <w:spacing w:val="2"/>
        </w:rPr>
        <w:t>algún </w:t>
      </w:r>
      <w:r>
        <w:rPr>
          <w:spacing w:val="3"/>
        </w:rPr>
        <w:t>tipo </w:t>
      </w:r>
      <w:r>
        <w:rPr/>
        <w:t>de </w:t>
      </w:r>
      <w:r>
        <w:rPr>
          <w:spacing w:val="4"/>
        </w:rPr>
        <w:t>riesgo, </w:t>
      </w:r>
      <w:r>
        <w:rPr>
          <w:spacing w:val="2"/>
        </w:rPr>
        <w:t>en </w:t>
      </w:r>
      <w:r>
        <w:rPr>
          <w:spacing w:val="3"/>
        </w:rPr>
        <w:t>particular </w:t>
      </w:r>
      <w:r>
        <w:rPr>
          <w:spacing w:val="4"/>
        </w:rPr>
        <w:t>las </w:t>
      </w:r>
      <w:r>
        <w:rPr>
          <w:spacing w:val="3"/>
        </w:rPr>
        <w:t>áreas </w:t>
      </w:r>
      <w:r>
        <w:rPr>
          <w:spacing w:val="4"/>
        </w:rPr>
        <w:t>susceptibles </w:t>
      </w:r>
      <w:r>
        <w:rPr>
          <w:spacing w:val="3"/>
        </w:rPr>
        <w:t>inundarse. Para realizar </w:t>
      </w:r>
      <w:r>
        <w:rPr/>
        <w:t>el </w:t>
      </w:r>
      <w:r>
        <w:rPr>
          <w:spacing w:val="3"/>
        </w:rPr>
        <w:t>trabajo </w:t>
      </w:r>
      <w:r>
        <w:rPr>
          <w:spacing w:val="4"/>
        </w:rPr>
        <w:t>utilizaron </w:t>
      </w:r>
      <w:r>
        <w:rPr>
          <w:spacing w:val="3"/>
        </w:rPr>
        <w:t>criterios morfológicos</w:t>
      </w:r>
      <w:r>
        <w:rPr>
          <w:spacing w:val="72"/>
        </w:rPr>
        <w:t> </w:t>
      </w:r>
      <w:r>
        <w:rPr/>
        <w:t>y </w:t>
      </w:r>
      <w:r>
        <w:rPr>
          <w:spacing w:val="4"/>
        </w:rPr>
        <w:t>estadísticos, </w:t>
      </w:r>
      <w:r>
        <w:rPr/>
        <w:t>y </w:t>
      </w:r>
      <w:r>
        <w:rPr>
          <w:spacing w:val="3"/>
        </w:rPr>
        <w:t>técnicas </w:t>
      </w:r>
      <w:r>
        <w:rPr>
          <w:spacing w:val="2"/>
        </w:rPr>
        <w:t>de </w:t>
      </w:r>
      <w:r>
        <w:rPr>
          <w:spacing w:val="3"/>
        </w:rPr>
        <w:t>percepción remota. </w:t>
      </w:r>
      <w:r>
        <w:rPr>
          <w:spacing w:val="2"/>
        </w:rPr>
        <w:t>La </w:t>
      </w:r>
      <w:r>
        <w:rPr>
          <w:spacing w:val="4"/>
        </w:rPr>
        <w:t>metodología </w:t>
      </w:r>
      <w:r>
        <w:rPr>
          <w:spacing w:val="3"/>
        </w:rPr>
        <w:t>que </w:t>
      </w:r>
      <w:r>
        <w:rPr>
          <w:spacing w:val="4"/>
        </w:rPr>
        <w:t>siguieron puede </w:t>
      </w:r>
      <w:r>
        <w:rPr>
          <w:spacing w:val="3"/>
        </w:rPr>
        <w:t>servir de guía </w:t>
      </w:r>
      <w:r>
        <w:rPr>
          <w:spacing w:val="5"/>
        </w:rPr>
        <w:t>para </w:t>
      </w:r>
      <w:r>
        <w:rPr>
          <w:spacing w:val="3"/>
        </w:rPr>
        <w:t>estudiar áreas </w:t>
      </w:r>
      <w:r>
        <w:rPr/>
        <w:t>con </w:t>
      </w:r>
      <w:r>
        <w:rPr>
          <w:spacing w:val="4"/>
        </w:rPr>
        <w:t>la </w:t>
      </w:r>
      <w:r>
        <w:rPr/>
        <w:t>misma </w:t>
      </w:r>
      <w:r>
        <w:rPr>
          <w:spacing w:val="23"/>
        </w:rPr>
        <w:t> </w:t>
      </w:r>
      <w:r>
        <w:rPr>
          <w:spacing w:val="4"/>
        </w:rPr>
        <w:t>problemática.</w:t>
      </w:r>
    </w:p>
    <w:p>
      <w:pPr>
        <w:spacing w:after="0" w:line="360" w:lineRule="auto"/>
        <w:jc w:val="both"/>
        <w:sectPr>
          <w:pgSz w:w="12240" w:h="15840"/>
          <w:pgMar w:header="0" w:footer="1031" w:top="1360" w:bottom="1220" w:left="1580" w:right="1600"/>
        </w:sectPr>
      </w:pPr>
    </w:p>
    <w:p>
      <w:pPr>
        <w:pStyle w:val="BodyText"/>
        <w:spacing w:line="360" w:lineRule="auto" w:before="52"/>
        <w:ind w:left="119" w:right="119"/>
        <w:jc w:val="both"/>
      </w:pPr>
      <w:r>
        <w:rPr>
          <w:spacing w:val="3"/>
        </w:rPr>
        <w:t>CENAPRED </w:t>
      </w:r>
      <w:r>
        <w:rPr>
          <w:spacing w:val="4"/>
        </w:rPr>
        <w:t>(2006) elaboró </w:t>
      </w:r>
      <w:r>
        <w:rPr>
          <w:spacing w:val="2"/>
        </w:rPr>
        <w:t>mapas de </w:t>
      </w:r>
      <w:r>
        <w:rPr>
          <w:spacing w:val="3"/>
        </w:rPr>
        <w:t>peligro por </w:t>
      </w:r>
      <w:r>
        <w:rPr>
          <w:spacing w:val="4"/>
        </w:rPr>
        <w:t>precipitaciones </w:t>
      </w:r>
      <w:r>
        <w:rPr/>
        <w:t>a </w:t>
      </w:r>
      <w:r>
        <w:rPr>
          <w:spacing w:val="3"/>
        </w:rPr>
        <w:t>partir </w:t>
      </w:r>
      <w:r>
        <w:rPr>
          <w:spacing w:val="2"/>
        </w:rPr>
        <w:t>de </w:t>
      </w:r>
      <w:r>
        <w:rPr>
          <w:spacing w:val="4"/>
        </w:rPr>
        <w:t>datos </w:t>
      </w:r>
      <w:r>
        <w:rPr>
          <w:spacing w:val="2"/>
        </w:rPr>
        <w:t>de </w:t>
      </w:r>
      <w:r>
        <w:rPr>
          <w:spacing w:val="4"/>
        </w:rPr>
        <w:t>las estaciones </w:t>
      </w:r>
      <w:r>
        <w:rPr>
          <w:spacing w:val="3"/>
        </w:rPr>
        <w:t>meteorológicas </w:t>
      </w:r>
      <w:r>
        <w:rPr>
          <w:spacing w:val="4"/>
        </w:rPr>
        <w:t>registradas </w:t>
      </w:r>
      <w:r>
        <w:rPr/>
        <w:t>por el </w:t>
      </w:r>
      <w:r>
        <w:rPr>
          <w:spacing w:val="3"/>
        </w:rPr>
        <w:t>Servicio</w:t>
      </w:r>
      <w:r>
        <w:rPr>
          <w:spacing w:val="72"/>
        </w:rPr>
        <w:t> </w:t>
      </w:r>
      <w:r>
        <w:rPr>
          <w:spacing w:val="4"/>
        </w:rPr>
        <w:t>Meteorológico </w:t>
      </w:r>
      <w:r>
        <w:rPr>
          <w:spacing w:val="3"/>
        </w:rPr>
        <w:t>Nacional, </w:t>
      </w:r>
      <w:r>
        <w:rPr>
          <w:spacing w:val="2"/>
        </w:rPr>
        <w:t>en </w:t>
      </w:r>
      <w:r>
        <w:rPr>
          <w:spacing w:val="4"/>
        </w:rPr>
        <w:t>las </w:t>
      </w:r>
      <w:r>
        <w:rPr>
          <w:spacing w:val="3"/>
        </w:rPr>
        <w:t>cuales </w:t>
      </w:r>
      <w:r>
        <w:rPr/>
        <w:t>se </w:t>
      </w:r>
      <w:r>
        <w:rPr>
          <w:spacing w:val="4"/>
        </w:rPr>
        <w:t>tienen </w:t>
      </w:r>
      <w:r>
        <w:rPr>
          <w:spacing w:val="3"/>
        </w:rPr>
        <w:t>registros </w:t>
      </w:r>
      <w:r>
        <w:rPr/>
        <w:t>de más </w:t>
      </w:r>
      <w:r>
        <w:rPr>
          <w:spacing w:val="2"/>
        </w:rPr>
        <w:t>de 20 </w:t>
      </w:r>
      <w:r>
        <w:rPr>
          <w:spacing w:val="6"/>
        </w:rPr>
        <w:t>años,</w:t>
      </w:r>
      <w:r>
        <w:rPr>
          <w:spacing w:val="78"/>
        </w:rPr>
        <w:t> </w:t>
      </w:r>
      <w:r>
        <w:rPr>
          <w:spacing w:val="4"/>
        </w:rPr>
        <w:t>sin </w:t>
      </w:r>
      <w:r>
        <w:rPr>
          <w:spacing w:val="3"/>
        </w:rPr>
        <w:t>embargo estos </w:t>
      </w:r>
      <w:r>
        <w:rPr>
          <w:spacing w:val="4"/>
        </w:rPr>
        <w:t>registros sólo </w:t>
      </w:r>
      <w:r>
        <w:rPr/>
        <w:t>se </w:t>
      </w:r>
      <w:r>
        <w:rPr>
          <w:spacing w:val="3"/>
        </w:rPr>
        <w:t>han </w:t>
      </w:r>
      <w:r>
        <w:rPr>
          <w:spacing w:val="4"/>
        </w:rPr>
        <w:t>analizado </w:t>
      </w:r>
      <w:r>
        <w:rPr>
          <w:spacing w:val="2"/>
        </w:rPr>
        <w:t>en un </w:t>
      </w:r>
      <w:r>
        <w:rPr>
          <w:spacing w:val="3"/>
        </w:rPr>
        <w:t>periodo </w:t>
      </w:r>
      <w:r>
        <w:rPr>
          <w:spacing w:val="2"/>
        </w:rPr>
        <w:t>de </w:t>
      </w:r>
      <w:r>
        <w:rPr>
          <w:spacing w:val="3"/>
        </w:rPr>
        <w:t>retorno </w:t>
      </w:r>
      <w:r>
        <w:rPr>
          <w:spacing w:val="2"/>
        </w:rPr>
        <w:t>de  </w:t>
      </w:r>
      <w:r>
        <w:rPr/>
        <w:t>5 </w:t>
      </w:r>
      <w:r>
        <w:rPr>
          <w:spacing w:val="3"/>
        </w:rPr>
        <w:t>años, </w:t>
      </w:r>
      <w:r>
        <w:rPr>
          <w:spacing w:val="4"/>
        </w:rPr>
        <w:t>utilizándose </w:t>
      </w:r>
      <w:r>
        <w:rPr>
          <w:spacing w:val="2"/>
        </w:rPr>
        <w:t>para </w:t>
      </w:r>
      <w:r>
        <w:rPr/>
        <w:t>el </w:t>
      </w:r>
      <w:r>
        <w:rPr>
          <w:spacing w:val="2"/>
        </w:rPr>
        <w:t>diseño de </w:t>
      </w:r>
      <w:r>
        <w:rPr>
          <w:spacing w:val="3"/>
        </w:rPr>
        <w:t>obras </w:t>
      </w:r>
      <w:r>
        <w:rPr>
          <w:spacing w:val="2"/>
        </w:rPr>
        <w:t>de </w:t>
      </w:r>
      <w:r>
        <w:rPr>
          <w:spacing w:val="4"/>
        </w:rPr>
        <w:t>protección, </w:t>
      </w:r>
      <w:r>
        <w:rPr>
          <w:spacing w:val="3"/>
        </w:rPr>
        <w:t>tales </w:t>
      </w:r>
      <w:r>
        <w:rPr/>
        <w:t>como </w:t>
      </w:r>
      <w:r>
        <w:rPr>
          <w:spacing w:val="3"/>
        </w:rPr>
        <w:t>drenajes, </w:t>
      </w:r>
      <w:r>
        <w:rPr>
          <w:spacing w:val="4"/>
        </w:rPr>
        <w:t>drenes </w:t>
      </w:r>
      <w:r>
        <w:rPr/>
        <w:t>y </w:t>
      </w:r>
      <w:r>
        <w:rPr>
          <w:spacing w:val="4"/>
        </w:rPr>
        <w:t>alcantarillas. </w:t>
      </w:r>
      <w:r>
        <w:rPr>
          <w:spacing w:val="2"/>
        </w:rPr>
        <w:t>La </w:t>
      </w:r>
      <w:r>
        <w:rPr>
          <w:spacing w:val="4"/>
        </w:rPr>
        <w:t>cartografía </w:t>
      </w:r>
      <w:r>
        <w:rPr/>
        <w:t>se </w:t>
      </w:r>
      <w:r>
        <w:rPr>
          <w:spacing w:val="4"/>
        </w:rPr>
        <w:t>construyó </w:t>
      </w:r>
      <w:r>
        <w:rPr/>
        <w:t>con el </w:t>
      </w:r>
      <w:r>
        <w:rPr>
          <w:spacing w:val="3"/>
        </w:rPr>
        <w:t>fin </w:t>
      </w:r>
      <w:r>
        <w:rPr>
          <w:spacing w:val="2"/>
        </w:rPr>
        <w:t>de </w:t>
      </w:r>
      <w:r>
        <w:rPr>
          <w:spacing w:val="3"/>
        </w:rPr>
        <w:t>mostrar </w:t>
      </w:r>
      <w:r>
        <w:rPr>
          <w:spacing w:val="4"/>
        </w:rPr>
        <w:t>la manifestación </w:t>
      </w:r>
      <w:r>
        <w:rPr>
          <w:spacing w:val="3"/>
        </w:rPr>
        <w:t>espacial </w:t>
      </w:r>
      <w:r>
        <w:rPr>
          <w:spacing w:val="2"/>
        </w:rPr>
        <w:t>de </w:t>
      </w:r>
      <w:r>
        <w:rPr>
          <w:spacing w:val="4"/>
        </w:rPr>
        <w:t>la </w:t>
      </w:r>
      <w:r>
        <w:rPr>
          <w:spacing w:val="3"/>
        </w:rPr>
        <w:t>estimación </w:t>
      </w:r>
      <w:r>
        <w:rPr/>
        <w:t>del </w:t>
      </w:r>
      <w:r>
        <w:rPr>
          <w:spacing w:val="3"/>
        </w:rPr>
        <w:t>riesgo por </w:t>
      </w:r>
      <w:r>
        <w:rPr>
          <w:spacing w:val="4"/>
        </w:rPr>
        <w:t>inundaciones </w:t>
      </w:r>
      <w:r>
        <w:rPr>
          <w:spacing w:val="3"/>
        </w:rPr>
        <w:t>debido </w:t>
      </w:r>
      <w:r>
        <w:rPr/>
        <w:t>a </w:t>
      </w:r>
      <w:r>
        <w:rPr>
          <w:spacing w:val="4"/>
        </w:rPr>
        <w:t>precipitaciones intensas, </w:t>
      </w:r>
      <w:r>
        <w:rPr/>
        <w:t>y </w:t>
      </w:r>
      <w:r>
        <w:rPr>
          <w:spacing w:val="2"/>
        </w:rPr>
        <w:t>no para </w:t>
      </w:r>
      <w:r>
        <w:rPr/>
        <w:t>el </w:t>
      </w:r>
      <w:r>
        <w:rPr>
          <w:spacing w:val="3"/>
        </w:rPr>
        <w:t>diseño </w:t>
      </w:r>
      <w:r>
        <w:rPr>
          <w:spacing w:val="2"/>
        </w:rPr>
        <w:t>de </w:t>
      </w:r>
      <w:r>
        <w:rPr>
          <w:spacing w:val="4"/>
        </w:rPr>
        <w:t>estructuras </w:t>
      </w:r>
      <w:r>
        <w:rPr/>
        <w:t>como </w:t>
      </w:r>
      <w:r>
        <w:rPr>
          <w:spacing w:val="4"/>
        </w:rPr>
        <w:t>las antes mencionadas.</w:t>
      </w:r>
    </w:p>
    <w:p>
      <w:pPr>
        <w:pStyle w:val="BodyText"/>
        <w:spacing w:before="10"/>
      </w:pPr>
    </w:p>
    <w:p>
      <w:pPr>
        <w:pStyle w:val="BodyText"/>
        <w:spacing w:line="360" w:lineRule="auto"/>
        <w:ind w:left="119" w:right="115"/>
        <w:jc w:val="both"/>
      </w:pPr>
      <w:r>
        <w:rPr/>
        <w:t>Uno de los estudios que más tiene relación al tema de investigación, es el de Talamantes y Gurría (2010), en él se hace un análisis de incidencia de efectos presentes en la cuenca del río Blanco, Veracruz, determinan las zonas de inicio de avenidas catastróficas, y las condiciones de degradación en cada una de las subcuencas presentes. Utilizaron la jerarquización y la superposición de diferentes parámetros. En el estudio se delimitaron las microcuencas de la cuenca del río Blanco, y se tomaron en cuenta las condiciones climáticas de la región, el uso del suelo, la pendiente del terreno de los ríos, entre otras, que tienen un efecto importante sobre el tiempo de respuesta de la cuenca hidrográfica (Tabla 2).</w:t>
      </w:r>
    </w:p>
    <w:p>
      <w:pPr>
        <w:spacing w:after="0" w:line="360" w:lineRule="auto"/>
        <w:jc w:val="both"/>
        <w:sectPr>
          <w:pgSz w:w="12240" w:h="15840"/>
          <w:pgMar w:header="0" w:footer="1031" w:top="1360" w:bottom="1220" w:left="1580" w:right="1580"/>
        </w:sectPr>
      </w:pPr>
    </w:p>
    <w:p>
      <w:pPr>
        <w:pStyle w:val="BodyText"/>
        <w:rPr>
          <w:sz w:val="20"/>
        </w:rPr>
      </w:pPr>
    </w:p>
    <w:p>
      <w:pPr>
        <w:pStyle w:val="BodyText"/>
        <w:spacing w:before="11"/>
        <w:rPr>
          <w:sz w:val="21"/>
        </w:rPr>
      </w:pPr>
    </w:p>
    <w:p>
      <w:pPr>
        <w:spacing w:before="73"/>
        <w:ind w:left="2896" w:right="0" w:firstLine="0"/>
        <w:jc w:val="left"/>
        <w:rPr>
          <w:sz w:val="22"/>
        </w:rPr>
      </w:pPr>
      <w:r>
        <w:rPr>
          <w:sz w:val="22"/>
        </w:rPr>
        <w:t>Tabla 2. Síntesis de las aportaciones metodológicas de los estudios de caso</w:t>
      </w:r>
    </w:p>
    <w:p>
      <w:pPr>
        <w:pStyle w:val="BodyText"/>
        <w:spacing w:before="7"/>
        <w:rPr>
          <w:sz w:val="22"/>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07"/>
        <w:gridCol w:w="2723"/>
        <w:gridCol w:w="4979"/>
        <w:gridCol w:w="3779"/>
      </w:tblGrid>
      <w:tr>
        <w:trPr>
          <w:trHeight w:val="288" w:hRule="exact"/>
        </w:trPr>
        <w:tc>
          <w:tcPr>
            <w:tcW w:w="2007" w:type="dxa"/>
            <w:tcBorders>
              <w:left w:val="single" w:sz="8" w:space="0" w:color="9BBA58"/>
              <w:bottom w:val="single" w:sz="8" w:space="0" w:color="333333"/>
            </w:tcBorders>
          </w:tcPr>
          <w:p>
            <w:pPr>
              <w:pStyle w:val="TableParagraph"/>
              <w:spacing w:line="272" w:lineRule="exact"/>
              <w:ind w:left="100"/>
              <w:rPr>
                <w:sz w:val="24"/>
              </w:rPr>
            </w:pPr>
            <w:r>
              <w:rPr>
                <w:w w:val="90"/>
                <w:sz w:val="24"/>
              </w:rPr>
              <w:t>Caso/Autor/año</w:t>
            </w:r>
          </w:p>
        </w:tc>
        <w:tc>
          <w:tcPr>
            <w:tcW w:w="2723" w:type="dxa"/>
            <w:tcBorders>
              <w:bottom w:val="single" w:sz="8" w:space="0" w:color="333333"/>
              <w:right w:val="single" w:sz="8" w:space="0" w:color="9BBA58"/>
            </w:tcBorders>
          </w:tcPr>
          <w:p>
            <w:pPr>
              <w:pStyle w:val="TableParagraph"/>
              <w:spacing w:line="272" w:lineRule="exact"/>
              <w:ind w:left="105"/>
              <w:rPr>
                <w:sz w:val="24"/>
              </w:rPr>
            </w:pPr>
            <w:r>
              <w:rPr>
                <w:w w:val="90"/>
                <w:sz w:val="24"/>
              </w:rPr>
              <w:t>Enfoque</w:t>
            </w:r>
          </w:p>
        </w:tc>
        <w:tc>
          <w:tcPr>
            <w:tcW w:w="4979" w:type="dxa"/>
            <w:tcBorders>
              <w:left w:val="single" w:sz="8" w:space="0" w:color="9BBA58"/>
              <w:bottom w:val="single" w:sz="8" w:space="0" w:color="333333"/>
            </w:tcBorders>
          </w:tcPr>
          <w:p>
            <w:pPr>
              <w:pStyle w:val="TableParagraph"/>
              <w:spacing w:line="272" w:lineRule="exact"/>
              <w:ind w:left="100"/>
              <w:rPr>
                <w:sz w:val="24"/>
              </w:rPr>
            </w:pPr>
            <w:r>
              <w:rPr>
                <w:w w:val="90"/>
                <w:sz w:val="24"/>
              </w:rPr>
              <w:t>Objetivo</w:t>
            </w:r>
          </w:p>
        </w:tc>
        <w:tc>
          <w:tcPr>
            <w:tcW w:w="3779" w:type="dxa"/>
            <w:tcBorders>
              <w:bottom w:val="single" w:sz="8" w:space="0" w:color="333333"/>
              <w:right w:val="single" w:sz="8" w:space="0" w:color="9BBA58"/>
            </w:tcBorders>
          </w:tcPr>
          <w:p>
            <w:pPr>
              <w:pStyle w:val="TableParagraph"/>
              <w:spacing w:line="272" w:lineRule="exact"/>
              <w:ind w:left="105"/>
              <w:rPr>
                <w:sz w:val="24"/>
              </w:rPr>
            </w:pPr>
            <w:r>
              <w:rPr>
                <w:w w:val="90"/>
                <w:sz w:val="24"/>
              </w:rPr>
              <w:t>Factores</w:t>
            </w:r>
          </w:p>
        </w:tc>
      </w:tr>
      <w:tr>
        <w:trPr>
          <w:trHeight w:val="850" w:hRule="exact"/>
        </w:trPr>
        <w:tc>
          <w:tcPr>
            <w:tcW w:w="2007" w:type="dxa"/>
            <w:tcBorders>
              <w:top w:val="single" w:sz="8" w:space="0" w:color="333333"/>
              <w:left w:val="single" w:sz="8" w:space="0" w:color="333333"/>
              <w:bottom w:val="single" w:sz="8" w:space="0" w:color="333333"/>
              <w:right w:val="single" w:sz="8" w:space="0" w:color="333333"/>
            </w:tcBorders>
          </w:tcPr>
          <w:p>
            <w:pPr>
              <w:pStyle w:val="TableParagraph"/>
              <w:spacing w:line="272" w:lineRule="exact"/>
              <w:ind w:left="100" w:right="105"/>
              <w:rPr>
                <w:sz w:val="24"/>
              </w:rPr>
            </w:pPr>
            <w:r>
              <w:rPr>
                <w:w w:val="80"/>
                <w:sz w:val="24"/>
              </w:rPr>
              <w:t>CIDIAT, 1984.</w:t>
            </w:r>
          </w:p>
        </w:tc>
        <w:tc>
          <w:tcPr>
            <w:tcW w:w="2723" w:type="dxa"/>
            <w:tcBorders>
              <w:top w:val="single" w:sz="8" w:space="0" w:color="333333"/>
              <w:left w:val="single" w:sz="8" w:space="0" w:color="333333"/>
              <w:bottom w:val="single" w:sz="8" w:space="0" w:color="333333"/>
              <w:right w:val="single" w:sz="8" w:space="0" w:color="333333"/>
            </w:tcBorders>
          </w:tcPr>
          <w:p>
            <w:pPr>
              <w:pStyle w:val="TableParagraph"/>
              <w:tabs>
                <w:tab w:pos="2144" w:val="left" w:leader="none"/>
              </w:tabs>
              <w:ind w:left="100" w:right="96"/>
              <w:jc w:val="both"/>
              <w:rPr>
                <w:sz w:val="24"/>
              </w:rPr>
            </w:pPr>
            <w:r>
              <w:rPr>
                <w:w w:val="85"/>
                <w:sz w:val="24"/>
              </w:rPr>
              <w:t>Diagnóstico</w:t>
              <w:tab/>
            </w:r>
            <w:r>
              <w:rPr>
                <w:w w:val="80"/>
                <w:sz w:val="24"/>
              </w:rPr>
              <w:t>físico conservacionista en cuencas </w:t>
            </w:r>
            <w:r>
              <w:rPr>
                <w:w w:val="90"/>
                <w:sz w:val="24"/>
              </w:rPr>
              <w:t>hidrográficas</w:t>
            </w:r>
          </w:p>
        </w:tc>
        <w:tc>
          <w:tcPr>
            <w:tcW w:w="4979" w:type="dxa"/>
            <w:tcBorders>
              <w:top w:val="single" w:sz="8" w:space="0" w:color="333333"/>
              <w:left w:val="single" w:sz="8" w:space="0" w:color="333333"/>
              <w:bottom w:val="single" w:sz="8" w:space="0" w:color="333333"/>
              <w:right w:val="single" w:sz="8" w:space="0" w:color="333333"/>
            </w:tcBorders>
          </w:tcPr>
          <w:p>
            <w:pPr>
              <w:pStyle w:val="TableParagraph"/>
              <w:spacing w:line="242" w:lineRule="auto"/>
              <w:ind w:left="100" w:right="88"/>
              <w:rPr>
                <w:sz w:val="24"/>
              </w:rPr>
            </w:pPr>
            <w:r>
              <w:rPr>
                <w:w w:val="85"/>
                <w:sz w:val="24"/>
              </w:rPr>
              <w:t>Determinar el estado de conservación o deterioro en </w:t>
            </w:r>
            <w:r>
              <w:rPr>
                <w:w w:val="80"/>
                <w:sz w:val="24"/>
              </w:rPr>
              <w:t>una cuenca hidrográfica</w:t>
            </w:r>
          </w:p>
        </w:tc>
        <w:tc>
          <w:tcPr>
            <w:tcW w:w="3779" w:type="dxa"/>
            <w:tcBorders>
              <w:top w:val="single" w:sz="8" w:space="0" w:color="333333"/>
              <w:left w:val="single" w:sz="8" w:space="0" w:color="333333"/>
              <w:bottom w:val="single" w:sz="8" w:space="0" w:color="333333"/>
              <w:right w:val="single" w:sz="8" w:space="0" w:color="333333"/>
            </w:tcBorders>
          </w:tcPr>
          <w:p>
            <w:pPr>
              <w:pStyle w:val="TableParagraph"/>
              <w:spacing w:line="272" w:lineRule="exact"/>
              <w:ind w:left="100"/>
              <w:rPr>
                <w:sz w:val="24"/>
              </w:rPr>
            </w:pPr>
            <w:r>
              <w:rPr>
                <w:w w:val="90"/>
                <w:sz w:val="24"/>
              </w:rPr>
              <w:t>Erosión</w:t>
            </w:r>
          </w:p>
          <w:p>
            <w:pPr>
              <w:pStyle w:val="TableParagraph"/>
              <w:spacing w:before="2"/>
              <w:ind w:left="100"/>
              <w:rPr>
                <w:sz w:val="24"/>
              </w:rPr>
            </w:pPr>
            <w:r>
              <w:rPr>
                <w:w w:val="85"/>
                <w:sz w:val="24"/>
              </w:rPr>
              <w:t>Clima, relieve y vegetación</w:t>
            </w:r>
          </w:p>
        </w:tc>
      </w:tr>
      <w:tr>
        <w:trPr>
          <w:trHeight w:val="1671" w:hRule="exact"/>
        </w:trPr>
        <w:tc>
          <w:tcPr>
            <w:tcW w:w="2007" w:type="dxa"/>
            <w:tcBorders>
              <w:top w:val="single" w:sz="8" w:space="0" w:color="333333"/>
              <w:bottom w:val="single" w:sz="8" w:space="0" w:color="333333"/>
            </w:tcBorders>
          </w:tcPr>
          <w:p>
            <w:pPr>
              <w:pStyle w:val="TableParagraph"/>
              <w:spacing w:line="272" w:lineRule="exact"/>
              <w:ind w:left="105"/>
              <w:rPr>
                <w:sz w:val="24"/>
              </w:rPr>
            </w:pPr>
            <w:r>
              <w:rPr>
                <w:w w:val="80"/>
                <w:sz w:val="24"/>
              </w:rPr>
              <w:t>CIDIAT, 1984.</w:t>
            </w:r>
          </w:p>
        </w:tc>
        <w:tc>
          <w:tcPr>
            <w:tcW w:w="2723" w:type="dxa"/>
            <w:tcBorders>
              <w:top w:val="single" w:sz="8" w:space="0" w:color="333333"/>
              <w:bottom w:val="single" w:sz="8" w:space="0" w:color="333333"/>
            </w:tcBorders>
          </w:tcPr>
          <w:p>
            <w:pPr>
              <w:pStyle w:val="TableParagraph"/>
              <w:spacing w:line="272" w:lineRule="exact"/>
              <w:ind w:left="105"/>
              <w:rPr>
                <w:sz w:val="24"/>
              </w:rPr>
            </w:pPr>
            <w:r>
              <w:rPr>
                <w:w w:val="90"/>
                <w:sz w:val="24"/>
              </w:rPr>
              <w:t>Metodológico-práctico</w:t>
            </w:r>
          </w:p>
        </w:tc>
        <w:tc>
          <w:tcPr>
            <w:tcW w:w="4979" w:type="dxa"/>
            <w:tcBorders>
              <w:top w:val="single" w:sz="8" w:space="0" w:color="333333"/>
              <w:bottom w:val="single" w:sz="8" w:space="0" w:color="333333"/>
            </w:tcBorders>
          </w:tcPr>
          <w:p>
            <w:pPr>
              <w:pStyle w:val="TableParagraph"/>
              <w:spacing w:line="272" w:lineRule="exact"/>
              <w:ind w:left="105"/>
              <w:rPr>
                <w:sz w:val="24"/>
              </w:rPr>
            </w:pPr>
            <w:r>
              <w:rPr>
                <w:w w:val="85"/>
                <w:sz w:val="24"/>
              </w:rPr>
              <w:t>Estimar prioridades a nivel de cuencas y subcuencas</w:t>
            </w:r>
          </w:p>
        </w:tc>
        <w:tc>
          <w:tcPr>
            <w:tcW w:w="3779" w:type="dxa"/>
            <w:tcBorders>
              <w:top w:val="single" w:sz="8" w:space="0" w:color="333333"/>
              <w:bottom w:val="single" w:sz="8" w:space="0" w:color="333333"/>
              <w:right w:val="single" w:sz="8" w:space="0" w:color="9BBA58"/>
            </w:tcBorders>
          </w:tcPr>
          <w:p>
            <w:pPr>
              <w:pStyle w:val="TableParagraph"/>
              <w:ind w:left="105" w:right="94"/>
              <w:jc w:val="both"/>
              <w:rPr>
                <w:sz w:val="24"/>
              </w:rPr>
            </w:pPr>
            <w:r>
              <w:rPr>
                <w:w w:val="90"/>
                <w:sz w:val="24"/>
              </w:rPr>
              <w:t>Erosión, sedimentación, penetración campesina, abastecimiento de agua, obras construidas o por construir, potencial de utilización del agua, </w:t>
            </w:r>
            <w:r>
              <w:rPr>
                <w:w w:val="85"/>
                <w:sz w:val="24"/>
              </w:rPr>
              <w:t>periodicidad</w:t>
            </w:r>
            <w:r>
              <w:rPr>
                <w:spacing w:val="-15"/>
                <w:w w:val="85"/>
                <w:sz w:val="24"/>
              </w:rPr>
              <w:t> </w:t>
            </w:r>
            <w:r>
              <w:rPr>
                <w:w w:val="85"/>
                <w:sz w:val="24"/>
              </w:rPr>
              <w:t>y</w:t>
            </w:r>
            <w:r>
              <w:rPr>
                <w:spacing w:val="-11"/>
                <w:w w:val="85"/>
                <w:sz w:val="24"/>
              </w:rPr>
              <w:t> </w:t>
            </w:r>
            <w:r>
              <w:rPr>
                <w:w w:val="85"/>
                <w:sz w:val="24"/>
              </w:rPr>
              <w:t>amplitud</w:t>
            </w:r>
            <w:r>
              <w:rPr>
                <w:spacing w:val="-12"/>
                <w:w w:val="85"/>
                <w:sz w:val="24"/>
              </w:rPr>
              <w:t> </w:t>
            </w:r>
            <w:r>
              <w:rPr>
                <w:w w:val="85"/>
                <w:sz w:val="24"/>
              </w:rPr>
              <w:t>de</w:t>
            </w:r>
            <w:r>
              <w:rPr>
                <w:spacing w:val="-12"/>
                <w:w w:val="85"/>
                <w:sz w:val="24"/>
              </w:rPr>
              <w:t> </w:t>
            </w:r>
            <w:r>
              <w:rPr>
                <w:w w:val="85"/>
                <w:sz w:val="24"/>
              </w:rPr>
              <w:t>los</w:t>
            </w:r>
            <w:r>
              <w:rPr>
                <w:spacing w:val="-11"/>
                <w:w w:val="85"/>
                <w:sz w:val="24"/>
              </w:rPr>
              <w:t> </w:t>
            </w:r>
            <w:r>
              <w:rPr>
                <w:w w:val="85"/>
                <w:sz w:val="24"/>
              </w:rPr>
              <w:t>incendios </w:t>
            </w:r>
            <w:r>
              <w:rPr>
                <w:w w:val="80"/>
                <w:sz w:val="24"/>
              </w:rPr>
              <w:t>de</w:t>
            </w:r>
            <w:r>
              <w:rPr>
                <w:spacing w:val="25"/>
                <w:w w:val="80"/>
                <w:sz w:val="24"/>
              </w:rPr>
              <w:t> </w:t>
            </w:r>
            <w:r>
              <w:rPr>
                <w:w w:val="80"/>
                <w:sz w:val="24"/>
              </w:rPr>
              <w:t>vegetación.</w:t>
            </w:r>
          </w:p>
        </w:tc>
      </w:tr>
      <w:tr>
        <w:trPr>
          <w:trHeight w:val="1671" w:hRule="exact"/>
        </w:trPr>
        <w:tc>
          <w:tcPr>
            <w:tcW w:w="2007" w:type="dxa"/>
            <w:tcBorders>
              <w:top w:val="single" w:sz="8" w:space="0" w:color="333333"/>
              <w:left w:val="single" w:sz="8" w:space="0" w:color="333333"/>
              <w:bottom w:val="single" w:sz="8" w:space="0" w:color="333333"/>
              <w:right w:val="single" w:sz="8" w:space="0" w:color="333333"/>
            </w:tcBorders>
          </w:tcPr>
          <w:p>
            <w:pPr>
              <w:pStyle w:val="TableParagraph"/>
              <w:spacing w:line="272" w:lineRule="exact"/>
              <w:ind w:left="100" w:right="105"/>
              <w:rPr>
                <w:sz w:val="24"/>
              </w:rPr>
            </w:pPr>
            <w:r>
              <w:rPr>
                <w:w w:val="80"/>
                <w:sz w:val="24"/>
              </w:rPr>
              <w:t>Cabrera, 1987</w:t>
            </w:r>
          </w:p>
        </w:tc>
        <w:tc>
          <w:tcPr>
            <w:tcW w:w="2723" w:type="dxa"/>
            <w:tcBorders>
              <w:top w:val="single" w:sz="8" w:space="0" w:color="333333"/>
              <w:left w:val="single" w:sz="8" w:space="0" w:color="333333"/>
              <w:bottom w:val="single" w:sz="8" w:space="0" w:color="333333"/>
              <w:right w:val="single" w:sz="8" w:space="0" w:color="333333"/>
            </w:tcBorders>
          </w:tcPr>
          <w:p>
            <w:pPr>
              <w:pStyle w:val="TableParagraph"/>
              <w:spacing w:line="272" w:lineRule="exact"/>
              <w:ind w:left="100" w:right="718"/>
              <w:rPr>
                <w:sz w:val="24"/>
              </w:rPr>
            </w:pPr>
            <w:r>
              <w:rPr>
                <w:w w:val="80"/>
                <w:sz w:val="24"/>
              </w:rPr>
              <w:t>Impacto ambiental</w:t>
            </w:r>
          </w:p>
        </w:tc>
        <w:tc>
          <w:tcPr>
            <w:tcW w:w="4979" w:type="dxa"/>
            <w:tcBorders>
              <w:top w:val="single" w:sz="8" w:space="0" w:color="333333"/>
              <w:left w:val="single" w:sz="8" w:space="0" w:color="333333"/>
              <w:bottom w:val="single" w:sz="8" w:space="0" w:color="333333"/>
              <w:right w:val="single" w:sz="8" w:space="0" w:color="333333"/>
            </w:tcBorders>
          </w:tcPr>
          <w:p>
            <w:pPr>
              <w:pStyle w:val="TableParagraph"/>
              <w:spacing w:line="274" w:lineRule="exact" w:before="1"/>
              <w:ind w:left="100" w:right="88"/>
              <w:rPr>
                <w:sz w:val="24"/>
              </w:rPr>
            </w:pPr>
            <w:r>
              <w:rPr>
                <w:w w:val="90"/>
                <w:sz w:val="24"/>
              </w:rPr>
              <w:t>Identificar en la cuenca superior del río Chixoy, </w:t>
            </w:r>
            <w:r>
              <w:rPr>
                <w:w w:val="80"/>
                <w:sz w:val="24"/>
              </w:rPr>
              <w:t>Guatemala, áreas vulnerables</w:t>
            </w:r>
          </w:p>
        </w:tc>
        <w:tc>
          <w:tcPr>
            <w:tcW w:w="3779" w:type="dxa"/>
            <w:tcBorders>
              <w:top w:val="single" w:sz="8" w:space="0" w:color="333333"/>
              <w:left w:val="single" w:sz="8" w:space="0" w:color="333333"/>
              <w:bottom w:val="single" w:sz="8" w:space="0" w:color="333333"/>
              <w:right w:val="single" w:sz="8" w:space="0" w:color="333333"/>
            </w:tcBorders>
          </w:tcPr>
          <w:p>
            <w:pPr>
              <w:pStyle w:val="TableParagraph"/>
              <w:spacing w:line="270" w:lineRule="exact"/>
              <w:ind w:left="100"/>
              <w:rPr>
                <w:sz w:val="24"/>
              </w:rPr>
            </w:pPr>
            <w:r>
              <w:rPr>
                <w:w w:val="80"/>
                <w:sz w:val="24"/>
              </w:rPr>
              <w:t>Biofísicos (causas naturales)</w:t>
            </w:r>
          </w:p>
          <w:p>
            <w:pPr>
              <w:pStyle w:val="TableParagraph"/>
              <w:spacing w:line="242" w:lineRule="auto"/>
              <w:ind w:left="100"/>
              <w:rPr>
                <w:sz w:val="24"/>
              </w:rPr>
            </w:pPr>
            <w:r>
              <w:rPr>
                <w:w w:val="90"/>
                <w:sz w:val="24"/>
              </w:rPr>
              <w:t>Sitios de alto potencial de aporte de sedimentos.</w:t>
            </w:r>
          </w:p>
          <w:p>
            <w:pPr>
              <w:pStyle w:val="TableParagraph"/>
              <w:tabs>
                <w:tab w:pos="1284" w:val="left" w:leader="none"/>
                <w:tab w:pos="1744" w:val="left" w:leader="none"/>
                <w:tab w:pos="2305" w:val="left" w:leader="none"/>
                <w:tab w:pos="2765" w:val="left" w:leader="none"/>
                <w:tab w:pos="3158" w:val="left" w:leader="none"/>
              </w:tabs>
              <w:spacing w:line="242" w:lineRule="auto"/>
              <w:ind w:left="100" w:right="93"/>
              <w:rPr>
                <w:sz w:val="24"/>
              </w:rPr>
            </w:pPr>
            <w:r>
              <w:rPr>
                <w:w w:val="85"/>
                <w:sz w:val="24"/>
              </w:rPr>
              <w:t>Capacidad</w:t>
              <w:tab/>
            </w:r>
            <w:r>
              <w:rPr>
                <w:w w:val="90"/>
                <w:sz w:val="24"/>
              </w:rPr>
              <w:t>de</w:t>
              <w:tab/>
              <w:t>uso</w:t>
              <w:tab/>
              <w:t>de</w:t>
              <w:tab/>
              <w:t>la</w:t>
              <w:tab/>
            </w:r>
            <w:r>
              <w:rPr>
                <w:w w:val="80"/>
                <w:sz w:val="24"/>
              </w:rPr>
              <w:t>tierra, </w:t>
            </w:r>
            <w:r>
              <w:rPr>
                <w:w w:val="90"/>
                <w:sz w:val="24"/>
              </w:rPr>
              <w:t>degradación</w:t>
            </w:r>
          </w:p>
          <w:p>
            <w:pPr>
              <w:pStyle w:val="TableParagraph"/>
              <w:spacing w:line="271" w:lineRule="exact"/>
              <w:ind w:left="100"/>
              <w:rPr>
                <w:sz w:val="24"/>
              </w:rPr>
            </w:pPr>
            <w:r>
              <w:rPr>
                <w:w w:val="90"/>
                <w:sz w:val="24"/>
              </w:rPr>
              <w:t>Campo</w:t>
            </w:r>
          </w:p>
        </w:tc>
      </w:tr>
      <w:tr>
        <w:trPr>
          <w:trHeight w:val="1398" w:hRule="exact"/>
        </w:trPr>
        <w:tc>
          <w:tcPr>
            <w:tcW w:w="2007" w:type="dxa"/>
            <w:tcBorders>
              <w:top w:val="single" w:sz="8" w:space="0" w:color="333333"/>
              <w:bottom w:val="single" w:sz="8" w:space="0" w:color="000000"/>
            </w:tcBorders>
          </w:tcPr>
          <w:p>
            <w:pPr>
              <w:pStyle w:val="TableParagraph"/>
              <w:spacing w:before="1"/>
              <w:ind w:left="105"/>
              <w:rPr>
                <w:sz w:val="24"/>
              </w:rPr>
            </w:pPr>
            <w:r>
              <w:rPr>
                <w:w w:val="85"/>
                <w:sz w:val="24"/>
              </w:rPr>
              <w:t>Medina (1995)</w:t>
            </w:r>
          </w:p>
        </w:tc>
        <w:tc>
          <w:tcPr>
            <w:tcW w:w="2723" w:type="dxa"/>
            <w:tcBorders>
              <w:top w:val="single" w:sz="8" w:space="0" w:color="333333"/>
              <w:bottom w:val="single" w:sz="8" w:space="0" w:color="000000"/>
            </w:tcBorders>
          </w:tcPr>
          <w:p>
            <w:pPr>
              <w:pStyle w:val="TableParagraph"/>
              <w:spacing w:before="1"/>
              <w:ind w:left="105"/>
              <w:rPr>
                <w:sz w:val="24"/>
              </w:rPr>
            </w:pPr>
            <w:r>
              <w:rPr>
                <w:w w:val="90"/>
                <w:sz w:val="24"/>
              </w:rPr>
              <w:t>Vulnerabilidad</w:t>
            </w:r>
          </w:p>
        </w:tc>
        <w:tc>
          <w:tcPr>
            <w:tcW w:w="4979" w:type="dxa"/>
            <w:tcBorders>
              <w:top w:val="single" w:sz="8" w:space="0" w:color="333333"/>
              <w:bottom w:val="single" w:sz="8" w:space="0" w:color="000000"/>
            </w:tcBorders>
          </w:tcPr>
          <w:p>
            <w:pPr>
              <w:pStyle w:val="TableParagraph"/>
              <w:spacing w:line="274" w:lineRule="exact" w:before="6"/>
              <w:ind w:left="105" w:right="104"/>
              <w:rPr>
                <w:sz w:val="24"/>
              </w:rPr>
            </w:pPr>
            <w:r>
              <w:rPr>
                <w:w w:val="85"/>
                <w:sz w:val="24"/>
              </w:rPr>
              <w:t>Identificación de áreas vulnerables, en la cuenca del Río Purires, Costa Rica,</w:t>
            </w:r>
          </w:p>
        </w:tc>
        <w:tc>
          <w:tcPr>
            <w:tcW w:w="3779" w:type="dxa"/>
            <w:tcBorders>
              <w:top w:val="single" w:sz="8" w:space="0" w:color="333333"/>
              <w:bottom w:val="single" w:sz="8" w:space="0" w:color="000000"/>
            </w:tcBorders>
          </w:tcPr>
          <w:p>
            <w:pPr>
              <w:pStyle w:val="TableParagraph"/>
              <w:spacing w:line="275" w:lineRule="exact" w:before="1"/>
              <w:ind w:left="105"/>
              <w:rPr>
                <w:sz w:val="24"/>
              </w:rPr>
            </w:pPr>
            <w:r>
              <w:rPr>
                <w:w w:val="85"/>
                <w:sz w:val="24"/>
              </w:rPr>
              <w:t>Uso de SIG</w:t>
            </w:r>
          </w:p>
          <w:p>
            <w:pPr>
              <w:pStyle w:val="TableParagraph"/>
              <w:spacing w:line="274" w:lineRule="exact" w:before="4"/>
              <w:ind w:left="105"/>
              <w:rPr>
                <w:sz w:val="24"/>
              </w:rPr>
            </w:pPr>
            <w:r>
              <w:rPr>
                <w:w w:val="90"/>
                <w:sz w:val="24"/>
              </w:rPr>
              <w:t>Superposición de los mapas de uso </w:t>
            </w:r>
            <w:r>
              <w:rPr>
                <w:w w:val="85"/>
                <w:sz w:val="24"/>
              </w:rPr>
              <w:t>actual y capacidad de uso.</w:t>
            </w:r>
          </w:p>
          <w:p>
            <w:pPr>
              <w:pStyle w:val="TableParagraph"/>
              <w:spacing w:line="274" w:lineRule="exact" w:before="4"/>
              <w:ind w:left="105"/>
              <w:rPr>
                <w:sz w:val="24"/>
              </w:rPr>
            </w:pPr>
            <w:r>
              <w:rPr>
                <w:w w:val="90"/>
                <w:sz w:val="24"/>
              </w:rPr>
              <w:t>Costos de reforestación de las áreas críticas</w:t>
            </w:r>
          </w:p>
        </w:tc>
      </w:tr>
      <w:tr>
        <w:trPr>
          <w:trHeight w:val="1402" w:hRule="exact"/>
        </w:trPr>
        <w:tc>
          <w:tcPr>
            <w:tcW w:w="2007" w:type="dxa"/>
            <w:tcBorders>
              <w:top w:val="single" w:sz="8" w:space="0" w:color="000000"/>
              <w:left w:val="single" w:sz="8" w:space="0" w:color="000000"/>
              <w:bottom w:val="single" w:sz="8" w:space="0" w:color="000000"/>
              <w:right w:val="single" w:sz="8" w:space="0" w:color="000000"/>
            </w:tcBorders>
          </w:tcPr>
          <w:p>
            <w:pPr>
              <w:pStyle w:val="TableParagraph"/>
              <w:ind w:left="100" w:right="105"/>
              <w:rPr>
                <w:sz w:val="24"/>
              </w:rPr>
            </w:pPr>
            <w:r>
              <w:rPr>
                <w:w w:val="80"/>
                <w:sz w:val="24"/>
              </w:rPr>
              <w:t>Sáenz, 2000)</w:t>
            </w:r>
          </w:p>
        </w:tc>
        <w:tc>
          <w:tcPr>
            <w:tcW w:w="2723"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before="6"/>
              <w:ind w:left="100" w:right="98"/>
              <w:jc w:val="both"/>
              <w:rPr>
                <w:sz w:val="24"/>
              </w:rPr>
            </w:pPr>
            <w:r>
              <w:rPr>
                <w:w w:val="90"/>
                <w:sz w:val="24"/>
              </w:rPr>
              <w:t>Metodología cuantitativa para identificar áreas de riesgo</w:t>
            </w:r>
          </w:p>
        </w:tc>
        <w:tc>
          <w:tcPr>
            <w:tcW w:w="4979"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before="6"/>
              <w:ind w:left="100" w:right="88"/>
              <w:rPr>
                <w:sz w:val="24"/>
              </w:rPr>
            </w:pPr>
            <w:r>
              <w:rPr>
                <w:w w:val="85"/>
                <w:sz w:val="24"/>
              </w:rPr>
              <w:t>Identificar</w:t>
            </w:r>
            <w:r>
              <w:rPr>
                <w:spacing w:val="-35"/>
                <w:w w:val="85"/>
                <w:sz w:val="24"/>
              </w:rPr>
              <w:t> </w:t>
            </w:r>
            <w:r>
              <w:rPr>
                <w:w w:val="85"/>
                <w:sz w:val="24"/>
              </w:rPr>
              <w:t>áreas</w:t>
            </w:r>
            <w:r>
              <w:rPr>
                <w:spacing w:val="-35"/>
                <w:w w:val="85"/>
                <w:sz w:val="24"/>
              </w:rPr>
              <w:t> </w:t>
            </w:r>
            <w:r>
              <w:rPr>
                <w:w w:val="85"/>
                <w:sz w:val="24"/>
              </w:rPr>
              <w:t>de</w:t>
            </w:r>
            <w:r>
              <w:rPr>
                <w:spacing w:val="-36"/>
                <w:w w:val="85"/>
                <w:sz w:val="24"/>
              </w:rPr>
              <w:t> </w:t>
            </w:r>
            <w:r>
              <w:rPr>
                <w:w w:val="85"/>
                <w:sz w:val="24"/>
              </w:rPr>
              <w:t>riesgo</w:t>
            </w:r>
            <w:r>
              <w:rPr>
                <w:spacing w:val="-36"/>
                <w:w w:val="85"/>
                <w:sz w:val="24"/>
              </w:rPr>
              <w:t> </w:t>
            </w:r>
            <w:r>
              <w:rPr>
                <w:w w:val="85"/>
                <w:sz w:val="24"/>
              </w:rPr>
              <w:t>en</w:t>
            </w:r>
            <w:r>
              <w:rPr>
                <w:spacing w:val="-36"/>
                <w:w w:val="85"/>
                <w:sz w:val="24"/>
              </w:rPr>
              <w:t> </w:t>
            </w:r>
            <w:r>
              <w:rPr>
                <w:w w:val="85"/>
                <w:sz w:val="24"/>
              </w:rPr>
              <w:t>la</w:t>
            </w:r>
            <w:r>
              <w:rPr>
                <w:spacing w:val="-36"/>
                <w:w w:val="85"/>
                <w:sz w:val="24"/>
              </w:rPr>
              <w:t> </w:t>
            </w:r>
            <w:r>
              <w:rPr>
                <w:w w:val="85"/>
                <w:sz w:val="24"/>
              </w:rPr>
              <w:t>cuenca</w:t>
            </w:r>
            <w:r>
              <w:rPr>
                <w:spacing w:val="-36"/>
                <w:w w:val="85"/>
                <w:sz w:val="24"/>
              </w:rPr>
              <w:t> </w:t>
            </w:r>
            <w:r>
              <w:rPr>
                <w:w w:val="85"/>
                <w:sz w:val="24"/>
              </w:rPr>
              <w:t>del</w:t>
            </w:r>
            <w:r>
              <w:rPr>
                <w:spacing w:val="-36"/>
                <w:w w:val="85"/>
                <w:sz w:val="24"/>
              </w:rPr>
              <w:t> </w:t>
            </w:r>
            <w:r>
              <w:rPr>
                <w:w w:val="85"/>
                <w:sz w:val="24"/>
              </w:rPr>
              <w:t>río</w:t>
            </w:r>
            <w:r>
              <w:rPr>
                <w:spacing w:val="-36"/>
                <w:w w:val="85"/>
                <w:sz w:val="24"/>
              </w:rPr>
              <w:t> </w:t>
            </w:r>
            <w:r>
              <w:rPr>
                <w:w w:val="85"/>
                <w:sz w:val="24"/>
              </w:rPr>
              <w:t>Pacuare, </w:t>
            </w:r>
            <w:r>
              <w:rPr>
                <w:w w:val="80"/>
                <w:sz w:val="24"/>
              </w:rPr>
              <w:t>Costa</w:t>
            </w:r>
            <w:r>
              <w:rPr>
                <w:spacing w:val="19"/>
                <w:w w:val="80"/>
                <w:sz w:val="24"/>
              </w:rPr>
              <w:t> </w:t>
            </w:r>
            <w:r>
              <w:rPr>
                <w:w w:val="80"/>
                <w:sz w:val="24"/>
              </w:rPr>
              <w:t>Rica</w:t>
            </w:r>
          </w:p>
        </w:tc>
        <w:tc>
          <w:tcPr>
            <w:tcW w:w="3779" w:type="dxa"/>
            <w:tcBorders>
              <w:top w:val="single" w:sz="8" w:space="0" w:color="000000"/>
              <w:left w:val="single" w:sz="8" w:space="0" w:color="000000"/>
              <w:bottom w:val="single" w:sz="8" w:space="0" w:color="000000"/>
              <w:right w:val="single" w:sz="8" w:space="0" w:color="000000"/>
            </w:tcBorders>
          </w:tcPr>
          <w:p>
            <w:pPr>
              <w:pStyle w:val="TableParagraph"/>
              <w:spacing w:line="275" w:lineRule="exact"/>
              <w:ind w:left="100"/>
              <w:rPr>
                <w:sz w:val="24"/>
              </w:rPr>
            </w:pPr>
            <w:r>
              <w:rPr>
                <w:w w:val="85"/>
                <w:sz w:val="24"/>
              </w:rPr>
              <w:t>Uso de SIG</w:t>
            </w:r>
          </w:p>
          <w:p>
            <w:pPr>
              <w:pStyle w:val="TableParagraph"/>
              <w:spacing w:line="274" w:lineRule="exact"/>
              <w:ind w:left="100"/>
              <w:rPr>
                <w:sz w:val="24"/>
              </w:rPr>
            </w:pPr>
            <w:r>
              <w:rPr>
                <w:w w:val="85"/>
                <w:sz w:val="24"/>
              </w:rPr>
              <w:t>Criterios de tipo biofísico</w:t>
            </w:r>
          </w:p>
          <w:p>
            <w:pPr>
              <w:pStyle w:val="TableParagraph"/>
              <w:spacing w:line="242" w:lineRule="auto"/>
              <w:ind w:left="100"/>
              <w:rPr>
                <w:sz w:val="24"/>
              </w:rPr>
            </w:pPr>
            <w:r>
              <w:rPr>
                <w:w w:val="90"/>
                <w:sz w:val="24"/>
              </w:rPr>
              <w:t>Identificación de diferentes niveles de riesgo</w:t>
            </w:r>
          </w:p>
          <w:p>
            <w:pPr>
              <w:pStyle w:val="TableParagraph"/>
              <w:spacing w:line="271" w:lineRule="exact"/>
              <w:ind w:left="100"/>
              <w:rPr>
                <w:sz w:val="24"/>
              </w:rPr>
            </w:pPr>
            <w:r>
              <w:rPr>
                <w:w w:val="85"/>
                <w:sz w:val="24"/>
              </w:rPr>
              <w:t>Degradación de áreas las críticas.</w:t>
            </w:r>
          </w:p>
        </w:tc>
      </w:tr>
    </w:tbl>
    <w:p>
      <w:pPr>
        <w:spacing w:after="0" w:line="271" w:lineRule="exact"/>
        <w:rPr>
          <w:sz w:val="24"/>
        </w:rPr>
        <w:sectPr>
          <w:footerReference w:type="default" r:id="rId29"/>
          <w:pgSz w:w="15840" w:h="12240" w:orient="landscape"/>
          <w:pgMar w:footer="1032" w:header="0" w:top="1140" w:bottom="1220" w:left="1300" w:right="800"/>
          <w:pgNumType w:start="28"/>
        </w:sectPr>
      </w:pPr>
    </w:p>
    <w:p>
      <w:pPr>
        <w:pStyle w:val="BodyText"/>
        <w:rPr>
          <w:sz w:val="20"/>
        </w:rPr>
      </w:pPr>
    </w:p>
    <w:p>
      <w:pPr>
        <w:pStyle w:val="BodyText"/>
        <w:spacing w:before="11"/>
        <w:rPr>
          <w:sz w:val="21"/>
        </w:rPr>
      </w:pPr>
    </w:p>
    <w:p>
      <w:pPr>
        <w:spacing w:before="73"/>
        <w:ind w:left="116" w:right="0" w:firstLine="0"/>
        <w:jc w:val="left"/>
        <w:rPr>
          <w:sz w:val="22"/>
        </w:rPr>
      </w:pPr>
      <w:r>
        <w:rPr>
          <w:sz w:val="22"/>
        </w:rPr>
        <w:t>Continuación tabla 1</w:t>
      </w:r>
    </w:p>
    <w:p>
      <w:pPr>
        <w:pStyle w:val="BodyText"/>
        <w:spacing w:before="7"/>
        <w:rPr>
          <w:sz w:val="22"/>
        </w:rPr>
      </w:pPr>
    </w:p>
    <w:tbl>
      <w:tblPr>
        <w:tblW w:w="0" w:type="auto"/>
        <w:jc w:val="left"/>
        <w:tblInd w:w="116" w:type="dxa"/>
        <w:tblBorders>
          <w:top w:val="single" w:sz="8" w:space="0" w:color="333333"/>
          <w:left w:val="single" w:sz="8" w:space="0" w:color="333333"/>
          <w:bottom w:val="single" w:sz="8" w:space="0" w:color="333333"/>
          <w:right w:val="single" w:sz="8" w:space="0" w:color="333333"/>
          <w:insideH w:val="single" w:sz="8" w:space="0" w:color="333333"/>
          <w:insideV w:val="single" w:sz="8" w:space="0" w:color="333333"/>
        </w:tblBorders>
        <w:tblLayout w:type="fixed"/>
        <w:tblCellMar>
          <w:top w:w="0" w:type="dxa"/>
          <w:left w:w="0" w:type="dxa"/>
          <w:bottom w:w="0" w:type="dxa"/>
          <w:right w:w="0" w:type="dxa"/>
        </w:tblCellMar>
        <w:tblLook w:val="01E0"/>
      </w:tblPr>
      <w:tblGrid>
        <w:gridCol w:w="2007"/>
        <w:gridCol w:w="2723"/>
        <w:gridCol w:w="4979"/>
        <w:gridCol w:w="3779"/>
      </w:tblGrid>
      <w:tr>
        <w:trPr>
          <w:trHeight w:val="1282" w:hRule="exact"/>
        </w:trPr>
        <w:tc>
          <w:tcPr>
            <w:tcW w:w="2007" w:type="dxa"/>
          </w:tcPr>
          <w:p>
            <w:pPr>
              <w:pStyle w:val="TableParagraph"/>
              <w:tabs>
                <w:tab w:pos="1408" w:val="left" w:leader="none"/>
              </w:tabs>
              <w:spacing w:line="242" w:lineRule="auto"/>
              <w:ind w:left="100" w:right="105"/>
              <w:rPr>
                <w:sz w:val="22"/>
              </w:rPr>
            </w:pPr>
            <w:r>
              <w:rPr>
                <w:spacing w:val="3"/>
                <w:w w:val="85"/>
                <w:sz w:val="22"/>
              </w:rPr>
              <w:t>Domínguez,</w:t>
              <w:tab/>
            </w:r>
            <w:r>
              <w:rPr>
                <w:spacing w:val="3"/>
                <w:w w:val="80"/>
                <w:sz w:val="22"/>
              </w:rPr>
              <w:t>2004. </w:t>
            </w:r>
            <w:r>
              <w:rPr>
                <w:spacing w:val="2"/>
                <w:w w:val="90"/>
                <w:sz w:val="22"/>
              </w:rPr>
              <w:t>Colombia</w:t>
            </w:r>
          </w:p>
        </w:tc>
        <w:tc>
          <w:tcPr>
            <w:tcW w:w="2723" w:type="dxa"/>
          </w:tcPr>
          <w:p>
            <w:pPr>
              <w:pStyle w:val="TableParagraph"/>
              <w:spacing w:line="243" w:lineRule="exact"/>
              <w:ind w:left="100" w:right="718"/>
              <w:rPr>
                <w:sz w:val="22"/>
              </w:rPr>
            </w:pPr>
            <w:r>
              <w:rPr>
                <w:w w:val="90"/>
                <w:sz w:val="22"/>
              </w:rPr>
              <w:t>Hidrológico</w:t>
            </w:r>
          </w:p>
        </w:tc>
        <w:tc>
          <w:tcPr>
            <w:tcW w:w="4979" w:type="dxa"/>
          </w:tcPr>
          <w:p>
            <w:pPr/>
          </w:p>
        </w:tc>
        <w:tc>
          <w:tcPr>
            <w:tcW w:w="3779" w:type="dxa"/>
          </w:tcPr>
          <w:p>
            <w:pPr>
              <w:pStyle w:val="TableParagraph"/>
              <w:ind w:left="100" w:right="108"/>
              <w:jc w:val="both"/>
              <w:rPr>
                <w:sz w:val="22"/>
              </w:rPr>
            </w:pPr>
            <w:r>
              <w:rPr>
                <w:spacing w:val="3"/>
                <w:w w:val="90"/>
                <w:sz w:val="22"/>
              </w:rPr>
              <w:t>Registro </w:t>
            </w:r>
            <w:r>
              <w:rPr>
                <w:w w:val="90"/>
                <w:sz w:val="22"/>
              </w:rPr>
              <w:t>de </w:t>
            </w:r>
            <w:r>
              <w:rPr>
                <w:spacing w:val="3"/>
                <w:w w:val="90"/>
                <w:sz w:val="22"/>
              </w:rPr>
              <w:t>precipitación acumulada, estimación </w:t>
            </w:r>
            <w:r>
              <w:rPr>
                <w:w w:val="90"/>
                <w:sz w:val="22"/>
              </w:rPr>
              <w:t>de la </w:t>
            </w:r>
            <w:r>
              <w:rPr>
                <w:spacing w:val="3"/>
                <w:w w:val="90"/>
                <w:sz w:val="22"/>
              </w:rPr>
              <w:t>cantidad </w:t>
            </w:r>
            <w:r>
              <w:rPr>
                <w:w w:val="90"/>
                <w:sz w:val="22"/>
              </w:rPr>
              <w:t>de </w:t>
            </w:r>
            <w:r>
              <w:rPr>
                <w:spacing w:val="2"/>
                <w:w w:val="90"/>
                <w:sz w:val="22"/>
              </w:rPr>
              <w:t>lluvia </w:t>
            </w:r>
            <w:r>
              <w:rPr>
                <w:spacing w:val="3"/>
                <w:w w:val="90"/>
                <w:sz w:val="22"/>
              </w:rPr>
              <w:t>precipitada </w:t>
            </w:r>
            <w:r>
              <w:rPr>
                <w:w w:val="90"/>
                <w:sz w:val="22"/>
              </w:rPr>
              <w:t>en </w:t>
            </w:r>
            <w:r>
              <w:rPr>
                <w:spacing w:val="2"/>
                <w:w w:val="90"/>
                <w:sz w:val="22"/>
              </w:rPr>
              <w:t>una </w:t>
            </w:r>
            <w:r>
              <w:rPr>
                <w:spacing w:val="3"/>
                <w:w w:val="90"/>
                <w:sz w:val="22"/>
              </w:rPr>
              <w:t>hora. Umbrales </w:t>
            </w:r>
            <w:r>
              <w:rPr>
                <w:w w:val="90"/>
                <w:sz w:val="22"/>
              </w:rPr>
              <w:t>de </w:t>
            </w:r>
            <w:r>
              <w:rPr>
                <w:spacing w:val="2"/>
                <w:w w:val="90"/>
                <w:sz w:val="22"/>
              </w:rPr>
              <w:t>lluvia</w:t>
            </w:r>
            <w:r>
              <w:rPr>
                <w:spacing w:val="-23"/>
                <w:w w:val="90"/>
                <w:sz w:val="22"/>
              </w:rPr>
              <w:t> </w:t>
            </w:r>
            <w:r>
              <w:rPr>
                <w:spacing w:val="3"/>
                <w:w w:val="90"/>
                <w:sz w:val="22"/>
              </w:rPr>
              <w:t>para</w:t>
            </w:r>
            <w:r>
              <w:rPr>
                <w:spacing w:val="-26"/>
                <w:w w:val="90"/>
                <w:sz w:val="22"/>
              </w:rPr>
              <w:t> </w:t>
            </w:r>
            <w:r>
              <w:rPr>
                <w:spacing w:val="3"/>
                <w:w w:val="90"/>
                <w:sz w:val="22"/>
              </w:rPr>
              <w:t>efectos</w:t>
            </w:r>
            <w:r>
              <w:rPr>
                <w:spacing w:val="-23"/>
                <w:w w:val="90"/>
                <w:sz w:val="22"/>
              </w:rPr>
              <w:t> </w:t>
            </w:r>
            <w:r>
              <w:rPr>
                <w:w w:val="90"/>
                <w:sz w:val="22"/>
              </w:rPr>
              <w:t>de</w:t>
            </w:r>
            <w:r>
              <w:rPr>
                <w:spacing w:val="-23"/>
                <w:w w:val="90"/>
                <w:sz w:val="22"/>
              </w:rPr>
              <w:t> </w:t>
            </w:r>
            <w:r>
              <w:rPr>
                <w:spacing w:val="2"/>
                <w:w w:val="90"/>
                <w:sz w:val="22"/>
              </w:rPr>
              <w:t>medir</w:t>
            </w:r>
            <w:r>
              <w:rPr>
                <w:spacing w:val="-23"/>
                <w:w w:val="90"/>
                <w:sz w:val="22"/>
              </w:rPr>
              <w:t> </w:t>
            </w:r>
            <w:r>
              <w:rPr>
                <w:w w:val="90"/>
                <w:sz w:val="22"/>
              </w:rPr>
              <w:t>el</w:t>
            </w:r>
            <w:r>
              <w:rPr>
                <w:spacing w:val="-24"/>
                <w:w w:val="90"/>
                <w:sz w:val="22"/>
              </w:rPr>
              <w:t> </w:t>
            </w:r>
            <w:r>
              <w:rPr>
                <w:spacing w:val="3"/>
                <w:w w:val="90"/>
                <w:sz w:val="22"/>
              </w:rPr>
              <w:t>peligro</w:t>
            </w:r>
            <w:r>
              <w:rPr>
                <w:spacing w:val="-26"/>
                <w:w w:val="90"/>
                <w:sz w:val="22"/>
              </w:rPr>
              <w:t> </w:t>
            </w:r>
            <w:r>
              <w:rPr>
                <w:spacing w:val="2"/>
                <w:w w:val="90"/>
                <w:sz w:val="22"/>
              </w:rPr>
              <w:t>por </w:t>
            </w:r>
            <w:r>
              <w:rPr>
                <w:spacing w:val="3"/>
                <w:w w:val="80"/>
                <w:sz w:val="22"/>
              </w:rPr>
              <w:t>precipitaciones </w:t>
            </w:r>
            <w:r>
              <w:rPr>
                <w:spacing w:val="25"/>
                <w:w w:val="80"/>
                <w:sz w:val="22"/>
              </w:rPr>
              <w:t> </w:t>
            </w:r>
            <w:r>
              <w:rPr>
                <w:spacing w:val="3"/>
                <w:w w:val="80"/>
                <w:sz w:val="22"/>
              </w:rPr>
              <w:t>intensas.</w:t>
            </w:r>
          </w:p>
        </w:tc>
      </w:tr>
      <w:tr>
        <w:trPr>
          <w:trHeight w:val="778" w:hRule="exact"/>
        </w:trPr>
        <w:tc>
          <w:tcPr>
            <w:tcW w:w="2007" w:type="dxa"/>
          </w:tcPr>
          <w:p>
            <w:pPr>
              <w:pStyle w:val="TableParagraph"/>
              <w:spacing w:line="360" w:lineRule="auto"/>
              <w:ind w:left="100" w:right="105"/>
              <w:rPr>
                <w:sz w:val="22"/>
              </w:rPr>
            </w:pPr>
            <w:r>
              <w:rPr>
                <w:w w:val="90"/>
                <w:sz w:val="22"/>
              </w:rPr>
              <w:t>Garnica y Alcántara (2007)</w:t>
            </w:r>
          </w:p>
        </w:tc>
        <w:tc>
          <w:tcPr>
            <w:tcW w:w="2723" w:type="dxa"/>
          </w:tcPr>
          <w:p>
            <w:pPr>
              <w:pStyle w:val="TableParagraph"/>
              <w:spacing w:line="242" w:lineRule="auto"/>
              <w:ind w:left="100" w:right="718"/>
              <w:rPr>
                <w:sz w:val="22"/>
              </w:rPr>
            </w:pPr>
            <w:r>
              <w:rPr>
                <w:w w:val="90"/>
                <w:sz w:val="22"/>
              </w:rPr>
              <w:t>Hidrológico </w:t>
            </w:r>
            <w:r>
              <w:rPr>
                <w:w w:val="85"/>
                <w:sz w:val="22"/>
              </w:rPr>
              <w:t>Evaluación del riesgo</w:t>
            </w:r>
          </w:p>
        </w:tc>
        <w:tc>
          <w:tcPr>
            <w:tcW w:w="4979" w:type="dxa"/>
          </w:tcPr>
          <w:p>
            <w:pPr>
              <w:pStyle w:val="TableParagraph"/>
              <w:spacing w:line="242" w:lineRule="auto"/>
              <w:ind w:left="100" w:right="88"/>
              <w:rPr>
                <w:sz w:val="22"/>
              </w:rPr>
            </w:pPr>
            <w:r>
              <w:rPr>
                <w:w w:val="85"/>
                <w:sz w:val="22"/>
              </w:rPr>
              <w:t>Analizar la vulnerabilidad a los riesgos por inundación en el curso bajo del río Tecolutla, Veracruz.</w:t>
            </w:r>
          </w:p>
        </w:tc>
        <w:tc>
          <w:tcPr>
            <w:tcW w:w="3779" w:type="dxa"/>
          </w:tcPr>
          <w:p>
            <w:pPr>
              <w:pStyle w:val="TableParagraph"/>
              <w:tabs>
                <w:tab w:pos="1010" w:val="left" w:leader="none"/>
                <w:tab w:pos="2289" w:val="left" w:leader="none"/>
                <w:tab w:pos="2586" w:val="left" w:leader="none"/>
              </w:tabs>
              <w:spacing w:line="242" w:lineRule="auto"/>
              <w:ind w:left="100" w:right="110"/>
              <w:rPr>
                <w:sz w:val="22"/>
              </w:rPr>
            </w:pPr>
            <w:r>
              <w:rPr>
                <w:spacing w:val="3"/>
                <w:w w:val="90"/>
                <w:sz w:val="22"/>
              </w:rPr>
              <w:t>Criterios</w:t>
              <w:tab/>
            </w:r>
            <w:r>
              <w:rPr>
                <w:spacing w:val="3"/>
                <w:w w:val="85"/>
                <w:sz w:val="22"/>
              </w:rPr>
              <w:t>morfológicos</w:t>
              <w:tab/>
            </w:r>
            <w:r>
              <w:rPr>
                <w:w w:val="90"/>
                <w:sz w:val="22"/>
              </w:rPr>
              <w:t>y</w:t>
              <w:tab/>
            </w:r>
            <w:r>
              <w:rPr>
                <w:spacing w:val="3"/>
                <w:w w:val="80"/>
                <w:sz w:val="22"/>
              </w:rPr>
              <w:t>estadísticos, </w:t>
            </w:r>
            <w:r>
              <w:rPr>
                <w:spacing w:val="3"/>
                <w:w w:val="85"/>
                <w:sz w:val="22"/>
              </w:rPr>
              <w:t>técnicas</w:t>
            </w:r>
            <w:r>
              <w:rPr>
                <w:spacing w:val="-15"/>
                <w:w w:val="85"/>
                <w:sz w:val="22"/>
              </w:rPr>
              <w:t> </w:t>
            </w:r>
            <w:r>
              <w:rPr>
                <w:w w:val="85"/>
                <w:sz w:val="22"/>
              </w:rPr>
              <w:t>de</w:t>
            </w:r>
            <w:r>
              <w:rPr>
                <w:spacing w:val="-15"/>
                <w:w w:val="85"/>
                <w:sz w:val="22"/>
              </w:rPr>
              <w:t> </w:t>
            </w:r>
            <w:r>
              <w:rPr>
                <w:spacing w:val="3"/>
                <w:w w:val="85"/>
                <w:sz w:val="22"/>
              </w:rPr>
              <w:t>percepción</w:t>
            </w:r>
            <w:r>
              <w:rPr>
                <w:spacing w:val="-15"/>
                <w:w w:val="85"/>
                <w:sz w:val="22"/>
              </w:rPr>
              <w:t> </w:t>
            </w:r>
            <w:r>
              <w:rPr>
                <w:spacing w:val="3"/>
                <w:w w:val="85"/>
                <w:sz w:val="22"/>
              </w:rPr>
              <w:t>remota.</w:t>
            </w:r>
          </w:p>
        </w:tc>
      </w:tr>
      <w:tr>
        <w:trPr>
          <w:trHeight w:val="524" w:hRule="exact"/>
        </w:trPr>
        <w:tc>
          <w:tcPr>
            <w:tcW w:w="2007" w:type="dxa"/>
          </w:tcPr>
          <w:p>
            <w:pPr>
              <w:pStyle w:val="TableParagraph"/>
              <w:spacing w:line="244" w:lineRule="exact"/>
              <w:ind w:left="100" w:right="105"/>
              <w:rPr>
                <w:sz w:val="22"/>
              </w:rPr>
            </w:pPr>
            <w:r>
              <w:rPr>
                <w:w w:val="80"/>
                <w:sz w:val="22"/>
              </w:rPr>
              <w:t>CENAPRED  (2006)</w:t>
            </w:r>
          </w:p>
        </w:tc>
        <w:tc>
          <w:tcPr>
            <w:tcW w:w="2723" w:type="dxa"/>
          </w:tcPr>
          <w:p>
            <w:pPr>
              <w:pStyle w:val="TableParagraph"/>
              <w:spacing w:line="244" w:lineRule="exact"/>
              <w:ind w:left="100" w:right="718"/>
              <w:rPr>
                <w:sz w:val="22"/>
              </w:rPr>
            </w:pPr>
            <w:r>
              <w:rPr>
                <w:w w:val="90"/>
                <w:sz w:val="22"/>
              </w:rPr>
              <w:t>Espacial</w:t>
            </w:r>
          </w:p>
        </w:tc>
        <w:tc>
          <w:tcPr>
            <w:tcW w:w="4979" w:type="dxa"/>
          </w:tcPr>
          <w:p>
            <w:pPr>
              <w:pStyle w:val="TableParagraph"/>
              <w:spacing w:line="242" w:lineRule="auto"/>
              <w:ind w:left="100" w:right="96"/>
              <w:rPr>
                <w:sz w:val="22"/>
              </w:rPr>
            </w:pPr>
            <w:r>
              <w:rPr>
                <w:w w:val="90"/>
                <w:sz w:val="22"/>
              </w:rPr>
              <w:t>Mostrar la manifestación espacial de la estimación del </w:t>
            </w:r>
            <w:r>
              <w:rPr>
                <w:w w:val="85"/>
                <w:sz w:val="22"/>
              </w:rPr>
              <w:t>riesgo por inundaciones</w:t>
            </w:r>
          </w:p>
        </w:tc>
        <w:tc>
          <w:tcPr>
            <w:tcW w:w="3779" w:type="dxa"/>
          </w:tcPr>
          <w:p>
            <w:pPr>
              <w:pStyle w:val="TableParagraph"/>
              <w:spacing w:line="242" w:lineRule="auto"/>
              <w:ind w:left="100" w:right="103"/>
              <w:rPr>
                <w:sz w:val="22"/>
              </w:rPr>
            </w:pPr>
            <w:r>
              <w:rPr>
                <w:spacing w:val="2"/>
                <w:w w:val="90"/>
                <w:sz w:val="22"/>
              </w:rPr>
              <w:t>Datos</w:t>
            </w:r>
            <w:r>
              <w:rPr>
                <w:spacing w:val="-33"/>
                <w:w w:val="90"/>
                <w:sz w:val="22"/>
              </w:rPr>
              <w:t> </w:t>
            </w:r>
            <w:r>
              <w:rPr>
                <w:w w:val="90"/>
                <w:sz w:val="22"/>
              </w:rPr>
              <w:t>de</w:t>
            </w:r>
            <w:r>
              <w:rPr>
                <w:spacing w:val="-33"/>
                <w:w w:val="90"/>
                <w:sz w:val="22"/>
              </w:rPr>
              <w:t> </w:t>
            </w:r>
            <w:r>
              <w:rPr>
                <w:spacing w:val="3"/>
                <w:w w:val="90"/>
                <w:sz w:val="22"/>
              </w:rPr>
              <w:t>precipitación</w:t>
            </w:r>
            <w:r>
              <w:rPr>
                <w:spacing w:val="-33"/>
                <w:w w:val="90"/>
                <w:sz w:val="22"/>
              </w:rPr>
              <w:t> </w:t>
            </w:r>
            <w:r>
              <w:rPr>
                <w:w w:val="90"/>
                <w:sz w:val="22"/>
              </w:rPr>
              <w:t>de</w:t>
            </w:r>
            <w:r>
              <w:rPr>
                <w:spacing w:val="-33"/>
                <w:w w:val="90"/>
                <w:sz w:val="22"/>
              </w:rPr>
              <w:t> </w:t>
            </w:r>
            <w:r>
              <w:rPr>
                <w:spacing w:val="2"/>
                <w:w w:val="90"/>
                <w:sz w:val="22"/>
              </w:rPr>
              <w:t>más</w:t>
            </w:r>
            <w:r>
              <w:rPr>
                <w:spacing w:val="-33"/>
                <w:w w:val="90"/>
                <w:sz w:val="22"/>
              </w:rPr>
              <w:t> </w:t>
            </w:r>
            <w:r>
              <w:rPr>
                <w:w w:val="90"/>
                <w:sz w:val="22"/>
              </w:rPr>
              <w:t>de</w:t>
            </w:r>
            <w:r>
              <w:rPr>
                <w:spacing w:val="-31"/>
                <w:w w:val="90"/>
                <w:sz w:val="22"/>
              </w:rPr>
              <w:t> </w:t>
            </w:r>
            <w:r>
              <w:rPr>
                <w:w w:val="90"/>
                <w:sz w:val="22"/>
              </w:rPr>
              <w:t>20</w:t>
            </w:r>
            <w:r>
              <w:rPr>
                <w:spacing w:val="-33"/>
                <w:w w:val="90"/>
                <w:sz w:val="22"/>
              </w:rPr>
              <w:t> </w:t>
            </w:r>
            <w:r>
              <w:rPr>
                <w:spacing w:val="3"/>
                <w:w w:val="90"/>
                <w:sz w:val="22"/>
              </w:rPr>
              <w:t>años </w:t>
            </w:r>
            <w:r>
              <w:rPr>
                <w:spacing w:val="2"/>
                <w:w w:val="85"/>
                <w:sz w:val="22"/>
              </w:rPr>
              <w:t>Mapas</w:t>
            </w:r>
            <w:r>
              <w:rPr>
                <w:spacing w:val="-12"/>
                <w:w w:val="85"/>
                <w:sz w:val="22"/>
              </w:rPr>
              <w:t> </w:t>
            </w:r>
            <w:r>
              <w:rPr>
                <w:w w:val="85"/>
                <w:sz w:val="22"/>
              </w:rPr>
              <w:t>de</w:t>
            </w:r>
            <w:r>
              <w:rPr>
                <w:spacing w:val="-12"/>
                <w:w w:val="85"/>
                <w:sz w:val="22"/>
              </w:rPr>
              <w:t> </w:t>
            </w:r>
            <w:r>
              <w:rPr>
                <w:spacing w:val="3"/>
                <w:w w:val="85"/>
                <w:sz w:val="22"/>
              </w:rPr>
              <w:t>peligro</w:t>
            </w:r>
            <w:r>
              <w:rPr>
                <w:spacing w:val="-12"/>
                <w:w w:val="85"/>
                <w:sz w:val="22"/>
              </w:rPr>
              <w:t> </w:t>
            </w:r>
            <w:r>
              <w:rPr>
                <w:spacing w:val="2"/>
                <w:w w:val="85"/>
                <w:sz w:val="22"/>
              </w:rPr>
              <w:t>por</w:t>
            </w:r>
            <w:r>
              <w:rPr>
                <w:spacing w:val="-11"/>
                <w:w w:val="85"/>
                <w:sz w:val="22"/>
              </w:rPr>
              <w:t> </w:t>
            </w:r>
            <w:r>
              <w:rPr>
                <w:spacing w:val="3"/>
                <w:w w:val="85"/>
                <w:sz w:val="22"/>
              </w:rPr>
              <w:t>precipitaciones</w:t>
            </w:r>
          </w:p>
        </w:tc>
      </w:tr>
      <w:tr>
        <w:trPr>
          <w:trHeight w:val="2545" w:hRule="exact"/>
        </w:trPr>
        <w:tc>
          <w:tcPr>
            <w:tcW w:w="2007" w:type="dxa"/>
          </w:tcPr>
          <w:p>
            <w:pPr>
              <w:pStyle w:val="TableParagraph"/>
              <w:spacing w:line="360" w:lineRule="auto"/>
              <w:ind w:left="100"/>
              <w:rPr>
                <w:sz w:val="22"/>
              </w:rPr>
            </w:pPr>
            <w:r>
              <w:rPr>
                <w:w w:val="90"/>
                <w:sz w:val="22"/>
              </w:rPr>
              <w:t>Talamantes y Gurría (2010),</w:t>
            </w:r>
          </w:p>
        </w:tc>
        <w:tc>
          <w:tcPr>
            <w:tcW w:w="2723" w:type="dxa"/>
          </w:tcPr>
          <w:p>
            <w:pPr>
              <w:pStyle w:val="TableParagraph"/>
              <w:spacing w:line="243" w:lineRule="exact"/>
              <w:ind w:left="100" w:right="718"/>
              <w:rPr>
                <w:sz w:val="22"/>
              </w:rPr>
            </w:pPr>
            <w:r>
              <w:rPr>
                <w:w w:val="90"/>
                <w:sz w:val="22"/>
              </w:rPr>
              <w:t>Vulnerabilidad</w:t>
            </w:r>
          </w:p>
        </w:tc>
        <w:tc>
          <w:tcPr>
            <w:tcW w:w="4979" w:type="dxa"/>
          </w:tcPr>
          <w:p>
            <w:pPr>
              <w:pStyle w:val="TableParagraph"/>
              <w:spacing w:line="242" w:lineRule="auto"/>
              <w:ind w:left="100" w:right="93"/>
              <w:rPr>
                <w:sz w:val="22"/>
              </w:rPr>
            </w:pPr>
            <w:r>
              <w:rPr>
                <w:w w:val="90"/>
                <w:sz w:val="22"/>
              </w:rPr>
              <w:t>Analizar</w:t>
            </w:r>
            <w:r>
              <w:rPr>
                <w:spacing w:val="-21"/>
                <w:w w:val="90"/>
                <w:sz w:val="22"/>
              </w:rPr>
              <w:t> </w:t>
            </w:r>
            <w:r>
              <w:rPr>
                <w:w w:val="90"/>
                <w:sz w:val="22"/>
              </w:rPr>
              <w:t>la</w:t>
            </w:r>
            <w:r>
              <w:rPr>
                <w:spacing w:val="-20"/>
                <w:w w:val="90"/>
                <w:sz w:val="22"/>
              </w:rPr>
              <w:t> </w:t>
            </w:r>
            <w:r>
              <w:rPr>
                <w:w w:val="90"/>
                <w:sz w:val="22"/>
              </w:rPr>
              <w:t>de</w:t>
            </w:r>
            <w:r>
              <w:rPr>
                <w:spacing w:val="-20"/>
                <w:w w:val="90"/>
                <w:sz w:val="22"/>
              </w:rPr>
              <w:t> </w:t>
            </w:r>
            <w:r>
              <w:rPr>
                <w:w w:val="90"/>
                <w:sz w:val="22"/>
              </w:rPr>
              <w:t>incidencia</w:t>
            </w:r>
            <w:r>
              <w:rPr>
                <w:spacing w:val="-20"/>
                <w:w w:val="90"/>
                <w:sz w:val="22"/>
              </w:rPr>
              <w:t> </w:t>
            </w:r>
            <w:r>
              <w:rPr>
                <w:w w:val="90"/>
                <w:sz w:val="22"/>
              </w:rPr>
              <w:t>de</w:t>
            </w:r>
            <w:r>
              <w:rPr>
                <w:spacing w:val="-22"/>
                <w:w w:val="90"/>
                <w:sz w:val="22"/>
              </w:rPr>
              <w:t> </w:t>
            </w:r>
            <w:r>
              <w:rPr>
                <w:w w:val="90"/>
                <w:sz w:val="22"/>
              </w:rPr>
              <w:t>avenidas</w:t>
            </w:r>
            <w:r>
              <w:rPr>
                <w:spacing w:val="-20"/>
                <w:w w:val="90"/>
                <w:sz w:val="22"/>
              </w:rPr>
              <w:t> </w:t>
            </w:r>
            <w:r>
              <w:rPr>
                <w:w w:val="90"/>
                <w:sz w:val="22"/>
              </w:rPr>
              <w:t>catastróficas</w:t>
            </w:r>
            <w:r>
              <w:rPr>
                <w:spacing w:val="-20"/>
                <w:w w:val="90"/>
                <w:sz w:val="22"/>
              </w:rPr>
              <w:t> </w:t>
            </w:r>
            <w:r>
              <w:rPr>
                <w:w w:val="90"/>
                <w:sz w:val="22"/>
              </w:rPr>
              <w:t>en</w:t>
            </w:r>
            <w:r>
              <w:rPr>
                <w:spacing w:val="-20"/>
                <w:w w:val="90"/>
                <w:sz w:val="22"/>
              </w:rPr>
              <w:t> </w:t>
            </w:r>
            <w:r>
              <w:rPr>
                <w:w w:val="90"/>
                <w:sz w:val="22"/>
              </w:rPr>
              <w:t>la </w:t>
            </w:r>
            <w:r>
              <w:rPr>
                <w:w w:val="85"/>
                <w:sz w:val="22"/>
              </w:rPr>
              <w:t>cuenca</w:t>
            </w:r>
            <w:r>
              <w:rPr>
                <w:spacing w:val="-24"/>
                <w:w w:val="85"/>
                <w:sz w:val="22"/>
              </w:rPr>
              <w:t> </w:t>
            </w:r>
            <w:r>
              <w:rPr>
                <w:w w:val="85"/>
                <w:sz w:val="22"/>
              </w:rPr>
              <w:t>del</w:t>
            </w:r>
            <w:r>
              <w:rPr>
                <w:spacing w:val="-26"/>
                <w:w w:val="85"/>
                <w:sz w:val="22"/>
              </w:rPr>
              <w:t> </w:t>
            </w:r>
            <w:r>
              <w:rPr>
                <w:w w:val="85"/>
                <w:sz w:val="22"/>
              </w:rPr>
              <w:t>río</w:t>
            </w:r>
            <w:r>
              <w:rPr>
                <w:spacing w:val="-24"/>
                <w:w w:val="85"/>
                <w:sz w:val="22"/>
              </w:rPr>
              <w:t> </w:t>
            </w:r>
            <w:r>
              <w:rPr>
                <w:w w:val="85"/>
                <w:sz w:val="22"/>
              </w:rPr>
              <w:t>Blanco,</w:t>
            </w:r>
            <w:r>
              <w:rPr>
                <w:spacing w:val="-26"/>
                <w:w w:val="85"/>
                <w:sz w:val="22"/>
              </w:rPr>
              <w:t> </w:t>
            </w:r>
            <w:r>
              <w:rPr>
                <w:w w:val="85"/>
                <w:sz w:val="22"/>
              </w:rPr>
              <w:t>Veracruz</w:t>
            </w:r>
          </w:p>
        </w:tc>
        <w:tc>
          <w:tcPr>
            <w:tcW w:w="3779" w:type="dxa"/>
          </w:tcPr>
          <w:p>
            <w:pPr>
              <w:pStyle w:val="TableParagraph"/>
              <w:spacing w:line="242" w:lineRule="auto"/>
              <w:ind w:left="100" w:right="89"/>
              <w:rPr>
                <w:sz w:val="22"/>
              </w:rPr>
            </w:pPr>
            <w:r>
              <w:rPr>
                <w:w w:val="90"/>
                <w:sz w:val="22"/>
              </w:rPr>
              <w:t>Zonas</w:t>
            </w:r>
            <w:r>
              <w:rPr>
                <w:spacing w:val="-39"/>
                <w:w w:val="90"/>
                <w:sz w:val="22"/>
              </w:rPr>
              <w:t> </w:t>
            </w:r>
            <w:r>
              <w:rPr>
                <w:w w:val="90"/>
                <w:sz w:val="22"/>
              </w:rPr>
              <w:t>de</w:t>
            </w:r>
            <w:r>
              <w:rPr>
                <w:spacing w:val="-39"/>
                <w:w w:val="90"/>
                <w:sz w:val="22"/>
              </w:rPr>
              <w:t> </w:t>
            </w:r>
            <w:r>
              <w:rPr>
                <w:w w:val="90"/>
                <w:sz w:val="22"/>
              </w:rPr>
              <w:t>inicio</w:t>
            </w:r>
            <w:r>
              <w:rPr>
                <w:spacing w:val="-39"/>
                <w:w w:val="90"/>
                <w:sz w:val="22"/>
              </w:rPr>
              <w:t> </w:t>
            </w:r>
            <w:r>
              <w:rPr>
                <w:w w:val="90"/>
                <w:sz w:val="22"/>
              </w:rPr>
              <w:t>de</w:t>
            </w:r>
            <w:r>
              <w:rPr>
                <w:spacing w:val="-39"/>
                <w:w w:val="90"/>
                <w:sz w:val="22"/>
              </w:rPr>
              <w:t> </w:t>
            </w:r>
            <w:r>
              <w:rPr>
                <w:w w:val="90"/>
                <w:sz w:val="22"/>
              </w:rPr>
              <w:t>avenidas</w:t>
            </w:r>
            <w:r>
              <w:rPr>
                <w:spacing w:val="-39"/>
                <w:w w:val="90"/>
                <w:sz w:val="22"/>
              </w:rPr>
              <w:t> </w:t>
            </w:r>
            <w:r>
              <w:rPr>
                <w:w w:val="90"/>
                <w:sz w:val="22"/>
              </w:rPr>
              <w:t>catastróficas. </w:t>
            </w:r>
            <w:r>
              <w:rPr>
                <w:w w:val="85"/>
                <w:sz w:val="22"/>
              </w:rPr>
              <w:t>Condiciones</w:t>
            </w:r>
            <w:r>
              <w:rPr>
                <w:spacing w:val="-27"/>
                <w:w w:val="85"/>
                <w:sz w:val="22"/>
              </w:rPr>
              <w:t> </w:t>
            </w:r>
            <w:r>
              <w:rPr>
                <w:w w:val="85"/>
                <w:sz w:val="22"/>
              </w:rPr>
              <w:t>de</w:t>
            </w:r>
            <w:r>
              <w:rPr>
                <w:spacing w:val="-28"/>
                <w:w w:val="85"/>
                <w:sz w:val="22"/>
              </w:rPr>
              <w:t> </w:t>
            </w:r>
            <w:r>
              <w:rPr>
                <w:w w:val="85"/>
                <w:sz w:val="22"/>
              </w:rPr>
              <w:t>degradación</w:t>
            </w:r>
            <w:r>
              <w:rPr>
                <w:spacing w:val="-28"/>
                <w:w w:val="85"/>
                <w:sz w:val="22"/>
              </w:rPr>
              <w:t> </w:t>
            </w:r>
            <w:r>
              <w:rPr>
                <w:w w:val="85"/>
                <w:sz w:val="22"/>
              </w:rPr>
              <w:t>en</w:t>
            </w:r>
            <w:r>
              <w:rPr>
                <w:spacing w:val="-25"/>
                <w:w w:val="85"/>
                <w:sz w:val="22"/>
              </w:rPr>
              <w:t> </w:t>
            </w:r>
            <w:r>
              <w:rPr>
                <w:w w:val="85"/>
                <w:sz w:val="22"/>
              </w:rPr>
              <w:t>cada</w:t>
            </w:r>
            <w:r>
              <w:rPr>
                <w:spacing w:val="-28"/>
                <w:w w:val="85"/>
                <w:sz w:val="22"/>
              </w:rPr>
              <w:t> </w:t>
            </w:r>
            <w:r>
              <w:rPr>
                <w:w w:val="85"/>
                <w:sz w:val="22"/>
              </w:rPr>
              <w:t>una</w:t>
            </w:r>
            <w:r>
              <w:rPr>
                <w:spacing w:val="-25"/>
                <w:w w:val="85"/>
                <w:sz w:val="22"/>
              </w:rPr>
              <w:t> </w:t>
            </w:r>
            <w:r>
              <w:rPr>
                <w:w w:val="85"/>
                <w:sz w:val="22"/>
              </w:rPr>
              <w:t>de </w:t>
            </w:r>
            <w:r>
              <w:rPr>
                <w:w w:val="80"/>
                <w:sz w:val="22"/>
              </w:rPr>
              <w:t>las</w:t>
            </w:r>
            <w:r>
              <w:rPr>
                <w:spacing w:val="32"/>
                <w:w w:val="80"/>
                <w:sz w:val="22"/>
              </w:rPr>
              <w:t> </w:t>
            </w:r>
            <w:r>
              <w:rPr>
                <w:w w:val="80"/>
                <w:sz w:val="22"/>
              </w:rPr>
              <w:t>subcuencas.</w:t>
            </w:r>
          </w:p>
          <w:p>
            <w:pPr>
              <w:pStyle w:val="TableParagraph"/>
              <w:tabs>
                <w:tab w:pos="1486" w:val="left" w:leader="none"/>
                <w:tab w:pos="1788" w:val="left" w:leader="none"/>
                <w:tab w:pos="2138" w:val="left" w:leader="none"/>
                <w:tab w:pos="3462" w:val="left" w:leader="none"/>
              </w:tabs>
              <w:spacing w:line="242" w:lineRule="auto"/>
              <w:ind w:left="100" w:right="93"/>
              <w:rPr>
                <w:sz w:val="22"/>
              </w:rPr>
            </w:pPr>
            <w:r>
              <w:rPr>
                <w:w w:val="85"/>
                <w:sz w:val="22"/>
              </w:rPr>
              <w:t>Jerarquización</w:t>
              <w:tab/>
            </w:r>
            <w:r>
              <w:rPr>
                <w:w w:val="90"/>
                <w:sz w:val="22"/>
              </w:rPr>
              <w:t>y</w:t>
              <w:tab/>
              <w:t>la</w:t>
              <w:tab/>
            </w:r>
            <w:r>
              <w:rPr>
                <w:w w:val="85"/>
                <w:sz w:val="22"/>
              </w:rPr>
              <w:t>superposición</w:t>
              <w:tab/>
            </w:r>
            <w:r>
              <w:rPr>
                <w:w w:val="80"/>
                <w:sz w:val="22"/>
              </w:rPr>
              <w:t>de diferentes</w:t>
            </w:r>
            <w:r>
              <w:rPr>
                <w:spacing w:val="41"/>
                <w:w w:val="80"/>
                <w:sz w:val="22"/>
              </w:rPr>
              <w:t> </w:t>
            </w:r>
            <w:r>
              <w:rPr>
                <w:w w:val="80"/>
                <w:sz w:val="22"/>
              </w:rPr>
              <w:t>parámetros.</w:t>
            </w:r>
          </w:p>
          <w:p>
            <w:pPr>
              <w:pStyle w:val="TableParagraph"/>
              <w:spacing w:line="242" w:lineRule="auto"/>
              <w:ind w:left="100" w:right="373"/>
              <w:rPr>
                <w:sz w:val="22"/>
              </w:rPr>
            </w:pPr>
            <w:r>
              <w:rPr>
                <w:w w:val="80"/>
                <w:sz w:val="22"/>
              </w:rPr>
              <w:t>Delimitación de microcuencas Condiciones climáticas</w:t>
            </w:r>
          </w:p>
          <w:p>
            <w:pPr>
              <w:pStyle w:val="TableParagraph"/>
              <w:ind w:left="100" w:right="92"/>
              <w:jc w:val="both"/>
              <w:rPr>
                <w:sz w:val="22"/>
              </w:rPr>
            </w:pPr>
            <w:r>
              <w:rPr>
                <w:w w:val="90"/>
                <w:sz w:val="22"/>
              </w:rPr>
              <w:t>Uso</w:t>
            </w:r>
            <w:r>
              <w:rPr>
                <w:spacing w:val="-20"/>
                <w:w w:val="90"/>
                <w:sz w:val="22"/>
              </w:rPr>
              <w:t> </w:t>
            </w:r>
            <w:r>
              <w:rPr>
                <w:w w:val="90"/>
                <w:sz w:val="22"/>
              </w:rPr>
              <w:t>del</w:t>
            </w:r>
            <w:r>
              <w:rPr>
                <w:spacing w:val="-21"/>
                <w:w w:val="90"/>
                <w:sz w:val="22"/>
              </w:rPr>
              <w:t> </w:t>
            </w:r>
            <w:r>
              <w:rPr>
                <w:w w:val="90"/>
                <w:sz w:val="22"/>
              </w:rPr>
              <w:t>suelo,</w:t>
            </w:r>
            <w:r>
              <w:rPr>
                <w:spacing w:val="-21"/>
                <w:w w:val="90"/>
                <w:sz w:val="22"/>
              </w:rPr>
              <w:t> </w:t>
            </w:r>
            <w:r>
              <w:rPr>
                <w:w w:val="90"/>
                <w:sz w:val="22"/>
              </w:rPr>
              <w:t>pendiente</w:t>
            </w:r>
            <w:r>
              <w:rPr>
                <w:spacing w:val="-20"/>
                <w:w w:val="90"/>
                <w:sz w:val="22"/>
              </w:rPr>
              <w:t> </w:t>
            </w:r>
            <w:r>
              <w:rPr>
                <w:w w:val="90"/>
                <w:sz w:val="22"/>
              </w:rPr>
              <w:t>del</w:t>
            </w:r>
            <w:r>
              <w:rPr>
                <w:spacing w:val="-19"/>
                <w:w w:val="90"/>
                <w:sz w:val="22"/>
              </w:rPr>
              <w:t> </w:t>
            </w:r>
            <w:r>
              <w:rPr>
                <w:w w:val="90"/>
                <w:sz w:val="22"/>
              </w:rPr>
              <w:t>terreno</w:t>
            </w:r>
            <w:r>
              <w:rPr>
                <w:spacing w:val="-20"/>
                <w:w w:val="90"/>
                <w:sz w:val="22"/>
              </w:rPr>
              <w:t> </w:t>
            </w:r>
            <w:r>
              <w:rPr>
                <w:w w:val="90"/>
                <w:sz w:val="22"/>
              </w:rPr>
              <w:t>y</w:t>
            </w:r>
            <w:r>
              <w:rPr>
                <w:spacing w:val="-20"/>
                <w:w w:val="90"/>
                <w:sz w:val="22"/>
              </w:rPr>
              <w:t> </w:t>
            </w:r>
            <w:r>
              <w:rPr>
                <w:w w:val="90"/>
                <w:sz w:val="22"/>
              </w:rPr>
              <w:t>sus efecto en el tiempo de respuesta de la </w:t>
            </w:r>
            <w:r>
              <w:rPr>
                <w:w w:val="80"/>
                <w:sz w:val="22"/>
              </w:rPr>
              <w:t>cuenca</w:t>
            </w:r>
            <w:r>
              <w:rPr>
                <w:spacing w:val="35"/>
                <w:w w:val="80"/>
                <w:sz w:val="22"/>
              </w:rPr>
              <w:t> </w:t>
            </w:r>
            <w:r>
              <w:rPr>
                <w:w w:val="80"/>
                <w:sz w:val="22"/>
              </w:rPr>
              <w:t>hidrográfica.</w:t>
            </w:r>
          </w:p>
        </w:tc>
      </w:tr>
      <w:tr>
        <w:trPr>
          <w:trHeight w:val="2550" w:hRule="exact"/>
        </w:trPr>
        <w:tc>
          <w:tcPr>
            <w:tcW w:w="2007" w:type="dxa"/>
          </w:tcPr>
          <w:p>
            <w:pPr>
              <w:pStyle w:val="TableParagraph"/>
              <w:spacing w:line="242" w:lineRule="auto"/>
              <w:ind w:left="100" w:right="105"/>
              <w:rPr>
                <w:sz w:val="22"/>
              </w:rPr>
            </w:pPr>
            <w:r>
              <w:rPr>
                <w:w w:val="90"/>
                <w:sz w:val="22"/>
              </w:rPr>
              <w:t>Cardona (2005) </w:t>
            </w:r>
            <w:r>
              <w:rPr>
                <w:w w:val="80"/>
                <w:sz w:val="22"/>
              </w:rPr>
              <w:t>Banco Interamericano </w:t>
            </w:r>
            <w:r>
              <w:rPr>
                <w:w w:val="85"/>
                <w:sz w:val="22"/>
              </w:rPr>
              <w:t>de Desarrollo (BID)</w:t>
            </w:r>
          </w:p>
        </w:tc>
        <w:tc>
          <w:tcPr>
            <w:tcW w:w="2723" w:type="dxa"/>
          </w:tcPr>
          <w:p>
            <w:pPr>
              <w:pStyle w:val="TableParagraph"/>
              <w:spacing w:line="243" w:lineRule="exact"/>
              <w:ind w:left="100" w:right="718"/>
              <w:rPr>
                <w:sz w:val="22"/>
              </w:rPr>
            </w:pPr>
            <w:r>
              <w:rPr>
                <w:w w:val="80"/>
                <w:sz w:val="22"/>
              </w:rPr>
              <w:t>Metodológico  general</w:t>
            </w:r>
          </w:p>
        </w:tc>
        <w:tc>
          <w:tcPr>
            <w:tcW w:w="4979" w:type="dxa"/>
          </w:tcPr>
          <w:p>
            <w:pPr>
              <w:pStyle w:val="TableParagraph"/>
              <w:spacing w:line="243" w:lineRule="exact"/>
              <w:ind w:left="100" w:right="88"/>
              <w:rPr>
                <w:sz w:val="22"/>
              </w:rPr>
            </w:pPr>
            <w:r>
              <w:rPr>
                <w:w w:val="85"/>
                <w:sz w:val="22"/>
              </w:rPr>
              <w:t>Prevenir y mitigar los desastres</w:t>
            </w:r>
          </w:p>
        </w:tc>
        <w:tc>
          <w:tcPr>
            <w:tcW w:w="3779" w:type="dxa"/>
          </w:tcPr>
          <w:p>
            <w:pPr>
              <w:pStyle w:val="TableParagraph"/>
              <w:tabs>
                <w:tab w:pos="1151" w:val="left" w:leader="none"/>
                <w:tab w:pos="1266" w:val="left" w:leader="none"/>
                <w:tab w:pos="2038" w:val="left" w:leader="none"/>
                <w:tab w:pos="2359" w:val="left" w:leader="none"/>
                <w:tab w:pos="2520" w:val="left" w:leader="none"/>
                <w:tab w:pos="3461" w:val="left" w:leader="none"/>
                <w:tab w:pos="3520" w:val="left" w:leader="none"/>
              </w:tabs>
              <w:ind w:left="100" w:right="95"/>
              <w:rPr>
                <w:sz w:val="22"/>
              </w:rPr>
            </w:pPr>
            <w:r>
              <w:rPr>
                <w:w w:val="90"/>
                <w:sz w:val="22"/>
              </w:rPr>
              <w:t>Índice</w:t>
            </w:r>
            <w:r>
              <w:rPr>
                <w:spacing w:val="-36"/>
                <w:w w:val="90"/>
                <w:sz w:val="22"/>
              </w:rPr>
              <w:t> </w:t>
            </w:r>
            <w:r>
              <w:rPr>
                <w:w w:val="90"/>
                <w:sz w:val="22"/>
              </w:rPr>
              <w:t>de</w:t>
            </w:r>
            <w:r>
              <w:rPr>
                <w:spacing w:val="-36"/>
                <w:w w:val="90"/>
                <w:sz w:val="22"/>
              </w:rPr>
              <w:t> </w:t>
            </w:r>
            <w:r>
              <w:rPr>
                <w:w w:val="90"/>
                <w:sz w:val="22"/>
              </w:rPr>
              <w:t>vulnerabilidad</w:t>
            </w:r>
            <w:r>
              <w:rPr>
                <w:spacing w:val="-36"/>
                <w:w w:val="90"/>
                <w:sz w:val="22"/>
              </w:rPr>
              <w:t> </w:t>
            </w:r>
            <w:r>
              <w:rPr>
                <w:w w:val="90"/>
                <w:sz w:val="22"/>
              </w:rPr>
              <w:t>prevalerte</w:t>
            </w:r>
            <w:r>
              <w:rPr>
                <w:spacing w:val="-36"/>
                <w:w w:val="90"/>
                <w:sz w:val="22"/>
              </w:rPr>
              <w:t> </w:t>
            </w:r>
            <w:r>
              <w:rPr>
                <w:w w:val="90"/>
                <w:sz w:val="22"/>
              </w:rPr>
              <w:t>(PVI). </w:t>
            </w:r>
            <w:r>
              <w:rPr>
                <w:w w:val="85"/>
                <w:sz w:val="22"/>
              </w:rPr>
              <w:t>Crecimiento</w:t>
              <w:tab/>
              <w:tab/>
            </w:r>
            <w:r>
              <w:rPr>
                <w:w w:val="80"/>
                <w:sz w:val="22"/>
              </w:rPr>
              <w:t>demográfico,</w:t>
              <w:tab/>
              <w:tab/>
            </w:r>
            <w:r>
              <w:rPr>
                <w:w w:val="90"/>
                <w:sz w:val="22"/>
              </w:rPr>
              <w:t>densidad</w:t>
              <w:tab/>
            </w:r>
            <w:r>
              <w:rPr>
                <w:w w:val="80"/>
                <w:sz w:val="22"/>
              </w:rPr>
              <w:t>de </w:t>
            </w:r>
            <w:r>
              <w:rPr>
                <w:w w:val="90"/>
                <w:sz w:val="22"/>
              </w:rPr>
              <w:t>población,</w:t>
              <w:tab/>
              <w:t>pobreza</w:t>
              <w:tab/>
              <w:t>y</w:t>
              <w:tab/>
            </w:r>
            <w:r>
              <w:rPr>
                <w:w w:val="85"/>
                <w:sz w:val="22"/>
              </w:rPr>
              <w:t>desempleo,</w:t>
              <w:tab/>
              <w:tab/>
            </w:r>
            <w:r>
              <w:rPr>
                <w:w w:val="80"/>
                <w:sz w:val="22"/>
              </w:rPr>
              <w:t>la </w:t>
            </w:r>
            <w:r>
              <w:rPr>
                <w:w w:val="90"/>
                <w:sz w:val="22"/>
              </w:rPr>
              <w:t>degradación del suelo, el equilibrio de género, el gasto social y el seguro de la </w:t>
            </w:r>
            <w:r>
              <w:rPr>
                <w:w w:val="85"/>
                <w:sz w:val="22"/>
              </w:rPr>
              <w:t>infraestructura</w:t>
            </w:r>
            <w:r>
              <w:rPr>
                <w:spacing w:val="-31"/>
                <w:w w:val="85"/>
                <w:sz w:val="22"/>
              </w:rPr>
              <w:t> </w:t>
            </w:r>
            <w:r>
              <w:rPr>
                <w:w w:val="85"/>
                <w:sz w:val="22"/>
              </w:rPr>
              <w:t>y</w:t>
            </w:r>
            <w:r>
              <w:rPr>
                <w:spacing w:val="-31"/>
                <w:w w:val="85"/>
                <w:sz w:val="22"/>
              </w:rPr>
              <w:t> </w:t>
            </w:r>
            <w:r>
              <w:rPr>
                <w:w w:val="85"/>
                <w:sz w:val="22"/>
              </w:rPr>
              <w:t>la</w:t>
            </w:r>
            <w:r>
              <w:rPr>
                <w:spacing w:val="-31"/>
                <w:w w:val="85"/>
                <w:sz w:val="22"/>
              </w:rPr>
              <w:t> </w:t>
            </w:r>
            <w:r>
              <w:rPr>
                <w:w w:val="85"/>
                <w:sz w:val="22"/>
              </w:rPr>
              <w:t>vivienda.</w:t>
            </w:r>
          </w:p>
          <w:p>
            <w:pPr>
              <w:pStyle w:val="TableParagraph"/>
              <w:spacing w:before="1"/>
              <w:ind w:left="100" w:right="89"/>
              <w:rPr>
                <w:sz w:val="22"/>
              </w:rPr>
            </w:pPr>
            <w:r>
              <w:rPr>
                <w:w w:val="85"/>
                <w:sz w:val="22"/>
              </w:rPr>
              <w:t>Índice</w:t>
            </w:r>
            <w:r>
              <w:rPr>
                <w:spacing w:val="-19"/>
                <w:w w:val="85"/>
                <w:sz w:val="22"/>
              </w:rPr>
              <w:t> </w:t>
            </w:r>
            <w:r>
              <w:rPr>
                <w:w w:val="85"/>
                <w:sz w:val="22"/>
              </w:rPr>
              <w:t>de</w:t>
            </w:r>
            <w:r>
              <w:rPr>
                <w:spacing w:val="-19"/>
                <w:w w:val="85"/>
                <w:sz w:val="22"/>
              </w:rPr>
              <w:t> </w:t>
            </w:r>
            <w:r>
              <w:rPr>
                <w:w w:val="85"/>
                <w:sz w:val="22"/>
              </w:rPr>
              <w:t>gestión</w:t>
            </w:r>
            <w:r>
              <w:rPr>
                <w:spacing w:val="-19"/>
                <w:w w:val="85"/>
                <w:sz w:val="22"/>
              </w:rPr>
              <w:t> </w:t>
            </w:r>
            <w:r>
              <w:rPr>
                <w:w w:val="85"/>
                <w:sz w:val="22"/>
              </w:rPr>
              <w:t>de</w:t>
            </w:r>
            <w:r>
              <w:rPr>
                <w:spacing w:val="-19"/>
                <w:w w:val="85"/>
                <w:sz w:val="22"/>
              </w:rPr>
              <w:t> </w:t>
            </w:r>
            <w:r>
              <w:rPr>
                <w:w w:val="85"/>
                <w:sz w:val="22"/>
              </w:rPr>
              <w:t>riesgos</w:t>
            </w:r>
            <w:r>
              <w:rPr>
                <w:spacing w:val="-18"/>
                <w:w w:val="85"/>
                <w:sz w:val="22"/>
              </w:rPr>
              <w:t> </w:t>
            </w:r>
            <w:r>
              <w:rPr>
                <w:w w:val="85"/>
                <w:sz w:val="22"/>
              </w:rPr>
              <w:t>ante</w:t>
            </w:r>
            <w:r>
              <w:rPr>
                <w:spacing w:val="-15"/>
                <w:w w:val="85"/>
                <w:sz w:val="22"/>
              </w:rPr>
              <w:t> </w:t>
            </w:r>
            <w:r>
              <w:rPr>
                <w:w w:val="85"/>
                <w:sz w:val="22"/>
              </w:rPr>
              <w:t>desastres. </w:t>
            </w:r>
            <w:r>
              <w:rPr>
                <w:w w:val="80"/>
                <w:sz w:val="22"/>
              </w:rPr>
              <w:t>Protección</w:t>
            </w:r>
            <w:r>
              <w:rPr>
                <w:spacing w:val="36"/>
                <w:w w:val="80"/>
                <w:sz w:val="22"/>
              </w:rPr>
              <w:t> </w:t>
            </w:r>
            <w:r>
              <w:rPr>
                <w:w w:val="80"/>
                <w:sz w:val="22"/>
              </w:rPr>
              <w:t>financiera.</w:t>
            </w:r>
          </w:p>
          <w:p>
            <w:pPr>
              <w:pStyle w:val="TableParagraph"/>
              <w:spacing w:line="242" w:lineRule="auto"/>
              <w:ind w:left="100" w:right="87"/>
              <w:rPr>
                <w:sz w:val="22"/>
              </w:rPr>
            </w:pPr>
            <w:r>
              <w:rPr>
                <w:w w:val="85"/>
                <w:sz w:val="22"/>
              </w:rPr>
              <w:t>Índice</w:t>
            </w:r>
            <w:r>
              <w:rPr>
                <w:spacing w:val="-24"/>
                <w:w w:val="85"/>
                <w:sz w:val="22"/>
              </w:rPr>
              <w:t> </w:t>
            </w:r>
            <w:r>
              <w:rPr>
                <w:w w:val="85"/>
                <w:sz w:val="22"/>
              </w:rPr>
              <w:t>de</w:t>
            </w:r>
            <w:r>
              <w:rPr>
                <w:spacing w:val="-24"/>
                <w:w w:val="85"/>
                <w:sz w:val="22"/>
              </w:rPr>
              <w:t> </w:t>
            </w:r>
            <w:r>
              <w:rPr>
                <w:w w:val="85"/>
                <w:sz w:val="22"/>
              </w:rPr>
              <w:t>Déficit</w:t>
            </w:r>
            <w:r>
              <w:rPr>
                <w:spacing w:val="-26"/>
                <w:w w:val="85"/>
                <w:sz w:val="22"/>
              </w:rPr>
              <w:t> </w:t>
            </w:r>
            <w:r>
              <w:rPr>
                <w:w w:val="85"/>
                <w:sz w:val="22"/>
              </w:rPr>
              <w:t>de</w:t>
            </w:r>
            <w:r>
              <w:rPr>
                <w:spacing w:val="-24"/>
                <w:w w:val="85"/>
                <w:sz w:val="22"/>
              </w:rPr>
              <w:t> </w:t>
            </w:r>
            <w:r>
              <w:rPr>
                <w:w w:val="85"/>
                <w:sz w:val="22"/>
              </w:rPr>
              <w:t>Desastres</w:t>
            </w:r>
            <w:r>
              <w:rPr>
                <w:spacing w:val="-24"/>
                <w:w w:val="85"/>
                <w:sz w:val="22"/>
              </w:rPr>
              <w:t> </w:t>
            </w:r>
            <w:r>
              <w:rPr>
                <w:w w:val="85"/>
                <w:sz w:val="22"/>
              </w:rPr>
              <w:t>IDD.</w:t>
            </w:r>
            <w:r>
              <w:rPr>
                <w:spacing w:val="-26"/>
                <w:w w:val="85"/>
                <w:sz w:val="22"/>
              </w:rPr>
              <w:t> </w:t>
            </w:r>
            <w:r>
              <w:rPr>
                <w:w w:val="85"/>
                <w:sz w:val="22"/>
              </w:rPr>
              <w:t>Pérdidas </w:t>
            </w:r>
            <w:r>
              <w:rPr>
                <w:w w:val="90"/>
                <w:sz w:val="22"/>
              </w:rPr>
              <w:t>económicas</w:t>
            </w:r>
          </w:p>
        </w:tc>
      </w:tr>
    </w:tbl>
    <w:p>
      <w:pPr>
        <w:spacing w:line="225" w:lineRule="exact" w:before="0"/>
        <w:ind w:left="116" w:right="0" w:firstLine="0"/>
        <w:jc w:val="left"/>
        <w:rPr>
          <w:sz w:val="20"/>
        </w:rPr>
      </w:pPr>
      <w:r>
        <w:rPr>
          <w:sz w:val="20"/>
        </w:rPr>
        <w:t>Fuente: Elaboración propia.</w:t>
      </w:r>
    </w:p>
    <w:p>
      <w:pPr>
        <w:spacing w:after="0" w:line="225" w:lineRule="exact"/>
        <w:jc w:val="left"/>
        <w:rPr>
          <w:sz w:val="20"/>
        </w:rPr>
        <w:sectPr>
          <w:pgSz w:w="15840" w:h="12240" w:orient="landscape"/>
          <w:pgMar w:header="0" w:footer="1032" w:top="1140" w:bottom="1220" w:left="1300" w:right="800"/>
        </w:sectPr>
      </w:pPr>
    </w:p>
    <w:p>
      <w:pPr>
        <w:pStyle w:val="Heading2"/>
        <w:numPr>
          <w:ilvl w:val="2"/>
          <w:numId w:val="12"/>
        </w:numPr>
        <w:tabs>
          <w:tab w:pos="792" w:val="left" w:leader="none"/>
        </w:tabs>
        <w:spacing w:line="240" w:lineRule="auto" w:before="142" w:after="0"/>
        <w:ind w:left="791" w:right="0" w:hanging="672"/>
        <w:jc w:val="both"/>
      </w:pPr>
      <w:bookmarkStart w:name="_TOC_250041" w:id="13"/>
      <w:r>
        <w:rPr/>
        <w:t>Enfoques de</w:t>
      </w:r>
      <w:r>
        <w:rPr>
          <w:spacing w:val="-14"/>
        </w:rPr>
        <w:t> </w:t>
      </w:r>
      <w:bookmarkEnd w:id="13"/>
      <w:r>
        <w:rPr/>
        <w:t>investigación</w:t>
      </w:r>
    </w:p>
    <w:p>
      <w:pPr>
        <w:pStyle w:val="BodyText"/>
        <w:rPr>
          <w:b/>
        </w:rPr>
      </w:pPr>
    </w:p>
    <w:p>
      <w:pPr>
        <w:pStyle w:val="BodyText"/>
        <w:spacing w:before="4"/>
        <w:rPr>
          <w:b/>
          <w:sz w:val="26"/>
        </w:rPr>
      </w:pPr>
    </w:p>
    <w:p>
      <w:pPr>
        <w:pStyle w:val="BodyText"/>
        <w:spacing w:line="360" w:lineRule="auto"/>
        <w:ind w:left="119" w:right="117"/>
        <w:jc w:val="both"/>
      </w:pPr>
      <w:r>
        <w:rPr/>
        <w:t>Los</w:t>
      </w:r>
      <w:r>
        <w:rPr>
          <w:spacing w:val="-17"/>
        </w:rPr>
        <w:t> </w:t>
      </w:r>
      <w:r>
        <w:rPr/>
        <w:t>enfoques</w:t>
      </w:r>
      <w:r>
        <w:rPr>
          <w:spacing w:val="-22"/>
        </w:rPr>
        <w:t> </w:t>
      </w:r>
      <w:r>
        <w:rPr/>
        <w:t>de</w:t>
      </w:r>
      <w:r>
        <w:rPr>
          <w:spacing w:val="-26"/>
        </w:rPr>
        <w:t> </w:t>
      </w:r>
      <w:r>
        <w:rPr/>
        <w:t>investigación</w:t>
      </w:r>
      <w:r>
        <w:rPr>
          <w:spacing w:val="-21"/>
        </w:rPr>
        <w:t> </w:t>
      </w:r>
      <w:r>
        <w:rPr/>
        <w:t>identificados</w:t>
      </w:r>
      <w:r>
        <w:rPr>
          <w:spacing w:val="-22"/>
        </w:rPr>
        <w:t> </w:t>
      </w:r>
      <w:r>
        <w:rPr/>
        <w:t>a</w:t>
      </w:r>
      <w:r>
        <w:rPr>
          <w:spacing w:val="-21"/>
        </w:rPr>
        <w:t> </w:t>
      </w:r>
      <w:r>
        <w:rPr/>
        <w:t>través</w:t>
      </w:r>
      <w:r>
        <w:rPr>
          <w:spacing w:val="-17"/>
        </w:rPr>
        <w:t> </w:t>
      </w:r>
      <w:r>
        <w:rPr/>
        <w:t>de</w:t>
      </w:r>
      <w:r>
        <w:rPr>
          <w:spacing w:val="-21"/>
        </w:rPr>
        <w:t> </w:t>
      </w:r>
      <w:r>
        <w:rPr/>
        <w:t>la</w:t>
      </w:r>
      <w:r>
        <w:rPr>
          <w:spacing w:val="-26"/>
        </w:rPr>
        <w:t> </w:t>
      </w:r>
      <w:r>
        <w:rPr/>
        <w:t>literatura,</w:t>
      </w:r>
      <w:r>
        <w:rPr>
          <w:spacing w:val="-22"/>
        </w:rPr>
        <w:t> </w:t>
      </w:r>
      <w:r>
        <w:rPr/>
        <w:t>permiten</w:t>
      </w:r>
      <w:r>
        <w:rPr>
          <w:spacing w:val="-17"/>
        </w:rPr>
        <w:t> </w:t>
      </w:r>
      <w:r>
        <w:rPr/>
        <w:t>afirmar que predominan los enfoques que consideran fundamentalmente los factores biofísicos, en tanto que los factores sociales son considerados como receptores de los</w:t>
      </w:r>
      <w:r>
        <w:rPr>
          <w:spacing w:val="-7"/>
        </w:rPr>
        <w:t> </w:t>
      </w:r>
      <w:r>
        <w:rPr/>
        <w:t>efectos</w:t>
      </w:r>
      <w:r>
        <w:rPr>
          <w:spacing w:val="-7"/>
        </w:rPr>
        <w:t> </w:t>
      </w:r>
      <w:r>
        <w:rPr/>
        <w:t>producidos</w:t>
      </w:r>
      <w:r>
        <w:rPr>
          <w:spacing w:val="-7"/>
        </w:rPr>
        <w:t> </w:t>
      </w:r>
      <w:r>
        <w:rPr/>
        <w:t>por</w:t>
      </w:r>
      <w:r>
        <w:rPr>
          <w:spacing w:val="-10"/>
        </w:rPr>
        <w:t> </w:t>
      </w:r>
      <w:r>
        <w:rPr/>
        <w:t>la</w:t>
      </w:r>
      <w:r>
        <w:rPr>
          <w:spacing w:val="-6"/>
        </w:rPr>
        <w:t> </w:t>
      </w:r>
      <w:r>
        <w:rPr/>
        <w:t>amenaza</w:t>
      </w:r>
      <w:r>
        <w:rPr>
          <w:spacing w:val="-6"/>
        </w:rPr>
        <w:t> </w:t>
      </w:r>
      <w:r>
        <w:rPr/>
        <w:t>de</w:t>
      </w:r>
      <w:r>
        <w:rPr>
          <w:spacing w:val="-11"/>
        </w:rPr>
        <w:t> </w:t>
      </w:r>
      <w:r>
        <w:rPr/>
        <w:t>las</w:t>
      </w:r>
      <w:r>
        <w:rPr>
          <w:spacing w:val="-12"/>
        </w:rPr>
        <w:t> </w:t>
      </w:r>
      <w:r>
        <w:rPr/>
        <w:t>inundaciones</w:t>
      </w:r>
      <w:r>
        <w:rPr>
          <w:spacing w:val="-12"/>
        </w:rPr>
        <w:t> </w:t>
      </w:r>
      <w:r>
        <w:rPr/>
        <w:t>o</w:t>
      </w:r>
      <w:r>
        <w:rPr>
          <w:spacing w:val="-6"/>
        </w:rPr>
        <w:t> </w:t>
      </w:r>
      <w:r>
        <w:rPr/>
        <w:t>como</w:t>
      </w:r>
      <w:r>
        <w:rPr>
          <w:spacing w:val="-6"/>
        </w:rPr>
        <w:t> </w:t>
      </w:r>
      <w:r>
        <w:rPr/>
        <w:t>beneficiarios</w:t>
      </w:r>
      <w:r>
        <w:rPr>
          <w:spacing w:val="-12"/>
        </w:rPr>
        <w:t> </w:t>
      </w:r>
      <w:r>
        <w:rPr/>
        <w:t>de la</w:t>
      </w:r>
      <w:r>
        <w:rPr>
          <w:spacing w:val="-11"/>
        </w:rPr>
        <w:t> </w:t>
      </w:r>
      <w:r>
        <w:rPr/>
        <w:t>prevención</w:t>
      </w:r>
      <w:r>
        <w:rPr>
          <w:spacing w:val="-11"/>
        </w:rPr>
        <w:t> </w:t>
      </w:r>
      <w:r>
        <w:rPr/>
        <w:t>y</w:t>
      </w:r>
      <w:r>
        <w:rPr>
          <w:spacing w:val="-7"/>
        </w:rPr>
        <w:t> </w:t>
      </w:r>
      <w:r>
        <w:rPr/>
        <w:t>o</w:t>
      </w:r>
      <w:r>
        <w:rPr>
          <w:spacing w:val="-11"/>
        </w:rPr>
        <w:t> </w:t>
      </w:r>
      <w:r>
        <w:rPr/>
        <w:t>mitigación.</w:t>
      </w:r>
      <w:r>
        <w:rPr>
          <w:spacing w:val="-6"/>
        </w:rPr>
        <w:t> </w:t>
      </w:r>
      <w:r>
        <w:rPr/>
        <w:t>En</w:t>
      </w:r>
      <w:r>
        <w:rPr>
          <w:spacing w:val="-11"/>
        </w:rPr>
        <w:t> </w:t>
      </w:r>
      <w:r>
        <w:rPr/>
        <w:t>este</w:t>
      </w:r>
      <w:r>
        <w:rPr>
          <w:spacing w:val="-10"/>
        </w:rPr>
        <w:t> </w:t>
      </w:r>
      <w:r>
        <w:rPr/>
        <w:t>sentido,</w:t>
      </w:r>
      <w:r>
        <w:rPr>
          <w:spacing w:val="-6"/>
        </w:rPr>
        <w:t> </w:t>
      </w:r>
      <w:r>
        <w:rPr/>
        <w:t>resalta</w:t>
      </w:r>
      <w:r>
        <w:rPr>
          <w:spacing w:val="-11"/>
        </w:rPr>
        <w:t> </w:t>
      </w:r>
      <w:r>
        <w:rPr/>
        <w:t>la</w:t>
      </w:r>
      <w:r>
        <w:rPr>
          <w:spacing w:val="-7"/>
        </w:rPr>
        <w:t> </w:t>
      </w:r>
      <w:r>
        <w:rPr/>
        <w:t>importancia</w:t>
      </w:r>
      <w:r>
        <w:rPr>
          <w:spacing w:val="-11"/>
        </w:rPr>
        <w:t> </w:t>
      </w:r>
      <w:r>
        <w:rPr/>
        <w:t>de</w:t>
      </w:r>
      <w:r>
        <w:rPr>
          <w:spacing w:val="-15"/>
        </w:rPr>
        <w:t> </w:t>
      </w:r>
      <w:r>
        <w:rPr/>
        <w:t>los</w:t>
      </w:r>
      <w:r>
        <w:rPr>
          <w:spacing w:val="-7"/>
        </w:rPr>
        <w:t> </w:t>
      </w:r>
      <w:r>
        <w:rPr/>
        <w:t>enfoques sobre la construcción social del riesgo y  la evaluación del</w:t>
      </w:r>
      <w:r>
        <w:rPr>
          <w:spacing w:val="-25"/>
        </w:rPr>
        <w:t> </w:t>
      </w:r>
      <w:r>
        <w:rPr/>
        <w:t>riesgo.</w:t>
      </w:r>
    </w:p>
    <w:p>
      <w:pPr>
        <w:pStyle w:val="BodyText"/>
        <w:spacing w:before="10"/>
      </w:pPr>
    </w:p>
    <w:p>
      <w:pPr>
        <w:pStyle w:val="Heading2"/>
        <w:numPr>
          <w:ilvl w:val="3"/>
          <w:numId w:val="12"/>
        </w:numPr>
        <w:tabs>
          <w:tab w:pos="994" w:val="left" w:leader="none"/>
        </w:tabs>
        <w:spacing w:line="240" w:lineRule="auto" w:before="0" w:after="0"/>
        <w:ind w:left="993" w:right="0" w:hanging="874"/>
        <w:jc w:val="both"/>
      </w:pPr>
      <w:bookmarkStart w:name="_TOC_250040" w:id="14"/>
      <w:r>
        <w:rPr/>
        <w:t>Construcción social del</w:t>
      </w:r>
      <w:r>
        <w:rPr>
          <w:spacing w:val="-18"/>
        </w:rPr>
        <w:t> </w:t>
      </w:r>
      <w:bookmarkEnd w:id="14"/>
      <w:r>
        <w:rPr/>
        <w:t>riesgo</w:t>
      </w:r>
    </w:p>
    <w:p>
      <w:pPr>
        <w:pStyle w:val="BodyText"/>
        <w:rPr>
          <w:b/>
        </w:rPr>
      </w:pPr>
    </w:p>
    <w:p>
      <w:pPr>
        <w:pStyle w:val="BodyText"/>
        <w:spacing w:line="360" w:lineRule="auto" w:before="144"/>
        <w:ind w:left="119" w:right="128"/>
        <w:jc w:val="both"/>
      </w:pPr>
      <w:r>
        <w:rPr/>
        <w:t>La estrecha relación entre la vulnerabilidad a los desastres y el desarrollo socioeconómico en las ciudades, está manifestada en crecimiento demográfico absoluto, bajos niveles de educación y el proceso de urbanización acelerado, situación que también propicia la degradación ambiental y la pobreza.</w:t>
      </w:r>
    </w:p>
    <w:p>
      <w:pPr>
        <w:pStyle w:val="BodyText"/>
        <w:spacing w:before="5"/>
      </w:pPr>
    </w:p>
    <w:p>
      <w:pPr>
        <w:pStyle w:val="BodyText"/>
        <w:spacing w:line="360" w:lineRule="auto"/>
        <w:ind w:left="119" w:right="117"/>
        <w:jc w:val="both"/>
      </w:pPr>
      <w:r>
        <w:rPr/>
        <w:t>En la mayoría de países en desarrollo, el crecimiento de la población urbana ha aumentado, este crecimiento se debe a la tendencia migratoria desde las áreas rurales hacia las zonas urbanas, el resultado es la creación de asentamientos precarios en zonas marginales. América Latina y el Caribe comparten un problema común a otras regiones del mundo: los pobres no sólo soportan una cuota desmedida del impacto de los desastres, sino que además se encuentran en desventaja durante las fases de rehabilitación y reconstrucción.</w:t>
      </w:r>
    </w:p>
    <w:p>
      <w:pPr>
        <w:pStyle w:val="BodyText"/>
        <w:spacing w:before="5"/>
      </w:pPr>
    </w:p>
    <w:p>
      <w:pPr>
        <w:pStyle w:val="BodyText"/>
        <w:spacing w:line="360" w:lineRule="auto"/>
        <w:ind w:left="119" w:right="122"/>
        <w:jc w:val="both"/>
      </w:pPr>
      <w:r>
        <w:rPr/>
        <w:t>El desastre no sólo destruye las fuentes de trabajo, sino que es difícil que los desfavorecidos,</w:t>
      </w:r>
      <w:r>
        <w:rPr>
          <w:spacing w:val="-17"/>
        </w:rPr>
        <w:t> </w:t>
      </w:r>
      <w:r>
        <w:rPr/>
        <w:t>puedan</w:t>
      </w:r>
      <w:r>
        <w:rPr>
          <w:spacing w:val="-21"/>
        </w:rPr>
        <w:t> </w:t>
      </w:r>
      <w:r>
        <w:rPr/>
        <w:t>afrontar</w:t>
      </w:r>
      <w:r>
        <w:rPr>
          <w:spacing w:val="-20"/>
        </w:rPr>
        <w:t> </w:t>
      </w:r>
      <w:r>
        <w:rPr/>
        <w:t>gastos</w:t>
      </w:r>
      <w:r>
        <w:rPr>
          <w:spacing w:val="-22"/>
        </w:rPr>
        <w:t> </w:t>
      </w:r>
      <w:r>
        <w:rPr/>
        <w:t>adicionales</w:t>
      </w:r>
      <w:r>
        <w:rPr>
          <w:spacing w:val="-22"/>
        </w:rPr>
        <w:t> </w:t>
      </w:r>
      <w:r>
        <w:rPr/>
        <w:t>en</w:t>
      </w:r>
      <w:r>
        <w:rPr>
          <w:spacing w:val="-21"/>
        </w:rPr>
        <w:t> </w:t>
      </w:r>
      <w:r>
        <w:rPr/>
        <w:t>la</w:t>
      </w:r>
      <w:r>
        <w:rPr>
          <w:spacing w:val="-17"/>
        </w:rPr>
        <w:t> </w:t>
      </w:r>
      <w:r>
        <w:rPr/>
        <w:t>compra</w:t>
      </w:r>
      <w:r>
        <w:rPr>
          <w:spacing w:val="-17"/>
        </w:rPr>
        <w:t> </w:t>
      </w:r>
      <w:r>
        <w:rPr/>
        <w:t>de</w:t>
      </w:r>
      <w:r>
        <w:rPr>
          <w:spacing w:val="-17"/>
        </w:rPr>
        <w:t> </w:t>
      </w:r>
      <w:r>
        <w:rPr/>
        <w:t>materiales</w:t>
      </w:r>
      <w:r>
        <w:rPr>
          <w:spacing w:val="-17"/>
        </w:rPr>
        <w:t> </w:t>
      </w:r>
      <w:r>
        <w:rPr/>
        <w:t>para la reconstrucción. De esta </w:t>
      </w:r>
      <w:r>
        <w:rPr>
          <w:spacing w:val="-3"/>
        </w:rPr>
        <w:t>forma </w:t>
      </w:r>
      <w:r>
        <w:rPr/>
        <w:t>se acelera el ciclo de empobrecimiento y, consecuentemente, aumenta la vulnerabilidad frente a los fenómenos</w:t>
      </w:r>
      <w:r>
        <w:rPr>
          <w:spacing w:val="-35"/>
        </w:rPr>
        <w:t> </w:t>
      </w:r>
      <w:r>
        <w:rPr/>
        <w:t>naturales.</w:t>
      </w:r>
    </w:p>
    <w:p>
      <w:pPr>
        <w:pStyle w:val="BodyText"/>
        <w:spacing w:before="5"/>
      </w:pPr>
    </w:p>
    <w:p>
      <w:pPr>
        <w:pStyle w:val="BodyText"/>
        <w:spacing w:line="360" w:lineRule="auto"/>
        <w:ind w:left="119" w:right="117"/>
        <w:jc w:val="both"/>
      </w:pPr>
      <w:r>
        <w:rPr/>
        <w:t>El concepto de construcción social asociado con los riesgos ha demostrado su utilidad</w:t>
      </w:r>
      <w:r>
        <w:rPr>
          <w:spacing w:val="-4"/>
        </w:rPr>
        <w:t> </w:t>
      </w:r>
      <w:r>
        <w:rPr/>
        <w:t>analítica</w:t>
      </w:r>
      <w:r>
        <w:rPr>
          <w:spacing w:val="-4"/>
        </w:rPr>
        <w:t> </w:t>
      </w:r>
      <w:r>
        <w:rPr/>
        <w:t>cada</w:t>
      </w:r>
      <w:r>
        <w:rPr>
          <w:spacing w:val="-4"/>
        </w:rPr>
        <w:t> </w:t>
      </w:r>
      <w:r>
        <w:rPr/>
        <w:t>vez</w:t>
      </w:r>
      <w:r>
        <w:rPr>
          <w:spacing w:val="-5"/>
        </w:rPr>
        <w:t> </w:t>
      </w:r>
      <w:r>
        <w:rPr/>
        <w:t>con</w:t>
      </w:r>
      <w:r>
        <w:rPr>
          <w:spacing w:val="-4"/>
        </w:rPr>
        <w:t> </w:t>
      </w:r>
      <w:r>
        <w:rPr/>
        <w:t>mayor</w:t>
      </w:r>
      <w:r>
        <w:rPr>
          <w:spacing w:val="-3"/>
        </w:rPr>
        <w:t> </w:t>
      </w:r>
      <w:r>
        <w:rPr/>
        <w:t>fuerza</w:t>
      </w:r>
      <w:r>
        <w:rPr>
          <w:spacing w:val="-4"/>
        </w:rPr>
        <w:t> </w:t>
      </w:r>
      <w:r>
        <w:rPr/>
        <w:t>entre</w:t>
      </w:r>
      <w:r>
        <w:rPr>
          <w:spacing w:val="-4"/>
        </w:rPr>
        <w:t> </w:t>
      </w:r>
      <w:r>
        <w:rPr/>
        <w:t>los</w:t>
      </w:r>
      <w:r>
        <w:rPr>
          <w:spacing w:val="-4"/>
        </w:rPr>
        <w:t> </w:t>
      </w:r>
      <w:r>
        <w:rPr/>
        <w:t>estudiosos</w:t>
      </w:r>
      <w:r>
        <w:rPr>
          <w:spacing w:val="-5"/>
        </w:rPr>
        <w:t> </w:t>
      </w:r>
      <w:r>
        <w:rPr/>
        <w:t>de</w:t>
      </w:r>
      <w:r>
        <w:rPr>
          <w:spacing w:val="-9"/>
        </w:rPr>
        <w:t> </w:t>
      </w:r>
      <w:r>
        <w:rPr/>
        <w:t>los</w:t>
      </w:r>
      <w:r>
        <w:rPr>
          <w:spacing w:val="-5"/>
        </w:rPr>
        <w:t> </w:t>
      </w:r>
      <w:r>
        <w:rPr/>
        <w:t>desastres</w:t>
      </w:r>
      <w:r>
        <w:rPr>
          <w:spacing w:val="-5"/>
        </w:rPr>
        <w:t> </w:t>
      </w:r>
      <w:r>
        <w:rPr/>
        <w:t>y los</w:t>
      </w:r>
      <w:r>
        <w:rPr>
          <w:spacing w:val="-16"/>
        </w:rPr>
        <w:t> </w:t>
      </w:r>
      <w:r>
        <w:rPr/>
        <w:t>efectos</w:t>
      </w:r>
      <w:r>
        <w:rPr>
          <w:spacing w:val="-16"/>
        </w:rPr>
        <w:t> </w:t>
      </w:r>
      <w:r>
        <w:rPr/>
        <w:t>que</w:t>
      </w:r>
      <w:r>
        <w:rPr>
          <w:spacing w:val="-16"/>
        </w:rPr>
        <w:t> </w:t>
      </w:r>
      <w:r>
        <w:rPr/>
        <w:t>éstos</w:t>
      </w:r>
      <w:r>
        <w:rPr>
          <w:spacing w:val="-16"/>
        </w:rPr>
        <w:t> </w:t>
      </w:r>
      <w:r>
        <w:rPr/>
        <w:t>han</w:t>
      </w:r>
      <w:r>
        <w:rPr>
          <w:spacing w:val="-20"/>
        </w:rPr>
        <w:t> </w:t>
      </w:r>
      <w:r>
        <w:rPr/>
        <w:t>tenido</w:t>
      </w:r>
      <w:r>
        <w:rPr>
          <w:spacing w:val="-16"/>
        </w:rPr>
        <w:t> </w:t>
      </w:r>
      <w:r>
        <w:rPr/>
        <w:t>en</w:t>
      </w:r>
      <w:r>
        <w:rPr>
          <w:spacing w:val="-20"/>
        </w:rPr>
        <w:t> </w:t>
      </w:r>
      <w:r>
        <w:rPr/>
        <w:t>los</w:t>
      </w:r>
      <w:r>
        <w:rPr>
          <w:spacing w:val="-16"/>
        </w:rPr>
        <w:t> </w:t>
      </w:r>
      <w:r>
        <w:rPr/>
        <w:t>cambios</w:t>
      </w:r>
      <w:r>
        <w:rPr>
          <w:spacing w:val="-16"/>
        </w:rPr>
        <w:t> </w:t>
      </w:r>
      <w:r>
        <w:rPr/>
        <w:t>de</w:t>
      </w:r>
      <w:r>
        <w:rPr>
          <w:spacing w:val="-16"/>
        </w:rPr>
        <w:t> </w:t>
      </w:r>
      <w:r>
        <w:rPr/>
        <w:t>conducta</w:t>
      </w:r>
      <w:r>
        <w:rPr>
          <w:spacing w:val="-15"/>
        </w:rPr>
        <w:t> </w:t>
      </w:r>
      <w:r>
        <w:rPr/>
        <w:t>de</w:t>
      </w:r>
      <w:r>
        <w:rPr>
          <w:spacing w:val="-25"/>
        </w:rPr>
        <w:t> </w:t>
      </w:r>
      <w:r>
        <w:rPr/>
        <w:t>la</w:t>
      </w:r>
      <w:r>
        <w:rPr>
          <w:spacing w:val="-10"/>
        </w:rPr>
        <w:t> </w:t>
      </w:r>
      <w:r>
        <w:rPr/>
        <w:t>sociedad.</w:t>
      </w:r>
      <w:r>
        <w:rPr>
          <w:spacing w:val="-16"/>
        </w:rPr>
        <w:t> </w:t>
      </w:r>
      <w:r>
        <w:rPr/>
        <w:t>A</w:t>
      </w:r>
      <w:r>
        <w:rPr>
          <w:spacing w:val="-18"/>
        </w:rPr>
        <w:t> </w:t>
      </w:r>
      <w:r>
        <w:rPr/>
        <w:t>pesar</w:t>
      </w:r>
    </w:p>
    <w:p>
      <w:pPr>
        <w:spacing w:after="0" w:line="360" w:lineRule="auto"/>
        <w:jc w:val="both"/>
        <w:sectPr>
          <w:footerReference w:type="default" r:id="rId30"/>
          <w:pgSz w:w="12240" w:h="15840"/>
          <w:pgMar w:footer="1031" w:header="0" w:top="1500" w:bottom="1220" w:left="1580" w:right="1580"/>
          <w:pgNumType w:start="30"/>
        </w:sectPr>
      </w:pPr>
    </w:p>
    <w:p>
      <w:pPr>
        <w:pStyle w:val="BodyText"/>
        <w:spacing w:line="360" w:lineRule="auto" w:before="52"/>
        <w:ind w:left="119" w:right="117"/>
        <w:jc w:val="both"/>
      </w:pPr>
      <w:r>
        <w:rPr/>
        <w:t>de su beneficio manifiesto para abordar la temática vinculada a los desastres, </w:t>
      </w:r>
      <w:r>
        <w:rPr>
          <w:spacing w:val="-3"/>
        </w:rPr>
        <w:t>se </w:t>
      </w:r>
      <w:r>
        <w:rPr/>
        <w:t>le han atribuido significados diversos, lo cual ha contribuido en algunos casos a confusiones en su utilización. Es natural que esto ocurra en la evolución de los planteamientos</w:t>
      </w:r>
      <w:r>
        <w:rPr>
          <w:spacing w:val="-6"/>
        </w:rPr>
        <w:t> </w:t>
      </w:r>
      <w:r>
        <w:rPr/>
        <w:t>teóricos</w:t>
      </w:r>
      <w:r>
        <w:rPr>
          <w:spacing w:val="-6"/>
        </w:rPr>
        <w:t> </w:t>
      </w:r>
      <w:r>
        <w:rPr/>
        <w:t>que</w:t>
      </w:r>
      <w:r>
        <w:rPr>
          <w:spacing w:val="-5"/>
        </w:rPr>
        <w:t> </w:t>
      </w:r>
      <w:r>
        <w:rPr/>
        <w:t>se</w:t>
      </w:r>
      <w:r>
        <w:rPr>
          <w:spacing w:val="-5"/>
        </w:rPr>
        <w:t> </w:t>
      </w:r>
      <w:r>
        <w:rPr/>
        <w:t>construyen</w:t>
      </w:r>
      <w:r>
        <w:rPr>
          <w:spacing w:val="-5"/>
        </w:rPr>
        <w:t> </w:t>
      </w:r>
      <w:r>
        <w:rPr/>
        <w:t>en</w:t>
      </w:r>
      <w:r>
        <w:rPr>
          <w:spacing w:val="-5"/>
        </w:rPr>
        <w:t> </w:t>
      </w:r>
      <w:r>
        <w:rPr/>
        <w:t>las</w:t>
      </w:r>
      <w:r>
        <w:rPr>
          <w:spacing w:val="-1"/>
        </w:rPr>
        <w:t> </w:t>
      </w:r>
      <w:r>
        <w:rPr/>
        <w:t>ciencias</w:t>
      </w:r>
      <w:r>
        <w:rPr>
          <w:spacing w:val="-6"/>
        </w:rPr>
        <w:t> </w:t>
      </w:r>
      <w:r>
        <w:rPr/>
        <w:t>para</w:t>
      </w:r>
      <w:r>
        <w:rPr>
          <w:spacing w:val="-5"/>
        </w:rPr>
        <w:t> </w:t>
      </w:r>
      <w:r>
        <w:rPr/>
        <w:t>la</w:t>
      </w:r>
      <w:r>
        <w:rPr>
          <w:spacing w:val="-5"/>
        </w:rPr>
        <w:t> </w:t>
      </w:r>
      <w:r>
        <w:rPr/>
        <w:t>interpretación</w:t>
      </w:r>
      <w:r>
        <w:rPr>
          <w:spacing w:val="-5"/>
        </w:rPr>
        <w:t> </w:t>
      </w:r>
      <w:r>
        <w:rPr/>
        <w:t>de la realidad (Virginia,</w:t>
      </w:r>
      <w:r>
        <w:rPr>
          <w:spacing w:val="2"/>
        </w:rPr>
        <w:t> </w:t>
      </w:r>
      <w:r>
        <w:rPr>
          <w:spacing w:val="3"/>
        </w:rPr>
        <w:t>2005).</w:t>
      </w:r>
    </w:p>
    <w:p>
      <w:pPr>
        <w:pStyle w:val="BodyText"/>
        <w:spacing w:before="10"/>
      </w:pPr>
    </w:p>
    <w:p>
      <w:pPr>
        <w:pStyle w:val="BodyText"/>
        <w:spacing w:line="360" w:lineRule="auto"/>
        <w:ind w:left="119" w:right="114"/>
        <w:jc w:val="both"/>
      </w:pPr>
      <w:r>
        <w:rPr/>
        <w:t>El riesgo solamente puede existir al concurrir un peligro o amenaza, asociado a determinadas condiciones de vulnerabilidad en un espacio concreto y tiempo particular. De hecho, los peligros y las vulnerabilidades son mutuamente condicionadas o creadas en concordancia con los niveles de desarrollo y las opciones con respecto a las modalidades de creación acumulación, acceso y distribución de las riquezas en las sociedades, como garantes del bienestar social.</w:t>
      </w:r>
    </w:p>
    <w:p>
      <w:pPr>
        <w:pStyle w:val="BodyText"/>
        <w:spacing w:before="10"/>
      </w:pPr>
    </w:p>
    <w:p>
      <w:pPr>
        <w:pStyle w:val="BodyText"/>
        <w:spacing w:line="360" w:lineRule="auto"/>
        <w:ind w:left="119" w:right="126"/>
        <w:jc w:val="both"/>
      </w:pPr>
      <w:r>
        <w:rPr/>
        <w:t>Aun cuando conceptualmente la pobreza y la vulnerabilidad a desastres son distintas, es claro que existe un nexo importante entre pobreza, o riesgo cotidiano, y</w:t>
      </w:r>
      <w:r>
        <w:rPr>
          <w:spacing w:val="-3"/>
        </w:rPr>
        <w:t> </w:t>
      </w:r>
      <w:r>
        <w:rPr/>
        <w:t>riesgo</w:t>
      </w:r>
      <w:r>
        <w:rPr>
          <w:spacing w:val="-6"/>
        </w:rPr>
        <w:t> </w:t>
      </w:r>
      <w:r>
        <w:rPr/>
        <w:t>de</w:t>
      </w:r>
      <w:r>
        <w:rPr>
          <w:spacing w:val="-6"/>
        </w:rPr>
        <w:t> </w:t>
      </w:r>
      <w:r>
        <w:rPr/>
        <w:t>desastre.</w:t>
      </w:r>
      <w:r>
        <w:rPr>
          <w:spacing w:val="-7"/>
        </w:rPr>
        <w:t> </w:t>
      </w:r>
      <w:r>
        <w:rPr/>
        <w:t>Las</w:t>
      </w:r>
      <w:r>
        <w:rPr>
          <w:spacing w:val="-3"/>
        </w:rPr>
        <w:t> </w:t>
      </w:r>
      <w:r>
        <w:rPr/>
        <w:t>condiciones</w:t>
      </w:r>
      <w:r>
        <w:rPr>
          <w:spacing w:val="-7"/>
        </w:rPr>
        <w:t> </w:t>
      </w:r>
      <w:r>
        <w:rPr/>
        <w:t>de</w:t>
      </w:r>
      <w:r>
        <w:rPr>
          <w:spacing w:val="-6"/>
        </w:rPr>
        <w:t> </w:t>
      </w:r>
      <w:r>
        <w:rPr/>
        <w:t>riesgo</w:t>
      </w:r>
      <w:r>
        <w:rPr>
          <w:spacing w:val="-3"/>
        </w:rPr>
        <w:t> </w:t>
      </w:r>
      <w:r>
        <w:rPr/>
        <w:t>cotidiano</w:t>
      </w:r>
      <w:r>
        <w:rPr>
          <w:spacing w:val="-3"/>
        </w:rPr>
        <w:t> </w:t>
      </w:r>
      <w:r>
        <w:rPr/>
        <w:t>que</w:t>
      </w:r>
      <w:r>
        <w:rPr>
          <w:spacing w:val="-3"/>
        </w:rPr>
        <w:t> </w:t>
      </w:r>
      <w:r>
        <w:rPr/>
        <w:t>enfrenta</w:t>
      </w:r>
      <w:r>
        <w:rPr>
          <w:spacing w:val="-6"/>
        </w:rPr>
        <w:t> </w:t>
      </w:r>
      <w:r>
        <w:rPr/>
        <w:t>la</w:t>
      </w:r>
      <w:r>
        <w:rPr>
          <w:spacing w:val="-6"/>
        </w:rPr>
        <w:t> </w:t>
      </w:r>
      <w:r>
        <w:rPr/>
        <w:t>población pobre</w:t>
      </w:r>
      <w:r>
        <w:rPr>
          <w:spacing w:val="-11"/>
        </w:rPr>
        <w:t> </w:t>
      </w:r>
      <w:r>
        <w:rPr/>
        <w:t>o</w:t>
      </w:r>
      <w:r>
        <w:rPr>
          <w:spacing w:val="-15"/>
        </w:rPr>
        <w:t> </w:t>
      </w:r>
      <w:r>
        <w:rPr/>
        <w:t>marginada,</w:t>
      </w:r>
      <w:r>
        <w:rPr>
          <w:spacing w:val="-16"/>
        </w:rPr>
        <w:t> </w:t>
      </w:r>
      <w:r>
        <w:rPr/>
        <w:t>ha</w:t>
      </w:r>
      <w:r>
        <w:rPr>
          <w:spacing w:val="-11"/>
        </w:rPr>
        <w:t> </w:t>
      </w:r>
      <w:r>
        <w:rPr/>
        <w:t>permitido</w:t>
      </w:r>
      <w:r>
        <w:rPr>
          <w:spacing w:val="-15"/>
        </w:rPr>
        <w:t> </w:t>
      </w:r>
      <w:r>
        <w:rPr/>
        <w:t>que</w:t>
      </w:r>
      <w:r>
        <w:rPr>
          <w:spacing w:val="-11"/>
        </w:rPr>
        <w:t> </w:t>
      </w:r>
      <w:r>
        <w:rPr/>
        <w:t>algunos</w:t>
      </w:r>
      <w:r>
        <w:rPr>
          <w:spacing w:val="-16"/>
        </w:rPr>
        <w:t> </w:t>
      </w:r>
      <w:r>
        <w:rPr/>
        <w:t>hablen</w:t>
      </w:r>
      <w:r>
        <w:rPr>
          <w:spacing w:val="-10"/>
        </w:rPr>
        <w:t> </w:t>
      </w:r>
      <w:r>
        <w:rPr/>
        <w:t>de</w:t>
      </w:r>
      <w:r>
        <w:rPr>
          <w:spacing w:val="-11"/>
        </w:rPr>
        <w:t> </w:t>
      </w:r>
      <w:r>
        <w:rPr/>
        <w:t>condiciones</w:t>
      </w:r>
      <w:r>
        <w:rPr>
          <w:spacing w:val="-16"/>
        </w:rPr>
        <w:t> </w:t>
      </w:r>
      <w:r>
        <w:rPr/>
        <w:t>de</w:t>
      </w:r>
      <w:r>
        <w:rPr>
          <w:spacing w:val="-11"/>
        </w:rPr>
        <w:t> </w:t>
      </w:r>
      <w:r>
        <w:rPr/>
        <w:t>un</w:t>
      </w:r>
      <w:r>
        <w:rPr>
          <w:spacing w:val="-15"/>
        </w:rPr>
        <w:t> </w:t>
      </w:r>
      <w:r>
        <w:rPr/>
        <w:t>desastre permanente (Lavell, A;</w:t>
      </w:r>
      <w:r>
        <w:rPr>
          <w:spacing w:val="-8"/>
        </w:rPr>
        <w:t> </w:t>
      </w:r>
      <w:r>
        <w:rPr/>
        <w:t>2003:37).</w:t>
      </w:r>
    </w:p>
    <w:p>
      <w:pPr>
        <w:pStyle w:val="BodyText"/>
        <w:spacing w:before="5"/>
      </w:pPr>
    </w:p>
    <w:p>
      <w:pPr>
        <w:pStyle w:val="BodyText"/>
        <w:spacing w:line="360" w:lineRule="auto"/>
        <w:ind w:left="119" w:right="123"/>
        <w:jc w:val="both"/>
      </w:pPr>
      <w:r>
        <w:rPr/>
        <w:t>Hay innumerables experiencias que ilustran como el hombre, bien por desconocimiento o la falta de percepción del riesgo, asociado a las actitudes negligentes, participan en la creación de vulnerabilidades, regularmente sobredimensionándolas ante los diferentes tipos de peligros y en consecuencia contribuyen a la construcción social del riesgo (Lavell, 2001).</w:t>
      </w:r>
    </w:p>
    <w:p>
      <w:pPr>
        <w:pStyle w:val="BodyText"/>
        <w:spacing w:before="10"/>
      </w:pPr>
    </w:p>
    <w:p>
      <w:pPr>
        <w:pStyle w:val="BodyText"/>
        <w:spacing w:line="360" w:lineRule="auto"/>
        <w:ind w:left="119" w:right="115"/>
        <w:jc w:val="both"/>
      </w:pPr>
      <w:r>
        <w:rPr/>
        <w:t>La</w:t>
      </w:r>
      <w:r>
        <w:rPr>
          <w:spacing w:val="-7"/>
        </w:rPr>
        <w:t> </w:t>
      </w:r>
      <w:r>
        <w:rPr/>
        <w:t>construcción</w:t>
      </w:r>
      <w:r>
        <w:rPr>
          <w:spacing w:val="-7"/>
        </w:rPr>
        <w:t> </w:t>
      </w:r>
      <w:r>
        <w:rPr/>
        <w:t>social</w:t>
      </w:r>
      <w:r>
        <w:rPr>
          <w:spacing w:val="-4"/>
        </w:rPr>
        <w:t> </w:t>
      </w:r>
      <w:r>
        <w:rPr/>
        <w:t>del</w:t>
      </w:r>
      <w:r>
        <w:rPr>
          <w:spacing w:val="-4"/>
        </w:rPr>
        <w:t> </w:t>
      </w:r>
      <w:r>
        <w:rPr/>
        <w:t>riesgo</w:t>
      </w:r>
      <w:r>
        <w:rPr>
          <w:spacing w:val="-7"/>
        </w:rPr>
        <w:t> </w:t>
      </w:r>
      <w:r>
        <w:rPr/>
        <w:t>y</w:t>
      </w:r>
      <w:r>
        <w:rPr>
          <w:spacing w:val="-8"/>
        </w:rPr>
        <w:t> </w:t>
      </w:r>
      <w:r>
        <w:rPr/>
        <w:t>su</w:t>
      </w:r>
      <w:r>
        <w:rPr>
          <w:spacing w:val="-7"/>
        </w:rPr>
        <w:t> </w:t>
      </w:r>
      <w:r>
        <w:rPr/>
        <w:t>impacto</w:t>
      </w:r>
      <w:r>
        <w:rPr>
          <w:spacing w:val="-7"/>
        </w:rPr>
        <w:t> </w:t>
      </w:r>
      <w:r>
        <w:rPr/>
        <w:t>económico</w:t>
      </w:r>
      <w:r>
        <w:rPr>
          <w:spacing w:val="-7"/>
        </w:rPr>
        <w:t> </w:t>
      </w:r>
      <w:r>
        <w:rPr/>
        <w:t>están</w:t>
      </w:r>
      <w:r>
        <w:rPr>
          <w:spacing w:val="-7"/>
        </w:rPr>
        <w:t> </w:t>
      </w:r>
      <w:r>
        <w:rPr/>
        <w:t>en</w:t>
      </w:r>
      <w:r>
        <w:rPr>
          <w:spacing w:val="-7"/>
        </w:rPr>
        <w:t> </w:t>
      </w:r>
      <w:r>
        <w:rPr/>
        <w:t>dependencia</w:t>
      </w:r>
      <w:r>
        <w:rPr>
          <w:spacing w:val="-7"/>
        </w:rPr>
        <w:t> </w:t>
      </w:r>
      <w:r>
        <w:rPr/>
        <w:t>de la voluntad de todos los actores sociales encaminado a reducir las</w:t>
      </w:r>
      <w:r>
        <w:rPr>
          <w:spacing w:val="-46"/>
        </w:rPr>
        <w:t> </w:t>
      </w:r>
      <w:r>
        <w:rPr/>
        <w:t>vulnerabilidades existentes en la comunidad para disminuir los riesgos de desastres en caso de</w:t>
      </w:r>
      <w:r>
        <w:rPr>
          <w:spacing w:val="-28"/>
        </w:rPr>
        <w:t> </w:t>
      </w:r>
      <w:r>
        <w:rPr/>
        <w:t>que ocurran,</w:t>
      </w:r>
      <w:r>
        <w:rPr>
          <w:spacing w:val="-11"/>
        </w:rPr>
        <w:t> </w:t>
      </w:r>
      <w:r>
        <w:rPr/>
        <w:t>y</w:t>
      </w:r>
      <w:r>
        <w:rPr>
          <w:spacing w:val="-12"/>
        </w:rPr>
        <w:t> </w:t>
      </w:r>
      <w:r>
        <w:rPr/>
        <w:t>lograr</w:t>
      </w:r>
      <w:r>
        <w:rPr>
          <w:spacing w:val="-11"/>
        </w:rPr>
        <w:t> </w:t>
      </w:r>
      <w:r>
        <w:rPr/>
        <w:t>el</w:t>
      </w:r>
      <w:r>
        <w:rPr>
          <w:spacing w:val="-8"/>
        </w:rPr>
        <w:t> </w:t>
      </w:r>
      <w:r>
        <w:rPr/>
        <w:t>retorno</w:t>
      </w:r>
      <w:r>
        <w:rPr>
          <w:spacing w:val="-11"/>
        </w:rPr>
        <w:t> </w:t>
      </w:r>
      <w:r>
        <w:rPr/>
        <w:t>a</w:t>
      </w:r>
      <w:r>
        <w:rPr>
          <w:spacing w:val="-11"/>
        </w:rPr>
        <w:t> </w:t>
      </w:r>
      <w:r>
        <w:rPr/>
        <w:t>la</w:t>
      </w:r>
      <w:r>
        <w:rPr>
          <w:spacing w:val="-11"/>
        </w:rPr>
        <w:t> </w:t>
      </w:r>
      <w:r>
        <w:rPr/>
        <w:t>normalidad</w:t>
      </w:r>
      <w:r>
        <w:rPr>
          <w:spacing w:val="-11"/>
        </w:rPr>
        <w:t> </w:t>
      </w:r>
      <w:r>
        <w:rPr/>
        <w:t>en</w:t>
      </w:r>
      <w:r>
        <w:rPr>
          <w:spacing w:val="-16"/>
        </w:rPr>
        <w:t> </w:t>
      </w:r>
      <w:r>
        <w:rPr/>
        <w:t>el</w:t>
      </w:r>
      <w:r>
        <w:rPr>
          <w:spacing w:val="-8"/>
        </w:rPr>
        <w:t> </w:t>
      </w:r>
      <w:r>
        <w:rPr/>
        <w:t>menor</w:t>
      </w:r>
      <w:r>
        <w:rPr>
          <w:spacing w:val="-11"/>
        </w:rPr>
        <w:t> </w:t>
      </w:r>
      <w:r>
        <w:rPr/>
        <w:t>plazo</w:t>
      </w:r>
      <w:r>
        <w:rPr>
          <w:spacing w:val="-11"/>
        </w:rPr>
        <w:t> </w:t>
      </w:r>
      <w:r>
        <w:rPr/>
        <w:t>posible.</w:t>
      </w:r>
      <w:r>
        <w:rPr>
          <w:spacing w:val="-11"/>
        </w:rPr>
        <w:t> </w:t>
      </w:r>
      <w:r>
        <w:rPr/>
        <w:t>Para</w:t>
      </w:r>
      <w:r>
        <w:rPr>
          <w:spacing w:val="-11"/>
        </w:rPr>
        <w:t> </w:t>
      </w:r>
      <w:r>
        <w:rPr/>
        <w:t>alcanzar estas</w:t>
      </w:r>
      <w:r>
        <w:rPr>
          <w:spacing w:val="-7"/>
        </w:rPr>
        <w:t> </w:t>
      </w:r>
      <w:r>
        <w:rPr/>
        <w:t>propuestas</w:t>
      </w:r>
      <w:r>
        <w:rPr>
          <w:spacing w:val="-7"/>
        </w:rPr>
        <w:t> </w:t>
      </w:r>
      <w:r>
        <w:rPr>
          <w:spacing w:val="-3"/>
        </w:rPr>
        <w:t>se</w:t>
      </w:r>
      <w:r>
        <w:rPr>
          <w:spacing w:val="-6"/>
        </w:rPr>
        <w:t> </w:t>
      </w:r>
      <w:r>
        <w:rPr/>
        <w:t>recomienda</w:t>
      </w:r>
      <w:r>
        <w:rPr>
          <w:spacing w:val="-11"/>
        </w:rPr>
        <w:t> </w:t>
      </w:r>
      <w:r>
        <w:rPr/>
        <w:t>realizar</w:t>
      </w:r>
      <w:r>
        <w:rPr>
          <w:spacing w:val="-10"/>
        </w:rPr>
        <w:t> </w:t>
      </w:r>
      <w:r>
        <w:rPr/>
        <w:t>los</w:t>
      </w:r>
      <w:r>
        <w:rPr>
          <w:spacing w:val="-7"/>
        </w:rPr>
        <w:t> </w:t>
      </w:r>
      <w:r>
        <w:rPr/>
        <w:t>estudios</w:t>
      </w:r>
      <w:r>
        <w:rPr>
          <w:spacing w:val="-6"/>
        </w:rPr>
        <w:t> </w:t>
      </w:r>
      <w:r>
        <w:rPr/>
        <w:t>de</w:t>
      </w:r>
      <w:r>
        <w:rPr>
          <w:spacing w:val="-6"/>
        </w:rPr>
        <w:t> </w:t>
      </w:r>
      <w:r>
        <w:rPr/>
        <w:t>factibilidad</w:t>
      </w:r>
      <w:r>
        <w:rPr>
          <w:spacing w:val="-6"/>
        </w:rPr>
        <w:t> </w:t>
      </w:r>
      <w:r>
        <w:rPr/>
        <w:t>encaminados</w:t>
      </w:r>
      <w:r>
        <w:rPr>
          <w:spacing w:val="-7"/>
        </w:rPr>
        <w:t> </w:t>
      </w:r>
      <w:r>
        <w:rPr/>
        <w:t>a lograr la evaluación (Peraza, 2010), tal y como se plantea en la presente investigación.</w:t>
      </w:r>
    </w:p>
    <w:p>
      <w:pPr>
        <w:spacing w:after="0" w:line="360" w:lineRule="auto"/>
        <w:jc w:val="both"/>
        <w:sectPr>
          <w:pgSz w:w="12240" w:h="15840"/>
          <w:pgMar w:header="0" w:footer="1031" w:top="1360" w:bottom="1220" w:left="1580" w:right="1580"/>
        </w:sectPr>
      </w:pPr>
    </w:p>
    <w:p>
      <w:pPr>
        <w:pStyle w:val="Heading2"/>
        <w:spacing w:before="47"/>
      </w:pPr>
      <w:r>
        <w:rPr/>
        <w:t>2.1.4.2 Evaluación del riesgo</w:t>
      </w:r>
    </w:p>
    <w:p>
      <w:pPr>
        <w:pStyle w:val="BodyText"/>
        <w:rPr>
          <w:b/>
        </w:rPr>
      </w:pPr>
    </w:p>
    <w:p>
      <w:pPr>
        <w:spacing w:line="360" w:lineRule="auto" w:before="149"/>
        <w:ind w:left="119" w:right="117" w:firstLine="0"/>
        <w:jc w:val="both"/>
        <w:rPr>
          <w:sz w:val="24"/>
        </w:rPr>
      </w:pPr>
      <w:r>
        <w:rPr>
          <w:sz w:val="24"/>
        </w:rPr>
        <w:t>Existe una relación </w:t>
      </w:r>
      <w:r>
        <w:rPr>
          <w:spacing w:val="-3"/>
          <w:sz w:val="24"/>
        </w:rPr>
        <w:t>muy </w:t>
      </w:r>
      <w:r>
        <w:rPr>
          <w:sz w:val="24"/>
        </w:rPr>
        <w:t>estrecha entre la amenaza de un fenómeno natural, la vulnerabilidad</w:t>
      </w:r>
      <w:r>
        <w:rPr>
          <w:spacing w:val="-11"/>
          <w:sz w:val="24"/>
        </w:rPr>
        <w:t> </w:t>
      </w:r>
      <w:r>
        <w:rPr>
          <w:sz w:val="24"/>
        </w:rPr>
        <w:t>de</w:t>
      </w:r>
      <w:r>
        <w:rPr>
          <w:spacing w:val="-11"/>
          <w:sz w:val="24"/>
        </w:rPr>
        <w:t> </w:t>
      </w:r>
      <w:r>
        <w:rPr>
          <w:sz w:val="24"/>
        </w:rPr>
        <w:t>la</w:t>
      </w:r>
      <w:r>
        <w:rPr>
          <w:spacing w:val="-16"/>
          <w:sz w:val="24"/>
        </w:rPr>
        <w:t> </w:t>
      </w:r>
      <w:r>
        <w:rPr>
          <w:sz w:val="24"/>
        </w:rPr>
        <w:t>región</w:t>
      </w:r>
      <w:r>
        <w:rPr>
          <w:spacing w:val="-11"/>
          <w:sz w:val="24"/>
        </w:rPr>
        <w:t> </w:t>
      </w:r>
      <w:r>
        <w:rPr>
          <w:sz w:val="24"/>
        </w:rPr>
        <w:t>y</w:t>
      </w:r>
      <w:r>
        <w:rPr>
          <w:spacing w:val="-12"/>
          <w:sz w:val="24"/>
        </w:rPr>
        <w:t> </w:t>
      </w:r>
      <w:r>
        <w:rPr>
          <w:sz w:val="24"/>
        </w:rPr>
        <w:t>el</w:t>
      </w:r>
      <w:r>
        <w:rPr>
          <w:spacing w:val="-7"/>
          <w:sz w:val="24"/>
        </w:rPr>
        <w:t> </w:t>
      </w:r>
      <w:r>
        <w:rPr>
          <w:sz w:val="24"/>
        </w:rPr>
        <w:t>riesgo</w:t>
      </w:r>
      <w:r>
        <w:rPr>
          <w:spacing w:val="-11"/>
          <w:sz w:val="24"/>
        </w:rPr>
        <w:t> </w:t>
      </w:r>
      <w:r>
        <w:rPr>
          <w:sz w:val="24"/>
        </w:rPr>
        <w:t>que</w:t>
      </w:r>
      <w:r>
        <w:rPr>
          <w:spacing w:val="-11"/>
          <w:sz w:val="24"/>
        </w:rPr>
        <w:t> </w:t>
      </w:r>
      <w:r>
        <w:rPr>
          <w:sz w:val="24"/>
        </w:rPr>
        <w:t>se</w:t>
      </w:r>
      <w:r>
        <w:rPr>
          <w:spacing w:val="-11"/>
          <w:sz w:val="24"/>
        </w:rPr>
        <w:t> </w:t>
      </w:r>
      <w:r>
        <w:rPr>
          <w:sz w:val="24"/>
        </w:rPr>
        <w:t>produciría.</w:t>
      </w:r>
      <w:r>
        <w:rPr>
          <w:spacing w:val="-11"/>
          <w:sz w:val="24"/>
        </w:rPr>
        <w:t> </w:t>
      </w:r>
      <w:r>
        <w:rPr>
          <w:sz w:val="24"/>
        </w:rPr>
        <w:t>La</w:t>
      </w:r>
      <w:r>
        <w:rPr>
          <w:spacing w:val="-7"/>
          <w:sz w:val="24"/>
        </w:rPr>
        <w:t> </w:t>
      </w:r>
      <w:r>
        <w:rPr>
          <w:sz w:val="24"/>
        </w:rPr>
        <w:t>amenaza</w:t>
      </w:r>
      <w:r>
        <w:rPr>
          <w:spacing w:val="-9"/>
          <w:sz w:val="24"/>
        </w:rPr>
        <w:t> </w:t>
      </w:r>
      <w:r>
        <w:rPr>
          <w:sz w:val="24"/>
        </w:rPr>
        <w:t>provocada</w:t>
      </w:r>
      <w:r>
        <w:rPr>
          <w:spacing w:val="-11"/>
          <w:sz w:val="24"/>
        </w:rPr>
        <w:t> </w:t>
      </w:r>
      <w:r>
        <w:rPr>
          <w:sz w:val="24"/>
        </w:rPr>
        <w:t>por un</w:t>
      </w:r>
      <w:r>
        <w:rPr>
          <w:spacing w:val="-12"/>
          <w:sz w:val="24"/>
        </w:rPr>
        <w:t> </w:t>
      </w:r>
      <w:r>
        <w:rPr>
          <w:sz w:val="24"/>
        </w:rPr>
        <w:t>fenómeno</w:t>
      </w:r>
      <w:r>
        <w:rPr>
          <w:spacing w:val="-12"/>
          <w:sz w:val="24"/>
        </w:rPr>
        <w:t> </w:t>
      </w:r>
      <w:r>
        <w:rPr>
          <w:sz w:val="24"/>
        </w:rPr>
        <w:t>natural</w:t>
      </w:r>
      <w:r>
        <w:rPr>
          <w:spacing w:val="-13"/>
          <w:sz w:val="24"/>
        </w:rPr>
        <w:t> </w:t>
      </w:r>
      <w:r>
        <w:rPr>
          <w:sz w:val="24"/>
        </w:rPr>
        <w:t>es</w:t>
      </w:r>
      <w:r>
        <w:rPr>
          <w:spacing w:val="-13"/>
          <w:sz w:val="24"/>
        </w:rPr>
        <w:t> </w:t>
      </w:r>
      <w:r>
        <w:rPr>
          <w:sz w:val="24"/>
        </w:rPr>
        <w:t>un</w:t>
      </w:r>
      <w:r>
        <w:rPr>
          <w:spacing w:val="-11"/>
          <w:sz w:val="24"/>
        </w:rPr>
        <w:t> </w:t>
      </w:r>
      <w:r>
        <w:rPr>
          <w:i/>
          <w:sz w:val="24"/>
        </w:rPr>
        <w:t>factor</w:t>
      </w:r>
      <w:r>
        <w:rPr>
          <w:i/>
          <w:spacing w:val="-11"/>
          <w:sz w:val="24"/>
        </w:rPr>
        <w:t> </w:t>
      </w:r>
      <w:r>
        <w:rPr>
          <w:i/>
          <w:sz w:val="24"/>
        </w:rPr>
        <w:t>externo,</w:t>
      </w:r>
      <w:r>
        <w:rPr>
          <w:i/>
          <w:spacing w:val="-12"/>
          <w:sz w:val="24"/>
        </w:rPr>
        <w:t> </w:t>
      </w:r>
      <w:r>
        <w:rPr>
          <w:i/>
          <w:sz w:val="24"/>
        </w:rPr>
        <w:t>una</w:t>
      </w:r>
      <w:r>
        <w:rPr>
          <w:i/>
          <w:spacing w:val="-17"/>
          <w:sz w:val="24"/>
        </w:rPr>
        <w:t> </w:t>
      </w:r>
      <w:r>
        <w:rPr>
          <w:i/>
          <w:sz w:val="24"/>
        </w:rPr>
        <w:t>de</w:t>
      </w:r>
      <w:r>
        <w:rPr>
          <w:i/>
          <w:spacing w:val="-12"/>
          <w:sz w:val="24"/>
        </w:rPr>
        <w:t> </w:t>
      </w:r>
      <w:r>
        <w:rPr>
          <w:i/>
          <w:sz w:val="24"/>
        </w:rPr>
        <w:t>las</w:t>
      </w:r>
      <w:r>
        <w:rPr>
          <w:i/>
          <w:spacing w:val="-17"/>
          <w:sz w:val="24"/>
        </w:rPr>
        <w:t> </w:t>
      </w:r>
      <w:r>
        <w:rPr>
          <w:i/>
          <w:sz w:val="24"/>
        </w:rPr>
        <w:t>más</w:t>
      </w:r>
      <w:r>
        <w:rPr>
          <w:i/>
          <w:spacing w:val="-13"/>
          <w:sz w:val="24"/>
        </w:rPr>
        <w:t> </w:t>
      </w:r>
      <w:r>
        <w:rPr>
          <w:i/>
          <w:sz w:val="24"/>
        </w:rPr>
        <w:t>comunes,</w:t>
      </w:r>
      <w:r>
        <w:rPr>
          <w:i/>
          <w:spacing w:val="-12"/>
          <w:sz w:val="24"/>
        </w:rPr>
        <w:t> </w:t>
      </w:r>
      <w:r>
        <w:rPr>
          <w:i/>
          <w:sz w:val="24"/>
        </w:rPr>
        <w:t>entre</w:t>
      </w:r>
      <w:r>
        <w:rPr>
          <w:i/>
          <w:spacing w:val="-17"/>
          <w:sz w:val="24"/>
        </w:rPr>
        <w:t> </w:t>
      </w:r>
      <w:r>
        <w:rPr>
          <w:i/>
          <w:sz w:val="24"/>
        </w:rPr>
        <w:t>otras,</w:t>
      </w:r>
      <w:r>
        <w:rPr>
          <w:i/>
          <w:spacing w:val="-17"/>
          <w:sz w:val="24"/>
        </w:rPr>
        <w:t> </w:t>
      </w:r>
      <w:r>
        <w:rPr>
          <w:i/>
          <w:sz w:val="24"/>
        </w:rPr>
        <w:t>son </w:t>
      </w:r>
      <w:r>
        <w:rPr>
          <w:i/>
          <w:sz w:val="24"/>
        </w:rPr>
        <w:t>las</w:t>
      </w:r>
      <w:r>
        <w:rPr>
          <w:i/>
          <w:spacing w:val="63"/>
          <w:sz w:val="24"/>
        </w:rPr>
        <w:t> </w:t>
      </w:r>
      <w:r>
        <w:rPr>
          <w:sz w:val="24"/>
        </w:rPr>
        <w:t>inundaciones.</w:t>
      </w:r>
    </w:p>
    <w:p>
      <w:pPr>
        <w:pStyle w:val="BodyText"/>
        <w:spacing w:before="5"/>
      </w:pPr>
    </w:p>
    <w:p>
      <w:pPr>
        <w:pStyle w:val="BodyText"/>
        <w:spacing w:line="360" w:lineRule="auto"/>
        <w:ind w:left="119" w:right="115"/>
        <w:jc w:val="both"/>
      </w:pPr>
      <w:r>
        <w:rPr/>
        <w:t>El riesgo se comprende como la </w:t>
      </w:r>
      <w:r>
        <w:rPr>
          <w:i/>
        </w:rPr>
        <w:t>probabilidad </w:t>
      </w:r>
      <w:r>
        <w:rPr/>
        <w:t>de que una comunidad pueda sufrir daño</w:t>
      </w:r>
      <w:r>
        <w:rPr>
          <w:spacing w:val="-18"/>
        </w:rPr>
        <w:t> </w:t>
      </w:r>
      <w:r>
        <w:rPr/>
        <w:t>humano,</w:t>
      </w:r>
      <w:r>
        <w:rPr>
          <w:spacing w:val="-13"/>
        </w:rPr>
        <w:t> </w:t>
      </w:r>
      <w:r>
        <w:rPr/>
        <w:t>material</w:t>
      </w:r>
      <w:r>
        <w:rPr>
          <w:spacing w:val="-19"/>
        </w:rPr>
        <w:t> </w:t>
      </w:r>
      <w:r>
        <w:rPr/>
        <w:t>y</w:t>
      </w:r>
      <w:r>
        <w:rPr>
          <w:spacing w:val="-14"/>
        </w:rPr>
        <w:t> </w:t>
      </w:r>
      <w:r>
        <w:rPr/>
        <w:t>ambiental</w:t>
      </w:r>
      <w:r>
        <w:rPr>
          <w:spacing w:val="-19"/>
        </w:rPr>
        <w:t> </w:t>
      </w:r>
      <w:r>
        <w:rPr/>
        <w:t>en</w:t>
      </w:r>
      <w:r>
        <w:rPr>
          <w:spacing w:val="-18"/>
        </w:rPr>
        <w:t> </w:t>
      </w:r>
      <w:r>
        <w:rPr/>
        <w:t>un</w:t>
      </w:r>
      <w:r>
        <w:rPr>
          <w:spacing w:val="-18"/>
        </w:rPr>
        <w:t> </w:t>
      </w:r>
      <w:r>
        <w:rPr/>
        <w:t>área</w:t>
      </w:r>
      <w:r>
        <w:rPr>
          <w:spacing w:val="-22"/>
        </w:rPr>
        <w:t> </w:t>
      </w:r>
      <w:r>
        <w:rPr/>
        <w:t>y</w:t>
      </w:r>
      <w:r>
        <w:rPr>
          <w:spacing w:val="-18"/>
        </w:rPr>
        <w:t> </w:t>
      </w:r>
      <w:r>
        <w:rPr/>
        <w:t>un</w:t>
      </w:r>
      <w:r>
        <w:rPr>
          <w:spacing w:val="-18"/>
        </w:rPr>
        <w:t> </w:t>
      </w:r>
      <w:r>
        <w:rPr/>
        <w:t>período</w:t>
      </w:r>
      <w:r>
        <w:rPr>
          <w:spacing w:val="-18"/>
        </w:rPr>
        <w:t> </w:t>
      </w:r>
      <w:r>
        <w:rPr/>
        <w:t>de</w:t>
      </w:r>
      <w:r>
        <w:rPr>
          <w:spacing w:val="-22"/>
        </w:rPr>
        <w:t> </w:t>
      </w:r>
      <w:r>
        <w:rPr/>
        <w:t>tiempo</w:t>
      </w:r>
      <w:r>
        <w:rPr>
          <w:spacing w:val="-18"/>
        </w:rPr>
        <w:t> </w:t>
      </w:r>
      <w:r>
        <w:rPr/>
        <w:t>dado,</w:t>
      </w:r>
      <w:r>
        <w:rPr>
          <w:spacing w:val="-18"/>
        </w:rPr>
        <w:t> </w:t>
      </w:r>
      <w:r>
        <w:rPr/>
        <w:t>y</w:t>
      </w:r>
      <w:r>
        <w:rPr>
          <w:spacing w:val="-22"/>
        </w:rPr>
        <w:t> </w:t>
      </w:r>
      <w:r>
        <w:rPr/>
        <w:t>estará definido por la magnitud de la amenaza, en este orden de ideas, la vulnerabilidad se integra por las condiciones internas, que definen el grado de exposición (física, económica, social, ambiental, sanitaria, educativa, etc.) o grado de susceptibilidad de que las comunidades resulten afectadas por una amenaza de origen </w:t>
      </w:r>
      <w:r>
        <w:rPr>
          <w:spacing w:val="-2"/>
        </w:rPr>
        <w:t>humano </w:t>
      </w:r>
      <w:r>
        <w:rPr/>
        <w:t>o natural, cuando se produce el impacto efectivo de la amenaza, la vulnerabilidad determina la intensidad de los daños que se produzcan (Cardona,</w:t>
      </w:r>
      <w:r>
        <w:rPr>
          <w:spacing w:val="-23"/>
        </w:rPr>
        <w:t> </w:t>
      </w:r>
      <w:r>
        <w:rPr/>
        <w:t>2001).</w:t>
      </w:r>
    </w:p>
    <w:p>
      <w:pPr>
        <w:pStyle w:val="BodyText"/>
        <w:spacing w:before="10"/>
      </w:pPr>
    </w:p>
    <w:p>
      <w:pPr>
        <w:pStyle w:val="BodyText"/>
        <w:spacing w:line="360" w:lineRule="auto"/>
        <w:ind w:left="119" w:right="117"/>
        <w:jc w:val="both"/>
      </w:pPr>
      <w:r>
        <w:rPr/>
        <w:t>La</w:t>
      </w:r>
      <w:r>
        <w:rPr>
          <w:spacing w:val="-12"/>
        </w:rPr>
        <w:t> </w:t>
      </w:r>
      <w:r>
        <w:rPr/>
        <w:t>evaluación</w:t>
      </w:r>
      <w:r>
        <w:rPr>
          <w:spacing w:val="-12"/>
        </w:rPr>
        <w:t> </w:t>
      </w:r>
      <w:r>
        <w:rPr/>
        <w:t>del</w:t>
      </w:r>
      <w:r>
        <w:rPr>
          <w:spacing w:val="-13"/>
        </w:rPr>
        <w:t> </w:t>
      </w:r>
      <w:r>
        <w:rPr/>
        <w:t>riesgo</w:t>
      </w:r>
      <w:r>
        <w:rPr>
          <w:spacing w:val="-12"/>
        </w:rPr>
        <w:t> </w:t>
      </w:r>
      <w:r>
        <w:rPr/>
        <w:t>es</w:t>
      </w:r>
      <w:r>
        <w:rPr>
          <w:spacing w:val="-13"/>
        </w:rPr>
        <w:t> </w:t>
      </w:r>
      <w:r>
        <w:rPr/>
        <w:t>una</w:t>
      </w:r>
      <w:r>
        <w:rPr>
          <w:spacing w:val="-12"/>
        </w:rPr>
        <w:t> </w:t>
      </w:r>
      <w:r>
        <w:rPr/>
        <w:t>manera</w:t>
      </w:r>
      <w:r>
        <w:rPr>
          <w:spacing w:val="-12"/>
        </w:rPr>
        <w:t> </w:t>
      </w:r>
      <w:r>
        <w:rPr/>
        <w:t>de</w:t>
      </w:r>
      <w:r>
        <w:rPr>
          <w:spacing w:val="-10"/>
        </w:rPr>
        <w:t> </w:t>
      </w:r>
      <w:r>
        <w:rPr/>
        <w:t>analizar</w:t>
      </w:r>
      <w:r>
        <w:rPr>
          <w:spacing w:val="-15"/>
        </w:rPr>
        <w:t> </w:t>
      </w:r>
      <w:r>
        <w:rPr/>
        <w:t>los</w:t>
      </w:r>
      <w:r>
        <w:rPr>
          <w:spacing w:val="-13"/>
        </w:rPr>
        <w:t> </w:t>
      </w:r>
      <w:r>
        <w:rPr/>
        <w:t>factores</w:t>
      </w:r>
      <w:r>
        <w:rPr>
          <w:spacing w:val="-13"/>
        </w:rPr>
        <w:t> </w:t>
      </w:r>
      <w:r>
        <w:rPr/>
        <w:t>biofísicos</w:t>
      </w:r>
      <w:r>
        <w:rPr>
          <w:spacing w:val="-17"/>
        </w:rPr>
        <w:t> </w:t>
      </w:r>
      <w:r>
        <w:rPr/>
        <w:t>y</w:t>
      </w:r>
      <w:r>
        <w:rPr>
          <w:spacing w:val="-13"/>
        </w:rPr>
        <w:t> </w:t>
      </w:r>
      <w:r>
        <w:rPr/>
        <w:t>sociales que potencian la incidencia probable de una amenaza. Se trata de una evaluación ex ante, es decir antes de que ocurra la incidencia de la amenaza o peligro, la utilidad de esta herramienta radica en que fortalece el proceso de anticipación y planeación,</w:t>
      </w:r>
      <w:r>
        <w:rPr>
          <w:spacing w:val="-8"/>
        </w:rPr>
        <w:t> </w:t>
      </w:r>
      <w:r>
        <w:rPr/>
        <w:t>y</w:t>
      </w:r>
      <w:r>
        <w:rPr>
          <w:spacing w:val="-3"/>
        </w:rPr>
        <w:t> </w:t>
      </w:r>
      <w:r>
        <w:rPr/>
        <w:t>permite</w:t>
      </w:r>
      <w:r>
        <w:rPr>
          <w:spacing w:val="-2"/>
        </w:rPr>
        <w:t> </w:t>
      </w:r>
      <w:r>
        <w:rPr/>
        <w:t>mayor</w:t>
      </w:r>
      <w:r>
        <w:rPr>
          <w:spacing w:val="-2"/>
        </w:rPr>
        <w:t> </w:t>
      </w:r>
      <w:r>
        <w:rPr/>
        <w:t>efectividad</w:t>
      </w:r>
      <w:r>
        <w:rPr>
          <w:spacing w:val="-3"/>
        </w:rPr>
        <w:t> </w:t>
      </w:r>
      <w:r>
        <w:rPr/>
        <w:t>en</w:t>
      </w:r>
      <w:r>
        <w:rPr>
          <w:spacing w:val="-7"/>
        </w:rPr>
        <w:t> </w:t>
      </w:r>
      <w:r>
        <w:rPr/>
        <w:t>la</w:t>
      </w:r>
      <w:r>
        <w:rPr>
          <w:spacing w:val="-12"/>
        </w:rPr>
        <w:t> </w:t>
      </w:r>
      <w:r>
        <w:rPr/>
        <w:t>ejecución</w:t>
      </w:r>
      <w:r>
        <w:rPr>
          <w:spacing w:val="-3"/>
        </w:rPr>
        <w:t> </w:t>
      </w:r>
      <w:r>
        <w:rPr/>
        <w:t>de</w:t>
      </w:r>
      <w:r>
        <w:rPr>
          <w:spacing w:val="-7"/>
        </w:rPr>
        <w:t> </w:t>
      </w:r>
      <w:r>
        <w:rPr/>
        <w:t>las</w:t>
      </w:r>
      <w:r>
        <w:rPr>
          <w:spacing w:val="-8"/>
        </w:rPr>
        <w:t> </w:t>
      </w:r>
      <w:r>
        <w:rPr/>
        <w:t>acciones</w:t>
      </w:r>
      <w:r>
        <w:rPr>
          <w:spacing w:val="-8"/>
        </w:rPr>
        <w:t> </w:t>
      </w:r>
      <w:r>
        <w:rPr/>
        <w:t>planeadas, para su posterior evaluación (evaluación</w:t>
      </w:r>
      <w:r>
        <w:rPr>
          <w:spacing w:val="-23"/>
        </w:rPr>
        <w:t> </w:t>
      </w:r>
      <w:r>
        <w:rPr/>
        <w:t>expost)</w:t>
      </w:r>
    </w:p>
    <w:p>
      <w:pPr>
        <w:pStyle w:val="BodyText"/>
        <w:spacing w:before="5"/>
      </w:pPr>
    </w:p>
    <w:p>
      <w:pPr>
        <w:pStyle w:val="BodyText"/>
        <w:spacing w:line="360" w:lineRule="auto"/>
        <w:ind w:left="119" w:right="123"/>
        <w:jc w:val="both"/>
      </w:pPr>
      <w:r>
        <w:rPr/>
        <w:t>La función de la evaluación antes y después de las afectaciones probables y de hecho que pueden producir una amenaza o peligro, es producir un sistema de retroalimentación que permita elegir diferentes proyectos y programas de acuerdo con</w:t>
      </w:r>
      <w:r>
        <w:rPr>
          <w:spacing w:val="-11"/>
        </w:rPr>
        <w:t> </w:t>
      </w:r>
      <w:r>
        <w:rPr/>
        <w:t>su</w:t>
      </w:r>
      <w:r>
        <w:rPr>
          <w:spacing w:val="-11"/>
        </w:rPr>
        <w:t> </w:t>
      </w:r>
      <w:r>
        <w:rPr/>
        <w:t>potencial</w:t>
      </w:r>
      <w:r>
        <w:rPr>
          <w:spacing w:val="-7"/>
        </w:rPr>
        <w:t> </w:t>
      </w:r>
      <w:r>
        <w:rPr/>
        <w:t>eficacia,</w:t>
      </w:r>
      <w:r>
        <w:rPr>
          <w:spacing w:val="-11"/>
        </w:rPr>
        <w:t> </w:t>
      </w:r>
      <w:r>
        <w:rPr/>
        <w:t>analizar</w:t>
      </w:r>
      <w:r>
        <w:rPr>
          <w:spacing w:val="-10"/>
        </w:rPr>
        <w:t> </w:t>
      </w:r>
      <w:r>
        <w:rPr/>
        <w:t>y</w:t>
      </w:r>
      <w:r>
        <w:rPr>
          <w:spacing w:val="-12"/>
        </w:rPr>
        <w:t> </w:t>
      </w:r>
      <w:r>
        <w:rPr/>
        <w:t>rectificar</w:t>
      </w:r>
      <w:r>
        <w:rPr>
          <w:spacing w:val="-10"/>
        </w:rPr>
        <w:t> </w:t>
      </w:r>
      <w:r>
        <w:rPr/>
        <w:t>el</w:t>
      </w:r>
      <w:r>
        <w:rPr>
          <w:spacing w:val="-7"/>
        </w:rPr>
        <w:t> </w:t>
      </w:r>
      <w:r>
        <w:rPr/>
        <w:t>desarrollo</w:t>
      </w:r>
      <w:r>
        <w:rPr>
          <w:spacing w:val="-11"/>
        </w:rPr>
        <w:t> </w:t>
      </w:r>
      <w:r>
        <w:rPr/>
        <w:t>de</w:t>
      </w:r>
      <w:r>
        <w:rPr>
          <w:spacing w:val="-16"/>
        </w:rPr>
        <w:t> </w:t>
      </w:r>
      <w:r>
        <w:rPr/>
        <w:t>los</w:t>
      </w:r>
      <w:r>
        <w:rPr>
          <w:spacing w:val="-12"/>
        </w:rPr>
        <w:t> </w:t>
      </w:r>
      <w:r>
        <w:rPr>
          <w:spacing w:val="-2"/>
        </w:rPr>
        <w:t>mismos</w:t>
      </w:r>
      <w:r>
        <w:rPr>
          <w:spacing w:val="-12"/>
        </w:rPr>
        <w:t> </w:t>
      </w:r>
      <w:r>
        <w:rPr/>
        <w:t>y</w:t>
      </w:r>
      <w:r>
        <w:rPr>
          <w:spacing w:val="-2"/>
        </w:rPr>
        <w:t> </w:t>
      </w:r>
      <w:r>
        <w:rPr/>
        <w:t>medir</w:t>
      </w:r>
      <w:r>
        <w:rPr>
          <w:spacing w:val="-10"/>
        </w:rPr>
        <w:t> </w:t>
      </w:r>
      <w:r>
        <w:rPr/>
        <w:t>los logros de las acciones desarrolladas, para efectos de prevenir, anticipar o mitigar los efectos de una amenaza o peligro natural, a través de diferentes proyectos, programas y</w:t>
      </w:r>
      <w:r>
        <w:rPr>
          <w:spacing w:val="-10"/>
        </w:rPr>
        <w:t> </w:t>
      </w:r>
      <w:r>
        <w:rPr/>
        <w:t>estrategias.</w:t>
      </w:r>
    </w:p>
    <w:p>
      <w:pPr>
        <w:pStyle w:val="BodyText"/>
        <w:spacing w:before="5"/>
      </w:pPr>
    </w:p>
    <w:p>
      <w:pPr>
        <w:pStyle w:val="BodyText"/>
        <w:spacing w:line="362" w:lineRule="auto"/>
        <w:ind w:left="119" w:right="115"/>
        <w:jc w:val="both"/>
      </w:pPr>
      <w:r>
        <w:rPr/>
        <w:t>Uno de los estudios </w:t>
      </w:r>
      <w:r>
        <w:rPr>
          <w:spacing w:val="-3"/>
        </w:rPr>
        <w:t>más </w:t>
      </w:r>
      <w:r>
        <w:rPr/>
        <w:t>significativos, ha sido el estudio realizado por Cardona para el Banco Interamericano de Desarrollo, en el informe se precisa que </w:t>
      </w:r>
      <w:r>
        <w:rPr>
          <w:spacing w:val="60"/>
        </w:rPr>
        <w:t> </w:t>
      </w:r>
      <w:r>
        <w:rPr/>
        <w:t>durante</w:t>
      </w:r>
    </w:p>
    <w:p>
      <w:pPr>
        <w:spacing w:after="0" w:line="362" w:lineRule="auto"/>
        <w:jc w:val="both"/>
        <w:sectPr>
          <w:pgSz w:w="12240" w:h="15840"/>
          <w:pgMar w:header="0" w:footer="1031" w:top="1360" w:bottom="1220" w:left="1580" w:right="1580"/>
        </w:sectPr>
      </w:pPr>
    </w:p>
    <w:p>
      <w:pPr>
        <w:pStyle w:val="BodyText"/>
        <w:spacing w:line="360" w:lineRule="auto" w:before="52"/>
        <w:ind w:left="119" w:right="126"/>
        <w:jc w:val="both"/>
      </w:pPr>
      <w:r>
        <w:rPr/>
        <w:t>los últimos treinta años, los huracanes, los terremotos, los deslizamientos y las inundaciones han causado pérdidas físicas en América Latina y el Caribe que alcanzan los US $3,2 mil millones. En promedio, los desastres en la región han causado la muerte de </w:t>
      </w:r>
      <w:r>
        <w:rPr>
          <w:spacing w:val="-3"/>
        </w:rPr>
        <w:t>más </w:t>
      </w:r>
      <w:r>
        <w:rPr/>
        <w:t>de 5.000 personas y afectado a 4 millones de personas cada año. Los desastres también tienen un impacto a largo plazo sobre el crecimiento</w:t>
      </w:r>
      <w:r>
        <w:rPr>
          <w:spacing w:val="-8"/>
        </w:rPr>
        <w:t> </w:t>
      </w:r>
      <w:r>
        <w:rPr/>
        <w:t>macroeconómico</w:t>
      </w:r>
      <w:r>
        <w:rPr>
          <w:spacing w:val="-5"/>
        </w:rPr>
        <w:t> </w:t>
      </w:r>
      <w:r>
        <w:rPr/>
        <w:t>y</w:t>
      </w:r>
      <w:r>
        <w:rPr>
          <w:spacing w:val="-8"/>
        </w:rPr>
        <w:t> </w:t>
      </w:r>
      <w:r>
        <w:rPr/>
        <w:t>la</w:t>
      </w:r>
      <w:r>
        <w:rPr>
          <w:spacing w:val="-8"/>
        </w:rPr>
        <w:t> </w:t>
      </w:r>
      <w:r>
        <w:rPr/>
        <w:t>infraestructura</w:t>
      </w:r>
      <w:r>
        <w:rPr>
          <w:spacing w:val="-5"/>
        </w:rPr>
        <w:t> </w:t>
      </w:r>
      <w:r>
        <w:rPr/>
        <w:t>social,</w:t>
      </w:r>
      <w:r>
        <w:rPr>
          <w:spacing w:val="-5"/>
        </w:rPr>
        <w:t> </w:t>
      </w:r>
      <w:r>
        <w:rPr/>
        <w:t>afectando</w:t>
      </w:r>
      <w:r>
        <w:rPr>
          <w:spacing w:val="-5"/>
        </w:rPr>
        <w:t> </w:t>
      </w:r>
      <w:r>
        <w:rPr/>
        <w:t>desarrollo</w:t>
      </w:r>
      <w:r>
        <w:rPr>
          <w:spacing w:val="-5"/>
        </w:rPr>
        <w:t> </w:t>
      </w:r>
      <w:r>
        <w:rPr/>
        <w:t>de</w:t>
      </w:r>
      <w:r>
        <w:rPr>
          <w:spacing w:val="-8"/>
        </w:rPr>
        <w:t> </w:t>
      </w:r>
      <w:r>
        <w:rPr/>
        <w:t>los países afectados y reduciendo la eficacia de la ayuda que</w:t>
      </w:r>
      <w:r>
        <w:rPr>
          <w:spacing w:val="-28"/>
        </w:rPr>
        <w:t> </w:t>
      </w:r>
      <w:r>
        <w:rPr/>
        <w:t>reciben.</w:t>
      </w:r>
    </w:p>
    <w:p>
      <w:pPr>
        <w:pStyle w:val="BodyText"/>
        <w:spacing w:before="5"/>
      </w:pPr>
    </w:p>
    <w:p>
      <w:pPr>
        <w:pStyle w:val="BodyText"/>
        <w:spacing w:line="360" w:lineRule="auto"/>
        <w:ind w:left="119" w:right="115"/>
        <w:jc w:val="both"/>
      </w:pPr>
      <w:r>
        <w:rPr/>
        <w:t>Cardona propone una serie de índices para elaborar estudios de prevención y mitigación ante los desastre. Considera que no todo fenómeno físico o natural genera una crisis que puede calificarse </w:t>
      </w:r>
      <w:r>
        <w:rPr>
          <w:spacing w:val="-3"/>
        </w:rPr>
        <w:t>como </w:t>
      </w:r>
      <w:r>
        <w:rPr/>
        <w:t>"desastre", esto depende del </w:t>
      </w:r>
      <w:r>
        <w:rPr>
          <w:i/>
        </w:rPr>
        <w:t>grado </w:t>
      </w:r>
      <w:r>
        <w:rPr>
          <w:i/>
        </w:rPr>
        <w:t>de vulnerabilidad </w:t>
      </w:r>
      <w:r>
        <w:rPr/>
        <w:t>de la zona susceptible de ser afectada, por lo que establece el índice</w:t>
      </w:r>
      <w:r>
        <w:rPr>
          <w:spacing w:val="-5"/>
        </w:rPr>
        <w:t> </w:t>
      </w:r>
      <w:r>
        <w:rPr/>
        <w:t>de</w:t>
      </w:r>
      <w:r>
        <w:rPr>
          <w:spacing w:val="-10"/>
        </w:rPr>
        <w:t> </w:t>
      </w:r>
      <w:r>
        <w:rPr/>
        <w:t>vulnerabilidad</w:t>
      </w:r>
      <w:r>
        <w:rPr>
          <w:spacing w:val="-10"/>
        </w:rPr>
        <w:t> </w:t>
      </w:r>
      <w:r>
        <w:rPr/>
        <w:t>prevalerte</w:t>
      </w:r>
      <w:r>
        <w:rPr>
          <w:spacing w:val="-9"/>
        </w:rPr>
        <w:t> </w:t>
      </w:r>
      <w:r>
        <w:rPr/>
        <w:t>(PVI),</w:t>
      </w:r>
      <w:r>
        <w:rPr>
          <w:spacing w:val="-5"/>
        </w:rPr>
        <w:t> </w:t>
      </w:r>
      <w:r>
        <w:rPr/>
        <w:t>que</w:t>
      </w:r>
      <w:r>
        <w:rPr>
          <w:spacing w:val="-14"/>
        </w:rPr>
        <w:t> </w:t>
      </w:r>
      <w:r>
        <w:rPr/>
        <w:t>mide</w:t>
      </w:r>
      <w:r>
        <w:rPr>
          <w:spacing w:val="-5"/>
        </w:rPr>
        <w:t> </w:t>
      </w:r>
      <w:r>
        <w:rPr/>
        <w:t>la</w:t>
      </w:r>
      <w:r>
        <w:rPr>
          <w:spacing w:val="-5"/>
        </w:rPr>
        <w:t> </w:t>
      </w:r>
      <w:r>
        <w:rPr/>
        <w:t>fragilidad</w:t>
      </w:r>
      <w:r>
        <w:rPr>
          <w:spacing w:val="-10"/>
        </w:rPr>
        <w:t> </w:t>
      </w:r>
      <w:r>
        <w:rPr/>
        <w:t>y</w:t>
      </w:r>
      <w:r>
        <w:rPr>
          <w:spacing w:val="-11"/>
        </w:rPr>
        <w:t> </w:t>
      </w:r>
      <w:r>
        <w:rPr/>
        <w:t>la</w:t>
      </w:r>
      <w:r>
        <w:rPr>
          <w:spacing w:val="-10"/>
        </w:rPr>
        <w:t> </w:t>
      </w:r>
      <w:r>
        <w:rPr/>
        <w:t>exposición</w:t>
      </w:r>
      <w:r>
        <w:rPr>
          <w:spacing w:val="-10"/>
        </w:rPr>
        <w:t> </w:t>
      </w:r>
      <w:r>
        <w:rPr/>
        <w:t>de</w:t>
      </w:r>
      <w:r>
        <w:rPr>
          <w:spacing w:val="-10"/>
        </w:rPr>
        <w:t> </w:t>
      </w:r>
      <w:r>
        <w:rPr/>
        <w:t>la actividad </w:t>
      </w:r>
      <w:r>
        <w:rPr>
          <w:spacing w:val="-2"/>
        </w:rPr>
        <w:t>humana </w:t>
      </w:r>
      <w:r>
        <w:rPr/>
        <w:t>y económica de los países a los desastres y la capacidad social para absorber los impactos (BID,</w:t>
      </w:r>
      <w:r>
        <w:rPr>
          <w:spacing w:val="-11"/>
        </w:rPr>
        <w:t> </w:t>
      </w:r>
      <w:r>
        <w:rPr/>
        <w:t>2005).</w:t>
      </w:r>
    </w:p>
    <w:p>
      <w:pPr>
        <w:pStyle w:val="BodyText"/>
        <w:spacing w:before="5"/>
      </w:pPr>
    </w:p>
    <w:p>
      <w:pPr>
        <w:pStyle w:val="BodyText"/>
        <w:spacing w:line="360" w:lineRule="auto"/>
        <w:ind w:left="119" w:right="114"/>
        <w:jc w:val="both"/>
      </w:pPr>
      <w:r>
        <w:rPr/>
        <w:t>Los indicadores que forman el PVI, consideran el crecimiento demográfico, la densidad de población, pobreza, desempleo, la degradación del suelo causada por la actividad humana, el equilibrio de género, el gasto social y el seguro de la infraestructura y la vivienda.</w:t>
      </w:r>
    </w:p>
    <w:p>
      <w:pPr>
        <w:pStyle w:val="BodyText"/>
        <w:spacing w:before="10"/>
      </w:pPr>
    </w:p>
    <w:p>
      <w:pPr>
        <w:pStyle w:val="BodyText"/>
        <w:spacing w:line="360" w:lineRule="auto"/>
        <w:ind w:left="119" w:right="115"/>
        <w:jc w:val="both"/>
      </w:pPr>
      <w:r>
        <w:rPr/>
        <w:t>Un</w:t>
      </w:r>
      <w:r>
        <w:rPr>
          <w:spacing w:val="-6"/>
        </w:rPr>
        <w:t> </w:t>
      </w:r>
      <w:r>
        <w:rPr/>
        <w:t>índice</w:t>
      </w:r>
      <w:r>
        <w:rPr>
          <w:spacing w:val="-6"/>
        </w:rPr>
        <w:t> </w:t>
      </w:r>
      <w:r>
        <w:rPr/>
        <w:t>de</w:t>
      </w:r>
      <w:r>
        <w:rPr>
          <w:spacing w:val="-6"/>
        </w:rPr>
        <w:t> </w:t>
      </w:r>
      <w:r>
        <w:rPr/>
        <w:t>20</w:t>
      </w:r>
      <w:r>
        <w:rPr>
          <w:spacing w:val="-6"/>
        </w:rPr>
        <w:t> </w:t>
      </w:r>
      <w:r>
        <w:rPr/>
        <w:t>o</w:t>
      </w:r>
      <w:r>
        <w:rPr>
          <w:spacing w:val="-6"/>
        </w:rPr>
        <w:t> </w:t>
      </w:r>
      <w:r>
        <w:rPr/>
        <w:t>menos</w:t>
      </w:r>
      <w:r>
        <w:rPr>
          <w:spacing w:val="-7"/>
        </w:rPr>
        <w:t> </w:t>
      </w:r>
      <w:r>
        <w:rPr/>
        <w:t>indica</w:t>
      </w:r>
      <w:r>
        <w:rPr>
          <w:spacing w:val="-11"/>
        </w:rPr>
        <w:t> </w:t>
      </w:r>
      <w:r>
        <w:rPr/>
        <w:t>un bajo</w:t>
      </w:r>
      <w:r>
        <w:rPr>
          <w:spacing w:val="-6"/>
        </w:rPr>
        <w:t> </w:t>
      </w:r>
      <w:r>
        <w:rPr/>
        <w:t>nivel</w:t>
      </w:r>
      <w:r>
        <w:rPr>
          <w:spacing w:val="-7"/>
        </w:rPr>
        <w:t> </w:t>
      </w:r>
      <w:r>
        <w:rPr/>
        <w:t>de</w:t>
      </w:r>
      <w:r>
        <w:rPr>
          <w:spacing w:val="-6"/>
        </w:rPr>
        <w:t> </w:t>
      </w:r>
      <w:r>
        <w:rPr/>
        <w:t>vulnerabilidad,</w:t>
      </w:r>
      <w:r>
        <w:rPr>
          <w:spacing w:val="-6"/>
        </w:rPr>
        <w:t> </w:t>
      </w:r>
      <w:r>
        <w:rPr/>
        <w:t>un</w:t>
      </w:r>
      <w:r>
        <w:rPr>
          <w:spacing w:val="-6"/>
        </w:rPr>
        <w:t> </w:t>
      </w:r>
      <w:r>
        <w:rPr/>
        <w:t>índice</w:t>
      </w:r>
      <w:r>
        <w:rPr>
          <w:spacing w:val="-6"/>
        </w:rPr>
        <w:t> </w:t>
      </w:r>
      <w:r>
        <w:rPr/>
        <w:t>entre</w:t>
      </w:r>
      <w:r>
        <w:rPr>
          <w:spacing w:val="-6"/>
        </w:rPr>
        <w:t> </w:t>
      </w:r>
      <w:r>
        <w:rPr/>
        <w:t>20</w:t>
      </w:r>
      <w:r>
        <w:rPr>
          <w:spacing w:val="-6"/>
        </w:rPr>
        <w:t> </w:t>
      </w:r>
      <w:r>
        <w:rPr/>
        <w:t>y 40 un nivel medio y un índice de 40 y 80 un nivel de alta vulnerabilidad. Ante fenómenos</w:t>
      </w:r>
      <w:r>
        <w:rPr>
          <w:spacing w:val="-7"/>
        </w:rPr>
        <w:t> </w:t>
      </w:r>
      <w:r>
        <w:rPr/>
        <w:t>de</w:t>
      </w:r>
      <w:r>
        <w:rPr>
          <w:spacing w:val="-11"/>
        </w:rPr>
        <w:t> </w:t>
      </w:r>
      <w:r>
        <w:rPr/>
        <w:t>igual</w:t>
      </w:r>
      <w:r>
        <w:rPr>
          <w:spacing w:val="-7"/>
        </w:rPr>
        <w:t> </w:t>
      </w:r>
      <w:r>
        <w:rPr/>
        <w:t>magnitud</w:t>
      </w:r>
      <w:r>
        <w:rPr>
          <w:spacing w:val="-11"/>
        </w:rPr>
        <w:t> </w:t>
      </w:r>
      <w:r>
        <w:rPr/>
        <w:t>que</w:t>
      </w:r>
      <w:r>
        <w:rPr>
          <w:spacing w:val="-11"/>
        </w:rPr>
        <w:t> </w:t>
      </w:r>
      <w:r>
        <w:rPr/>
        <w:t>afecten</w:t>
      </w:r>
      <w:r>
        <w:rPr>
          <w:spacing w:val="-11"/>
        </w:rPr>
        <w:t> </w:t>
      </w:r>
      <w:r>
        <w:rPr/>
        <w:t>a</w:t>
      </w:r>
      <w:r>
        <w:rPr>
          <w:spacing w:val="-11"/>
        </w:rPr>
        <w:t> </w:t>
      </w:r>
      <w:r>
        <w:rPr/>
        <w:t>países</w:t>
      </w:r>
      <w:r>
        <w:rPr>
          <w:spacing w:val="-7"/>
        </w:rPr>
        <w:t> </w:t>
      </w:r>
      <w:r>
        <w:rPr/>
        <w:t>desarrollados</w:t>
      </w:r>
      <w:r>
        <w:rPr>
          <w:spacing w:val="-7"/>
        </w:rPr>
        <w:t> </w:t>
      </w:r>
      <w:r>
        <w:rPr/>
        <w:t>y</w:t>
      </w:r>
      <w:r>
        <w:rPr>
          <w:spacing w:val="-12"/>
        </w:rPr>
        <w:t> </w:t>
      </w:r>
      <w:r>
        <w:rPr/>
        <w:t>en</w:t>
      </w:r>
      <w:r>
        <w:rPr>
          <w:spacing w:val="-11"/>
        </w:rPr>
        <w:t> </w:t>
      </w:r>
      <w:r>
        <w:rPr/>
        <w:t>desarrollo,</w:t>
      </w:r>
      <w:r>
        <w:rPr>
          <w:spacing w:val="-11"/>
        </w:rPr>
        <w:t> </w:t>
      </w:r>
      <w:r>
        <w:rPr/>
        <w:t>la mayoría</w:t>
      </w:r>
      <w:r>
        <w:rPr>
          <w:spacing w:val="-8"/>
        </w:rPr>
        <w:t> </w:t>
      </w:r>
      <w:r>
        <w:rPr/>
        <w:t>de</w:t>
      </w:r>
      <w:r>
        <w:rPr>
          <w:spacing w:val="-9"/>
        </w:rPr>
        <w:t> </w:t>
      </w:r>
      <w:r>
        <w:rPr/>
        <w:t>las</w:t>
      </w:r>
      <w:r>
        <w:rPr>
          <w:spacing w:val="-10"/>
        </w:rPr>
        <w:t> </w:t>
      </w:r>
      <w:r>
        <w:rPr/>
        <w:t>pérdidas</w:t>
      </w:r>
      <w:r>
        <w:rPr>
          <w:spacing w:val="-10"/>
        </w:rPr>
        <w:t> </w:t>
      </w:r>
      <w:r>
        <w:rPr/>
        <w:t>económicas</w:t>
      </w:r>
      <w:r>
        <w:rPr>
          <w:spacing w:val="-10"/>
        </w:rPr>
        <w:t> </w:t>
      </w:r>
      <w:r>
        <w:rPr/>
        <w:t>globales</w:t>
      </w:r>
      <w:r>
        <w:rPr>
          <w:spacing w:val="-14"/>
        </w:rPr>
        <w:t> </w:t>
      </w:r>
      <w:r>
        <w:rPr/>
        <w:t>se</w:t>
      </w:r>
      <w:r>
        <w:rPr>
          <w:spacing w:val="-9"/>
        </w:rPr>
        <w:t> </w:t>
      </w:r>
      <w:r>
        <w:rPr/>
        <w:t>concentran</w:t>
      </w:r>
      <w:r>
        <w:rPr>
          <w:spacing w:val="-9"/>
        </w:rPr>
        <w:t> </w:t>
      </w:r>
      <w:r>
        <w:rPr/>
        <w:t>en</w:t>
      </w:r>
      <w:r>
        <w:rPr>
          <w:spacing w:val="-14"/>
        </w:rPr>
        <w:t> </w:t>
      </w:r>
      <w:r>
        <w:rPr/>
        <w:t>los</w:t>
      </w:r>
      <w:r>
        <w:rPr>
          <w:spacing w:val="-10"/>
        </w:rPr>
        <w:t> </w:t>
      </w:r>
      <w:r>
        <w:rPr/>
        <w:t>primeros,</w:t>
      </w:r>
      <w:r>
        <w:rPr>
          <w:spacing w:val="-9"/>
        </w:rPr>
        <w:t> </w:t>
      </w:r>
      <w:r>
        <w:rPr/>
        <w:t>en</w:t>
      </w:r>
      <w:r>
        <w:rPr>
          <w:spacing w:val="-9"/>
        </w:rPr>
        <w:t> </w:t>
      </w:r>
      <w:r>
        <w:rPr/>
        <w:t>los países</w:t>
      </w:r>
      <w:r>
        <w:rPr>
          <w:spacing w:val="-7"/>
        </w:rPr>
        <w:t> </w:t>
      </w:r>
      <w:r>
        <w:rPr/>
        <w:t>con</w:t>
      </w:r>
      <w:r>
        <w:rPr>
          <w:spacing w:val="-6"/>
        </w:rPr>
        <w:t> </w:t>
      </w:r>
      <w:r>
        <w:rPr/>
        <w:t>un</w:t>
      </w:r>
      <w:r>
        <w:rPr>
          <w:spacing w:val="-11"/>
        </w:rPr>
        <w:t> </w:t>
      </w:r>
      <w:r>
        <w:rPr/>
        <w:t>índice</w:t>
      </w:r>
      <w:r>
        <w:rPr>
          <w:spacing w:val="-11"/>
        </w:rPr>
        <w:t> </w:t>
      </w:r>
      <w:r>
        <w:rPr/>
        <w:t>de</w:t>
      </w:r>
      <w:r>
        <w:rPr>
          <w:spacing w:val="-11"/>
        </w:rPr>
        <w:t> </w:t>
      </w:r>
      <w:r>
        <w:rPr/>
        <w:t>desarrollo</w:t>
      </w:r>
      <w:r>
        <w:rPr>
          <w:spacing w:val="-11"/>
        </w:rPr>
        <w:t> </w:t>
      </w:r>
      <w:r>
        <w:rPr/>
        <w:t>bajo</w:t>
      </w:r>
      <w:r>
        <w:rPr>
          <w:spacing w:val="-6"/>
        </w:rPr>
        <w:t> </w:t>
      </w:r>
      <w:r>
        <w:rPr/>
        <w:t>o</w:t>
      </w:r>
      <w:r>
        <w:rPr>
          <w:spacing w:val="-6"/>
        </w:rPr>
        <w:t> </w:t>
      </w:r>
      <w:r>
        <w:rPr/>
        <w:t>medio,</w:t>
      </w:r>
      <w:r>
        <w:rPr>
          <w:spacing w:val="-11"/>
        </w:rPr>
        <w:t> </w:t>
      </w:r>
      <w:r>
        <w:rPr/>
        <w:t>los</w:t>
      </w:r>
      <w:r>
        <w:rPr>
          <w:spacing w:val="-7"/>
        </w:rPr>
        <w:t> </w:t>
      </w:r>
      <w:r>
        <w:rPr/>
        <w:t>costos</w:t>
      </w:r>
      <w:r>
        <w:rPr>
          <w:spacing w:val="-7"/>
        </w:rPr>
        <w:t> </w:t>
      </w:r>
      <w:r>
        <w:rPr/>
        <w:t>sociales</w:t>
      </w:r>
      <w:r>
        <w:rPr>
          <w:spacing w:val="-5"/>
        </w:rPr>
        <w:t> </w:t>
      </w:r>
      <w:r>
        <w:rPr/>
        <w:t>se</w:t>
      </w:r>
      <w:r>
        <w:rPr>
          <w:spacing w:val="-11"/>
        </w:rPr>
        <w:t> </w:t>
      </w:r>
      <w:r>
        <w:rPr/>
        <w:t>asumen</w:t>
      </w:r>
      <w:r>
        <w:rPr>
          <w:spacing w:val="-6"/>
        </w:rPr>
        <w:t> </w:t>
      </w:r>
      <w:r>
        <w:rPr/>
        <w:t>con un mayor número de víctimas mortales, personas afectadas, lo </w:t>
      </w:r>
      <w:r>
        <w:rPr>
          <w:spacing w:val="-3"/>
        </w:rPr>
        <w:t>cual </w:t>
      </w:r>
      <w:r>
        <w:rPr/>
        <w:t>está en razón de mayores niveles de exclusión social y pobreza, y sistemas de prevención poco desarrollados.</w:t>
      </w:r>
    </w:p>
    <w:p>
      <w:pPr>
        <w:pStyle w:val="BodyText"/>
        <w:spacing w:before="10"/>
      </w:pPr>
    </w:p>
    <w:p>
      <w:pPr>
        <w:pStyle w:val="BodyText"/>
        <w:spacing w:line="362" w:lineRule="auto"/>
        <w:ind w:left="119" w:right="119"/>
        <w:jc w:val="both"/>
      </w:pPr>
      <w:r>
        <w:rPr/>
        <w:t>El</w:t>
      </w:r>
      <w:r>
        <w:rPr>
          <w:spacing w:val="-12"/>
        </w:rPr>
        <w:t> </w:t>
      </w:r>
      <w:r>
        <w:rPr/>
        <w:t>índice</w:t>
      </w:r>
      <w:r>
        <w:rPr>
          <w:spacing w:val="-20"/>
        </w:rPr>
        <w:t> </w:t>
      </w:r>
      <w:r>
        <w:rPr/>
        <w:t>de</w:t>
      </w:r>
      <w:r>
        <w:rPr>
          <w:spacing w:val="-16"/>
        </w:rPr>
        <w:t> </w:t>
      </w:r>
      <w:r>
        <w:rPr/>
        <w:t>gestión</w:t>
      </w:r>
      <w:r>
        <w:rPr>
          <w:spacing w:val="-16"/>
        </w:rPr>
        <w:t> </w:t>
      </w:r>
      <w:r>
        <w:rPr/>
        <w:t>de</w:t>
      </w:r>
      <w:r>
        <w:rPr>
          <w:spacing w:val="-20"/>
        </w:rPr>
        <w:t> </w:t>
      </w:r>
      <w:r>
        <w:rPr/>
        <w:t>riesgos</w:t>
      </w:r>
      <w:r>
        <w:rPr>
          <w:spacing w:val="-16"/>
        </w:rPr>
        <w:t> </w:t>
      </w:r>
      <w:r>
        <w:rPr/>
        <w:t>ante</w:t>
      </w:r>
      <w:r>
        <w:rPr>
          <w:spacing w:val="-20"/>
        </w:rPr>
        <w:t> </w:t>
      </w:r>
      <w:r>
        <w:rPr/>
        <w:t>desastres,</w:t>
      </w:r>
      <w:r>
        <w:rPr>
          <w:spacing w:val="-21"/>
        </w:rPr>
        <w:t> </w:t>
      </w:r>
      <w:r>
        <w:rPr/>
        <w:t>“El</w:t>
      </w:r>
      <w:r>
        <w:rPr>
          <w:spacing w:val="-12"/>
        </w:rPr>
        <w:t> </w:t>
      </w:r>
      <w:r>
        <w:rPr/>
        <w:t>índice</w:t>
      </w:r>
      <w:r>
        <w:rPr>
          <w:spacing w:val="-16"/>
        </w:rPr>
        <w:t> </w:t>
      </w:r>
      <w:r>
        <w:rPr/>
        <w:t>de</w:t>
      </w:r>
      <w:r>
        <w:rPr>
          <w:spacing w:val="-20"/>
        </w:rPr>
        <w:t> </w:t>
      </w:r>
      <w:r>
        <w:rPr/>
        <w:t>gestión</w:t>
      </w:r>
      <w:r>
        <w:rPr>
          <w:spacing w:val="-20"/>
        </w:rPr>
        <w:t> </w:t>
      </w:r>
      <w:r>
        <w:rPr/>
        <w:t>de</w:t>
      </w:r>
      <w:r>
        <w:rPr>
          <w:spacing w:val="-20"/>
        </w:rPr>
        <w:t> </w:t>
      </w:r>
      <w:r>
        <w:rPr/>
        <w:t>riesgos</w:t>
      </w:r>
      <w:r>
        <w:rPr>
          <w:spacing w:val="-21"/>
        </w:rPr>
        <w:t> </w:t>
      </w:r>
      <w:r>
        <w:rPr/>
        <w:t>(IGR) mide</w:t>
      </w:r>
      <w:r>
        <w:rPr>
          <w:spacing w:val="-6"/>
        </w:rPr>
        <w:t> </w:t>
      </w:r>
      <w:r>
        <w:rPr/>
        <w:t>el</w:t>
      </w:r>
      <w:r>
        <w:rPr>
          <w:spacing w:val="-4"/>
        </w:rPr>
        <w:t> </w:t>
      </w:r>
      <w:r>
        <w:rPr/>
        <w:t>desempeño</w:t>
      </w:r>
      <w:r>
        <w:rPr>
          <w:spacing w:val="-6"/>
        </w:rPr>
        <w:t> </w:t>
      </w:r>
      <w:r>
        <w:rPr/>
        <w:t>de</w:t>
      </w:r>
      <w:r>
        <w:rPr>
          <w:spacing w:val="-6"/>
        </w:rPr>
        <w:t> </w:t>
      </w:r>
      <w:r>
        <w:rPr/>
        <w:t>un</w:t>
      </w:r>
      <w:r>
        <w:rPr>
          <w:spacing w:val="-6"/>
        </w:rPr>
        <w:t> </w:t>
      </w:r>
      <w:r>
        <w:rPr/>
        <w:t>país.</w:t>
      </w:r>
      <w:r>
        <w:rPr>
          <w:spacing w:val="-6"/>
        </w:rPr>
        <w:t> </w:t>
      </w:r>
      <w:r>
        <w:rPr/>
        <w:t>Combina</w:t>
      </w:r>
      <w:r>
        <w:rPr>
          <w:spacing w:val="-6"/>
        </w:rPr>
        <w:t> </w:t>
      </w:r>
      <w:r>
        <w:rPr/>
        <w:t>varias</w:t>
      </w:r>
      <w:r>
        <w:rPr>
          <w:spacing w:val="-3"/>
        </w:rPr>
        <w:t> </w:t>
      </w:r>
      <w:r>
        <w:rPr/>
        <w:t>medidas</w:t>
      </w:r>
      <w:r>
        <w:rPr>
          <w:spacing w:val="-7"/>
        </w:rPr>
        <w:t> </w:t>
      </w:r>
      <w:r>
        <w:rPr/>
        <w:t>para</w:t>
      </w:r>
      <w:r>
        <w:rPr>
          <w:spacing w:val="-6"/>
        </w:rPr>
        <w:t> </w:t>
      </w:r>
      <w:r>
        <w:rPr/>
        <w:t>evaluar</w:t>
      </w:r>
      <w:r>
        <w:rPr>
          <w:spacing w:val="-10"/>
        </w:rPr>
        <w:t> </w:t>
      </w:r>
      <w:r>
        <w:rPr/>
        <w:t>la</w:t>
      </w:r>
      <w:r>
        <w:rPr>
          <w:spacing w:val="-6"/>
        </w:rPr>
        <w:t> </w:t>
      </w:r>
      <w:r>
        <w:rPr/>
        <w:t>capacidad para</w:t>
      </w:r>
      <w:r>
        <w:rPr>
          <w:spacing w:val="-11"/>
        </w:rPr>
        <w:t> </w:t>
      </w:r>
      <w:r>
        <w:rPr/>
        <w:t>identificar</w:t>
      </w:r>
      <w:r>
        <w:rPr>
          <w:spacing w:val="-5"/>
        </w:rPr>
        <w:t> </w:t>
      </w:r>
      <w:r>
        <w:rPr/>
        <w:t>y</w:t>
      </w:r>
      <w:r>
        <w:rPr>
          <w:spacing w:val="-12"/>
        </w:rPr>
        <w:t> </w:t>
      </w:r>
      <w:r>
        <w:rPr/>
        <w:t>reducir</w:t>
      </w:r>
      <w:r>
        <w:rPr>
          <w:spacing w:val="-15"/>
        </w:rPr>
        <w:t> </w:t>
      </w:r>
      <w:r>
        <w:rPr/>
        <w:t>los</w:t>
      </w:r>
      <w:r>
        <w:rPr>
          <w:spacing w:val="-12"/>
        </w:rPr>
        <w:t> </w:t>
      </w:r>
      <w:r>
        <w:rPr/>
        <w:t>riesgos,</w:t>
      </w:r>
      <w:r>
        <w:rPr>
          <w:spacing w:val="-11"/>
        </w:rPr>
        <w:t> </w:t>
      </w:r>
      <w:r>
        <w:rPr/>
        <w:t>responder</w:t>
      </w:r>
      <w:r>
        <w:rPr>
          <w:spacing w:val="-5"/>
        </w:rPr>
        <w:t> </w:t>
      </w:r>
      <w:r>
        <w:rPr/>
        <w:t>y</w:t>
      </w:r>
      <w:r>
        <w:rPr>
          <w:spacing w:val="-12"/>
        </w:rPr>
        <w:t> </w:t>
      </w:r>
      <w:r>
        <w:rPr/>
        <w:t>recuperarse</w:t>
      </w:r>
      <w:r>
        <w:rPr>
          <w:spacing w:val="-11"/>
        </w:rPr>
        <w:t> </w:t>
      </w:r>
      <w:r>
        <w:rPr/>
        <w:t>de</w:t>
      </w:r>
      <w:r>
        <w:rPr>
          <w:spacing w:val="-11"/>
        </w:rPr>
        <w:t> </w:t>
      </w:r>
      <w:r>
        <w:rPr/>
        <w:t>las</w:t>
      </w:r>
      <w:r>
        <w:rPr>
          <w:spacing w:val="-6"/>
        </w:rPr>
        <w:t> </w:t>
      </w:r>
      <w:r>
        <w:rPr/>
        <w:t>catástrofes,</w:t>
      </w:r>
      <w:r>
        <w:rPr>
          <w:spacing w:val="-11"/>
        </w:rPr>
        <w:t> </w:t>
      </w:r>
      <w:r>
        <w:rPr/>
        <w:t>así</w:t>
      </w:r>
    </w:p>
    <w:p>
      <w:pPr>
        <w:spacing w:after="0" w:line="362" w:lineRule="auto"/>
        <w:jc w:val="both"/>
        <w:sectPr>
          <w:footerReference w:type="default" r:id="rId31"/>
          <w:pgSz w:w="12240" w:h="15840"/>
          <w:pgMar w:footer="1031" w:header="0" w:top="1360" w:bottom="1220" w:left="1580" w:right="1580"/>
          <w:pgNumType w:start="33"/>
        </w:sectPr>
      </w:pPr>
    </w:p>
    <w:p>
      <w:pPr>
        <w:pStyle w:val="BodyText"/>
        <w:spacing w:line="362" w:lineRule="auto" w:before="52"/>
        <w:ind w:left="119" w:right="127"/>
        <w:jc w:val="both"/>
      </w:pPr>
      <w:r>
        <w:rPr/>
        <w:t>como</w:t>
      </w:r>
      <w:r>
        <w:rPr>
          <w:spacing w:val="-18"/>
        </w:rPr>
        <w:t> </w:t>
      </w:r>
      <w:r>
        <w:rPr/>
        <w:t>para</w:t>
      </w:r>
      <w:r>
        <w:rPr>
          <w:spacing w:val="-18"/>
        </w:rPr>
        <w:t> </w:t>
      </w:r>
      <w:r>
        <w:rPr/>
        <w:t>proporcionar</w:t>
      </w:r>
      <w:r>
        <w:rPr>
          <w:spacing w:val="-17"/>
        </w:rPr>
        <w:t> </w:t>
      </w:r>
      <w:r>
        <w:rPr/>
        <w:t>protección</w:t>
      </w:r>
      <w:r>
        <w:rPr>
          <w:spacing w:val="-18"/>
        </w:rPr>
        <w:t> </w:t>
      </w:r>
      <w:r>
        <w:rPr/>
        <w:t>financiera</w:t>
      </w:r>
      <w:r>
        <w:rPr>
          <w:spacing w:val="-18"/>
        </w:rPr>
        <w:t> </w:t>
      </w:r>
      <w:r>
        <w:rPr/>
        <w:t>y</w:t>
      </w:r>
      <w:r>
        <w:rPr>
          <w:spacing w:val="-18"/>
        </w:rPr>
        <w:t> </w:t>
      </w:r>
      <w:r>
        <w:rPr/>
        <w:t>realizar</w:t>
      </w:r>
      <w:r>
        <w:rPr>
          <w:spacing w:val="-17"/>
        </w:rPr>
        <w:t> </w:t>
      </w:r>
      <w:r>
        <w:rPr/>
        <w:t>una</w:t>
      </w:r>
      <w:r>
        <w:rPr>
          <w:spacing w:val="-18"/>
        </w:rPr>
        <w:t> </w:t>
      </w:r>
      <w:r>
        <w:rPr/>
        <w:t>transferencia</w:t>
      </w:r>
      <w:r>
        <w:rPr>
          <w:spacing w:val="-18"/>
        </w:rPr>
        <w:t> </w:t>
      </w:r>
      <w:r>
        <w:rPr/>
        <w:t>del</w:t>
      </w:r>
      <w:r>
        <w:rPr>
          <w:spacing w:val="-14"/>
        </w:rPr>
        <w:t> </w:t>
      </w:r>
      <w:r>
        <w:rPr/>
        <w:t>riesgo. Un</w:t>
      </w:r>
      <w:r>
        <w:rPr>
          <w:spacing w:val="-11"/>
        </w:rPr>
        <w:t> </w:t>
      </w:r>
      <w:r>
        <w:rPr/>
        <w:t>índice</w:t>
      </w:r>
      <w:r>
        <w:rPr>
          <w:spacing w:val="-11"/>
        </w:rPr>
        <w:t> </w:t>
      </w:r>
      <w:r>
        <w:rPr/>
        <w:t>por</w:t>
      </w:r>
      <w:r>
        <w:rPr>
          <w:spacing w:val="-10"/>
        </w:rPr>
        <w:t> </w:t>
      </w:r>
      <w:r>
        <w:rPr/>
        <w:t>debajo</w:t>
      </w:r>
      <w:r>
        <w:rPr>
          <w:spacing w:val="-11"/>
        </w:rPr>
        <w:t> </w:t>
      </w:r>
      <w:r>
        <w:rPr/>
        <w:t>de</w:t>
      </w:r>
      <w:r>
        <w:rPr>
          <w:spacing w:val="-11"/>
        </w:rPr>
        <w:t> </w:t>
      </w:r>
      <w:r>
        <w:rPr/>
        <w:t>50</w:t>
      </w:r>
      <w:r>
        <w:rPr>
          <w:spacing w:val="-16"/>
        </w:rPr>
        <w:t> </w:t>
      </w:r>
      <w:r>
        <w:rPr/>
        <w:t>es</w:t>
      </w:r>
      <w:r>
        <w:rPr>
          <w:spacing w:val="-16"/>
        </w:rPr>
        <w:t> </w:t>
      </w:r>
      <w:r>
        <w:rPr/>
        <w:t>insatisfactorio;</w:t>
      </w:r>
      <w:r>
        <w:rPr>
          <w:spacing w:val="-16"/>
        </w:rPr>
        <w:t> </w:t>
      </w:r>
      <w:r>
        <w:rPr/>
        <w:t>un</w:t>
      </w:r>
      <w:r>
        <w:rPr>
          <w:spacing w:val="-11"/>
        </w:rPr>
        <w:t> </w:t>
      </w:r>
      <w:r>
        <w:rPr/>
        <w:t>índice</w:t>
      </w:r>
      <w:r>
        <w:rPr>
          <w:spacing w:val="-11"/>
        </w:rPr>
        <w:t> </w:t>
      </w:r>
      <w:r>
        <w:rPr/>
        <w:t>entre</w:t>
      </w:r>
      <w:r>
        <w:rPr>
          <w:spacing w:val="-11"/>
        </w:rPr>
        <w:t> </w:t>
      </w:r>
      <w:r>
        <w:rPr/>
        <w:t>50</w:t>
      </w:r>
      <w:r>
        <w:rPr>
          <w:spacing w:val="-11"/>
        </w:rPr>
        <w:t> </w:t>
      </w:r>
      <w:r>
        <w:rPr/>
        <w:t>y</w:t>
      </w:r>
      <w:r>
        <w:rPr>
          <w:spacing w:val="-12"/>
        </w:rPr>
        <w:t> </w:t>
      </w:r>
      <w:r>
        <w:rPr/>
        <w:t>75</w:t>
      </w:r>
      <w:r>
        <w:rPr>
          <w:spacing w:val="-11"/>
        </w:rPr>
        <w:t> </w:t>
      </w:r>
      <w:r>
        <w:rPr/>
        <w:t>es</w:t>
      </w:r>
      <w:r>
        <w:rPr>
          <w:spacing w:val="-12"/>
        </w:rPr>
        <w:t> </w:t>
      </w:r>
      <w:r>
        <w:rPr/>
        <w:t>satisfactorio y un índice arriba de 75 es excepcional”. (BID,</w:t>
      </w:r>
      <w:r>
        <w:rPr>
          <w:spacing w:val="-14"/>
        </w:rPr>
        <w:t> </w:t>
      </w:r>
      <w:r>
        <w:rPr/>
        <w:t>2005).</w:t>
      </w:r>
    </w:p>
    <w:p>
      <w:pPr>
        <w:pStyle w:val="BodyText"/>
        <w:spacing w:before="2"/>
      </w:pPr>
    </w:p>
    <w:p>
      <w:pPr>
        <w:pStyle w:val="BodyText"/>
        <w:spacing w:line="360" w:lineRule="auto"/>
        <w:ind w:left="119" w:right="115"/>
        <w:jc w:val="both"/>
      </w:pPr>
      <w:r>
        <w:rPr/>
        <w:t>“El Índice de Déficit de Desastres IDD mide la capacidad del Estado para pagar, a fin de recuperarse de las pérdidas económicas, en caso de un evento catastrófico- semejante a los que pueden ocurrir una vez cada 50, 100 o 500 años-llegará a sucedes en 2008. Un IDD superior a 1.0 indica pérdidas económicas que exceden la capacidad financiera del Estado (Mientras mayor sea el IDD, mayor es la brecha financiera). (BID, 2005)</w:t>
      </w:r>
    </w:p>
    <w:p>
      <w:pPr>
        <w:pStyle w:val="BodyText"/>
        <w:spacing w:before="8"/>
        <w:rPr>
          <w:sz w:val="23"/>
        </w:rPr>
      </w:pPr>
    </w:p>
    <w:p>
      <w:pPr>
        <w:pStyle w:val="Heading1"/>
        <w:numPr>
          <w:ilvl w:val="2"/>
          <w:numId w:val="13"/>
        </w:numPr>
        <w:tabs>
          <w:tab w:pos="1489" w:val="left" w:leader="none"/>
        </w:tabs>
        <w:spacing w:line="240" w:lineRule="auto" w:before="0" w:after="0"/>
        <w:ind w:left="1488" w:right="0" w:hanging="648"/>
        <w:jc w:val="left"/>
      </w:pPr>
      <w:bookmarkStart w:name="_TOC_250039" w:id="15"/>
      <w:r>
        <w:rPr/>
        <w:t>Definición operacional de las</w:t>
      </w:r>
      <w:r>
        <w:rPr>
          <w:spacing w:val="-8"/>
        </w:rPr>
        <w:t> </w:t>
      </w:r>
      <w:bookmarkEnd w:id="15"/>
      <w:r>
        <w:rPr/>
        <w:t>variables</w:t>
      </w:r>
    </w:p>
    <w:p>
      <w:pPr>
        <w:pStyle w:val="BodyText"/>
        <w:spacing w:before="3"/>
        <w:rPr>
          <w:b/>
          <w:sz w:val="25"/>
        </w:rPr>
      </w:pPr>
    </w:p>
    <w:p>
      <w:pPr>
        <w:pStyle w:val="BodyText"/>
        <w:spacing w:line="360" w:lineRule="auto"/>
        <w:ind w:left="119" w:right="124"/>
        <w:jc w:val="both"/>
      </w:pPr>
      <w:r>
        <w:rPr/>
        <w:t>Existe una relación muy estrecha entre la amenaza de un fenómeno natural, la vulnerabilidad y el riesgo que se produciría en un sitio, comunidad, región o país.</w:t>
      </w:r>
    </w:p>
    <w:p>
      <w:pPr>
        <w:pStyle w:val="BodyText"/>
      </w:pPr>
    </w:p>
    <w:p>
      <w:pPr>
        <w:pStyle w:val="Heading2"/>
        <w:numPr>
          <w:ilvl w:val="3"/>
          <w:numId w:val="13"/>
        </w:numPr>
        <w:tabs>
          <w:tab w:pos="1790" w:val="left" w:leader="none"/>
        </w:tabs>
        <w:spacing w:line="487" w:lineRule="auto" w:before="0" w:after="0"/>
        <w:ind w:left="119" w:right="1033" w:firstLine="865"/>
        <w:jc w:val="left"/>
      </w:pPr>
      <w:r>
        <w:rPr/>
        <w:t>Definición operacional de las variables </w:t>
      </w:r>
      <w:r>
        <w:rPr>
          <w:color w:val="1F487C"/>
        </w:rPr>
        <w:t>in</w:t>
      </w:r>
      <w:r>
        <w:rPr/>
        <w:t>dependientes Amenaza:</w:t>
      </w:r>
    </w:p>
    <w:p>
      <w:pPr>
        <w:pStyle w:val="BodyText"/>
        <w:spacing w:line="360" w:lineRule="auto" w:before="144"/>
        <w:ind w:left="119" w:right="116"/>
        <w:jc w:val="both"/>
      </w:pPr>
      <w:r>
        <w:rPr/>
        <w:t>La amenaza es la posible ocurrencia de un fenómeno físico de origen natural, o de origen humano, que puede manifestarse en un sitio y durante un tiempo de exposición</w:t>
      </w:r>
      <w:r>
        <w:rPr>
          <w:spacing w:val="-8"/>
        </w:rPr>
        <w:t> </w:t>
      </w:r>
      <w:r>
        <w:rPr/>
        <w:t>prefijado.</w:t>
      </w:r>
      <w:r>
        <w:rPr>
          <w:spacing w:val="-8"/>
        </w:rPr>
        <w:t> </w:t>
      </w:r>
      <w:r>
        <w:rPr/>
        <w:t>Técnicamente</w:t>
      </w:r>
      <w:r>
        <w:rPr>
          <w:spacing w:val="-8"/>
        </w:rPr>
        <w:t> </w:t>
      </w:r>
      <w:r>
        <w:rPr/>
        <w:t>se</w:t>
      </w:r>
      <w:r>
        <w:rPr>
          <w:spacing w:val="-8"/>
        </w:rPr>
        <w:t> </w:t>
      </w:r>
      <w:r>
        <w:rPr/>
        <w:t>expresa</w:t>
      </w:r>
      <w:r>
        <w:rPr>
          <w:spacing w:val="-8"/>
        </w:rPr>
        <w:t> </w:t>
      </w:r>
      <w:r>
        <w:rPr/>
        <w:t>como</w:t>
      </w:r>
      <w:r>
        <w:rPr>
          <w:spacing w:val="-8"/>
        </w:rPr>
        <w:t> </w:t>
      </w:r>
      <w:r>
        <w:rPr/>
        <w:t>la</w:t>
      </w:r>
      <w:r>
        <w:rPr>
          <w:spacing w:val="-8"/>
        </w:rPr>
        <w:t> </w:t>
      </w:r>
      <w:r>
        <w:rPr/>
        <w:t>probabilidad</w:t>
      </w:r>
      <w:r>
        <w:rPr>
          <w:spacing w:val="-8"/>
        </w:rPr>
        <w:t> </w:t>
      </w:r>
      <w:r>
        <w:rPr/>
        <w:t>de</w:t>
      </w:r>
      <w:r>
        <w:rPr>
          <w:spacing w:val="-8"/>
        </w:rPr>
        <w:t> </w:t>
      </w:r>
      <w:r>
        <w:rPr/>
        <w:t>exceder</w:t>
      </w:r>
      <w:r>
        <w:rPr>
          <w:spacing w:val="-7"/>
        </w:rPr>
        <w:t> </w:t>
      </w:r>
      <w:r>
        <w:rPr/>
        <w:t>un nivel de ocurrencia de un evento con un nivel de severidad, en un sitio específico y durante un período de tiempo (Cardona,</w:t>
      </w:r>
      <w:r>
        <w:rPr>
          <w:spacing w:val="-24"/>
        </w:rPr>
        <w:t> </w:t>
      </w:r>
      <w:r>
        <w:rPr/>
        <w:t>1993b).</w:t>
      </w:r>
    </w:p>
    <w:p>
      <w:pPr>
        <w:pStyle w:val="BodyText"/>
        <w:spacing w:before="10"/>
      </w:pPr>
    </w:p>
    <w:p>
      <w:pPr>
        <w:pStyle w:val="BodyText"/>
        <w:spacing w:line="360" w:lineRule="auto"/>
        <w:ind w:left="119" w:right="121"/>
        <w:jc w:val="both"/>
      </w:pPr>
      <w:r>
        <w:rPr/>
        <w:t>Son amenazas naturales, entre otras, los huracanes, sismos, volcanes, deslizamientos e inundaciones. Las principales amenazas de origen humano se relacionan con la tecnología, el poder político, el poder económico y, con la desesperación nacida de la pobreza y la exclusión (Engebak, 1999).</w:t>
      </w:r>
    </w:p>
    <w:p>
      <w:pPr>
        <w:pStyle w:val="BodyText"/>
        <w:spacing w:before="10"/>
      </w:pPr>
    </w:p>
    <w:p>
      <w:pPr>
        <w:pStyle w:val="BodyText"/>
        <w:spacing w:line="360" w:lineRule="auto"/>
        <w:ind w:left="119" w:right="118"/>
        <w:jc w:val="both"/>
      </w:pPr>
      <w:r>
        <w:rPr/>
        <w:t>La amenaza provocada por un fenómeno natural es un </w:t>
      </w:r>
      <w:r>
        <w:rPr>
          <w:i/>
        </w:rPr>
        <w:t>factor externo, una de las </w:t>
      </w:r>
      <w:r>
        <w:rPr>
          <w:i/>
        </w:rPr>
        <w:t>más </w:t>
      </w:r>
      <w:r>
        <w:rPr/>
        <w:t>comunes como se ha señalado son las inundaciones. De forma genérica, los peligros naturales pueden clasificarse en: re</w:t>
      </w:r>
      <w:r>
        <w:rPr>
          <w:i/>
        </w:rPr>
        <w:t>currentes </w:t>
      </w:r>
      <w:r>
        <w:rPr/>
        <w:t>que se presentan anual o</w:t>
      </w:r>
    </w:p>
    <w:p>
      <w:pPr>
        <w:spacing w:after="0" w:line="360" w:lineRule="auto"/>
        <w:jc w:val="both"/>
        <w:sectPr>
          <w:pgSz w:w="12240" w:h="15840"/>
          <w:pgMar w:header="0" w:footer="1031" w:top="1360" w:bottom="1220" w:left="1580" w:right="1580"/>
        </w:sectPr>
      </w:pPr>
    </w:p>
    <w:p>
      <w:pPr>
        <w:pStyle w:val="BodyText"/>
        <w:spacing w:line="360" w:lineRule="auto" w:before="52"/>
        <w:ind w:left="119" w:right="114"/>
        <w:jc w:val="both"/>
      </w:pPr>
      <w:r>
        <w:rPr/>
        <w:t>estacionalmente como las inundaciones y el socavamiento de terrazas, y los </w:t>
      </w:r>
      <w:r>
        <w:rPr>
          <w:i/>
        </w:rPr>
        <w:t>no </w:t>
      </w:r>
      <w:r>
        <w:rPr>
          <w:i/>
        </w:rPr>
        <w:t>recurrentes</w:t>
      </w:r>
      <w:r>
        <w:rPr/>
        <w:t>, entre los que destacan los sismos y los tsunamis (Varela, 2005).</w:t>
      </w:r>
    </w:p>
    <w:p>
      <w:pPr>
        <w:pStyle w:val="BodyText"/>
        <w:spacing w:line="360" w:lineRule="auto" w:before="209"/>
        <w:ind w:left="119" w:right="133"/>
        <w:jc w:val="both"/>
      </w:pPr>
      <w:r>
        <w:rPr/>
        <w:t>Un fenómeno natural se refiere a cualquier expresión que adopta la naturaleza como resultado de su funcionamiento interno y debe ser considerado como elemento activo de la geomorfología terrestre (Wilches-Chaux,  1993).</w:t>
      </w:r>
    </w:p>
    <w:p>
      <w:pPr>
        <w:pStyle w:val="BodyText"/>
        <w:spacing w:before="5"/>
      </w:pPr>
    </w:p>
    <w:p>
      <w:pPr>
        <w:pStyle w:val="BodyText"/>
        <w:spacing w:line="360" w:lineRule="auto"/>
        <w:ind w:left="119" w:right="117"/>
        <w:jc w:val="both"/>
      </w:pPr>
      <w:r>
        <w:rPr/>
        <w:t>La ocurrencia de un “fenómeno natural” no necesariamente provoca un desastre natural, lo son únicamente cuando los cambios producidos afectan una fuente de vida con la cual el hombre contaba, o un modo de vida realizado en función de una determinada ubicación geográfica (CENAPRED, 2001).</w:t>
      </w:r>
    </w:p>
    <w:p>
      <w:pPr>
        <w:pStyle w:val="BodyText"/>
        <w:spacing w:before="10"/>
      </w:pPr>
    </w:p>
    <w:p>
      <w:pPr>
        <w:pStyle w:val="BodyText"/>
        <w:spacing w:line="360" w:lineRule="auto"/>
        <w:ind w:left="119" w:right="117"/>
        <w:jc w:val="both"/>
      </w:pPr>
      <w:r>
        <w:rPr/>
        <w:t>Un desastre es el producto de la convergencia, en un momento y lugar determinados, de dos factores: riesgo y vulnerabilidad. Se considera un desastre como la correlación entre fenómenos naturales peligrosos y determinadas condiciones socioeconómicas y físicas vulnerables. Puede decirse que hay un alto riesgo de desastre si uno o más fenómenos naturales peligrosos ocurrieran en situaciones vulnerables (Maskrey, 1993).</w:t>
      </w:r>
    </w:p>
    <w:p>
      <w:pPr>
        <w:pStyle w:val="BodyText"/>
        <w:spacing w:before="10"/>
      </w:pPr>
    </w:p>
    <w:p>
      <w:pPr>
        <w:pStyle w:val="BodyText"/>
        <w:spacing w:line="360" w:lineRule="auto"/>
        <w:ind w:left="119" w:right="114"/>
        <w:jc w:val="both"/>
      </w:pPr>
      <w:r>
        <w:rPr/>
        <w:t>Se </w:t>
      </w:r>
      <w:r>
        <w:rPr>
          <w:spacing w:val="4"/>
        </w:rPr>
        <w:t>puede </w:t>
      </w:r>
      <w:r>
        <w:rPr>
          <w:spacing w:val="3"/>
        </w:rPr>
        <w:t>definir también, </w:t>
      </w:r>
      <w:r>
        <w:rPr/>
        <w:t>como </w:t>
      </w:r>
      <w:r>
        <w:rPr>
          <w:spacing w:val="2"/>
        </w:rPr>
        <w:t>un </w:t>
      </w:r>
      <w:r>
        <w:rPr>
          <w:spacing w:val="3"/>
        </w:rPr>
        <w:t>evento </w:t>
      </w:r>
      <w:r>
        <w:rPr/>
        <w:t>o </w:t>
      </w:r>
      <w:r>
        <w:rPr>
          <w:spacing w:val="3"/>
        </w:rPr>
        <w:t>suceso que ocurre </w:t>
      </w:r>
      <w:r>
        <w:rPr>
          <w:spacing w:val="2"/>
        </w:rPr>
        <w:t>en </w:t>
      </w:r>
      <w:r>
        <w:rPr/>
        <w:t>forma </w:t>
      </w:r>
      <w:r>
        <w:rPr>
          <w:spacing w:val="4"/>
        </w:rPr>
        <w:t>repentina </w:t>
      </w:r>
      <w:r>
        <w:rPr/>
        <w:t>e </w:t>
      </w:r>
      <w:r>
        <w:rPr>
          <w:spacing w:val="3"/>
        </w:rPr>
        <w:t>inesperada, causando </w:t>
      </w:r>
      <w:r>
        <w:rPr>
          <w:spacing w:val="4"/>
        </w:rPr>
        <w:t>sobre </w:t>
      </w:r>
      <w:r>
        <w:rPr>
          <w:spacing w:val="2"/>
        </w:rPr>
        <w:t>los </w:t>
      </w:r>
      <w:r>
        <w:rPr>
          <w:spacing w:val="4"/>
        </w:rPr>
        <w:t>elementos sometidos alteraciones intensas, representadas </w:t>
      </w:r>
      <w:r>
        <w:rPr>
          <w:spacing w:val="2"/>
        </w:rPr>
        <w:t>en </w:t>
      </w:r>
      <w:r>
        <w:rPr>
          <w:spacing w:val="4"/>
        </w:rPr>
        <w:t>la </w:t>
      </w:r>
      <w:r>
        <w:rPr>
          <w:spacing w:val="3"/>
        </w:rPr>
        <w:t>pérdida </w:t>
      </w:r>
      <w:r>
        <w:rPr>
          <w:spacing w:val="2"/>
        </w:rPr>
        <w:t>de </w:t>
      </w:r>
      <w:r>
        <w:rPr>
          <w:spacing w:val="3"/>
        </w:rPr>
        <w:t>vida </w:t>
      </w:r>
      <w:r>
        <w:rPr/>
        <w:t>y </w:t>
      </w:r>
      <w:r>
        <w:rPr>
          <w:spacing w:val="2"/>
        </w:rPr>
        <w:t>salud de </w:t>
      </w:r>
      <w:r>
        <w:rPr/>
        <w:t>la </w:t>
      </w:r>
      <w:r>
        <w:rPr>
          <w:spacing w:val="3"/>
        </w:rPr>
        <w:t>población, </w:t>
      </w:r>
      <w:r>
        <w:rPr>
          <w:spacing w:val="4"/>
        </w:rPr>
        <w:t>la destrucción </w:t>
      </w:r>
      <w:r>
        <w:rPr/>
        <w:t>o </w:t>
      </w:r>
      <w:r>
        <w:rPr>
          <w:spacing w:val="3"/>
        </w:rPr>
        <w:t>pérdida </w:t>
      </w:r>
      <w:r>
        <w:rPr/>
        <w:t>de </w:t>
      </w:r>
      <w:r>
        <w:rPr>
          <w:spacing w:val="4"/>
        </w:rPr>
        <w:t>los bienes </w:t>
      </w:r>
      <w:r>
        <w:rPr/>
        <w:t>de </w:t>
      </w:r>
      <w:r>
        <w:rPr>
          <w:spacing w:val="3"/>
        </w:rPr>
        <w:t>una </w:t>
      </w:r>
      <w:r>
        <w:rPr>
          <w:spacing w:val="4"/>
        </w:rPr>
        <w:t>colectividad </w:t>
      </w:r>
      <w:r>
        <w:rPr>
          <w:spacing w:val="3"/>
        </w:rPr>
        <w:t>y/o </w:t>
      </w:r>
      <w:r>
        <w:rPr>
          <w:spacing w:val="4"/>
        </w:rPr>
        <w:t>daños </w:t>
      </w:r>
      <w:r>
        <w:rPr>
          <w:spacing w:val="3"/>
        </w:rPr>
        <w:t>severos sobre </w:t>
      </w:r>
      <w:r>
        <w:rPr>
          <w:spacing w:val="2"/>
        </w:rPr>
        <w:t>el </w:t>
      </w:r>
      <w:r>
        <w:rPr>
          <w:spacing w:val="3"/>
        </w:rPr>
        <w:t>medio ambiente </w:t>
      </w:r>
      <w:r>
        <w:rPr>
          <w:spacing w:val="4"/>
        </w:rPr>
        <w:t>(Cardona, </w:t>
      </w:r>
      <w:r>
        <w:rPr>
          <w:spacing w:val="3"/>
        </w:rPr>
        <w:t>1993a), </w:t>
      </w:r>
      <w:r>
        <w:rPr/>
        <w:t>o </w:t>
      </w:r>
      <w:r>
        <w:rPr>
          <w:spacing w:val="3"/>
        </w:rPr>
        <w:t>bien </w:t>
      </w:r>
      <w:r>
        <w:rPr>
          <w:spacing w:val="2"/>
        </w:rPr>
        <w:t>como </w:t>
      </w:r>
      <w:r>
        <w:rPr/>
        <w:t>“una ocasión de crisis o estrés social,</w:t>
      </w:r>
      <w:r>
        <w:rPr>
          <w:spacing w:val="-12"/>
        </w:rPr>
        <w:t> </w:t>
      </w:r>
      <w:r>
        <w:rPr/>
        <w:t>observable</w:t>
      </w:r>
      <w:r>
        <w:rPr>
          <w:spacing w:val="-12"/>
        </w:rPr>
        <w:t> </w:t>
      </w:r>
      <w:r>
        <w:rPr/>
        <w:t>en</w:t>
      </w:r>
      <w:r>
        <w:rPr>
          <w:spacing w:val="-12"/>
        </w:rPr>
        <w:t> </w:t>
      </w:r>
      <w:r>
        <w:rPr/>
        <w:t>el</w:t>
      </w:r>
      <w:r>
        <w:rPr>
          <w:spacing w:val="-5"/>
        </w:rPr>
        <w:t> </w:t>
      </w:r>
      <w:r>
        <w:rPr/>
        <w:t>tiempo</w:t>
      </w:r>
      <w:r>
        <w:rPr>
          <w:spacing w:val="-7"/>
        </w:rPr>
        <w:t> </w:t>
      </w:r>
      <w:r>
        <w:rPr/>
        <w:t>y</w:t>
      </w:r>
      <w:r>
        <w:rPr>
          <w:spacing w:val="-8"/>
        </w:rPr>
        <w:t> </w:t>
      </w:r>
      <w:r>
        <w:rPr/>
        <w:t>el</w:t>
      </w:r>
      <w:r>
        <w:rPr>
          <w:spacing w:val="-8"/>
        </w:rPr>
        <w:t> </w:t>
      </w:r>
      <w:r>
        <w:rPr/>
        <w:t>espacio,</w:t>
      </w:r>
      <w:r>
        <w:rPr>
          <w:spacing w:val="-7"/>
        </w:rPr>
        <w:t> </w:t>
      </w:r>
      <w:r>
        <w:rPr/>
        <w:t>en</w:t>
      </w:r>
      <w:r>
        <w:rPr>
          <w:spacing w:val="-7"/>
        </w:rPr>
        <w:t> </w:t>
      </w:r>
      <w:r>
        <w:rPr/>
        <w:t>que</w:t>
      </w:r>
      <w:r>
        <w:rPr>
          <w:spacing w:val="-12"/>
        </w:rPr>
        <w:t> </w:t>
      </w:r>
      <w:r>
        <w:rPr/>
        <w:t>sociedades</w:t>
      </w:r>
      <w:r>
        <w:rPr>
          <w:spacing w:val="-13"/>
        </w:rPr>
        <w:t> </w:t>
      </w:r>
      <w:r>
        <w:rPr/>
        <w:t>o</w:t>
      </w:r>
      <w:r>
        <w:rPr>
          <w:spacing w:val="-7"/>
        </w:rPr>
        <w:t> </w:t>
      </w:r>
      <w:r>
        <w:rPr/>
        <w:t>sus</w:t>
      </w:r>
      <w:r>
        <w:rPr>
          <w:spacing w:val="-13"/>
        </w:rPr>
        <w:t> </w:t>
      </w:r>
      <w:r>
        <w:rPr/>
        <w:t>componentes (comunidades regiones, etcétera) sufren daños o pérdidas físicas y alteraciones en su funcionamiento rutinario. Tanto las causas como las consecuencias de los desastres son producto de procesos sociales que existen en el interior de la sociedad (Lavell,</w:t>
      </w:r>
      <w:r>
        <w:rPr>
          <w:spacing w:val="-8"/>
        </w:rPr>
        <w:t> </w:t>
      </w:r>
      <w:r>
        <w:rPr/>
        <w:t>1993).</w:t>
      </w:r>
    </w:p>
    <w:p>
      <w:pPr>
        <w:pStyle w:val="BodyText"/>
        <w:spacing w:before="5"/>
      </w:pPr>
    </w:p>
    <w:p>
      <w:pPr>
        <w:pStyle w:val="BodyText"/>
        <w:spacing w:line="360" w:lineRule="auto"/>
        <w:ind w:left="119" w:right="129"/>
        <w:jc w:val="both"/>
      </w:pPr>
      <w:r>
        <w:rPr/>
        <w:t>Un desastre ocurre cuando un poder o energía se desencadena, causando daños masivos en las personas, organizaciones y objetos que no están en capacidad de protegerse. Al poder o energía que se desencadena se le llama amenaza y la</w:t>
      </w:r>
    </w:p>
    <w:p>
      <w:pPr>
        <w:spacing w:after="0" w:line="360" w:lineRule="auto"/>
        <w:jc w:val="both"/>
        <w:sectPr>
          <w:pgSz w:w="12240" w:h="15840"/>
          <w:pgMar w:header="0" w:footer="1031" w:top="1360" w:bottom="1220" w:left="1580" w:right="1580"/>
        </w:sectPr>
      </w:pPr>
    </w:p>
    <w:p>
      <w:pPr>
        <w:pStyle w:val="BodyText"/>
        <w:spacing w:line="362" w:lineRule="auto" w:before="52"/>
        <w:ind w:left="119" w:right="110"/>
        <w:jc w:val="both"/>
      </w:pPr>
      <w:r>
        <w:rPr/>
        <w:t>predisposición para sufrir daño se la denomina vulnerabilidad. Para que haya un desastre, se requiere que, ante una determinada amenaza existan condiciones de vulnerabilidad. Si no hay vulnerabilidad, no hay desastre (Engebak, 1999).</w:t>
      </w:r>
    </w:p>
    <w:p>
      <w:pPr>
        <w:pStyle w:val="BodyText"/>
        <w:spacing w:before="2"/>
      </w:pPr>
    </w:p>
    <w:p>
      <w:pPr>
        <w:pStyle w:val="BodyText"/>
        <w:spacing w:line="360" w:lineRule="auto"/>
        <w:ind w:left="119" w:right="102"/>
        <w:jc w:val="both"/>
      </w:pPr>
      <w:r>
        <w:rPr/>
        <w:t>Una inundación es la ocupación por parte del agua de zonas que habitualmente están libres de esta, bien por desbordamiento de ríos, subida de las mareas por encima del nivel habitual o avalanchas causadas por tsunamis (CRED, 2000). Existen varios tipos de inundaciones, aquéllas que se desarrollan lentamente a lo largo de varios días y las </w:t>
      </w:r>
      <w:r>
        <w:rPr>
          <w:rFonts w:ascii="Times New Roman" w:hAnsi="Times New Roman"/>
        </w:rPr>
        <w:t>inundaciones repentinas </w:t>
      </w:r>
      <w:r>
        <w:rPr/>
        <w:t>que se desarrollan rápidamente en sólo unos minutos, y que puede arrasar cualquier cosa en su paso.</w:t>
      </w:r>
    </w:p>
    <w:p>
      <w:pPr>
        <w:pStyle w:val="Heading2"/>
        <w:spacing w:before="113"/>
      </w:pPr>
      <w:r>
        <w:rPr/>
        <w:t>Vulnerabilidad y desastres naturales</w:t>
      </w:r>
    </w:p>
    <w:p>
      <w:pPr>
        <w:pStyle w:val="BodyText"/>
        <w:spacing w:before="6"/>
        <w:rPr>
          <w:b/>
          <w:sz w:val="28"/>
        </w:rPr>
      </w:pPr>
    </w:p>
    <w:p>
      <w:pPr>
        <w:pStyle w:val="BodyText"/>
        <w:spacing w:line="360" w:lineRule="auto" w:before="1"/>
        <w:ind w:left="119" w:right="107"/>
        <w:jc w:val="both"/>
      </w:pPr>
      <w:r>
        <w:rPr/>
        <w:t>La comprensión de la vulnerabilidad de una determinada región implica definir el nivel de susceptibilidad o resistencia de dicha área respecto a desastres naturales. La capacidad de resistencia o amortiguamiento de una región está en proporción directa con el conjunto de servicios ambientales que posee (Castro, 1999).</w:t>
      </w:r>
    </w:p>
    <w:p>
      <w:pPr>
        <w:pStyle w:val="BodyText"/>
        <w:spacing w:before="10"/>
      </w:pPr>
    </w:p>
    <w:p>
      <w:pPr>
        <w:pStyle w:val="BodyText"/>
        <w:spacing w:line="360" w:lineRule="auto"/>
        <w:ind w:left="119" w:right="106"/>
        <w:jc w:val="both"/>
      </w:pPr>
      <w:r>
        <w:rPr/>
        <w:t>Los desastres naturales parecen convertirse en circunstancias cotidianas de la existencia de millones de pobladores. Caracterizados comúnmente por la cantidad de pérdidas humanas y económicas sufridas a corto plazo, los desastres son </w:t>
      </w:r>
      <w:r>
        <w:rPr>
          <w:spacing w:val="-3"/>
        </w:rPr>
        <w:t>más </w:t>
      </w:r>
      <w:r>
        <w:rPr/>
        <w:t>bien</w:t>
      </w:r>
      <w:r>
        <w:rPr>
          <w:spacing w:val="-7"/>
        </w:rPr>
        <w:t> </w:t>
      </w:r>
      <w:r>
        <w:rPr/>
        <w:t>fenómenos</w:t>
      </w:r>
      <w:r>
        <w:rPr>
          <w:spacing w:val="-8"/>
        </w:rPr>
        <w:t> </w:t>
      </w:r>
      <w:r>
        <w:rPr/>
        <w:t>de</w:t>
      </w:r>
      <w:r>
        <w:rPr>
          <w:spacing w:val="-7"/>
        </w:rPr>
        <w:t> </w:t>
      </w:r>
      <w:r>
        <w:rPr/>
        <w:t>carácter</w:t>
      </w:r>
      <w:r>
        <w:rPr>
          <w:spacing w:val="-6"/>
        </w:rPr>
        <w:t> </w:t>
      </w:r>
      <w:r>
        <w:rPr/>
        <w:t>y</w:t>
      </w:r>
      <w:r>
        <w:rPr>
          <w:spacing w:val="-8"/>
        </w:rPr>
        <w:t> </w:t>
      </w:r>
      <w:r>
        <w:rPr/>
        <w:t>definición</w:t>
      </w:r>
      <w:r>
        <w:rPr>
          <w:spacing w:val="-7"/>
        </w:rPr>
        <w:t> </w:t>
      </w:r>
      <w:r>
        <w:rPr/>
        <w:t>eminentemente</w:t>
      </w:r>
      <w:r>
        <w:rPr>
          <w:spacing w:val="-7"/>
        </w:rPr>
        <w:t> </w:t>
      </w:r>
      <w:r>
        <w:rPr/>
        <w:t>social,</w:t>
      </w:r>
      <w:r>
        <w:rPr>
          <w:spacing w:val="-7"/>
        </w:rPr>
        <w:t> </w:t>
      </w:r>
      <w:r>
        <w:rPr/>
        <w:t>no</w:t>
      </w:r>
      <w:r>
        <w:rPr>
          <w:spacing w:val="-7"/>
        </w:rPr>
        <w:t> </w:t>
      </w:r>
      <w:r>
        <w:rPr/>
        <w:t>sólo</w:t>
      </w:r>
      <w:r>
        <w:rPr>
          <w:spacing w:val="-7"/>
        </w:rPr>
        <w:t> </w:t>
      </w:r>
      <w:r>
        <w:rPr/>
        <w:t>en</w:t>
      </w:r>
      <w:r>
        <w:rPr>
          <w:spacing w:val="-7"/>
        </w:rPr>
        <w:t> </w:t>
      </w:r>
      <w:r>
        <w:rPr/>
        <w:t>términos del</w:t>
      </w:r>
      <w:r>
        <w:rPr>
          <w:spacing w:val="-7"/>
        </w:rPr>
        <w:t> </w:t>
      </w:r>
      <w:r>
        <w:rPr/>
        <w:t>impacto,</w:t>
      </w:r>
      <w:r>
        <w:rPr>
          <w:spacing w:val="-2"/>
        </w:rPr>
        <w:t> </w:t>
      </w:r>
      <w:r>
        <w:rPr/>
        <w:t>sino</w:t>
      </w:r>
      <w:r>
        <w:rPr>
          <w:spacing w:val="-2"/>
        </w:rPr>
        <w:t> </w:t>
      </w:r>
      <w:r>
        <w:rPr/>
        <w:t>también</w:t>
      </w:r>
      <w:r>
        <w:rPr>
          <w:spacing w:val="-6"/>
        </w:rPr>
        <w:t> </w:t>
      </w:r>
      <w:r>
        <w:rPr/>
        <w:t>en</w:t>
      </w:r>
      <w:r>
        <w:rPr>
          <w:spacing w:val="-2"/>
        </w:rPr>
        <w:t> </w:t>
      </w:r>
      <w:r>
        <w:rPr/>
        <w:t>términos</w:t>
      </w:r>
      <w:r>
        <w:rPr>
          <w:spacing w:val="-2"/>
        </w:rPr>
        <w:t> </w:t>
      </w:r>
      <w:r>
        <w:rPr/>
        <w:t>de</w:t>
      </w:r>
      <w:r>
        <w:rPr>
          <w:spacing w:val="-6"/>
        </w:rPr>
        <w:t> </w:t>
      </w:r>
      <w:r>
        <w:rPr/>
        <w:t>sus</w:t>
      </w:r>
      <w:r>
        <w:rPr>
          <w:spacing w:val="-12"/>
        </w:rPr>
        <w:t> </w:t>
      </w:r>
      <w:r>
        <w:rPr/>
        <w:t>orígenes,</w:t>
      </w:r>
      <w:r>
        <w:rPr>
          <w:spacing w:val="-2"/>
        </w:rPr>
        <w:t> </w:t>
      </w:r>
      <w:r>
        <w:rPr/>
        <w:t>así</w:t>
      </w:r>
      <w:r>
        <w:rPr>
          <w:spacing w:val="-7"/>
        </w:rPr>
        <w:t> </w:t>
      </w:r>
      <w:r>
        <w:rPr/>
        <w:t>como</w:t>
      </w:r>
      <w:r>
        <w:rPr>
          <w:spacing w:val="-2"/>
        </w:rPr>
        <w:t> </w:t>
      </w:r>
      <w:r>
        <w:rPr/>
        <w:t>de</w:t>
      </w:r>
      <w:r>
        <w:rPr>
          <w:spacing w:val="-6"/>
        </w:rPr>
        <w:t> </w:t>
      </w:r>
      <w:r>
        <w:rPr/>
        <w:t>las</w:t>
      </w:r>
      <w:r>
        <w:rPr>
          <w:spacing w:val="-7"/>
        </w:rPr>
        <w:t> </w:t>
      </w:r>
      <w:r>
        <w:rPr/>
        <w:t>reacciones y respuestas que suscitan en la sociedad política y civil (Lavell,</w:t>
      </w:r>
      <w:r>
        <w:rPr>
          <w:spacing w:val="-16"/>
        </w:rPr>
        <w:t> </w:t>
      </w:r>
      <w:r>
        <w:rPr/>
        <w:t>1993).</w:t>
      </w:r>
    </w:p>
    <w:p>
      <w:pPr>
        <w:pStyle w:val="BodyText"/>
        <w:spacing w:before="10"/>
      </w:pPr>
    </w:p>
    <w:p>
      <w:pPr>
        <w:pStyle w:val="BodyText"/>
        <w:spacing w:line="360" w:lineRule="auto"/>
        <w:ind w:left="119" w:right="103"/>
        <w:jc w:val="both"/>
      </w:pPr>
      <w:r>
        <w:rPr/>
        <w:t>El evento físico por sí solo no es el responsable del desastre. Es su combinación con condiciones de vulnerabilidad sociales y humanas, tales como: ubicación territorial de la población, estado de las viviendas y de la infraestructura de producción,</w:t>
      </w:r>
      <w:r>
        <w:rPr>
          <w:spacing w:val="-12"/>
        </w:rPr>
        <w:t> </w:t>
      </w:r>
      <w:r>
        <w:rPr/>
        <w:t>circulación</w:t>
      </w:r>
      <w:r>
        <w:rPr>
          <w:spacing w:val="-12"/>
        </w:rPr>
        <w:t> </w:t>
      </w:r>
      <w:r>
        <w:rPr/>
        <w:t>y</w:t>
      </w:r>
      <w:r>
        <w:rPr>
          <w:spacing w:val="-17"/>
        </w:rPr>
        <w:t> </w:t>
      </w:r>
      <w:r>
        <w:rPr/>
        <w:t>comercialización;</w:t>
      </w:r>
      <w:r>
        <w:rPr>
          <w:spacing w:val="-17"/>
        </w:rPr>
        <w:t> </w:t>
      </w:r>
      <w:r>
        <w:rPr/>
        <w:t>niveles</w:t>
      </w:r>
      <w:r>
        <w:rPr>
          <w:spacing w:val="-17"/>
        </w:rPr>
        <w:t> </w:t>
      </w:r>
      <w:r>
        <w:rPr/>
        <w:t>de</w:t>
      </w:r>
      <w:r>
        <w:rPr>
          <w:spacing w:val="-16"/>
        </w:rPr>
        <w:t> </w:t>
      </w:r>
      <w:r>
        <w:rPr/>
        <w:t>pobreza,</w:t>
      </w:r>
      <w:r>
        <w:rPr>
          <w:spacing w:val="-12"/>
        </w:rPr>
        <w:t> </w:t>
      </w:r>
      <w:r>
        <w:rPr/>
        <w:t>salud</w:t>
      </w:r>
      <w:r>
        <w:rPr>
          <w:spacing w:val="-11"/>
        </w:rPr>
        <w:t> </w:t>
      </w:r>
      <w:r>
        <w:rPr/>
        <w:t>y</w:t>
      </w:r>
      <w:r>
        <w:rPr>
          <w:spacing w:val="-17"/>
        </w:rPr>
        <w:t> </w:t>
      </w:r>
      <w:r>
        <w:rPr/>
        <w:t>desnutrición; niveles de organización de la población; reservas económicas familiares o gubernamentales; características educacionales, ideológicas y culturales de la población (Lavell,</w:t>
      </w:r>
      <w:r>
        <w:rPr>
          <w:spacing w:val="-9"/>
        </w:rPr>
        <w:t> </w:t>
      </w:r>
      <w:r>
        <w:rPr/>
        <w:t>1996).</w:t>
      </w:r>
    </w:p>
    <w:p>
      <w:pPr>
        <w:spacing w:after="0" w:line="360" w:lineRule="auto"/>
        <w:jc w:val="both"/>
        <w:sectPr>
          <w:pgSz w:w="12240" w:h="15840"/>
          <w:pgMar w:header="0" w:footer="1031" w:top="1360" w:bottom="1220" w:left="1580" w:right="1600"/>
        </w:sectPr>
      </w:pPr>
    </w:p>
    <w:p>
      <w:pPr>
        <w:pStyle w:val="BodyText"/>
        <w:spacing w:line="360" w:lineRule="auto" w:before="52"/>
        <w:ind w:left="119" w:right="119"/>
        <w:jc w:val="both"/>
      </w:pPr>
      <w:r>
        <w:rPr/>
        <w:t>Un primer paso en la tarea de lograr un concepto adecuado es establecer firme y convincentemente que un “desastre” es un fenómeno eminentemente social. Esto se refiere tanto a las condiciones necesarias para su concreción, como a las características que lo definen. Un terremoto o un huracán, por ejemplo, son condiciones necesarias para que exista, pero no son en sí un desastre. Necesariamente, deben tener un impacto en un territorio caracterizado por una estructura social vulnerable a sus impactos y donde la diferenciación interna de la sociedad</w:t>
      </w:r>
      <w:r>
        <w:rPr>
          <w:spacing w:val="-9"/>
        </w:rPr>
        <w:t> </w:t>
      </w:r>
      <w:r>
        <w:rPr/>
        <w:t>influye</w:t>
      </w:r>
      <w:r>
        <w:rPr>
          <w:spacing w:val="-9"/>
        </w:rPr>
        <w:t> </w:t>
      </w:r>
      <w:r>
        <w:rPr/>
        <w:t>en</w:t>
      </w:r>
      <w:r>
        <w:rPr>
          <w:spacing w:val="-4"/>
        </w:rPr>
        <w:t> </w:t>
      </w:r>
      <w:r>
        <w:rPr>
          <w:spacing w:val="-3"/>
        </w:rPr>
        <w:t>forma</w:t>
      </w:r>
      <w:r>
        <w:rPr>
          <w:spacing w:val="-4"/>
        </w:rPr>
        <w:t> </w:t>
      </w:r>
      <w:r>
        <w:rPr/>
        <w:t>importante</w:t>
      </w:r>
      <w:r>
        <w:rPr>
          <w:spacing w:val="-4"/>
        </w:rPr>
        <w:t> </w:t>
      </w:r>
      <w:r>
        <w:rPr/>
        <w:t>en</w:t>
      </w:r>
      <w:r>
        <w:rPr>
          <w:spacing w:val="-9"/>
        </w:rPr>
        <w:t> </w:t>
      </w:r>
      <w:r>
        <w:rPr/>
        <w:t>los</w:t>
      </w:r>
      <w:r>
        <w:rPr>
          <w:spacing w:val="-5"/>
        </w:rPr>
        <w:t> </w:t>
      </w:r>
      <w:r>
        <w:rPr/>
        <w:t>daños</w:t>
      </w:r>
      <w:r>
        <w:rPr>
          <w:spacing w:val="-5"/>
        </w:rPr>
        <w:t> </w:t>
      </w:r>
      <w:r>
        <w:rPr/>
        <w:t>sufridos</w:t>
      </w:r>
      <w:r>
        <w:rPr>
          <w:spacing w:val="-5"/>
        </w:rPr>
        <w:t> </w:t>
      </w:r>
      <w:r>
        <w:rPr/>
        <w:t>y</w:t>
      </w:r>
      <w:r>
        <w:rPr>
          <w:spacing w:val="-5"/>
        </w:rPr>
        <w:t> </w:t>
      </w:r>
      <w:r>
        <w:rPr/>
        <w:t>en</w:t>
      </w:r>
      <w:r>
        <w:rPr>
          <w:spacing w:val="-9"/>
        </w:rPr>
        <w:t> </w:t>
      </w:r>
      <w:r>
        <w:rPr/>
        <w:t>los</w:t>
      </w:r>
      <w:r>
        <w:rPr>
          <w:spacing w:val="-10"/>
        </w:rPr>
        <w:t> </w:t>
      </w:r>
      <w:r>
        <w:rPr/>
        <w:t>grupos</w:t>
      </w:r>
      <w:r>
        <w:rPr>
          <w:spacing w:val="-5"/>
        </w:rPr>
        <w:t> </w:t>
      </w:r>
      <w:r>
        <w:rPr/>
        <w:t>sociales que sean afectados en mayor o en menor grado (Lavell,</w:t>
      </w:r>
      <w:r>
        <w:rPr>
          <w:spacing w:val="-27"/>
        </w:rPr>
        <w:t> </w:t>
      </w:r>
      <w:r>
        <w:rPr/>
        <w:t>1993).</w:t>
      </w:r>
    </w:p>
    <w:p>
      <w:pPr>
        <w:pStyle w:val="BodyText"/>
        <w:spacing w:before="10"/>
      </w:pPr>
    </w:p>
    <w:p>
      <w:pPr>
        <w:pStyle w:val="BodyText"/>
        <w:spacing w:line="360" w:lineRule="auto"/>
        <w:ind w:left="119" w:right="124"/>
        <w:jc w:val="both"/>
      </w:pPr>
      <w:r>
        <w:rPr/>
        <w:t>La</w:t>
      </w:r>
      <w:r>
        <w:rPr>
          <w:spacing w:val="-3"/>
        </w:rPr>
        <w:t> </w:t>
      </w:r>
      <w:r>
        <w:rPr/>
        <w:t>vulnerabilidad</w:t>
      </w:r>
      <w:r>
        <w:rPr>
          <w:spacing w:val="-7"/>
        </w:rPr>
        <w:t> </w:t>
      </w:r>
      <w:r>
        <w:rPr/>
        <w:t>se</w:t>
      </w:r>
      <w:r>
        <w:rPr>
          <w:spacing w:val="-7"/>
        </w:rPr>
        <w:t> </w:t>
      </w:r>
      <w:r>
        <w:rPr/>
        <w:t>entiende</w:t>
      </w:r>
      <w:r>
        <w:rPr>
          <w:spacing w:val="-3"/>
        </w:rPr>
        <w:t> </w:t>
      </w:r>
      <w:r>
        <w:rPr/>
        <w:t>por</w:t>
      </w:r>
      <w:r>
        <w:rPr>
          <w:spacing w:val="-6"/>
        </w:rPr>
        <w:t> </w:t>
      </w:r>
      <w:r>
        <w:rPr/>
        <w:t>las</w:t>
      </w:r>
      <w:r>
        <w:rPr>
          <w:spacing w:val="-3"/>
        </w:rPr>
        <w:t> </w:t>
      </w:r>
      <w:r>
        <w:rPr/>
        <w:t>características</w:t>
      </w:r>
      <w:r>
        <w:rPr>
          <w:spacing w:val="-8"/>
        </w:rPr>
        <w:t> </w:t>
      </w:r>
      <w:r>
        <w:rPr/>
        <w:t>de</w:t>
      </w:r>
      <w:r>
        <w:rPr>
          <w:spacing w:val="-7"/>
        </w:rPr>
        <w:t> </w:t>
      </w:r>
      <w:r>
        <w:rPr/>
        <w:t>una</w:t>
      </w:r>
      <w:r>
        <w:rPr>
          <w:spacing w:val="-7"/>
        </w:rPr>
        <w:t> </w:t>
      </w:r>
      <w:r>
        <w:rPr/>
        <w:t>persona</w:t>
      </w:r>
      <w:r>
        <w:rPr>
          <w:spacing w:val="-7"/>
        </w:rPr>
        <w:t> </w:t>
      </w:r>
      <w:r>
        <w:rPr/>
        <w:t>o</w:t>
      </w:r>
      <w:r>
        <w:rPr>
          <w:spacing w:val="-3"/>
        </w:rPr>
        <w:t> </w:t>
      </w:r>
      <w:r>
        <w:rPr/>
        <w:t>grupo</w:t>
      </w:r>
      <w:r>
        <w:rPr>
          <w:spacing w:val="-7"/>
        </w:rPr>
        <w:t> </w:t>
      </w:r>
      <w:r>
        <w:rPr/>
        <w:t>desde el punto de vista de </w:t>
      </w:r>
      <w:r>
        <w:rPr>
          <w:spacing w:val="-3"/>
        </w:rPr>
        <w:t>su </w:t>
      </w:r>
      <w:r>
        <w:rPr/>
        <w:t>capacidad para anticipar, sobrevivir, resistir y recuperarse del impacto de una amenaza natural. Implica una combinación de factores que determinan el grado hasta el cual la vida y la subsistencia de alguien quedan en riesgo</w:t>
      </w:r>
      <w:r>
        <w:rPr>
          <w:spacing w:val="-12"/>
        </w:rPr>
        <w:t> </w:t>
      </w:r>
      <w:r>
        <w:rPr/>
        <w:t>por</w:t>
      </w:r>
      <w:r>
        <w:rPr>
          <w:spacing w:val="-16"/>
        </w:rPr>
        <w:t> </w:t>
      </w:r>
      <w:r>
        <w:rPr/>
        <w:t>un</w:t>
      </w:r>
      <w:r>
        <w:rPr>
          <w:spacing w:val="-12"/>
        </w:rPr>
        <w:t> </w:t>
      </w:r>
      <w:r>
        <w:rPr/>
        <w:t>evento</w:t>
      </w:r>
      <w:r>
        <w:rPr>
          <w:spacing w:val="-16"/>
        </w:rPr>
        <w:t> </w:t>
      </w:r>
      <w:r>
        <w:rPr/>
        <w:t>identificable</w:t>
      </w:r>
      <w:r>
        <w:rPr>
          <w:spacing w:val="-16"/>
        </w:rPr>
        <w:t> </w:t>
      </w:r>
      <w:r>
        <w:rPr/>
        <w:t>de</w:t>
      </w:r>
      <w:r>
        <w:rPr>
          <w:spacing w:val="-16"/>
        </w:rPr>
        <w:t> </w:t>
      </w:r>
      <w:r>
        <w:rPr/>
        <w:t>la</w:t>
      </w:r>
      <w:r>
        <w:rPr>
          <w:spacing w:val="-12"/>
        </w:rPr>
        <w:t> </w:t>
      </w:r>
      <w:r>
        <w:rPr/>
        <w:t>naturaleza</w:t>
      </w:r>
      <w:r>
        <w:rPr>
          <w:spacing w:val="-11"/>
        </w:rPr>
        <w:t> </w:t>
      </w:r>
      <w:r>
        <w:rPr/>
        <w:t>o</w:t>
      </w:r>
      <w:r>
        <w:rPr>
          <w:spacing w:val="-12"/>
        </w:rPr>
        <w:t> </w:t>
      </w:r>
      <w:r>
        <w:rPr/>
        <w:t>sociedad.</w:t>
      </w:r>
      <w:r>
        <w:rPr>
          <w:spacing w:val="-16"/>
        </w:rPr>
        <w:t> </w:t>
      </w:r>
      <w:r>
        <w:rPr/>
        <w:t>Es</w:t>
      </w:r>
      <w:r>
        <w:rPr>
          <w:spacing w:val="-13"/>
        </w:rPr>
        <w:t> </w:t>
      </w:r>
      <w:r>
        <w:rPr/>
        <w:t>un</w:t>
      </w:r>
      <w:r>
        <w:rPr>
          <w:spacing w:val="-16"/>
        </w:rPr>
        <w:t> </w:t>
      </w:r>
      <w:r>
        <w:rPr/>
        <w:t>término</w:t>
      </w:r>
      <w:r>
        <w:rPr>
          <w:spacing w:val="-12"/>
        </w:rPr>
        <w:t> </w:t>
      </w:r>
      <w:r>
        <w:rPr/>
        <w:t>relativo y específico, que siempre implica una vulnerabilidad a una amenaza en particular. Una</w:t>
      </w:r>
      <w:r>
        <w:rPr>
          <w:spacing w:val="-6"/>
        </w:rPr>
        <w:t> </w:t>
      </w:r>
      <w:r>
        <w:rPr/>
        <w:t>persona</w:t>
      </w:r>
      <w:r>
        <w:rPr>
          <w:spacing w:val="-6"/>
        </w:rPr>
        <w:t> </w:t>
      </w:r>
      <w:r>
        <w:rPr/>
        <w:t>puede</w:t>
      </w:r>
      <w:r>
        <w:rPr>
          <w:spacing w:val="-6"/>
        </w:rPr>
        <w:t> </w:t>
      </w:r>
      <w:r>
        <w:rPr/>
        <w:t>ser</w:t>
      </w:r>
      <w:r>
        <w:rPr>
          <w:spacing w:val="-5"/>
        </w:rPr>
        <w:t> </w:t>
      </w:r>
      <w:r>
        <w:rPr/>
        <w:t>vulnerable</w:t>
      </w:r>
      <w:r>
        <w:rPr>
          <w:spacing w:val="-6"/>
        </w:rPr>
        <w:t> </w:t>
      </w:r>
      <w:r>
        <w:rPr/>
        <w:t>a</w:t>
      </w:r>
      <w:r>
        <w:rPr>
          <w:spacing w:val="-6"/>
        </w:rPr>
        <w:t> </w:t>
      </w:r>
      <w:r>
        <w:rPr/>
        <w:t>la</w:t>
      </w:r>
      <w:r>
        <w:rPr>
          <w:spacing w:val="-6"/>
        </w:rPr>
        <w:t> </w:t>
      </w:r>
      <w:r>
        <w:rPr/>
        <w:t>pérdida</w:t>
      </w:r>
      <w:r>
        <w:rPr>
          <w:spacing w:val="-6"/>
        </w:rPr>
        <w:t> </w:t>
      </w:r>
      <w:r>
        <w:rPr/>
        <w:t>de</w:t>
      </w:r>
      <w:r>
        <w:rPr>
          <w:spacing w:val="-6"/>
        </w:rPr>
        <w:t> </w:t>
      </w:r>
      <w:r>
        <w:rPr/>
        <w:t>propiedad</w:t>
      </w:r>
      <w:r>
        <w:rPr>
          <w:spacing w:val="-6"/>
        </w:rPr>
        <w:t> </w:t>
      </w:r>
      <w:r>
        <w:rPr/>
        <w:t>o</w:t>
      </w:r>
      <w:r>
        <w:rPr>
          <w:spacing w:val="-6"/>
        </w:rPr>
        <w:t> </w:t>
      </w:r>
      <w:r>
        <w:rPr/>
        <w:t>de</w:t>
      </w:r>
      <w:r>
        <w:rPr>
          <w:spacing w:val="-10"/>
        </w:rPr>
        <w:t> </w:t>
      </w:r>
      <w:r>
        <w:rPr/>
        <w:t>la</w:t>
      </w:r>
      <w:r>
        <w:rPr>
          <w:spacing w:val="-6"/>
        </w:rPr>
        <w:t> </w:t>
      </w:r>
      <w:r>
        <w:rPr/>
        <w:t>vida</w:t>
      </w:r>
      <w:r>
        <w:rPr>
          <w:spacing w:val="-6"/>
        </w:rPr>
        <w:t> </w:t>
      </w:r>
      <w:r>
        <w:rPr/>
        <w:t>por</w:t>
      </w:r>
      <w:r>
        <w:rPr>
          <w:spacing w:val="-5"/>
        </w:rPr>
        <w:t> </w:t>
      </w:r>
      <w:r>
        <w:rPr/>
        <w:t>causa de</w:t>
      </w:r>
      <w:r>
        <w:rPr>
          <w:spacing w:val="-6"/>
        </w:rPr>
        <w:t> </w:t>
      </w:r>
      <w:r>
        <w:rPr/>
        <w:t>inundaciones.</w:t>
      </w:r>
    </w:p>
    <w:p>
      <w:pPr>
        <w:pStyle w:val="BodyText"/>
        <w:spacing w:before="5"/>
      </w:pPr>
    </w:p>
    <w:p>
      <w:pPr>
        <w:pStyle w:val="BodyText"/>
        <w:spacing w:line="360" w:lineRule="auto"/>
        <w:ind w:left="119" w:right="120"/>
        <w:jc w:val="both"/>
      </w:pPr>
      <w:r>
        <w:rPr/>
        <w:t>Algunos grupos de la sociedad son </w:t>
      </w:r>
      <w:r>
        <w:rPr>
          <w:spacing w:val="-3"/>
        </w:rPr>
        <w:t>más </w:t>
      </w:r>
      <w:r>
        <w:rPr/>
        <w:t>propensos que otros al daño, pérdida y sufrimiento en el contexto de diferentes amenazas. Las características claves de estas variaciones de impacto incluyen clase, casta, etnias, género, incapacidad, edad</w:t>
      </w:r>
      <w:r>
        <w:rPr>
          <w:spacing w:val="-9"/>
        </w:rPr>
        <w:t> </w:t>
      </w:r>
      <w:r>
        <w:rPr/>
        <w:t>o</w:t>
      </w:r>
      <w:r>
        <w:rPr>
          <w:spacing w:val="-13"/>
        </w:rPr>
        <w:t> </w:t>
      </w:r>
      <w:r>
        <w:rPr/>
        <w:t>estatus.</w:t>
      </w:r>
      <w:r>
        <w:rPr>
          <w:spacing w:val="-9"/>
        </w:rPr>
        <w:t> </w:t>
      </w:r>
      <w:r>
        <w:rPr/>
        <w:t>Aunque</w:t>
      </w:r>
      <w:r>
        <w:rPr>
          <w:spacing w:val="-9"/>
        </w:rPr>
        <w:t> </w:t>
      </w:r>
      <w:r>
        <w:rPr/>
        <w:t>el</w:t>
      </w:r>
      <w:r>
        <w:rPr>
          <w:spacing w:val="-10"/>
        </w:rPr>
        <w:t> </w:t>
      </w:r>
      <w:r>
        <w:rPr/>
        <w:t>concepto</w:t>
      </w:r>
      <w:r>
        <w:rPr>
          <w:spacing w:val="-9"/>
        </w:rPr>
        <w:t> </w:t>
      </w:r>
      <w:r>
        <w:rPr/>
        <w:t>de</w:t>
      </w:r>
      <w:r>
        <w:rPr>
          <w:spacing w:val="-13"/>
        </w:rPr>
        <w:t> </w:t>
      </w:r>
      <w:r>
        <w:rPr/>
        <w:t>vulnerabilidad</w:t>
      </w:r>
      <w:r>
        <w:rPr>
          <w:spacing w:val="-9"/>
        </w:rPr>
        <w:t> </w:t>
      </w:r>
      <w:r>
        <w:rPr/>
        <w:t>claramente</w:t>
      </w:r>
      <w:r>
        <w:rPr>
          <w:spacing w:val="-9"/>
        </w:rPr>
        <w:t> </w:t>
      </w:r>
      <w:r>
        <w:rPr/>
        <w:t>incluye</w:t>
      </w:r>
      <w:r>
        <w:rPr>
          <w:spacing w:val="-9"/>
        </w:rPr>
        <w:t> </w:t>
      </w:r>
      <w:r>
        <w:rPr/>
        <w:t>diferentes magnitudes,</w:t>
      </w:r>
      <w:r>
        <w:rPr>
          <w:spacing w:val="-7"/>
        </w:rPr>
        <w:t> </w:t>
      </w:r>
      <w:r>
        <w:rPr/>
        <w:t>desde</w:t>
      </w:r>
      <w:r>
        <w:rPr>
          <w:spacing w:val="-7"/>
        </w:rPr>
        <w:t> </w:t>
      </w:r>
      <w:r>
        <w:rPr/>
        <w:t>niveles</w:t>
      </w:r>
      <w:r>
        <w:rPr>
          <w:spacing w:val="-13"/>
        </w:rPr>
        <w:t> </w:t>
      </w:r>
      <w:r>
        <w:rPr/>
        <w:t>altos</w:t>
      </w:r>
      <w:r>
        <w:rPr>
          <w:spacing w:val="-8"/>
        </w:rPr>
        <w:t> </w:t>
      </w:r>
      <w:r>
        <w:rPr/>
        <w:t>hasta</w:t>
      </w:r>
      <w:r>
        <w:rPr>
          <w:spacing w:val="-7"/>
        </w:rPr>
        <w:t> </w:t>
      </w:r>
      <w:r>
        <w:rPr/>
        <w:t>bajos</w:t>
      </w:r>
      <w:r>
        <w:rPr>
          <w:spacing w:val="-8"/>
        </w:rPr>
        <w:t> </w:t>
      </w:r>
      <w:r>
        <w:rPr/>
        <w:t>de</w:t>
      </w:r>
      <w:r>
        <w:rPr>
          <w:spacing w:val="-7"/>
        </w:rPr>
        <w:t> </w:t>
      </w:r>
      <w:r>
        <w:rPr/>
        <w:t>vulnerabilidad</w:t>
      </w:r>
      <w:r>
        <w:rPr>
          <w:spacing w:val="-7"/>
        </w:rPr>
        <w:t> </w:t>
      </w:r>
      <w:r>
        <w:rPr/>
        <w:t>para</w:t>
      </w:r>
      <w:r>
        <w:rPr>
          <w:spacing w:val="-7"/>
        </w:rPr>
        <w:t> </w:t>
      </w:r>
      <w:r>
        <w:rPr/>
        <w:t>gente</w:t>
      </w:r>
      <w:r>
        <w:rPr>
          <w:spacing w:val="-7"/>
        </w:rPr>
        <w:t> </w:t>
      </w:r>
      <w:r>
        <w:rPr/>
        <w:t>diferente, aquí </w:t>
      </w:r>
      <w:r>
        <w:rPr>
          <w:spacing w:val="-3"/>
        </w:rPr>
        <w:t>se </w:t>
      </w:r>
      <w:r>
        <w:rPr/>
        <w:t>utiliza este término para significar aquellos que son </w:t>
      </w:r>
      <w:r>
        <w:rPr>
          <w:spacing w:val="-3"/>
        </w:rPr>
        <w:t>más </w:t>
      </w:r>
      <w:r>
        <w:rPr/>
        <w:t>vulnerables. Cuando</w:t>
      </w:r>
      <w:r>
        <w:rPr>
          <w:spacing w:val="-6"/>
        </w:rPr>
        <w:t> </w:t>
      </w:r>
      <w:r>
        <w:rPr/>
        <w:t>se</w:t>
      </w:r>
      <w:r>
        <w:rPr>
          <w:spacing w:val="-11"/>
        </w:rPr>
        <w:t> </w:t>
      </w:r>
      <w:r>
        <w:rPr/>
        <w:t>usa</w:t>
      </w:r>
      <w:r>
        <w:rPr>
          <w:spacing w:val="-6"/>
        </w:rPr>
        <w:t> </w:t>
      </w:r>
      <w:r>
        <w:rPr/>
        <w:t>en</w:t>
      </w:r>
      <w:r>
        <w:rPr>
          <w:spacing w:val="-6"/>
        </w:rPr>
        <w:t> </w:t>
      </w:r>
      <w:r>
        <w:rPr/>
        <w:t>este</w:t>
      </w:r>
      <w:r>
        <w:rPr>
          <w:spacing w:val="-6"/>
        </w:rPr>
        <w:t> </w:t>
      </w:r>
      <w:r>
        <w:rPr/>
        <w:t>sentido,</w:t>
      </w:r>
      <w:r>
        <w:rPr>
          <w:spacing w:val="-6"/>
        </w:rPr>
        <w:t> </w:t>
      </w:r>
      <w:r>
        <w:rPr/>
        <w:t>lo</w:t>
      </w:r>
      <w:r>
        <w:rPr>
          <w:spacing w:val="-6"/>
        </w:rPr>
        <w:t> </w:t>
      </w:r>
      <w:r>
        <w:rPr/>
        <w:t>opuesto</w:t>
      </w:r>
      <w:r>
        <w:rPr>
          <w:spacing w:val="-10"/>
        </w:rPr>
        <w:t> </w:t>
      </w:r>
      <w:r>
        <w:rPr/>
        <w:t>implícito</w:t>
      </w:r>
      <w:r>
        <w:rPr>
          <w:spacing w:val="-10"/>
        </w:rPr>
        <w:t> </w:t>
      </w:r>
      <w:r>
        <w:rPr/>
        <w:t>de</w:t>
      </w:r>
      <w:r>
        <w:rPr>
          <w:spacing w:val="-6"/>
        </w:rPr>
        <w:t> </w:t>
      </w:r>
      <w:r>
        <w:rPr/>
        <w:t>vulnerable</w:t>
      </w:r>
      <w:r>
        <w:rPr>
          <w:spacing w:val="-6"/>
        </w:rPr>
        <w:t> </w:t>
      </w:r>
      <w:r>
        <w:rPr/>
        <w:t>a</w:t>
      </w:r>
      <w:r>
        <w:rPr>
          <w:spacing w:val="-6"/>
        </w:rPr>
        <w:t> </w:t>
      </w:r>
      <w:r>
        <w:rPr/>
        <w:t>veces</w:t>
      </w:r>
      <w:r>
        <w:rPr>
          <w:spacing w:val="-7"/>
        </w:rPr>
        <w:t> </w:t>
      </w:r>
      <w:r>
        <w:rPr/>
        <w:t>se</w:t>
      </w:r>
      <w:r>
        <w:rPr>
          <w:spacing w:val="-11"/>
        </w:rPr>
        <w:t> </w:t>
      </w:r>
      <w:r>
        <w:rPr/>
        <w:t>indica con el uso </w:t>
      </w:r>
      <w:r>
        <w:rPr>
          <w:spacing w:val="-3"/>
        </w:rPr>
        <w:t>del </w:t>
      </w:r>
      <w:r>
        <w:rPr/>
        <w:t>término seguro (Blaikie et al.,</w:t>
      </w:r>
      <w:r>
        <w:rPr>
          <w:spacing w:val="-11"/>
        </w:rPr>
        <w:t> </w:t>
      </w:r>
      <w:r>
        <w:rPr/>
        <w:t>1996)</w:t>
      </w:r>
    </w:p>
    <w:p>
      <w:pPr>
        <w:pStyle w:val="BodyText"/>
        <w:spacing w:before="5"/>
      </w:pPr>
    </w:p>
    <w:p>
      <w:pPr>
        <w:pStyle w:val="BodyText"/>
        <w:spacing w:line="360" w:lineRule="auto"/>
        <w:ind w:left="177" w:right="117"/>
        <w:jc w:val="both"/>
      </w:pPr>
      <w:r>
        <w:rPr/>
        <w:t>La vulnerabilidad se integra por el conjunto de condiciones internas que definen el grado</w:t>
      </w:r>
      <w:r>
        <w:rPr>
          <w:spacing w:val="-6"/>
        </w:rPr>
        <w:t> </w:t>
      </w:r>
      <w:r>
        <w:rPr/>
        <w:t>de</w:t>
      </w:r>
      <w:r>
        <w:rPr>
          <w:spacing w:val="-6"/>
        </w:rPr>
        <w:t> </w:t>
      </w:r>
      <w:r>
        <w:rPr/>
        <w:t>exposición</w:t>
      </w:r>
      <w:r>
        <w:rPr>
          <w:spacing w:val="-6"/>
        </w:rPr>
        <w:t> </w:t>
      </w:r>
      <w:r>
        <w:rPr/>
        <w:t>(física,</w:t>
      </w:r>
      <w:r>
        <w:rPr>
          <w:spacing w:val="-6"/>
        </w:rPr>
        <w:t> </w:t>
      </w:r>
      <w:r>
        <w:rPr/>
        <w:t>económica,</w:t>
      </w:r>
      <w:r>
        <w:rPr>
          <w:spacing w:val="-6"/>
        </w:rPr>
        <w:t> </w:t>
      </w:r>
      <w:r>
        <w:rPr/>
        <w:t>social,ambiental,</w:t>
      </w:r>
      <w:r>
        <w:rPr>
          <w:spacing w:val="-6"/>
        </w:rPr>
        <w:t> </w:t>
      </w:r>
      <w:r>
        <w:rPr/>
        <w:t>sanitaria,</w:t>
      </w:r>
      <w:r>
        <w:rPr>
          <w:spacing w:val="-6"/>
        </w:rPr>
        <w:t> </w:t>
      </w:r>
      <w:r>
        <w:rPr/>
        <w:t>educativa,</w:t>
      </w:r>
      <w:r>
        <w:rPr>
          <w:spacing w:val="-6"/>
        </w:rPr>
        <w:t> </w:t>
      </w:r>
      <w:r>
        <w:rPr/>
        <w:t>etc.) o</w:t>
      </w:r>
      <w:r>
        <w:rPr>
          <w:spacing w:val="-6"/>
        </w:rPr>
        <w:t> </w:t>
      </w:r>
      <w:r>
        <w:rPr/>
        <w:t>grado</w:t>
      </w:r>
      <w:r>
        <w:rPr>
          <w:spacing w:val="-6"/>
        </w:rPr>
        <w:t> </w:t>
      </w:r>
      <w:r>
        <w:rPr/>
        <w:t>de</w:t>
      </w:r>
      <w:r>
        <w:rPr>
          <w:spacing w:val="-4"/>
        </w:rPr>
        <w:t> </w:t>
      </w:r>
      <w:r>
        <w:rPr>
          <w:i/>
        </w:rPr>
        <w:t>susceptibilidad</w:t>
      </w:r>
      <w:r>
        <w:rPr>
          <w:i/>
          <w:spacing w:val="-3"/>
        </w:rPr>
        <w:t> </w:t>
      </w:r>
      <w:r>
        <w:rPr/>
        <w:t>-Capacidad</w:t>
      </w:r>
      <w:r>
        <w:rPr>
          <w:spacing w:val="-6"/>
        </w:rPr>
        <w:t> </w:t>
      </w:r>
      <w:r>
        <w:rPr/>
        <w:t>de</w:t>
      </w:r>
      <w:r>
        <w:rPr>
          <w:spacing w:val="-6"/>
        </w:rPr>
        <w:t> </w:t>
      </w:r>
      <w:r>
        <w:rPr/>
        <w:t>recibir</w:t>
      </w:r>
      <w:r>
        <w:rPr>
          <w:spacing w:val="-10"/>
        </w:rPr>
        <w:t> </w:t>
      </w:r>
      <w:r>
        <w:rPr/>
        <w:t>afectaciones</w:t>
      </w:r>
      <w:r>
        <w:rPr>
          <w:spacing w:val="-7"/>
        </w:rPr>
        <w:t> </w:t>
      </w:r>
      <w:r>
        <w:rPr/>
        <w:t>o</w:t>
      </w:r>
      <w:r>
        <w:rPr>
          <w:spacing w:val="-6"/>
        </w:rPr>
        <w:t> </w:t>
      </w:r>
      <w:r>
        <w:rPr/>
        <w:t>modificaciones-</w:t>
      </w:r>
      <w:r>
        <w:rPr>
          <w:spacing w:val="-5"/>
        </w:rPr>
        <w:t> </w:t>
      </w:r>
      <w:r>
        <w:rPr>
          <w:spacing w:val="-4"/>
        </w:rPr>
        <w:t>de </w:t>
      </w:r>
      <w:r>
        <w:rPr/>
        <w:t>que</w:t>
      </w:r>
      <w:r>
        <w:rPr>
          <w:spacing w:val="26"/>
        </w:rPr>
        <w:t> </w:t>
      </w:r>
      <w:r>
        <w:rPr/>
        <w:t>las</w:t>
      </w:r>
      <w:r>
        <w:rPr>
          <w:spacing w:val="26"/>
        </w:rPr>
        <w:t> </w:t>
      </w:r>
      <w:r>
        <w:rPr/>
        <w:t>comunidades</w:t>
      </w:r>
      <w:r>
        <w:rPr>
          <w:spacing w:val="26"/>
        </w:rPr>
        <w:t> </w:t>
      </w:r>
      <w:r>
        <w:rPr/>
        <w:t>resulten</w:t>
      </w:r>
      <w:r>
        <w:rPr>
          <w:spacing w:val="26"/>
        </w:rPr>
        <w:t> </w:t>
      </w:r>
      <w:r>
        <w:rPr/>
        <w:t>afectadas</w:t>
      </w:r>
      <w:r>
        <w:rPr>
          <w:spacing w:val="31"/>
        </w:rPr>
        <w:t> </w:t>
      </w:r>
      <w:r>
        <w:rPr/>
        <w:t>por</w:t>
      </w:r>
      <w:r>
        <w:rPr>
          <w:spacing w:val="27"/>
        </w:rPr>
        <w:t> </w:t>
      </w:r>
      <w:r>
        <w:rPr/>
        <w:t>una</w:t>
      </w:r>
      <w:r>
        <w:rPr>
          <w:spacing w:val="27"/>
        </w:rPr>
        <w:t> </w:t>
      </w:r>
      <w:r>
        <w:rPr/>
        <w:t>amenaza</w:t>
      </w:r>
      <w:r>
        <w:rPr>
          <w:spacing w:val="31"/>
        </w:rPr>
        <w:t> </w:t>
      </w:r>
      <w:r>
        <w:rPr/>
        <w:t>de</w:t>
      </w:r>
      <w:r>
        <w:rPr>
          <w:spacing w:val="26"/>
        </w:rPr>
        <w:t> </w:t>
      </w:r>
      <w:r>
        <w:rPr/>
        <w:t>origen</w:t>
      </w:r>
      <w:r>
        <w:rPr>
          <w:spacing w:val="27"/>
        </w:rPr>
        <w:t> </w:t>
      </w:r>
      <w:r>
        <w:rPr/>
        <w:t>humano</w:t>
      </w:r>
      <w:r>
        <w:rPr>
          <w:spacing w:val="31"/>
        </w:rPr>
        <w:t> </w:t>
      </w:r>
      <w:r>
        <w:rPr/>
        <w:t>o</w:t>
      </w:r>
    </w:p>
    <w:p>
      <w:pPr>
        <w:spacing w:after="0" w:line="360" w:lineRule="auto"/>
        <w:jc w:val="both"/>
        <w:sectPr>
          <w:pgSz w:w="12240" w:h="15840"/>
          <w:pgMar w:header="0" w:footer="1031" w:top="1360" w:bottom="1220" w:left="1580" w:right="1580"/>
        </w:sectPr>
      </w:pPr>
    </w:p>
    <w:p>
      <w:pPr>
        <w:pStyle w:val="BodyText"/>
        <w:spacing w:line="362" w:lineRule="auto" w:before="52"/>
        <w:ind w:left="177" w:right="114"/>
        <w:jc w:val="both"/>
      </w:pPr>
      <w:r>
        <w:rPr/>
        <w:t>natural, cuando se produce el impacto efectivo de la amenaza, la vulnerabilidad determina la intensidad de los daños que se produzcan.</w:t>
      </w:r>
    </w:p>
    <w:p>
      <w:pPr>
        <w:pStyle w:val="BodyText"/>
        <w:spacing w:before="3"/>
      </w:pPr>
    </w:p>
    <w:p>
      <w:pPr>
        <w:pStyle w:val="BodyText"/>
        <w:spacing w:line="360" w:lineRule="auto"/>
        <w:ind w:left="119" w:right="123"/>
        <w:jc w:val="both"/>
      </w:pPr>
      <w:r>
        <w:rPr/>
        <w:t>El</w:t>
      </w:r>
      <w:r>
        <w:rPr>
          <w:spacing w:val="-4"/>
        </w:rPr>
        <w:t> </w:t>
      </w:r>
      <w:r>
        <w:rPr/>
        <w:t>concepto</w:t>
      </w:r>
      <w:r>
        <w:rPr>
          <w:spacing w:val="-7"/>
        </w:rPr>
        <w:t> </w:t>
      </w:r>
      <w:r>
        <w:rPr/>
        <w:t>de</w:t>
      </w:r>
      <w:r>
        <w:rPr>
          <w:spacing w:val="-7"/>
        </w:rPr>
        <w:t> </w:t>
      </w:r>
      <w:r>
        <w:rPr/>
        <w:t>vulnerabilidad</w:t>
      </w:r>
      <w:r>
        <w:rPr>
          <w:spacing w:val="-7"/>
        </w:rPr>
        <w:t> </w:t>
      </w:r>
      <w:r>
        <w:rPr/>
        <w:t>es</w:t>
      </w:r>
      <w:r>
        <w:rPr>
          <w:spacing w:val="-12"/>
        </w:rPr>
        <w:t> </w:t>
      </w:r>
      <w:r>
        <w:rPr/>
        <w:t>relativo</w:t>
      </w:r>
      <w:r>
        <w:rPr>
          <w:spacing w:val="-7"/>
        </w:rPr>
        <w:t> </w:t>
      </w:r>
      <w:r>
        <w:rPr/>
        <w:t>y</w:t>
      </w:r>
      <w:r>
        <w:rPr>
          <w:spacing w:val="-8"/>
        </w:rPr>
        <w:t> </w:t>
      </w:r>
      <w:r>
        <w:rPr/>
        <w:t>se</w:t>
      </w:r>
      <w:r>
        <w:rPr>
          <w:spacing w:val="-11"/>
        </w:rPr>
        <w:t> </w:t>
      </w:r>
      <w:r>
        <w:rPr/>
        <w:t>debe</w:t>
      </w:r>
      <w:r>
        <w:rPr>
          <w:spacing w:val="-7"/>
        </w:rPr>
        <w:t> </w:t>
      </w:r>
      <w:r>
        <w:rPr/>
        <w:t>analizar</w:t>
      </w:r>
      <w:r>
        <w:rPr>
          <w:spacing w:val="-6"/>
        </w:rPr>
        <w:t> </w:t>
      </w:r>
      <w:r>
        <w:rPr/>
        <w:t>frente</w:t>
      </w:r>
      <w:r>
        <w:rPr>
          <w:spacing w:val="-7"/>
        </w:rPr>
        <w:t> </w:t>
      </w:r>
      <w:r>
        <w:rPr/>
        <w:t>a</w:t>
      </w:r>
      <w:r>
        <w:rPr>
          <w:spacing w:val="-11"/>
        </w:rPr>
        <w:t> </w:t>
      </w:r>
      <w:r>
        <w:rPr/>
        <w:t>las</w:t>
      </w:r>
      <w:r>
        <w:rPr>
          <w:spacing w:val="-7"/>
        </w:rPr>
        <w:t> </w:t>
      </w:r>
      <w:r>
        <w:rPr/>
        <w:t>condiciones particulares de cada comunidad (Castro, 1999). Ser vulnerable a un fenómeno natural es ser susceptible de sufrir daño y tener dificultad de recuperarse de ellos. No toda situación en que se halla el ser humano es vulnerable (Maskrey,</w:t>
      </w:r>
      <w:r>
        <w:rPr>
          <w:spacing w:val="-34"/>
        </w:rPr>
        <w:t> </w:t>
      </w:r>
      <w:r>
        <w:rPr/>
        <w:t>1993).</w:t>
      </w:r>
    </w:p>
    <w:p>
      <w:pPr>
        <w:pStyle w:val="BodyText"/>
        <w:spacing w:before="10"/>
      </w:pPr>
    </w:p>
    <w:p>
      <w:pPr>
        <w:pStyle w:val="BodyText"/>
        <w:spacing w:line="360" w:lineRule="auto"/>
        <w:ind w:left="119" w:right="120"/>
        <w:jc w:val="both"/>
      </w:pPr>
      <w:r>
        <w:rPr/>
        <w:t>La vulnerabilidad es la incapacidad de una comunidad para absorber, mediante el auto ajuste, los efectos de un determinado cambio en su medio ambiente, o sea su inflexibilidad o incapacidad para adaptarse a ese cambio, que para la comunidad constituye, por las razones expuestas, un riesgo (Wilches-Chaux, 1993).</w:t>
      </w:r>
    </w:p>
    <w:p>
      <w:pPr>
        <w:pStyle w:val="BodyText"/>
        <w:spacing w:before="10"/>
      </w:pPr>
    </w:p>
    <w:p>
      <w:pPr>
        <w:pStyle w:val="BodyText"/>
        <w:spacing w:line="360" w:lineRule="auto"/>
        <w:ind w:left="119" w:right="116"/>
        <w:jc w:val="both"/>
      </w:pPr>
      <w:r>
        <w:rPr/>
        <w:t>La vulnerabilidad constituye un sistema dinámico, surge como consecuencia de la interacción de una serie de factores y características (internas y externas) que convergen en una comunidad particular. El resultado de esa interacción es el “bloqueo” o incapacidad de la comunidad para responder adecuadamente ante la presencia de un riesgo determinado, con el consecuente “desastre”. A esa interacción de factores y características de da el nombre de vulnerabilidad global.</w:t>
      </w:r>
    </w:p>
    <w:p>
      <w:pPr>
        <w:pStyle w:val="BodyText"/>
        <w:spacing w:before="10"/>
      </w:pPr>
    </w:p>
    <w:p>
      <w:pPr>
        <w:pStyle w:val="BodyText"/>
        <w:spacing w:line="360" w:lineRule="auto"/>
        <w:ind w:left="119" w:right="122"/>
        <w:jc w:val="both"/>
      </w:pPr>
      <w:r>
        <w:rPr/>
        <w:t>Wilches-Chaux</w:t>
      </w:r>
      <w:r>
        <w:rPr>
          <w:spacing w:val="-17"/>
        </w:rPr>
        <w:t> </w:t>
      </w:r>
      <w:r>
        <w:rPr/>
        <w:t>(1993)</w:t>
      </w:r>
      <w:r>
        <w:rPr>
          <w:spacing w:val="-16"/>
        </w:rPr>
        <w:t> </w:t>
      </w:r>
      <w:r>
        <w:rPr/>
        <w:t>divide</w:t>
      </w:r>
      <w:r>
        <w:rPr>
          <w:spacing w:val="-12"/>
        </w:rPr>
        <w:t> </w:t>
      </w:r>
      <w:r>
        <w:rPr/>
        <w:t>a</w:t>
      </w:r>
      <w:r>
        <w:rPr>
          <w:spacing w:val="-17"/>
        </w:rPr>
        <w:t> </w:t>
      </w:r>
      <w:r>
        <w:rPr/>
        <w:t>la</w:t>
      </w:r>
      <w:r>
        <w:rPr>
          <w:spacing w:val="-12"/>
        </w:rPr>
        <w:t> </w:t>
      </w:r>
      <w:r>
        <w:rPr/>
        <w:t>vulnerabilidad</w:t>
      </w:r>
      <w:r>
        <w:rPr>
          <w:spacing w:val="-12"/>
        </w:rPr>
        <w:t> </w:t>
      </w:r>
      <w:r>
        <w:rPr/>
        <w:t>global</w:t>
      </w:r>
      <w:r>
        <w:rPr>
          <w:spacing w:val="-8"/>
        </w:rPr>
        <w:t> </w:t>
      </w:r>
      <w:r>
        <w:rPr/>
        <w:t>en</w:t>
      </w:r>
      <w:r>
        <w:rPr>
          <w:spacing w:val="-16"/>
        </w:rPr>
        <w:t> </w:t>
      </w:r>
      <w:r>
        <w:rPr/>
        <w:t>distintas</w:t>
      </w:r>
      <w:r>
        <w:rPr>
          <w:spacing w:val="-13"/>
        </w:rPr>
        <w:t> </w:t>
      </w:r>
      <w:r>
        <w:rPr/>
        <w:t>vulnerabilidades, que están estrechamente interconectadas. Desde su perspectiva, existen diez componentes de la vulnerabilidad y son las siguientes: natural, ecológica, física, educativa, técnica, económica, social, política, ideológica e</w:t>
      </w:r>
      <w:r>
        <w:rPr>
          <w:spacing w:val="-31"/>
        </w:rPr>
        <w:t> </w:t>
      </w:r>
      <w:r>
        <w:rPr/>
        <w:t>institucional.</w:t>
      </w:r>
    </w:p>
    <w:p>
      <w:pPr>
        <w:pStyle w:val="BodyText"/>
        <w:spacing w:before="10"/>
      </w:pPr>
    </w:p>
    <w:p>
      <w:pPr>
        <w:pStyle w:val="BodyText"/>
        <w:spacing w:line="360" w:lineRule="auto"/>
        <w:ind w:left="119" w:right="122"/>
        <w:jc w:val="both"/>
      </w:pPr>
      <w:r>
        <w:rPr/>
        <w:t>La vulnerabilidad institucional es una de las </w:t>
      </w:r>
      <w:r>
        <w:rPr>
          <w:spacing w:val="-3"/>
        </w:rPr>
        <w:t>más </w:t>
      </w:r>
      <w:r>
        <w:rPr/>
        <w:t>importantes causas de debilidad de</w:t>
      </w:r>
      <w:r>
        <w:rPr>
          <w:spacing w:val="-11"/>
        </w:rPr>
        <w:t> </w:t>
      </w:r>
      <w:r>
        <w:rPr/>
        <w:t>la</w:t>
      </w:r>
      <w:r>
        <w:rPr>
          <w:spacing w:val="-11"/>
        </w:rPr>
        <w:t> </w:t>
      </w:r>
      <w:r>
        <w:rPr/>
        <w:t>sociedad</w:t>
      </w:r>
      <w:r>
        <w:rPr>
          <w:spacing w:val="-11"/>
        </w:rPr>
        <w:t> </w:t>
      </w:r>
      <w:r>
        <w:rPr/>
        <w:t>para</w:t>
      </w:r>
      <w:r>
        <w:rPr>
          <w:spacing w:val="-11"/>
        </w:rPr>
        <w:t> </w:t>
      </w:r>
      <w:r>
        <w:rPr/>
        <w:t>enfrentar</w:t>
      </w:r>
      <w:r>
        <w:rPr>
          <w:spacing w:val="-10"/>
        </w:rPr>
        <w:t> </w:t>
      </w:r>
      <w:r>
        <w:rPr/>
        <w:t>las</w:t>
      </w:r>
      <w:r>
        <w:rPr>
          <w:spacing w:val="-12"/>
        </w:rPr>
        <w:t> </w:t>
      </w:r>
      <w:r>
        <w:rPr/>
        <w:t>crisis</w:t>
      </w:r>
      <w:r>
        <w:rPr>
          <w:spacing w:val="-12"/>
        </w:rPr>
        <w:t> </w:t>
      </w:r>
      <w:r>
        <w:rPr/>
        <w:t>(incluidos</w:t>
      </w:r>
      <w:r>
        <w:rPr>
          <w:spacing w:val="-12"/>
        </w:rPr>
        <w:t> </w:t>
      </w:r>
      <w:r>
        <w:rPr/>
        <w:t>los</w:t>
      </w:r>
      <w:r>
        <w:rPr>
          <w:spacing w:val="-12"/>
        </w:rPr>
        <w:t> </w:t>
      </w:r>
      <w:r>
        <w:rPr/>
        <w:t>desastres</w:t>
      </w:r>
      <w:r>
        <w:rPr>
          <w:spacing w:val="-12"/>
        </w:rPr>
        <w:t> </w:t>
      </w:r>
      <w:r>
        <w:rPr/>
        <w:t>naturales),</w:t>
      </w:r>
      <w:r>
        <w:rPr>
          <w:spacing w:val="-11"/>
        </w:rPr>
        <w:t> </w:t>
      </w:r>
      <w:r>
        <w:rPr/>
        <w:t>radica</w:t>
      </w:r>
      <w:r>
        <w:rPr>
          <w:spacing w:val="-11"/>
        </w:rPr>
        <w:t> </w:t>
      </w:r>
      <w:r>
        <w:rPr/>
        <w:t>en la obsolescencia y rigidez de las instituciones, especialmente las jurídicas. Los mecanismos de contratación, el manejo del presupuesto, la administración de los funcionarios</w:t>
      </w:r>
      <w:r>
        <w:rPr>
          <w:spacing w:val="-23"/>
        </w:rPr>
        <w:t> </w:t>
      </w:r>
      <w:r>
        <w:rPr/>
        <w:t>públicos,</w:t>
      </w:r>
      <w:r>
        <w:rPr>
          <w:spacing w:val="-23"/>
        </w:rPr>
        <w:t> </w:t>
      </w:r>
      <w:r>
        <w:rPr/>
        <w:t>y</w:t>
      </w:r>
      <w:r>
        <w:rPr>
          <w:spacing w:val="-18"/>
        </w:rPr>
        <w:t> </w:t>
      </w:r>
      <w:r>
        <w:rPr/>
        <w:t>en</w:t>
      </w:r>
      <w:r>
        <w:rPr>
          <w:spacing w:val="-18"/>
        </w:rPr>
        <w:t> </w:t>
      </w:r>
      <w:r>
        <w:rPr/>
        <w:t>general</w:t>
      </w:r>
      <w:r>
        <w:rPr>
          <w:spacing w:val="-19"/>
        </w:rPr>
        <w:t> </w:t>
      </w:r>
      <w:r>
        <w:rPr/>
        <w:t>todos</w:t>
      </w:r>
      <w:r>
        <w:rPr>
          <w:spacing w:val="-23"/>
        </w:rPr>
        <w:t> </w:t>
      </w:r>
      <w:r>
        <w:rPr/>
        <w:t>sus</w:t>
      </w:r>
      <w:r>
        <w:rPr>
          <w:spacing w:val="-18"/>
        </w:rPr>
        <w:t> </w:t>
      </w:r>
      <w:r>
        <w:rPr/>
        <w:t>procedimientos,</w:t>
      </w:r>
      <w:r>
        <w:rPr>
          <w:spacing w:val="-18"/>
        </w:rPr>
        <w:t> </w:t>
      </w:r>
      <w:r>
        <w:rPr/>
        <w:t>parecen</w:t>
      </w:r>
      <w:r>
        <w:rPr>
          <w:spacing w:val="-18"/>
        </w:rPr>
        <w:t> </w:t>
      </w:r>
      <w:r>
        <w:rPr/>
        <w:t>encaminados a impedir la respuesta estatal ágil y oportuna ante los cambios acelerados del entorno económicos, político, social, y</w:t>
      </w:r>
      <w:r>
        <w:rPr>
          <w:spacing w:val="-22"/>
        </w:rPr>
        <w:t> </w:t>
      </w:r>
      <w:r>
        <w:rPr/>
        <w:t>ecológico.</w:t>
      </w:r>
    </w:p>
    <w:p>
      <w:pPr>
        <w:spacing w:after="0" w:line="360" w:lineRule="auto"/>
        <w:jc w:val="both"/>
        <w:sectPr>
          <w:pgSz w:w="12240" w:h="15840"/>
          <w:pgMar w:header="0" w:footer="1031" w:top="1360" w:bottom="1220" w:left="1580" w:right="1580"/>
        </w:sectPr>
      </w:pPr>
    </w:p>
    <w:p>
      <w:pPr>
        <w:pStyle w:val="BodyText"/>
        <w:spacing w:line="362" w:lineRule="auto" w:before="52"/>
        <w:ind w:left="119" w:right="127"/>
        <w:jc w:val="both"/>
      </w:pPr>
      <w:r>
        <w:rPr/>
        <w:t>Un aspecto </w:t>
      </w:r>
      <w:r>
        <w:rPr>
          <w:spacing w:val="-3"/>
        </w:rPr>
        <w:t>muy </w:t>
      </w:r>
      <w:r>
        <w:rPr/>
        <w:t>particular de mitigación de la vulnerabilidad institucional lo constituye</w:t>
      </w:r>
      <w:r>
        <w:rPr>
          <w:spacing w:val="-11"/>
        </w:rPr>
        <w:t> </w:t>
      </w:r>
      <w:r>
        <w:rPr/>
        <w:t>la</w:t>
      </w:r>
      <w:r>
        <w:rPr>
          <w:spacing w:val="-6"/>
        </w:rPr>
        <w:t> </w:t>
      </w:r>
      <w:r>
        <w:rPr/>
        <w:t>preparación</w:t>
      </w:r>
      <w:r>
        <w:rPr>
          <w:spacing w:val="-6"/>
        </w:rPr>
        <w:t> </w:t>
      </w:r>
      <w:r>
        <w:rPr/>
        <w:t>de</w:t>
      </w:r>
      <w:r>
        <w:rPr>
          <w:spacing w:val="-11"/>
        </w:rPr>
        <w:t> </w:t>
      </w:r>
      <w:r>
        <w:rPr/>
        <w:t>la</w:t>
      </w:r>
      <w:r>
        <w:rPr>
          <w:spacing w:val="-6"/>
        </w:rPr>
        <w:t> </w:t>
      </w:r>
      <w:r>
        <w:rPr/>
        <w:t>comunidad</w:t>
      </w:r>
      <w:r>
        <w:rPr>
          <w:spacing w:val="-11"/>
        </w:rPr>
        <w:t> </w:t>
      </w:r>
      <w:r>
        <w:rPr/>
        <w:t>a</w:t>
      </w:r>
      <w:r>
        <w:rPr>
          <w:spacing w:val="-6"/>
        </w:rPr>
        <w:t> </w:t>
      </w:r>
      <w:r>
        <w:rPr/>
        <w:t>través</w:t>
      </w:r>
      <w:r>
        <w:rPr>
          <w:spacing w:val="-7"/>
        </w:rPr>
        <w:t> </w:t>
      </w:r>
      <w:r>
        <w:rPr/>
        <w:t>de</w:t>
      </w:r>
      <w:r>
        <w:rPr>
          <w:spacing w:val="-11"/>
        </w:rPr>
        <w:t> </w:t>
      </w:r>
      <w:r>
        <w:rPr/>
        <w:t>los</w:t>
      </w:r>
      <w:r>
        <w:rPr>
          <w:spacing w:val="-7"/>
        </w:rPr>
        <w:t> </w:t>
      </w:r>
      <w:r>
        <w:rPr/>
        <w:t>organismos</w:t>
      </w:r>
      <w:r>
        <w:rPr>
          <w:spacing w:val="-7"/>
        </w:rPr>
        <w:t> </w:t>
      </w:r>
      <w:r>
        <w:rPr/>
        <w:t>públicos</w:t>
      </w:r>
      <w:r>
        <w:rPr>
          <w:spacing w:val="-7"/>
        </w:rPr>
        <w:t> </w:t>
      </w:r>
      <w:r>
        <w:rPr/>
        <w:t>y</w:t>
      </w:r>
      <w:r>
        <w:rPr>
          <w:spacing w:val="-11"/>
        </w:rPr>
        <w:t> </w:t>
      </w:r>
      <w:r>
        <w:rPr/>
        <w:t>de socorro, para enfrentar una situación de desastre (Wilches-Chaux,</w:t>
      </w:r>
      <w:r>
        <w:rPr>
          <w:spacing w:val="-24"/>
        </w:rPr>
        <w:t> </w:t>
      </w:r>
      <w:r>
        <w:rPr/>
        <w:t>1988).</w:t>
      </w:r>
    </w:p>
    <w:p>
      <w:pPr>
        <w:pStyle w:val="BodyText"/>
        <w:spacing w:before="9"/>
        <w:rPr>
          <w:sz w:val="23"/>
        </w:rPr>
      </w:pPr>
    </w:p>
    <w:p>
      <w:pPr>
        <w:pStyle w:val="Heading2"/>
      </w:pPr>
      <w:r>
        <w:rPr/>
        <w:t>Riesgo</w:t>
      </w:r>
    </w:p>
    <w:p>
      <w:pPr>
        <w:pStyle w:val="BodyText"/>
        <w:rPr>
          <w:b/>
        </w:rPr>
      </w:pPr>
    </w:p>
    <w:p>
      <w:pPr>
        <w:pStyle w:val="BodyText"/>
        <w:spacing w:line="360" w:lineRule="auto" w:before="149"/>
        <w:ind w:left="177" w:right="123"/>
        <w:jc w:val="both"/>
      </w:pPr>
      <w:r>
        <w:rPr/>
        <w:t>El riesgo se comprende como la </w:t>
      </w:r>
      <w:r>
        <w:rPr>
          <w:i/>
        </w:rPr>
        <w:t>probabilidad </w:t>
      </w:r>
      <w:r>
        <w:rPr/>
        <w:t>de que una comunidad pueda sufrir daños</w:t>
      </w:r>
      <w:r>
        <w:rPr>
          <w:spacing w:val="-13"/>
        </w:rPr>
        <w:t> </w:t>
      </w:r>
      <w:r>
        <w:rPr/>
        <w:t>humanos,</w:t>
      </w:r>
      <w:r>
        <w:rPr>
          <w:spacing w:val="-12"/>
        </w:rPr>
        <w:t> </w:t>
      </w:r>
      <w:r>
        <w:rPr/>
        <w:t>materiales</w:t>
      </w:r>
      <w:r>
        <w:rPr>
          <w:spacing w:val="-12"/>
        </w:rPr>
        <w:t> </w:t>
      </w:r>
      <w:r>
        <w:rPr/>
        <w:t>y</w:t>
      </w:r>
      <w:r>
        <w:rPr>
          <w:spacing w:val="-13"/>
        </w:rPr>
        <w:t> </w:t>
      </w:r>
      <w:r>
        <w:rPr/>
        <w:t>ambientales</w:t>
      </w:r>
      <w:r>
        <w:rPr>
          <w:spacing w:val="-13"/>
        </w:rPr>
        <w:t> </w:t>
      </w:r>
      <w:r>
        <w:rPr/>
        <w:t>en</w:t>
      </w:r>
      <w:r>
        <w:rPr>
          <w:spacing w:val="-17"/>
        </w:rPr>
        <w:t> </w:t>
      </w:r>
      <w:r>
        <w:rPr/>
        <w:t>un</w:t>
      </w:r>
      <w:r>
        <w:rPr>
          <w:spacing w:val="-12"/>
        </w:rPr>
        <w:t> </w:t>
      </w:r>
      <w:r>
        <w:rPr/>
        <w:t>área</w:t>
      </w:r>
      <w:r>
        <w:rPr>
          <w:spacing w:val="-12"/>
        </w:rPr>
        <w:t> </w:t>
      </w:r>
      <w:r>
        <w:rPr/>
        <w:t>y</w:t>
      </w:r>
      <w:r>
        <w:rPr>
          <w:spacing w:val="-17"/>
        </w:rPr>
        <w:t> </w:t>
      </w:r>
      <w:r>
        <w:rPr/>
        <w:t>un</w:t>
      </w:r>
      <w:r>
        <w:rPr>
          <w:spacing w:val="-12"/>
        </w:rPr>
        <w:t> </w:t>
      </w:r>
      <w:r>
        <w:rPr/>
        <w:t>período</w:t>
      </w:r>
      <w:r>
        <w:rPr>
          <w:spacing w:val="-12"/>
        </w:rPr>
        <w:t> </w:t>
      </w:r>
      <w:r>
        <w:rPr/>
        <w:t>de</w:t>
      </w:r>
      <w:r>
        <w:rPr>
          <w:spacing w:val="-12"/>
        </w:rPr>
        <w:t> </w:t>
      </w:r>
      <w:r>
        <w:rPr/>
        <w:t>tiempo</w:t>
      </w:r>
      <w:r>
        <w:rPr>
          <w:spacing w:val="-12"/>
        </w:rPr>
        <w:t> </w:t>
      </w:r>
      <w:r>
        <w:rPr/>
        <w:t>dado, y estará definido por la </w:t>
      </w:r>
      <w:r>
        <w:rPr>
          <w:i/>
        </w:rPr>
        <w:t>magnitud </w:t>
      </w:r>
      <w:r>
        <w:rPr/>
        <w:t>de la</w:t>
      </w:r>
      <w:r>
        <w:rPr>
          <w:spacing w:val="-19"/>
        </w:rPr>
        <w:t> </w:t>
      </w:r>
      <w:r>
        <w:rPr/>
        <w:t>amenaza.</w:t>
      </w:r>
    </w:p>
    <w:p>
      <w:pPr>
        <w:pStyle w:val="BodyText"/>
        <w:spacing w:before="5"/>
      </w:pPr>
    </w:p>
    <w:p>
      <w:pPr>
        <w:pStyle w:val="BodyText"/>
        <w:spacing w:line="360" w:lineRule="auto"/>
        <w:ind w:left="119" w:right="117"/>
        <w:jc w:val="both"/>
      </w:pPr>
      <w:r>
        <w:rPr/>
        <w:t>El</w:t>
      </w:r>
      <w:r>
        <w:rPr>
          <w:spacing w:val="-2"/>
        </w:rPr>
        <w:t> </w:t>
      </w:r>
      <w:r>
        <w:rPr/>
        <w:t>riesgo</w:t>
      </w:r>
      <w:r>
        <w:rPr>
          <w:spacing w:val="-5"/>
        </w:rPr>
        <w:t> </w:t>
      </w:r>
      <w:r>
        <w:rPr/>
        <w:t>es</w:t>
      </w:r>
      <w:r>
        <w:rPr>
          <w:spacing w:val="-11"/>
        </w:rPr>
        <w:t> </w:t>
      </w:r>
      <w:r>
        <w:rPr/>
        <w:t>la</w:t>
      </w:r>
      <w:r>
        <w:rPr>
          <w:spacing w:val="-5"/>
        </w:rPr>
        <w:t> </w:t>
      </w:r>
      <w:r>
        <w:rPr/>
        <w:t>probabilidad</w:t>
      </w:r>
      <w:r>
        <w:rPr>
          <w:spacing w:val="-5"/>
        </w:rPr>
        <w:t> </w:t>
      </w:r>
      <w:r>
        <w:rPr/>
        <w:t>de</w:t>
      </w:r>
      <w:r>
        <w:rPr>
          <w:spacing w:val="-5"/>
        </w:rPr>
        <w:t> </w:t>
      </w:r>
      <w:r>
        <w:rPr/>
        <w:t>ocurrencia</w:t>
      </w:r>
      <w:r>
        <w:rPr>
          <w:spacing w:val="-5"/>
        </w:rPr>
        <w:t> </w:t>
      </w:r>
      <w:r>
        <w:rPr/>
        <w:t>de</w:t>
      </w:r>
      <w:r>
        <w:rPr>
          <w:spacing w:val="-5"/>
        </w:rPr>
        <w:t> </w:t>
      </w:r>
      <w:r>
        <w:rPr/>
        <w:t>un</w:t>
      </w:r>
      <w:r>
        <w:rPr>
          <w:spacing w:val="-5"/>
        </w:rPr>
        <w:t> </w:t>
      </w:r>
      <w:r>
        <w:rPr/>
        <w:t>evento</w:t>
      </w:r>
      <w:r>
        <w:rPr>
          <w:spacing w:val="-5"/>
        </w:rPr>
        <w:t> </w:t>
      </w:r>
      <w:r>
        <w:rPr/>
        <w:t>(Cardona,</w:t>
      </w:r>
      <w:r>
        <w:rPr>
          <w:spacing w:val="-5"/>
        </w:rPr>
        <w:t> </w:t>
      </w:r>
      <w:r>
        <w:rPr/>
        <w:t>1993a).</w:t>
      </w:r>
      <w:r>
        <w:rPr>
          <w:spacing w:val="-5"/>
        </w:rPr>
        <w:t> </w:t>
      </w:r>
      <w:r>
        <w:rPr/>
        <w:t>También es cualquier fenómeno de origen natural o </w:t>
      </w:r>
      <w:r>
        <w:rPr>
          <w:spacing w:val="-2"/>
        </w:rPr>
        <w:t>humano </w:t>
      </w:r>
      <w:r>
        <w:rPr/>
        <w:t>que signifique un cambio en el medio ambiente que ocupa una comunidad determinada, que sea vulnerable a ese fenómeno.</w:t>
      </w:r>
    </w:p>
    <w:p>
      <w:pPr>
        <w:pStyle w:val="BodyText"/>
        <w:spacing w:before="5"/>
      </w:pPr>
    </w:p>
    <w:p>
      <w:pPr>
        <w:pStyle w:val="BodyText"/>
        <w:spacing w:line="360" w:lineRule="auto"/>
        <w:ind w:left="119" w:right="116"/>
        <w:jc w:val="both"/>
      </w:pPr>
      <w:r>
        <w:rPr/>
        <w:t>Los</w:t>
      </w:r>
      <w:r>
        <w:rPr>
          <w:spacing w:val="-11"/>
        </w:rPr>
        <w:t> </w:t>
      </w:r>
      <w:r>
        <w:rPr/>
        <w:t>conceptos</w:t>
      </w:r>
      <w:r>
        <w:rPr>
          <w:spacing w:val="-11"/>
        </w:rPr>
        <w:t> </w:t>
      </w:r>
      <w:r>
        <w:rPr/>
        <w:t>de</w:t>
      </w:r>
      <w:r>
        <w:rPr>
          <w:spacing w:val="-10"/>
        </w:rPr>
        <w:t> </w:t>
      </w:r>
      <w:r>
        <w:rPr/>
        <w:t>vulnerabilidad</w:t>
      </w:r>
      <w:r>
        <w:rPr>
          <w:spacing w:val="-10"/>
        </w:rPr>
        <w:t> </w:t>
      </w:r>
      <w:r>
        <w:rPr/>
        <w:t>y</w:t>
      </w:r>
      <w:r>
        <w:rPr>
          <w:spacing w:val="-11"/>
        </w:rPr>
        <w:t> </w:t>
      </w:r>
      <w:r>
        <w:rPr/>
        <w:t>riesgo</w:t>
      </w:r>
      <w:r>
        <w:rPr>
          <w:spacing w:val="-10"/>
        </w:rPr>
        <w:t> </w:t>
      </w:r>
      <w:r>
        <w:rPr/>
        <w:t>están</w:t>
      </w:r>
      <w:r>
        <w:rPr>
          <w:spacing w:val="-10"/>
        </w:rPr>
        <w:t> </w:t>
      </w:r>
      <w:r>
        <w:rPr/>
        <w:t>íntimamente</w:t>
      </w:r>
      <w:r>
        <w:rPr>
          <w:spacing w:val="-9"/>
        </w:rPr>
        <w:t> </w:t>
      </w:r>
      <w:r>
        <w:rPr/>
        <w:t>ligados</w:t>
      </w:r>
      <w:r>
        <w:rPr>
          <w:spacing w:val="-11"/>
        </w:rPr>
        <w:t> </w:t>
      </w:r>
      <w:r>
        <w:rPr/>
        <w:t>entre</w:t>
      </w:r>
      <w:r>
        <w:rPr>
          <w:spacing w:val="-10"/>
        </w:rPr>
        <w:t> </w:t>
      </w:r>
      <w:r>
        <w:rPr/>
        <w:t>sí,</w:t>
      </w:r>
      <w:r>
        <w:rPr>
          <w:spacing w:val="-10"/>
        </w:rPr>
        <w:t> </w:t>
      </w:r>
      <w:r>
        <w:rPr/>
        <w:t>puesto que, un fenómeno de la naturaleza sólo adquirirá la condición de riesgo cuando su ocurrencia se dé o se prevea en un espacio ocupado por una comunidad que sea vulnerable frente a dicho</w:t>
      </w:r>
      <w:r>
        <w:rPr>
          <w:spacing w:val="-19"/>
        </w:rPr>
        <w:t> </w:t>
      </w:r>
      <w:r>
        <w:rPr/>
        <w:t>fenómeno.</w:t>
      </w:r>
    </w:p>
    <w:p>
      <w:pPr>
        <w:pStyle w:val="BodyText"/>
        <w:spacing w:before="10"/>
      </w:pPr>
    </w:p>
    <w:p>
      <w:pPr>
        <w:spacing w:line="360" w:lineRule="auto" w:before="0"/>
        <w:ind w:left="119" w:right="115" w:firstLine="0"/>
        <w:jc w:val="both"/>
        <w:rPr>
          <w:sz w:val="24"/>
        </w:rPr>
      </w:pPr>
      <w:r>
        <w:rPr>
          <w:sz w:val="24"/>
        </w:rPr>
        <w:t>Los riesgos presentan dos tipos de origen: los procesos intrínsecos de transformación de la naturaleza o riesgos de origen natural- </w:t>
      </w:r>
      <w:r>
        <w:rPr>
          <w:i/>
          <w:sz w:val="24"/>
        </w:rPr>
        <w:t>Terremotos, las </w:t>
      </w:r>
      <w:r>
        <w:rPr>
          <w:i/>
          <w:sz w:val="24"/>
        </w:rPr>
        <w:t>erupciones</w:t>
      </w:r>
      <w:r>
        <w:rPr>
          <w:i/>
          <w:spacing w:val="-13"/>
          <w:sz w:val="24"/>
        </w:rPr>
        <w:t> </w:t>
      </w:r>
      <w:r>
        <w:rPr>
          <w:i/>
          <w:sz w:val="24"/>
        </w:rPr>
        <w:t>volcánicas,</w:t>
      </w:r>
      <w:r>
        <w:rPr>
          <w:i/>
          <w:spacing w:val="-12"/>
          <w:sz w:val="24"/>
        </w:rPr>
        <w:t> </w:t>
      </w:r>
      <w:r>
        <w:rPr>
          <w:i/>
          <w:sz w:val="24"/>
        </w:rPr>
        <w:t>los</w:t>
      </w:r>
      <w:r>
        <w:rPr>
          <w:i/>
          <w:spacing w:val="-12"/>
          <w:sz w:val="24"/>
        </w:rPr>
        <w:t> </w:t>
      </w:r>
      <w:r>
        <w:rPr>
          <w:i/>
          <w:sz w:val="24"/>
        </w:rPr>
        <w:t>deshielos</w:t>
      </w:r>
      <w:r>
        <w:rPr>
          <w:i/>
          <w:spacing w:val="-12"/>
          <w:sz w:val="24"/>
        </w:rPr>
        <w:t> </w:t>
      </w:r>
      <w:r>
        <w:rPr>
          <w:i/>
          <w:sz w:val="24"/>
        </w:rPr>
        <w:t>de</w:t>
      </w:r>
      <w:r>
        <w:rPr>
          <w:i/>
          <w:spacing w:val="-12"/>
          <w:sz w:val="24"/>
        </w:rPr>
        <w:t> </w:t>
      </w:r>
      <w:r>
        <w:rPr>
          <w:i/>
          <w:sz w:val="24"/>
        </w:rPr>
        <w:t>las</w:t>
      </w:r>
      <w:r>
        <w:rPr>
          <w:i/>
          <w:spacing w:val="-8"/>
          <w:sz w:val="24"/>
        </w:rPr>
        <w:t> </w:t>
      </w:r>
      <w:r>
        <w:rPr>
          <w:i/>
          <w:sz w:val="24"/>
        </w:rPr>
        <w:t>altas</w:t>
      </w:r>
      <w:r>
        <w:rPr>
          <w:i/>
          <w:spacing w:val="-13"/>
          <w:sz w:val="24"/>
        </w:rPr>
        <w:t> </w:t>
      </w:r>
      <w:r>
        <w:rPr>
          <w:i/>
          <w:sz w:val="24"/>
        </w:rPr>
        <w:t>montañas,</w:t>
      </w:r>
      <w:r>
        <w:rPr>
          <w:i/>
          <w:spacing w:val="-12"/>
          <w:sz w:val="24"/>
        </w:rPr>
        <w:t> </w:t>
      </w:r>
      <w:r>
        <w:rPr>
          <w:i/>
          <w:sz w:val="24"/>
        </w:rPr>
        <w:t>los</w:t>
      </w:r>
      <w:r>
        <w:rPr>
          <w:i/>
          <w:spacing w:val="-12"/>
          <w:sz w:val="24"/>
        </w:rPr>
        <w:t> </w:t>
      </w:r>
      <w:r>
        <w:rPr>
          <w:i/>
          <w:sz w:val="24"/>
        </w:rPr>
        <w:t>huracanes,</w:t>
      </w:r>
      <w:r>
        <w:rPr>
          <w:i/>
          <w:spacing w:val="-12"/>
          <w:sz w:val="24"/>
        </w:rPr>
        <w:t> </w:t>
      </w:r>
      <w:r>
        <w:rPr>
          <w:i/>
          <w:sz w:val="24"/>
        </w:rPr>
        <w:t>ciclones o tifones, los tornados, los maremotos o tsunamis, las inundaciones, </w:t>
      </w:r>
      <w:r>
        <w:rPr>
          <w:i/>
          <w:spacing w:val="4"/>
          <w:sz w:val="24"/>
        </w:rPr>
        <w:t>las </w:t>
      </w:r>
      <w:r>
        <w:rPr>
          <w:i/>
          <w:sz w:val="24"/>
        </w:rPr>
        <w:t>sequías, las tempestades eléctricas</w:t>
      </w:r>
      <w:r>
        <w:rPr>
          <w:sz w:val="24"/>
        </w:rPr>
        <w:t>-, y loas riesgos de origen humano; los que pueden ser originados intencionalmente por el hombre o por una falla de carácter técnico, la que desencadena una serie de fallas en serie causando un desastre de gran magnitud,</w:t>
      </w:r>
      <w:r>
        <w:rPr>
          <w:spacing w:val="-8"/>
          <w:sz w:val="24"/>
        </w:rPr>
        <w:t> </w:t>
      </w:r>
      <w:r>
        <w:rPr>
          <w:sz w:val="24"/>
        </w:rPr>
        <w:t>por</w:t>
      </w:r>
      <w:r>
        <w:rPr>
          <w:spacing w:val="-7"/>
          <w:sz w:val="24"/>
        </w:rPr>
        <w:t> </w:t>
      </w:r>
      <w:r>
        <w:rPr>
          <w:sz w:val="24"/>
        </w:rPr>
        <w:t>ejemplo,</w:t>
      </w:r>
      <w:r>
        <w:rPr>
          <w:spacing w:val="-8"/>
          <w:sz w:val="24"/>
        </w:rPr>
        <w:t> </w:t>
      </w:r>
      <w:r>
        <w:rPr>
          <w:sz w:val="24"/>
        </w:rPr>
        <w:t>las</w:t>
      </w:r>
      <w:r>
        <w:rPr>
          <w:spacing w:val="-9"/>
          <w:sz w:val="24"/>
        </w:rPr>
        <w:t> </w:t>
      </w:r>
      <w:r>
        <w:rPr>
          <w:sz w:val="24"/>
        </w:rPr>
        <w:t>guerras,</w:t>
      </w:r>
      <w:r>
        <w:rPr>
          <w:spacing w:val="-8"/>
          <w:sz w:val="24"/>
        </w:rPr>
        <w:t> </w:t>
      </w:r>
      <w:r>
        <w:rPr>
          <w:sz w:val="24"/>
        </w:rPr>
        <w:t>explosiones,</w:t>
      </w:r>
      <w:r>
        <w:rPr>
          <w:spacing w:val="-8"/>
          <w:sz w:val="24"/>
        </w:rPr>
        <w:t> </w:t>
      </w:r>
      <w:r>
        <w:rPr>
          <w:sz w:val="24"/>
        </w:rPr>
        <w:t>accidentes,</w:t>
      </w:r>
      <w:r>
        <w:rPr>
          <w:spacing w:val="-8"/>
          <w:sz w:val="24"/>
        </w:rPr>
        <w:t> </w:t>
      </w:r>
      <w:r>
        <w:rPr>
          <w:sz w:val="24"/>
        </w:rPr>
        <w:t>colapsos,</w:t>
      </w:r>
      <w:r>
        <w:rPr>
          <w:spacing w:val="-8"/>
          <w:sz w:val="24"/>
        </w:rPr>
        <w:t> </w:t>
      </w:r>
      <w:r>
        <w:rPr>
          <w:sz w:val="24"/>
        </w:rPr>
        <w:t>terrorismos, incendios, contaminación e impactos (Wilches-Chaux, 1993, Cardona,</w:t>
      </w:r>
      <w:r>
        <w:rPr>
          <w:spacing w:val="-24"/>
          <w:sz w:val="24"/>
        </w:rPr>
        <w:t> </w:t>
      </w:r>
      <w:r>
        <w:rPr>
          <w:sz w:val="24"/>
        </w:rPr>
        <w:t>1993a).</w:t>
      </w:r>
    </w:p>
    <w:p>
      <w:pPr>
        <w:pStyle w:val="BodyText"/>
        <w:spacing w:before="1"/>
      </w:pPr>
    </w:p>
    <w:p>
      <w:pPr>
        <w:pStyle w:val="Heading2"/>
      </w:pPr>
      <w:r>
        <w:rPr/>
        <w:t>Asentamiento humano</w:t>
      </w:r>
    </w:p>
    <w:p>
      <w:pPr>
        <w:pStyle w:val="BodyText"/>
        <w:rPr>
          <w:b/>
        </w:rPr>
      </w:pPr>
    </w:p>
    <w:p>
      <w:pPr>
        <w:pStyle w:val="BodyText"/>
        <w:spacing w:line="360" w:lineRule="auto" w:before="148"/>
        <w:ind w:left="119" w:right="123"/>
        <w:jc w:val="both"/>
      </w:pPr>
      <w:r>
        <w:rPr/>
        <w:t>Un asentamiento humano es toda manifestación o presencia de personas con residencia</w:t>
      </w:r>
      <w:r>
        <w:rPr>
          <w:spacing w:val="-7"/>
        </w:rPr>
        <w:t> </w:t>
      </w:r>
      <w:r>
        <w:rPr/>
        <w:t>fija</w:t>
      </w:r>
      <w:r>
        <w:rPr>
          <w:spacing w:val="-7"/>
        </w:rPr>
        <w:t> </w:t>
      </w:r>
      <w:r>
        <w:rPr/>
        <w:t>en</w:t>
      </w:r>
      <w:r>
        <w:rPr>
          <w:spacing w:val="-7"/>
        </w:rPr>
        <w:t> </w:t>
      </w:r>
      <w:r>
        <w:rPr/>
        <w:t>un</w:t>
      </w:r>
      <w:r>
        <w:rPr>
          <w:spacing w:val="-7"/>
        </w:rPr>
        <w:t> </w:t>
      </w:r>
      <w:r>
        <w:rPr/>
        <w:t>lugar</w:t>
      </w:r>
      <w:r>
        <w:rPr>
          <w:spacing w:val="-6"/>
        </w:rPr>
        <w:t> </w:t>
      </w:r>
      <w:r>
        <w:rPr/>
        <w:t>determinado,</w:t>
      </w:r>
      <w:r>
        <w:rPr>
          <w:spacing w:val="-7"/>
        </w:rPr>
        <w:t> </w:t>
      </w:r>
      <w:r>
        <w:rPr/>
        <w:t>a</w:t>
      </w:r>
      <w:r>
        <w:rPr>
          <w:spacing w:val="-7"/>
        </w:rPr>
        <w:t> </w:t>
      </w:r>
      <w:r>
        <w:rPr/>
        <w:t>partir</w:t>
      </w:r>
      <w:r>
        <w:rPr>
          <w:spacing w:val="-6"/>
        </w:rPr>
        <w:t> </w:t>
      </w:r>
      <w:r>
        <w:rPr/>
        <w:t>del</w:t>
      </w:r>
      <w:r>
        <w:rPr>
          <w:spacing w:val="-4"/>
        </w:rPr>
        <w:t> </w:t>
      </w:r>
      <w:r>
        <w:rPr/>
        <w:t>cual</w:t>
      </w:r>
      <w:r>
        <w:rPr>
          <w:spacing w:val="-4"/>
        </w:rPr>
        <w:t> </w:t>
      </w:r>
      <w:r>
        <w:rPr/>
        <w:t>desarrollan</w:t>
      </w:r>
      <w:r>
        <w:rPr>
          <w:spacing w:val="-7"/>
        </w:rPr>
        <w:t> </w:t>
      </w:r>
      <w:r>
        <w:rPr/>
        <w:t>sus</w:t>
      </w:r>
      <w:r>
        <w:rPr>
          <w:spacing w:val="-8"/>
        </w:rPr>
        <w:t> </w:t>
      </w:r>
      <w:r>
        <w:rPr/>
        <w:t>actividades</w:t>
      </w:r>
    </w:p>
    <w:p>
      <w:pPr>
        <w:spacing w:after="0" w:line="360" w:lineRule="auto"/>
        <w:jc w:val="both"/>
        <w:sectPr>
          <w:pgSz w:w="12240" w:h="15840"/>
          <w:pgMar w:header="0" w:footer="1031" w:top="1360" w:bottom="1220" w:left="1580" w:right="1580"/>
        </w:sectPr>
      </w:pPr>
    </w:p>
    <w:p>
      <w:pPr>
        <w:pStyle w:val="BodyText"/>
        <w:spacing w:line="362" w:lineRule="auto" w:before="52"/>
        <w:ind w:left="119" w:right="127"/>
        <w:jc w:val="both"/>
      </w:pPr>
      <w:r>
        <w:rPr/>
        <w:t>vitales. Constituye la expresión física del poblamiento y según el nivel de concentración de las viviendas recibe diferentes nombres (ONE, 2006).</w:t>
      </w:r>
    </w:p>
    <w:p>
      <w:pPr>
        <w:pStyle w:val="BodyText"/>
        <w:spacing w:before="3"/>
      </w:pPr>
    </w:p>
    <w:p>
      <w:pPr>
        <w:pStyle w:val="BodyText"/>
        <w:spacing w:line="360" w:lineRule="auto"/>
        <w:ind w:left="119" w:right="128"/>
        <w:jc w:val="both"/>
      </w:pPr>
      <w:r>
        <w:rPr/>
        <w:t>Tomando como base la normatividad mexicana vigente, un asentamiento humano es “el establecimiento de un conglomerado demográfico con el conjunto de sus sistemas de convivencia, en un área físicamente localizada, considerando dentro de la misma los elementos naturales y las obras materiales que lo integran” (Ley General de Asentamientos Humanos, Capítulo I Disposiciones generales, Artículo 2 Fracción II).</w:t>
      </w:r>
    </w:p>
    <w:p>
      <w:pPr>
        <w:pStyle w:val="BodyText"/>
        <w:spacing w:before="10"/>
      </w:pPr>
    </w:p>
    <w:p>
      <w:pPr>
        <w:pStyle w:val="BodyText"/>
        <w:spacing w:line="360" w:lineRule="auto"/>
        <w:ind w:left="119" w:right="129"/>
        <w:jc w:val="both"/>
      </w:pPr>
      <w:r>
        <w:rPr/>
        <w:t>Por su parte Castañeda (1988) considera a los asentamientos irregulares como todas aquellas colonias urbanas o suburbanas, cuya formación ha quedado fuera de los marcos jurídicos legales respecto a la formación de los asentamientos, independientemente del tipo de tenencia de la tierra en la que estos se encuentran establecidos.</w:t>
      </w:r>
    </w:p>
    <w:p>
      <w:pPr>
        <w:pStyle w:val="BodyText"/>
        <w:spacing w:before="10"/>
      </w:pPr>
    </w:p>
    <w:p>
      <w:pPr>
        <w:pStyle w:val="BodyText"/>
        <w:spacing w:line="360" w:lineRule="auto"/>
        <w:ind w:left="119" w:right="126"/>
        <w:jc w:val="both"/>
      </w:pPr>
      <w:r>
        <w:rPr/>
        <w:t>Barry</w:t>
      </w:r>
      <w:r>
        <w:rPr>
          <w:spacing w:val="-12"/>
        </w:rPr>
        <w:t> </w:t>
      </w:r>
      <w:r>
        <w:rPr/>
        <w:t>y</w:t>
      </w:r>
      <w:r>
        <w:rPr>
          <w:spacing w:val="-14"/>
        </w:rPr>
        <w:t> </w:t>
      </w:r>
      <w:r>
        <w:rPr/>
        <w:t>Rüther,</w:t>
      </w:r>
      <w:r>
        <w:rPr>
          <w:spacing w:val="-18"/>
        </w:rPr>
        <w:t> </w:t>
      </w:r>
      <w:r>
        <w:rPr/>
        <w:t>(2001)</w:t>
      </w:r>
      <w:r>
        <w:rPr>
          <w:spacing w:val="-12"/>
        </w:rPr>
        <w:t> </w:t>
      </w:r>
      <w:r>
        <w:rPr/>
        <w:t>coincide</w:t>
      </w:r>
      <w:r>
        <w:rPr>
          <w:spacing w:val="-13"/>
        </w:rPr>
        <w:t> </w:t>
      </w:r>
      <w:r>
        <w:rPr/>
        <w:t>con</w:t>
      </w:r>
      <w:r>
        <w:rPr>
          <w:spacing w:val="-13"/>
        </w:rPr>
        <w:t> </w:t>
      </w:r>
      <w:r>
        <w:rPr/>
        <w:t>Castañeda</w:t>
      </w:r>
      <w:r>
        <w:rPr>
          <w:spacing w:val="-13"/>
        </w:rPr>
        <w:t> </w:t>
      </w:r>
      <w:r>
        <w:rPr/>
        <w:t>al</w:t>
      </w:r>
      <w:r>
        <w:rPr>
          <w:spacing w:val="-9"/>
        </w:rPr>
        <w:t> </w:t>
      </w:r>
      <w:r>
        <w:rPr/>
        <w:t>definir</w:t>
      </w:r>
      <w:r>
        <w:rPr>
          <w:spacing w:val="-12"/>
        </w:rPr>
        <w:t> </w:t>
      </w:r>
      <w:r>
        <w:rPr/>
        <w:t>a</w:t>
      </w:r>
      <w:r>
        <w:rPr>
          <w:spacing w:val="-17"/>
        </w:rPr>
        <w:t> </w:t>
      </w:r>
      <w:r>
        <w:rPr/>
        <w:t>un</w:t>
      </w:r>
      <w:r>
        <w:rPr>
          <w:spacing w:val="-13"/>
        </w:rPr>
        <w:t> </w:t>
      </w:r>
      <w:r>
        <w:rPr/>
        <w:t>asentamiento</w:t>
      </w:r>
      <w:r>
        <w:rPr>
          <w:spacing w:val="-17"/>
        </w:rPr>
        <w:t> </w:t>
      </w:r>
      <w:r>
        <w:rPr/>
        <w:t>irregular o asentamiento informal como un lugar donde se establece una persona o una comunidad que no está dentro del margen de los reglamentos o las normas establecidas por las autoridades encargadas del ordenamiento</w:t>
      </w:r>
      <w:r>
        <w:rPr>
          <w:spacing w:val="-29"/>
        </w:rPr>
        <w:t> </w:t>
      </w:r>
      <w:r>
        <w:rPr/>
        <w:t>urbano.</w:t>
      </w:r>
    </w:p>
    <w:p>
      <w:pPr>
        <w:pStyle w:val="BodyText"/>
        <w:spacing w:before="10"/>
      </w:pPr>
    </w:p>
    <w:p>
      <w:pPr>
        <w:pStyle w:val="BodyText"/>
        <w:spacing w:line="360" w:lineRule="auto"/>
        <w:ind w:left="119" w:right="115"/>
        <w:jc w:val="both"/>
      </w:pPr>
      <w:r>
        <w:rPr/>
        <w:t>En este sentido, los asentamientos informales (coloquialmente referidos como “invasiones”) por lo general son densos establecimientos que abarcan a comunidades</w:t>
      </w:r>
      <w:r>
        <w:rPr>
          <w:spacing w:val="-17"/>
        </w:rPr>
        <w:t> </w:t>
      </w:r>
      <w:r>
        <w:rPr/>
        <w:t>o</w:t>
      </w:r>
      <w:r>
        <w:rPr>
          <w:spacing w:val="-21"/>
        </w:rPr>
        <w:t> </w:t>
      </w:r>
      <w:r>
        <w:rPr/>
        <w:t>individuos</w:t>
      </w:r>
      <w:r>
        <w:rPr>
          <w:spacing w:val="-22"/>
        </w:rPr>
        <w:t> </w:t>
      </w:r>
      <w:r>
        <w:rPr/>
        <w:t>albergados</w:t>
      </w:r>
      <w:r>
        <w:rPr>
          <w:spacing w:val="-22"/>
        </w:rPr>
        <w:t> </w:t>
      </w:r>
      <w:r>
        <w:rPr/>
        <w:t>en</w:t>
      </w:r>
      <w:r>
        <w:rPr>
          <w:spacing w:val="-17"/>
        </w:rPr>
        <w:t> </w:t>
      </w:r>
      <w:r>
        <w:rPr/>
        <w:t>viviendas</w:t>
      </w:r>
      <w:r>
        <w:rPr>
          <w:spacing w:val="-17"/>
        </w:rPr>
        <w:t> </w:t>
      </w:r>
      <w:r>
        <w:rPr/>
        <w:t>auto</w:t>
      </w:r>
      <w:r>
        <w:rPr>
          <w:spacing w:val="-17"/>
        </w:rPr>
        <w:t> </w:t>
      </w:r>
      <w:r>
        <w:rPr/>
        <w:t>construidas</w:t>
      </w:r>
      <w:r>
        <w:rPr>
          <w:spacing w:val="-22"/>
        </w:rPr>
        <w:t> </w:t>
      </w:r>
      <w:r>
        <w:rPr/>
        <w:t>bajo</w:t>
      </w:r>
      <w:r>
        <w:rPr>
          <w:spacing w:val="-17"/>
        </w:rPr>
        <w:t> </w:t>
      </w:r>
      <w:r>
        <w:rPr/>
        <w:t>deficientes condiciones de vida. </w:t>
      </w:r>
      <w:r>
        <w:rPr>
          <w:spacing w:val="-3"/>
        </w:rPr>
        <w:t>Toman </w:t>
      </w:r>
      <w:r>
        <w:rPr/>
        <w:t>forma de establecimientos espontáneos sin reconocimiento ni derechos legales, expandiendo los bordes de las ciudades en terrenos</w:t>
      </w:r>
      <w:r>
        <w:rPr>
          <w:spacing w:val="-2"/>
        </w:rPr>
        <w:t> </w:t>
      </w:r>
      <w:r>
        <w:rPr/>
        <w:t>marginados</w:t>
      </w:r>
      <w:r>
        <w:rPr>
          <w:spacing w:val="-2"/>
        </w:rPr>
        <w:t> </w:t>
      </w:r>
      <w:r>
        <w:rPr/>
        <w:t>que</w:t>
      </w:r>
      <w:r>
        <w:rPr>
          <w:spacing w:val="-2"/>
        </w:rPr>
        <w:t> </w:t>
      </w:r>
      <w:r>
        <w:rPr/>
        <w:t>están</w:t>
      </w:r>
      <w:r>
        <w:rPr>
          <w:spacing w:val="-6"/>
        </w:rPr>
        <w:t> </w:t>
      </w:r>
      <w:r>
        <w:rPr/>
        <w:t>dentro</w:t>
      </w:r>
      <w:r>
        <w:rPr>
          <w:spacing w:val="-2"/>
        </w:rPr>
        <w:t> </w:t>
      </w:r>
      <w:r>
        <w:rPr/>
        <w:t>de</w:t>
      </w:r>
      <w:r>
        <w:rPr>
          <w:spacing w:val="-10"/>
        </w:rPr>
        <w:t> </w:t>
      </w:r>
      <w:r>
        <w:rPr/>
        <w:t>los</w:t>
      </w:r>
      <w:r>
        <w:rPr>
          <w:spacing w:val="-7"/>
        </w:rPr>
        <w:t> </w:t>
      </w:r>
      <w:r>
        <w:rPr/>
        <w:t>límites</w:t>
      </w:r>
      <w:r>
        <w:rPr>
          <w:spacing w:val="-2"/>
        </w:rPr>
        <w:t> </w:t>
      </w:r>
      <w:r>
        <w:rPr/>
        <w:t>de</w:t>
      </w:r>
      <w:r>
        <w:rPr>
          <w:spacing w:val="-10"/>
        </w:rPr>
        <w:t> </w:t>
      </w:r>
      <w:r>
        <w:rPr/>
        <w:t>las</w:t>
      </w:r>
      <w:r>
        <w:rPr>
          <w:spacing w:val="-2"/>
        </w:rPr>
        <w:t> </w:t>
      </w:r>
      <w:r>
        <w:rPr/>
        <w:t>zonas</w:t>
      </w:r>
      <w:r>
        <w:rPr>
          <w:spacing w:val="-7"/>
        </w:rPr>
        <w:t> </w:t>
      </w:r>
      <w:r>
        <w:rPr/>
        <w:t>urbanas.</w:t>
      </w:r>
      <w:r>
        <w:rPr>
          <w:spacing w:val="-6"/>
        </w:rPr>
        <w:t> </w:t>
      </w:r>
      <w:r>
        <w:rPr/>
        <w:t>(Barry</w:t>
      </w:r>
      <w:r>
        <w:rPr>
          <w:spacing w:val="-7"/>
        </w:rPr>
        <w:t> </w:t>
      </w:r>
      <w:r>
        <w:rPr/>
        <w:t>y Rüther,</w:t>
      </w:r>
      <w:r>
        <w:rPr>
          <w:spacing w:val="-1"/>
        </w:rPr>
        <w:t> </w:t>
      </w:r>
      <w:r>
        <w:rPr/>
        <w:t>2001).</w:t>
      </w:r>
    </w:p>
    <w:p>
      <w:pPr>
        <w:pStyle w:val="BodyText"/>
        <w:spacing w:before="10"/>
      </w:pPr>
    </w:p>
    <w:p>
      <w:pPr>
        <w:pStyle w:val="BodyText"/>
        <w:spacing w:line="360" w:lineRule="auto"/>
        <w:ind w:left="119" w:right="128"/>
        <w:jc w:val="both"/>
      </w:pPr>
      <w:r>
        <w:rPr/>
        <w:t>Analizando lo anterior, un asentamiento irregular es el resultado </w:t>
      </w:r>
      <w:r>
        <w:rPr>
          <w:spacing w:val="-3"/>
        </w:rPr>
        <w:t>del </w:t>
      </w:r>
      <w:r>
        <w:rPr/>
        <w:t>crecimiento de las ciudades, distinto a lo establecido en el plan de desarrollo urbano, sobre zonas de riesgo, donde sus habitantes no cuentan con la seguridad de la propiedad, carecen de la infraestructura urbana básica y no aportan ingresos al municipio</w:t>
      </w:r>
      <w:r>
        <w:rPr>
          <w:spacing w:val="60"/>
        </w:rPr>
        <w:t> </w:t>
      </w:r>
      <w:r>
        <w:rPr/>
        <w:t>por</w:t>
      </w:r>
    </w:p>
    <w:p>
      <w:pPr>
        <w:spacing w:after="0" w:line="360" w:lineRule="auto"/>
        <w:jc w:val="both"/>
        <w:sectPr>
          <w:footerReference w:type="default" r:id="rId32"/>
          <w:pgSz w:w="12240" w:h="15840"/>
          <w:pgMar w:footer="1031" w:header="0" w:top="1360" w:bottom="1220" w:left="1580" w:right="1580"/>
          <w:pgNumType w:start="40"/>
        </w:sectPr>
      </w:pPr>
    </w:p>
    <w:p>
      <w:pPr>
        <w:pStyle w:val="BodyText"/>
        <w:spacing w:line="362" w:lineRule="auto" w:before="52"/>
        <w:ind w:left="119" w:right="129"/>
        <w:jc w:val="both"/>
      </w:pPr>
      <w:r>
        <w:rPr/>
        <w:t>pago de impuesto predial. Cualquiera de las condiciones anteriores es suficiente para considerar un asentamiento en esta clasificación.</w:t>
      </w:r>
    </w:p>
    <w:p>
      <w:pPr>
        <w:pStyle w:val="BodyText"/>
        <w:spacing w:before="7"/>
      </w:pPr>
    </w:p>
    <w:p>
      <w:pPr>
        <w:pStyle w:val="ListParagraph"/>
        <w:numPr>
          <w:ilvl w:val="3"/>
          <w:numId w:val="13"/>
        </w:numPr>
        <w:tabs>
          <w:tab w:pos="927" w:val="left" w:leader="none"/>
        </w:tabs>
        <w:spacing w:line="240" w:lineRule="auto" w:before="1" w:after="0"/>
        <w:ind w:left="926" w:right="0" w:hanging="807"/>
        <w:jc w:val="both"/>
        <w:rPr>
          <w:sz w:val="24"/>
        </w:rPr>
      </w:pPr>
      <w:r>
        <w:rPr>
          <w:sz w:val="24"/>
        </w:rPr>
        <w:t>Definición operacional de las variables</w:t>
      </w:r>
      <w:r>
        <w:rPr>
          <w:spacing w:val="-20"/>
          <w:sz w:val="24"/>
        </w:rPr>
        <w:t> </w:t>
      </w:r>
      <w:r>
        <w:rPr>
          <w:sz w:val="24"/>
        </w:rPr>
        <w:t>dependientes</w:t>
      </w:r>
    </w:p>
    <w:p>
      <w:pPr>
        <w:pStyle w:val="BodyText"/>
      </w:pPr>
    </w:p>
    <w:p>
      <w:pPr>
        <w:pStyle w:val="BodyText"/>
        <w:spacing w:line="362" w:lineRule="auto"/>
        <w:ind w:left="119" w:right="128"/>
        <w:jc w:val="both"/>
      </w:pPr>
      <w:r>
        <w:rPr/>
        <w:t>Los estudios de tipo biofísico consideran la caracterización de los diferentes tipos de uso del suelo y las condiciones del suelo en relación con la litología, clima, geología, corrientes de agua y cubierta vegetal (FAO, 1992).</w:t>
      </w:r>
    </w:p>
    <w:p>
      <w:pPr>
        <w:pStyle w:val="BodyText"/>
        <w:spacing w:before="2"/>
      </w:pPr>
    </w:p>
    <w:p>
      <w:pPr>
        <w:pStyle w:val="BodyText"/>
        <w:spacing w:line="360" w:lineRule="auto"/>
        <w:ind w:left="119" w:right="116"/>
        <w:jc w:val="both"/>
      </w:pPr>
      <w:r>
        <w:rPr/>
        <w:t>Cotler (2004) analiza el paisaje como base para el manejo integrado de la cuenca Lerma-Chapala. El estudio del uso del suelo, permite entender las interrelaciones entre los recursos y condiciones naturales (relieve-suelo, clima-vegetación), así como</w:t>
      </w:r>
      <w:r>
        <w:rPr>
          <w:spacing w:val="-8"/>
        </w:rPr>
        <w:t> </w:t>
      </w:r>
      <w:r>
        <w:rPr/>
        <w:t>las</w:t>
      </w:r>
      <w:r>
        <w:rPr>
          <w:spacing w:val="-9"/>
        </w:rPr>
        <w:t> </w:t>
      </w:r>
      <w:r>
        <w:rPr/>
        <w:t>formas</w:t>
      </w:r>
      <w:r>
        <w:rPr>
          <w:spacing w:val="-9"/>
        </w:rPr>
        <w:t> </w:t>
      </w:r>
      <w:r>
        <w:rPr/>
        <w:t>de</w:t>
      </w:r>
      <w:r>
        <w:rPr>
          <w:spacing w:val="-8"/>
        </w:rPr>
        <w:t> </w:t>
      </w:r>
      <w:r>
        <w:rPr/>
        <w:t>organización</w:t>
      </w:r>
      <w:r>
        <w:rPr>
          <w:spacing w:val="-8"/>
        </w:rPr>
        <w:t> </w:t>
      </w:r>
      <w:r>
        <w:rPr/>
        <w:t>de</w:t>
      </w:r>
      <w:r>
        <w:rPr>
          <w:spacing w:val="-16"/>
        </w:rPr>
        <w:t> </w:t>
      </w:r>
      <w:r>
        <w:rPr/>
        <w:t>la</w:t>
      </w:r>
      <w:r>
        <w:rPr>
          <w:spacing w:val="-8"/>
        </w:rPr>
        <w:t> </w:t>
      </w:r>
      <w:r>
        <w:rPr/>
        <w:t>población</w:t>
      </w:r>
      <w:r>
        <w:rPr>
          <w:spacing w:val="-8"/>
        </w:rPr>
        <w:t> </w:t>
      </w:r>
      <w:r>
        <w:rPr/>
        <w:t>para</w:t>
      </w:r>
      <w:r>
        <w:rPr>
          <w:spacing w:val="-8"/>
        </w:rPr>
        <w:t> </w:t>
      </w:r>
      <w:r>
        <w:rPr/>
        <w:t>apropiarse</w:t>
      </w:r>
      <w:r>
        <w:rPr>
          <w:spacing w:val="-8"/>
        </w:rPr>
        <w:t> </w:t>
      </w:r>
      <w:r>
        <w:rPr/>
        <w:t>de</w:t>
      </w:r>
      <w:r>
        <w:rPr>
          <w:spacing w:val="-8"/>
        </w:rPr>
        <w:t> </w:t>
      </w:r>
      <w:r>
        <w:rPr/>
        <w:t>estos</w:t>
      </w:r>
      <w:r>
        <w:rPr>
          <w:spacing w:val="-9"/>
        </w:rPr>
        <w:t> </w:t>
      </w:r>
      <w:r>
        <w:rPr/>
        <w:t>recursos y su impacto en la disponibilidad del</w:t>
      </w:r>
      <w:r>
        <w:rPr>
          <w:spacing w:val="-14"/>
        </w:rPr>
        <w:t> </w:t>
      </w:r>
      <w:r>
        <w:rPr/>
        <w:t>agua.</w:t>
      </w:r>
    </w:p>
    <w:p>
      <w:pPr>
        <w:pStyle w:val="BodyText"/>
        <w:spacing w:before="10"/>
      </w:pPr>
    </w:p>
    <w:p>
      <w:pPr>
        <w:pStyle w:val="BodyText"/>
        <w:spacing w:line="360" w:lineRule="auto"/>
        <w:ind w:left="119" w:right="116"/>
        <w:jc w:val="both"/>
      </w:pPr>
      <w:r>
        <w:rPr/>
        <w:t>La óptica espacial aglutina los múltiples factores que definen las propiedades y las dinámica del paisaje, los procedimientos para su abordaje </w:t>
      </w:r>
      <w:r>
        <w:rPr>
          <w:spacing w:val="2"/>
        </w:rPr>
        <w:t>están </w:t>
      </w:r>
      <w:r>
        <w:rPr/>
        <w:t>definidos por el análisis físico-geográfico –</w:t>
      </w:r>
      <w:r>
        <w:rPr>
          <w:i/>
        </w:rPr>
        <w:t>incluye la naturaleza en la superficie terrestre y las </w:t>
      </w:r>
      <w:r>
        <w:rPr>
          <w:i/>
        </w:rPr>
        <w:t>modificaciones humanas</w:t>
      </w:r>
      <w:r>
        <w:rPr/>
        <w:t>-, el cual otorga igual peso a los componentes del paisaje a</w:t>
      </w:r>
      <w:r>
        <w:rPr>
          <w:spacing w:val="-7"/>
        </w:rPr>
        <w:t> </w:t>
      </w:r>
      <w:r>
        <w:rPr/>
        <w:t>través</w:t>
      </w:r>
      <w:r>
        <w:rPr>
          <w:spacing w:val="-8"/>
        </w:rPr>
        <w:t> </w:t>
      </w:r>
      <w:r>
        <w:rPr/>
        <w:t>de</w:t>
      </w:r>
      <w:r>
        <w:rPr>
          <w:spacing w:val="-7"/>
        </w:rPr>
        <w:t> </w:t>
      </w:r>
      <w:r>
        <w:rPr/>
        <w:t>criterios</w:t>
      </w:r>
      <w:r>
        <w:rPr>
          <w:spacing w:val="-7"/>
        </w:rPr>
        <w:t> </w:t>
      </w:r>
      <w:r>
        <w:rPr/>
        <w:t>estructurales,</w:t>
      </w:r>
      <w:r>
        <w:rPr>
          <w:spacing w:val="-7"/>
        </w:rPr>
        <w:t> </w:t>
      </w:r>
      <w:r>
        <w:rPr/>
        <w:t>genéticos,</w:t>
      </w:r>
      <w:r>
        <w:rPr>
          <w:spacing w:val="-12"/>
        </w:rPr>
        <w:t> </w:t>
      </w:r>
      <w:r>
        <w:rPr/>
        <w:t>históricos</w:t>
      </w:r>
      <w:r>
        <w:rPr>
          <w:spacing w:val="-8"/>
        </w:rPr>
        <w:t> </w:t>
      </w:r>
      <w:r>
        <w:rPr/>
        <w:t>y</w:t>
      </w:r>
      <w:r>
        <w:rPr>
          <w:spacing w:val="-8"/>
        </w:rPr>
        <w:t> </w:t>
      </w:r>
      <w:r>
        <w:rPr/>
        <w:t>evolutivos,</w:t>
      </w:r>
      <w:r>
        <w:rPr>
          <w:spacing w:val="1"/>
        </w:rPr>
        <w:t> </w:t>
      </w:r>
      <w:r>
        <w:rPr/>
        <w:t>que</w:t>
      </w:r>
      <w:r>
        <w:rPr>
          <w:spacing w:val="-12"/>
        </w:rPr>
        <w:t> </w:t>
      </w:r>
      <w:r>
        <w:rPr/>
        <w:t>garantizan esclarecer la estructura espacial de un territorio dado, con propósitos de ordenamiento y manejo ecológico (Cotler, H., Priego S. A., 2004:</w:t>
      </w:r>
      <w:r>
        <w:rPr>
          <w:spacing w:val="-29"/>
        </w:rPr>
        <w:t> </w:t>
      </w:r>
      <w:r>
        <w:rPr/>
        <w:t>63).</w:t>
      </w:r>
    </w:p>
    <w:p>
      <w:pPr>
        <w:pStyle w:val="BodyText"/>
        <w:spacing w:before="10"/>
      </w:pPr>
    </w:p>
    <w:p>
      <w:pPr>
        <w:pStyle w:val="Heading2"/>
      </w:pPr>
      <w:r>
        <w:rPr/>
        <w:t>Factores sociales,  económicos y jurídicos</w:t>
      </w:r>
    </w:p>
    <w:p>
      <w:pPr>
        <w:pStyle w:val="BodyText"/>
        <w:rPr>
          <w:b/>
        </w:rPr>
      </w:pPr>
    </w:p>
    <w:p>
      <w:pPr>
        <w:pStyle w:val="BodyText"/>
        <w:spacing w:line="360" w:lineRule="auto" w:before="144"/>
        <w:ind w:left="119" w:right="117"/>
        <w:jc w:val="both"/>
      </w:pPr>
      <w:r>
        <w:rPr/>
        <w:t>Orozco et al (2011) propone una serie de factores sociales y económicos que definen las condiciones en las que se desarrolla un modo de vida particular, así como el marco institucional en el que se desarrolla la vida social. Su importancia radica en que permitirán explicar la susceptibilidad a las afectaciones que pudiera producir la amenaza de inundación, y el debilitamiento del sistema social y económico en la zona de estudio.</w:t>
      </w:r>
    </w:p>
    <w:p>
      <w:pPr>
        <w:spacing w:after="0" w:line="360" w:lineRule="auto"/>
        <w:jc w:val="both"/>
        <w:sectPr>
          <w:pgSz w:w="12240" w:h="15840"/>
          <w:pgMar w:header="0" w:footer="1031" w:top="1360" w:bottom="1220" w:left="1580" w:right="1580"/>
        </w:sectPr>
      </w:pPr>
    </w:p>
    <w:p>
      <w:pPr>
        <w:pStyle w:val="BodyText"/>
        <w:spacing w:line="362" w:lineRule="auto" w:before="52"/>
        <w:ind w:left="119" w:right="101"/>
        <w:jc w:val="both"/>
      </w:pPr>
      <w:r>
        <w:rPr/>
        <w:t>Sociales: Conjunto de factores que caracterizan la accesibilidad a los bienes y servicios básicos y necesarios para vivir, son: La educación, la salud, alimentación y la vivienda.</w:t>
      </w:r>
    </w:p>
    <w:p>
      <w:pPr>
        <w:pStyle w:val="BodyText"/>
        <w:spacing w:before="2"/>
      </w:pPr>
    </w:p>
    <w:p>
      <w:pPr>
        <w:pStyle w:val="BodyText"/>
        <w:spacing w:line="360" w:lineRule="auto"/>
        <w:ind w:left="119" w:right="100"/>
        <w:jc w:val="both"/>
      </w:pPr>
      <w:r>
        <w:rPr/>
        <w:t>Económicos:</w:t>
      </w:r>
      <w:r>
        <w:rPr>
          <w:spacing w:val="-7"/>
        </w:rPr>
        <w:t> </w:t>
      </w:r>
      <w:r>
        <w:rPr/>
        <w:t>Conjunto</w:t>
      </w:r>
      <w:r>
        <w:rPr>
          <w:spacing w:val="-3"/>
        </w:rPr>
        <w:t> </w:t>
      </w:r>
      <w:r>
        <w:rPr/>
        <w:t>de</w:t>
      </w:r>
      <w:r>
        <w:rPr>
          <w:spacing w:val="-7"/>
        </w:rPr>
        <w:t> </w:t>
      </w:r>
      <w:r>
        <w:rPr/>
        <w:t>factores</w:t>
      </w:r>
      <w:r>
        <w:rPr>
          <w:spacing w:val="-12"/>
        </w:rPr>
        <w:t> </w:t>
      </w:r>
      <w:r>
        <w:rPr/>
        <w:t>que</w:t>
      </w:r>
      <w:r>
        <w:rPr>
          <w:spacing w:val="-7"/>
        </w:rPr>
        <w:t> </w:t>
      </w:r>
      <w:r>
        <w:rPr/>
        <w:t>definen</w:t>
      </w:r>
      <w:r>
        <w:rPr>
          <w:spacing w:val="-7"/>
        </w:rPr>
        <w:t> </w:t>
      </w:r>
      <w:r>
        <w:rPr/>
        <w:t>la</w:t>
      </w:r>
      <w:r>
        <w:rPr>
          <w:spacing w:val="-11"/>
        </w:rPr>
        <w:t> </w:t>
      </w:r>
      <w:r>
        <w:rPr/>
        <w:t>base</w:t>
      </w:r>
      <w:r>
        <w:rPr>
          <w:spacing w:val="-7"/>
        </w:rPr>
        <w:t> </w:t>
      </w:r>
      <w:r>
        <w:rPr/>
        <w:t>productiva</w:t>
      </w:r>
      <w:r>
        <w:rPr>
          <w:spacing w:val="-7"/>
        </w:rPr>
        <w:t> </w:t>
      </w:r>
      <w:r>
        <w:rPr/>
        <w:t>de</w:t>
      </w:r>
      <w:r>
        <w:rPr>
          <w:spacing w:val="-11"/>
        </w:rPr>
        <w:t> </w:t>
      </w:r>
      <w:r>
        <w:rPr/>
        <w:t>la</w:t>
      </w:r>
      <w:r>
        <w:rPr>
          <w:spacing w:val="-7"/>
        </w:rPr>
        <w:t> </w:t>
      </w:r>
      <w:r>
        <w:rPr/>
        <w:t>comunidad, incluye las actividades productivas que realizan sus miembros para la satisfacción de sus necesidades básicas y los beneficios obtenidos, el empleo, los ingresos y</w:t>
      </w:r>
      <w:r>
        <w:rPr>
          <w:spacing w:val="-34"/>
        </w:rPr>
        <w:t> </w:t>
      </w:r>
      <w:r>
        <w:rPr/>
        <w:t>la tecnología.</w:t>
      </w:r>
    </w:p>
    <w:p>
      <w:pPr>
        <w:pStyle w:val="BodyText"/>
        <w:spacing w:before="10"/>
      </w:pPr>
    </w:p>
    <w:p>
      <w:pPr>
        <w:pStyle w:val="BodyText"/>
        <w:spacing w:line="360" w:lineRule="auto"/>
        <w:ind w:left="119" w:right="103"/>
        <w:jc w:val="both"/>
      </w:pPr>
      <w:r>
        <w:rPr/>
        <w:t>Políticos y jurídicos: Conjunto </w:t>
      </w:r>
      <w:r>
        <w:rPr>
          <w:i/>
        </w:rPr>
        <w:t>de </w:t>
      </w:r>
      <w:r>
        <w:rPr/>
        <w:t>instancias formales e informales que regulan y orientan</w:t>
      </w:r>
      <w:r>
        <w:rPr>
          <w:spacing w:val="-15"/>
        </w:rPr>
        <w:t> </w:t>
      </w:r>
      <w:r>
        <w:rPr/>
        <w:t>las</w:t>
      </w:r>
      <w:r>
        <w:rPr>
          <w:spacing w:val="-7"/>
        </w:rPr>
        <w:t> </w:t>
      </w:r>
      <w:r>
        <w:rPr/>
        <w:t>conductas</w:t>
      </w:r>
      <w:r>
        <w:rPr>
          <w:spacing w:val="-7"/>
        </w:rPr>
        <w:t> </w:t>
      </w:r>
      <w:r>
        <w:rPr/>
        <w:t>sociales</w:t>
      </w:r>
      <w:r>
        <w:rPr>
          <w:spacing w:val="-12"/>
        </w:rPr>
        <w:t> </w:t>
      </w:r>
      <w:r>
        <w:rPr/>
        <w:t>y</w:t>
      </w:r>
      <w:r>
        <w:rPr>
          <w:spacing w:val="-12"/>
        </w:rPr>
        <w:t> </w:t>
      </w:r>
      <w:r>
        <w:rPr/>
        <w:t>económicas.</w:t>
      </w:r>
      <w:r>
        <w:rPr>
          <w:spacing w:val="-11"/>
        </w:rPr>
        <w:t> </w:t>
      </w:r>
      <w:r>
        <w:rPr/>
        <w:t>Incluye</w:t>
      </w:r>
      <w:r>
        <w:rPr>
          <w:spacing w:val="-11"/>
        </w:rPr>
        <w:t> </w:t>
      </w:r>
      <w:r>
        <w:rPr/>
        <w:t>las</w:t>
      </w:r>
      <w:r>
        <w:rPr>
          <w:spacing w:val="-6"/>
        </w:rPr>
        <w:t> </w:t>
      </w:r>
      <w:r>
        <w:rPr/>
        <w:t>políticas,</w:t>
      </w:r>
      <w:r>
        <w:rPr>
          <w:spacing w:val="-11"/>
        </w:rPr>
        <w:t> </w:t>
      </w:r>
      <w:r>
        <w:rPr/>
        <w:t>los</w:t>
      </w:r>
      <w:r>
        <w:rPr>
          <w:spacing w:val="-6"/>
        </w:rPr>
        <w:t> </w:t>
      </w:r>
      <w:r>
        <w:rPr/>
        <w:t>derechos</w:t>
      </w:r>
      <w:r>
        <w:rPr>
          <w:spacing w:val="-12"/>
        </w:rPr>
        <w:t> </w:t>
      </w:r>
      <w:r>
        <w:rPr/>
        <w:t>de propiedad y los arreglos</w:t>
      </w:r>
      <w:r>
        <w:rPr>
          <w:spacing w:val="-11"/>
        </w:rPr>
        <w:t> </w:t>
      </w:r>
      <w:r>
        <w:rPr/>
        <w:t>Informales.</w:t>
      </w:r>
    </w:p>
    <w:p>
      <w:pPr>
        <w:pStyle w:val="BodyText"/>
        <w:spacing w:before="10"/>
      </w:pPr>
    </w:p>
    <w:p>
      <w:pPr>
        <w:pStyle w:val="BodyText"/>
        <w:spacing w:line="360" w:lineRule="auto"/>
        <w:ind w:left="119" w:right="105"/>
        <w:jc w:val="both"/>
      </w:pPr>
      <w:r>
        <w:rPr/>
        <w:t>La política urbana se descompone en dos </w:t>
      </w:r>
      <w:r>
        <w:rPr>
          <w:spacing w:val="-2"/>
        </w:rPr>
        <w:t>campos </w:t>
      </w:r>
      <w:r>
        <w:rPr/>
        <w:t>analíticos ligados a la realidad social: La planificación urbana y los movimientos sociales urbanos. Las políticas pueden constituir un instrumento poderoso para corregir los desequilibrios ambientales</w:t>
      </w:r>
      <w:r>
        <w:rPr>
          <w:spacing w:val="-16"/>
        </w:rPr>
        <w:t> </w:t>
      </w:r>
      <w:r>
        <w:rPr/>
        <w:t>que</w:t>
      </w:r>
      <w:r>
        <w:rPr>
          <w:spacing w:val="-12"/>
        </w:rPr>
        <w:t> </w:t>
      </w:r>
      <w:r>
        <w:rPr/>
        <w:t>se</w:t>
      </w:r>
      <w:r>
        <w:rPr>
          <w:spacing w:val="-16"/>
        </w:rPr>
        <w:t> </w:t>
      </w:r>
      <w:r>
        <w:rPr/>
        <w:t>dan</w:t>
      </w:r>
      <w:r>
        <w:rPr>
          <w:spacing w:val="-16"/>
        </w:rPr>
        <w:t> </w:t>
      </w:r>
      <w:r>
        <w:rPr/>
        <w:t>dentro</w:t>
      </w:r>
      <w:r>
        <w:rPr>
          <w:spacing w:val="-11"/>
        </w:rPr>
        <w:t> </w:t>
      </w:r>
      <w:r>
        <w:rPr/>
        <w:t>y</w:t>
      </w:r>
      <w:r>
        <w:rPr>
          <w:spacing w:val="-16"/>
        </w:rPr>
        <w:t> </w:t>
      </w:r>
      <w:r>
        <w:rPr/>
        <w:t>fuera</w:t>
      </w:r>
      <w:r>
        <w:rPr>
          <w:spacing w:val="-11"/>
        </w:rPr>
        <w:t> </w:t>
      </w:r>
      <w:r>
        <w:rPr/>
        <w:t>de</w:t>
      </w:r>
      <w:r>
        <w:rPr>
          <w:spacing w:val="-20"/>
        </w:rPr>
        <w:t> </w:t>
      </w:r>
      <w:r>
        <w:rPr/>
        <w:t>las</w:t>
      </w:r>
      <w:r>
        <w:rPr>
          <w:spacing w:val="-12"/>
        </w:rPr>
        <w:t> </w:t>
      </w:r>
      <w:r>
        <w:rPr/>
        <w:t>ciudades,</w:t>
      </w:r>
      <w:r>
        <w:rPr>
          <w:spacing w:val="-16"/>
        </w:rPr>
        <w:t> </w:t>
      </w:r>
      <w:r>
        <w:rPr/>
        <w:t>puesto</w:t>
      </w:r>
      <w:r>
        <w:rPr>
          <w:spacing w:val="-15"/>
        </w:rPr>
        <w:t> </w:t>
      </w:r>
      <w:r>
        <w:rPr/>
        <w:t>que</w:t>
      </w:r>
      <w:r>
        <w:rPr>
          <w:spacing w:val="-15"/>
        </w:rPr>
        <w:t> </w:t>
      </w:r>
      <w:r>
        <w:rPr/>
        <w:t>fijar</w:t>
      </w:r>
      <w:r>
        <w:rPr>
          <w:spacing w:val="-10"/>
        </w:rPr>
        <w:t> </w:t>
      </w:r>
      <w:r>
        <w:rPr/>
        <w:t>precios</w:t>
      </w:r>
      <w:r>
        <w:rPr>
          <w:spacing w:val="-16"/>
        </w:rPr>
        <w:t> </w:t>
      </w:r>
      <w:r>
        <w:rPr/>
        <w:t>para los recursos y servicios a su verdadero costo social marginal, mejoraría su conservación y utilización. Las políticas deben tener </w:t>
      </w:r>
      <w:r>
        <w:rPr>
          <w:spacing w:val="-4"/>
        </w:rPr>
        <w:t>como </w:t>
      </w:r>
      <w:r>
        <w:rPr/>
        <w:t>propósito el de lograr mayor acceso y cobertura, junto con la recuperación de costos  (Castells,</w:t>
      </w:r>
      <w:r>
        <w:rPr>
          <w:spacing w:val="-15"/>
        </w:rPr>
        <w:t> </w:t>
      </w:r>
      <w:r>
        <w:rPr/>
        <w:t>1942).</w:t>
      </w:r>
    </w:p>
    <w:p>
      <w:pPr>
        <w:pStyle w:val="BodyText"/>
        <w:spacing w:line="360" w:lineRule="auto" w:before="209"/>
        <w:ind w:left="119" w:right="107"/>
        <w:jc w:val="both"/>
      </w:pPr>
      <w:r>
        <w:rPr/>
        <w:t>Un aspecto del problema urbano es la provisión de vivienda para los sectores de </w:t>
      </w:r>
      <w:r>
        <w:rPr>
          <w:spacing w:val="-3"/>
        </w:rPr>
        <w:t>más </w:t>
      </w:r>
      <w:r>
        <w:rPr/>
        <w:t>bajos ingresos, quienes ante </w:t>
      </w:r>
      <w:r>
        <w:rPr>
          <w:spacing w:val="5"/>
        </w:rPr>
        <w:t>la </w:t>
      </w:r>
      <w:r>
        <w:rPr/>
        <w:t>imposibilidad de acceder a una vivienda en el ámbito</w:t>
      </w:r>
      <w:r>
        <w:rPr>
          <w:spacing w:val="-7"/>
        </w:rPr>
        <w:t> </w:t>
      </w:r>
      <w:r>
        <w:rPr/>
        <w:t>de</w:t>
      </w:r>
      <w:r>
        <w:rPr>
          <w:spacing w:val="-7"/>
        </w:rPr>
        <w:t> </w:t>
      </w:r>
      <w:r>
        <w:rPr/>
        <w:t>la</w:t>
      </w:r>
      <w:r>
        <w:rPr>
          <w:spacing w:val="-7"/>
        </w:rPr>
        <w:t> </w:t>
      </w:r>
      <w:r>
        <w:rPr/>
        <w:t>formalidad,</w:t>
      </w:r>
      <w:r>
        <w:rPr>
          <w:spacing w:val="-7"/>
        </w:rPr>
        <w:t> </w:t>
      </w:r>
      <w:r>
        <w:rPr/>
        <w:t>se</w:t>
      </w:r>
      <w:r>
        <w:rPr>
          <w:spacing w:val="-7"/>
        </w:rPr>
        <w:t> </w:t>
      </w:r>
      <w:r>
        <w:rPr/>
        <w:t>organizan</w:t>
      </w:r>
      <w:r>
        <w:rPr>
          <w:spacing w:val="-7"/>
        </w:rPr>
        <w:t> </w:t>
      </w:r>
      <w:r>
        <w:rPr/>
        <w:t>sobre</w:t>
      </w:r>
      <w:r>
        <w:rPr>
          <w:spacing w:val="-7"/>
        </w:rPr>
        <w:t> </w:t>
      </w:r>
      <w:r>
        <w:rPr/>
        <w:t>bases</w:t>
      </w:r>
      <w:r>
        <w:rPr>
          <w:spacing w:val="-8"/>
        </w:rPr>
        <w:t> </w:t>
      </w:r>
      <w:r>
        <w:rPr/>
        <w:t>ilegales.</w:t>
      </w:r>
      <w:r>
        <w:rPr>
          <w:spacing w:val="-7"/>
        </w:rPr>
        <w:t> </w:t>
      </w:r>
      <w:r>
        <w:rPr/>
        <w:t>La</w:t>
      </w:r>
      <w:r>
        <w:rPr>
          <w:spacing w:val="-7"/>
        </w:rPr>
        <w:t> </w:t>
      </w:r>
      <w:r>
        <w:rPr/>
        <w:t>gente</w:t>
      </w:r>
      <w:r>
        <w:rPr>
          <w:spacing w:val="-11"/>
        </w:rPr>
        <w:t> </w:t>
      </w:r>
      <w:r>
        <w:rPr/>
        <w:t>invade,</w:t>
      </w:r>
      <w:r>
        <w:rPr>
          <w:spacing w:val="-7"/>
        </w:rPr>
        <w:t> </w:t>
      </w:r>
      <w:r>
        <w:rPr/>
        <w:t>ocupa o adquiere tierras no habilitadas para la edificación, construye viviendas precarias en</w:t>
      </w:r>
      <w:r>
        <w:rPr>
          <w:spacing w:val="-20"/>
        </w:rPr>
        <w:t> </w:t>
      </w:r>
      <w:r>
        <w:rPr/>
        <w:t>la</w:t>
      </w:r>
      <w:r>
        <w:rPr>
          <w:spacing w:val="-16"/>
        </w:rPr>
        <w:t> </w:t>
      </w:r>
      <w:r>
        <w:rPr/>
        <w:t>periferia</w:t>
      </w:r>
      <w:r>
        <w:rPr>
          <w:spacing w:val="-16"/>
        </w:rPr>
        <w:t> </w:t>
      </w:r>
      <w:r>
        <w:rPr/>
        <w:t>de</w:t>
      </w:r>
      <w:r>
        <w:rPr>
          <w:spacing w:val="-25"/>
        </w:rPr>
        <w:t> </w:t>
      </w:r>
      <w:r>
        <w:rPr/>
        <w:t>las</w:t>
      </w:r>
      <w:r>
        <w:rPr>
          <w:spacing w:val="-16"/>
        </w:rPr>
        <w:t> </w:t>
      </w:r>
      <w:r>
        <w:rPr/>
        <w:t>ciudades,</w:t>
      </w:r>
      <w:r>
        <w:rPr>
          <w:spacing w:val="-21"/>
        </w:rPr>
        <w:t> </w:t>
      </w:r>
      <w:r>
        <w:rPr/>
        <w:t>lo</w:t>
      </w:r>
      <w:r>
        <w:rPr>
          <w:spacing w:val="-16"/>
        </w:rPr>
        <w:t> </w:t>
      </w:r>
      <w:r>
        <w:rPr/>
        <w:t>hace</w:t>
      </w:r>
      <w:r>
        <w:rPr>
          <w:spacing w:val="-9"/>
        </w:rPr>
        <w:t> </w:t>
      </w:r>
      <w:r>
        <w:rPr/>
        <w:t>en</w:t>
      </w:r>
      <w:r>
        <w:rPr>
          <w:spacing w:val="-20"/>
        </w:rPr>
        <w:t> </w:t>
      </w:r>
      <w:r>
        <w:rPr/>
        <w:t>parte</w:t>
      </w:r>
      <w:r>
        <w:rPr>
          <w:spacing w:val="-20"/>
        </w:rPr>
        <w:t> </w:t>
      </w:r>
      <w:r>
        <w:rPr/>
        <w:t>porque</w:t>
      </w:r>
      <w:r>
        <w:rPr>
          <w:spacing w:val="-16"/>
        </w:rPr>
        <w:t> </w:t>
      </w:r>
      <w:r>
        <w:rPr/>
        <w:t>no</w:t>
      </w:r>
      <w:r>
        <w:rPr>
          <w:spacing w:val="-20"/>
        </w:rPr>
        <w:t> </w:t>
      </w:r>
      <w:r>
        <w:rPr/>
        <w:t>pueden</w:t>
      </w:r>
      <w:r>
        <w:rPr>
          <w:spacing w:val="-20"/>
        </w:rPr>
        <w:t> </w:t>
      </w:r>
      <w:r>
        <w:rPr/>
        <w:t>pagar</w:t>
      </w:r>
      <w:r>
        <w:rPr>
          <w:spacing w:val="-15"/>
        </w:rPr>
        <w:t> </w:t>
      </w:r>
      <w:r>
        <w:rPr/>
        <w:t>nada</w:t>
      </w:r>
      <w:r>
        <w:rPr>
          <w:spacing w:val="-16"/>
        </w:rPr>
        <w:t> </w:t>
      </w:r>
      <w:r>
        <w:rPr>
          <w:spacing w:val="-3"/>
        </w:rPr>
        <w:t>mejor, </w:t>
      </w:r>
      <w:r>
        <w:rPr/>
        <w:t>y en parte con la expectativa de que a la larga se proveerán los servicios y les</w:t>
      </w:r>
      <w:r>
        <w:rPr>
          <w:spacing w:val="-38"/>
        </w:rPr>
        <w:t> </w:t>
      </w:r>
      <w:r>
        <w:rPr/>
        <w:t>será otorgado el título de propiedad, y de ese modo se podrán adquirir un patrimonio a un costo</w:t>
      </w:r>
      <w:r>
        <w:rPr>
          <w:spacing w:val="-9"/>
        </w:rPr>
        <w:t> </w:t>
      </w:r>
      <w:r>
        <w:rPr/>
        <w:t>bajo.</w:t>
      </w:r>
    </w:p>
    <w:p>
      <w:pPr>
        <w:pStyle w:val="BodyText"/>
        <w:spacing w:line="360" w:lineRule="auto" w:before="209"/>
        <w:ind w:left="119" w:right="103"/>
        <w:jc w:val="both"/>
      </w:pPr>
      <w:r>
        <w:rPr/>
        <w:t>Aunque existen leyes y normas que regulan los usos del suelo, urbano y rural. La mayoría de la población de bajos ingresos, adquiere lotes y viviendas en  tenencia</w:t>
      </w:r>
    </w:p>
    <w:p>
      <w:pPr>
        <w:spacing w:after="0" w:line="360" w:lineRule="auto"/>
        <w:jc w:val="both"/>
        <w:sectPr>
          <w:pgSz w:w="12240" w:h="15840"/>
          <w:pgMar w:header="0" w:footer="1031" w:top="1360" w:bottom="1220" w:left="1580" w:right="1600"/>
        </w:sectPr>
      </w:pPr>
    </w:p>
    <w:p>
      <w:pPr>
        <w:pStyle w:val="BodyText"/>
        <w:spacing w:line="360" w:lineRule="auto" w:before="52"/>
        <w:ind w:left="119" w:right="141"/>
        <w:jc w:val="both"/>
      </w:pPr>
      <w:r>
        <w:rPr/>
        <w:t>irregular, lo que hace imposible instrumentar en la práctica un plan o programa de desarrollo urbano (BAZANT, 2001).</w:t>
      </w:r>
    </w:p>
    <w:p>
      <w:pPr>
        <w:pStyle w:val="BodyText"/>
        <w:spacing w:line="360" w:lineRule="auto" w:before="209"/>
        <w:ind w:left="119" w:right="123"/>
        <w:jc w:val="both"/>
      </w:pPr>
      <w:r>
        <w:rPr/>
        <w:t>Y aunque en los planeas de desarrollo urbano están definidas las zonas no aptas para la urbanización (topografía accidentada, suelos agrícolas, bosques, áreas naturales protegidas y/o de recarga acuífera, condiciones geológicas inadecuadas, fallas, cavernas o sean inundables), lo cierto es que la población de bajos recursos se sigue asentando por economía en zonas no urbanizables.</w:t>
      </w:r>
    </w:p>
    <w:p>
      <w:pPr>
        <w:pStyle w:val="BodyText"/>
        <w:spacing w:before="7"/>
        <w:rPr>
          <w:sz w:val="20"/>
        </w:rPr>
      </w:pPr>
    </w:p>
    <w:p>
      <w:pPr>
        <w:pStyle w:val="Heading2"/>
        <w:numPr>
          <w:ilvl w:val="1"/>
          <w:numId w:val="14"/>
        </w:numPr>
        <w:tabs>
          <w:tab w:pos="591" w:val="left" w:leader="none"/>
        </w:tabs>
        <w:spacing w:line="240" w:lineRule="auto" w:before="1" w:after="0"/>
        <w:ind w:left="590" w:right="0" w:hanging="471"/>
        <w:jc w:val="both"/>
      </w:pPr>
      <w:bookmarkStart w:name="_TOC_250038" w:id="16"/>
      <w:bookmarkEnd w:id="16"/>
      <w:r>
        <w:rPr/>
        <w:t>Metodología</w:t>
      </w:r>
    </w:p>
    <w:p>
      <w:pPr>
        <w:pStyle w:val="BodyText"/>
        <w:spacing w:before="3"/>
        <w:rPr>
          <w:b/>
          <w:sz w:val="25"/>
        </w:rPr>
      </w:pPr>
    </w:p>
    <w:p>
      <w:pPr>
        <w:pStyle w:val="BodyText"/>
        <w:spacing w:line="360" w:lineRule="auto"/>
        <w:ind w:left="119" w:right="115"/>
        <w:jc w:val="both"/>
      </w:pPr>
      <w:r>
        <w:rPr/>
        <w:t>El procedimiento metodológico comprende cuatro niveles de análisis. En la determinación de estos niveles se consideran los objetivos específicos.</w:t>
      </w:r>
    </w:p>
    <w:p>
      <w:pPr>
        <w:pStyle w:val="BodyText"/>
        <w:spacing w:before="5"/>
      </w:pPr>
    </w:p>
    <w:p>
      <w:pPr>
        <w:pStyle w:val="BodyText"/>
        <w:spacing w:line="362" w:lineRule="auto"/>
        <w:ind w:left="119" w:right="127"/>
        <w:jc w:val="both"/>
      </w:pPr>
      <w:r>
        <w:rPr/>
        <w:t>Las fuentes de datos utilizados para la investigación fueron imágenes satelitales, ortofotos, cartas temáticas sobre climas, edafología, uso de suelo y vegetación, corrientes superficiales y subterráneas 1: 50, 0000 y 1: 250, 000, los censo de</w:t>
      </w:r>
    </w:p>
    <w:p>
      <w:pPr>
        <w:pStyle w:val="BodyText"/>
        <w:ind w:left="119"/>
        <w:jc w:val="both"/>
      </w:pPr>
      <w:r>
        <w:rPr/>
        <w:t>población y vivienda (1990, 2000, y2010) y conteo, 2005.</w:t>
      </w:r>
    </w:p>
    <w:p>
      <w:pPr>
        <w:pStyle w:val="BodyText"/>
      </w:pPr>
    </w:p>
    <w:p>
      <w:pPr>
        <w:pStyle w:val="BodyText"/>
        <w:spacing w:line="360" w:lineRule="auto" w:before="144"/>
        <w:ind w:left="119" w:right="116"/>
        <w:jc w:val="both"/>
      </w:pPr>
      <w:r>
        <w:rPr/>
        <w:t>A</w:t>
      </w:r>
      <w:r>
        <w:rPr>
          <w:spacing w:val="-17"/>
        </w:rPr>
        <w:t> </w:t>
      </w:r>
      <w:r>
        <w:rPr/>
        <w:t>través</w:t>
      </w:r>
      <w:r>
        <w:rPr>
          <w:spacing w:val="-15"/>
        </w:rPr>
        <w:t> </w:t>
      </w:r>
      <w:r>
        <w:rPr/>
        <w:t>de</w:t>
      </w:r>
      <w:r>
        <w:rPr>
          <w:spacing w:val="-15"/>
        </w:rPr>
        <w:t> </w:t>
      </w:r>
      <w:r>
        <w:rPr/>
        <w:t>los</w:t>
      </w:r>
      <w:r>
        <w:rPr>
          <w:spacing w:val="-15"/>
        </w:rPr>
        <w:t> </w:t>
      </w:r>
      <w:r>
        <w:rPr/>
        <w:t>(SIG),</w:t>
      </w:r>
      <w:r>
        <w:rPr>
          <w:spacing w:val="-15"/>
        </w:rPr>
        <w:t> </w:t>
      </w:r>
      <w:r>
        <w:rPr/>
        <w:t>se</w:t>
      </w:r>
      <w:r>
        <w:rPr>
          <w:spacing w:val="-15"/>
        </w:rPr>
        <w:t> </w:t>
      </w:r>
      <w:r>
        <w:rPr/>
        <w:t>realizó</w:t>
      </w:r>
      <w:r>
        <w:rPr>
          <w:spacing w:val="-19"/>
        </w:rPr>
        <w:t> </w:t>
      </w:r>
      <w:r>
        <w:rPr/>
        <w:t>la</w:t>
      </w:r>
      <w:r>
        <w:rPr>
          <w:spacing w:val="-15"/>
        </w:rPr>
        <w:t> </w:t>
      </w:r>
      <w:r>
        <w:rPr/>
        <w:t>selección</w:t>
      </w:r>
      <w:r>
        <w:rPr>
          <w:spacing w:val="-15"/>
        </w:rPr>
        <w:t> </w:t>
      </w:r>
      <w:r>
        <w:rPr/>
        <w:t>de</w:t>
      </w:r>
      <w:r>
        <w:rPr>
          <w:spacing w:val="-15"/>
        </w:rPr>
        <w:t> </w:t>
      </w:r>
      <w:r>
        <w:rPr/>
        <w:t>las</w:t>
      </w:r>
      <w:r>
        <w:rPr>
          <w:spacing w:val="-8"/>
        </w:rPr>
        <w:t> </w:t>
      </w:r>
      <w:r>
        <w:rPr/>
        <w:t>variables</w:t>
      </w:r>
      <w:r>
        <w:rPr>
          <w:spacing w:val="-15"/>
        </w:rPr>
        <w:t> </w:t>
      </w:r>
      <w:r>
        <w:rPr/>
        <w:t>biofísicas,</w:t>
      </w:r>
      <w:r>
        <w:rPr>
          <w:spacing w:val="-15"/>
        </w:rPr>
        <w:t> </w:t>
      </w:r>
      <w:r>
        <w:rPr/>
        <w:t>se</w:t>
      </w:r>
      <w:r>
        <w:rPr>
          <w:spacing w:val="-15"/>
        </w:rPr>
        <w:t> </w:t>
      </w:r>
      <w:r>
        <w:rPr/>
        <w:t>diseñaron las bases de datos alfanuméricas y cartográficas, para la manipulación, extracción y</w:t>
      </w:r>
      <w:r>
        <w:rPr>
          <w:spacing w:val="-12"/>
        </w:rPr>
        <w:t> </w:t>
      </w:r>
      <w:r>
        <w:rPr/>
        <w:t>análisis</w:t>
      </w:r>
      <w:r>
        <w:rPr>
          <w:spacing w:val="-12"/>
        </w:rPr>
        <w:t> </w:t>
      </w:r>
      <w:r>
        <w:rPr/>
        <w:t>de</w:t>
      </w:r>
      <w:r>
        <w:rPr>
          <w:spacing w:val="-16"/>
        </w:rPr>
        <w:t> </w:t>
      </w:r>
      <w:r>
        <w:rPr/>
        <w:t>la</w:t>
      </w:r>
      <w:r>
        <w:rPr>
          <w:spacing w:val="-16"/>
        </w:rPr>
        <w:t> </w:t>
      </w:r>
      <w:r>
        <w:rPr/>
        <w:t>información.</w:t>
      </w:r>
      <w:r>
        <w:rPr>
          <w:spacing w:val="-11"/>
        </w:rPr>
        <w:t> </w:t>
      </w:r>
      <w:r>
        <w:rPr/>
        <w:t>Los</w:t>
      </w:r>
      <w:r>
        <w:rPr>
          <w:spacing w:val="-12"/>
        </w:rPr>
        <w:t> </w:t>
      </w:r>
      <w:r>
        <w:rPr/>
        <w:t>factores</w:t>
      </w:r>
      <w:r>
        <w:rPr>
          <w:spacing w:val="-12"/>
        </w:rPr>
        <w:t> </w:t>
      </w:r>
      <w:r>
        <w:rPr/>
        <w:t>antes</w:t>
      </w:r>
      <w:r>
        <w:rPr>
          <w:spacing w:val="-12"/>
        </w:rPr>
        <w:t> </w:t>
      </w:r>
      <w:r>
        <w:rPr/>
        <w:t>mencionados</w:t>
      </w:r>
      <w:r>
        <w:rPr>
          <w:spacing w:val="-12"/>
        </w:rPr>
        <w:t> </w:t>
      </w:r>
      <w:r>
        <w:rPr/>
        <w:t>fueron</w:t>
      </w:r>
      <w:r>
        <w:rPr>
          <w:spacing w:val="-11"/>
        </w:rPr>
        <w:t> </w:t>
      </w:r>
      <w:r>
        <w:rPr/>
        <w:t>clasificados</w:t>
      </w:r>
      <w:r>
        <w:rPr>
          <w:spacing w:val="-16"/>
        </w:rPr>
        <w:t> </w:t>
      </w:r>
      <w:r>
        <w:rPr/>
        <w:t>por el método Natural Breaks o Cortes Naturales del Software Arc-Gis 10.0, donde las clases se basan en las agrupaciones naturales de los valores de los datos. En</w:t>
      </w:r>
      <w:r>
        <w:rPr>
          <w:spacing w:val="-29"/>
        </w:rPr>
        <w:t> </w:t>
      </w:r>
      <w:r>
        <w:rPr/>
        <w:t>este método, los valores de los datos se arreglan en orden descendente, los rangos de cada clase son determinadas estadísticamente, encontrando los pares adyacentes de la característica, entre los cuales hay una diferencia relativamente grande en valor de los</w:t>
      </w:r>
      <w:r>
        <w:rPr>
          <w:spacing w:val="-3"/>
        </w:rPr>
        <w:t> </w:t>
      </w:r>
      <w:r>
        <w:rPr/>
        <w:t>datos.</w:t>
      </w:r>
    </w:p>
    <w:p>
      <w:pPr>
        <w:pStyle w:val="BodyText"/>
        <w:spacing w:before="5"/>
      </w:pPr>
    </w:p>
    <w:p>
      <w:pPr>
        <w:pStyle w:val="BodyText"/>
        <w:spacing w:line="360" w:lineRule="auto"/>
        <w:ind w:left="119" w:right="113" w:firstLine="67"/>
        <w:jc w:val="both"/>
      </w:pPr>
      <w:r>
        <w:rPr/>
        <w:t>Para realizar la cartografía del análisis y zonificación de la vulnerabilidad biofísica, se</w:t>
      </w:r>
      <w:r>
        <w:rPr>
          <w:spacing w:val="-7"/>
        </w:rPr>
        <w:t> </w:t>
      </w:r>
      <w:r>
        <w:rPr/>
        <w:t>utilizó</w:t>
      </w:r>
      <w:r>
        <w:rPr>
          <w:spacing w:val="-11"/>
        </w:rPr>
        <w:t> </w:t>
      </w:r>
      <w:r>
        <w:rPr/>
        <w:t>el</w:t>
      </w:r>
      <w:r>
        <w:rPr>
          <w:spacing w:val="-8"/>
        </w:rPr>
        <w:t> </w:t>
      </w:r>
      <w:r>
        <w:rPr/>
        <w:t>método</w:t>
      </w:r>
      <w:r>
        <w:rPr>
          <w:spacing w:val="-7"/>
        </w:rPr>
        <w:t> </w:t>
      </w:r>
      <w:r>
        <w:rPr/>
        <w:t>EMC,</w:t>
      </w:r>
      <w:r>
        <w:rPr>
          <w:spacing w:val="-8"/>
        </w:rPr>
        <w:t> </w:t>
      </w:r>
      <w:r>
        <w:rPr/>
        <w:t>este</w:t>
      </w:r>
      <w:r>
        <w:rPr>
          <w:spacing w:val="-7"/>
        </w:rPr>
        <w:t> </w:t>
      </w:r>
      <w:r>
        <w:rPr/>
        <w:t>es</w:t>
      </w:r>
      <w:r>
        <w:rPr>
          <w:spacing w:val="-12"/>
        </w:rPr>
        <w:t> </w:t>
      </w:r>
      <w:r>
        <w:rPr/>
        <w:t>un</w:t>
      </w:r>
      <w:r>
        <w:rPr>
          <w:spacing w:val="-11"/>
        </w:rPr>
        <w:t> </w:t>
      </w:r>
      <w:r>
        <w:rPr/>
        <w:t>conjunto</w:t>
      </w:r>
      <w:r>
        <w:rPr>
          <w:spacing w:val="-10"/>
        </w:rPr>
        <w:t> </w:t>
      </w:r>
      <w:r>
        <w:rPr/>
        <w:t>de</w:t>
      </w:r>
      <w:r>
        <w:rPr>
          <w:spacing w:val="-7"/>
        </w:rPr>
        <w:t> </w:t>
      </w:r>
      <w:r>
        <w:rPr/>
        <w:t>técnicas</w:t>
      </w:r>
      <w:r>
        <w:rPr>
          <w:spacing w:val="-8"/>
        </w:rPr>
        <w:t> </w:t>
      </w:r>
      <w:r>
        <w:rPr/>
        <w:t>orientadas</w:t>
      </w:r>
      <w:r>
        <w:rPr>
          <w:spacing w:val="-8"/>
        </w:rPr>
        <w:t> </w:t>
      </w:r>
      <w:r>
        <w:rPr/>
        <w:t>a</w:t>
      </w:r>
      <w:r>
        <w:rPr>
          <w:spacing w:val="-11"/>
        </w:rPr>
        <w:t> </w:t>
      </w:r>
      <w:r>
        <w:rPr/>
        <w:t>asistir</w:t>
      </w:r>
      <w:r>
        <w:rPr>
          <w:spacing w:val="-10"/>
        </w:rPr>
        <w:t> </w:t>
      </w:r>
      <w:r>
        <w:rPr/>
        <w:t>en</w:t>
      </w:r>
      <w:r>
        <w:rPr>
          <w:spacing w:val="-11"/>
        </w:rPr>
        <w:t> </w:t>
      </w:r>
      <w:r>
        <w:rPr/>
        <w:t>los procesos de toma de decisiones. </w:t>
      </w:r>
      <w:r>
        <w:rPr>
          <w:spacing w:val="-4"/>
        </w:rPr>
        <w:t>El </w:t>
      </w:r>
      <w:r>
        <w:rPr/>
        <w:t>fin principal del método es cruzar las variables biofísicas, sociales e institucionales para el cálculo de indicadores e índices que permitan identificar las zonas vulnerables a las</w:t>
      </w:r>
      <w:r>
        <w:rPr>
          <w:spacing w:val="-30"/>
        </w:rPr>
        <w:t> </w:t>
      </w:r>
      <w:r>
        <w:rPr/>
        <w:t>inundaciones.</w:t>
      </w:r>
    </w:p>
    <w:p>
      <w:pPr>
        <w:spacing w:after="0" w:line="360" w:lineRule="auto"/>
        <w:jc w:val="both"/>
        <w:sectPr>
          <w:pgSz w:w="12240" w:h="15840"/>
          <w:pgMar w:header="0" w:footer="1031" w:top="1360" w:bottom="1220" w:left="1580" w:right="1580"/>
        </w:sectPr>
      </w:pPr>
    </w:p>
    <w:p>
      <w:pPr>
        <w:pStyle w:val="BodyText"/>
        <w:spacing w:line="360" w:lineRule="auto" w:before="52"/>
        <w:ind w:left="119" w:right="121"/>
        <w:jc w:val="both"/>
      </w:pPr>
      <w:r>
        <w:rPr/>
        <w:t>Como</w:t>
      </w:r>
      <w:r>
        <w:rPr>
          <w:spacing w:val="-12"/>
        </w:rPr>
        <w:t> </w:t>
      </w:r>
      <w:r>
        <w:rPr/>
        <w:t>resultado</w:t>
      </w:r>
      <w:r>
        <w:rPr>
          <w:spacing w:val="-12"/>
        </w:rPr>
        <w:t> </w:t>
      </w:r>
      <w:r>
        <w:rPr/>
        <w:t>del</w:t>
      </w:r>
      <w:r>
        <w:rPr>
          <w:spacing w:val="-13"/>
        </w:rPr>
        <w:t> </w:t>
      </w:r>
      <w:r>
        <w:rPr/>
        <w:t>impacto</w:t>
      </w:r>
      <w:r>
        <w:rPr>
          <w:spacing w:val="-11"/>
        </w:rPr>
        <w:t> </w:t>
      </w:r>
      <w:r>
        <w:rPr/>
        <w:t>de</w:t>
      </w:r>
      <w:r>
        <w:rPr>
          <w:spacing w:val="-12"/>
        </w:rPr>
        <w:t> </w:t>
      </w:r>
      <w:r>
        <w:rPr/>
        <w:t>diversos</w:t>
      </w:r>
      <w:r>
        <w:rPr>
          <w:spacing w:val="-13"/>
        </w:rPr>
        <w:t> </w:t>
      </w:r>
      <w:r>
        <w:rPr/>
        <w:t>fenómenos</w:t>
      </w:r>
      <w:r>
        <w:rPr>
          <w:spacing w:val="-13"/>
        </w:rPr>
        <w:t> </w:t>
      </w:r>
      <w:r>
        <w:rPr/>
        <w:t>en</w:t>
      </w:r>
      <w:r>
        <w:rPr>
          <w:spacing w:val="-12"/>
        </w:rPr>
        <w:t> </w:t>
      </w:r>
      <w:r>
        <w:rPr/>
        <w:t>el</w:t>
      </w:r>
      <w:r>
        <w:rPr>
          <w:spacing w:val="-8"/>
        </w:rPr>
        <w:t> </w:t>
      </w:r>
      <w:r>
        <w:rPr/>
        <w:t>territorio,</w:t>
      </w:r>
      <w:r>
        <w:rPr>
          <w:spacing w:val="-17"/>
        </w:rPr>
        <w:t> </w:t>
      </w:r>
      <w:r>
        <w:rPr/>
        <w:t>se</w:t>
      </w:r>
      <w:r>
        <w:rPr>
          <w:spacing w:val="-12"/>
        </w:rPr>
        <w:t> </w:t>
      </w:r>
      <w:r>
        <w:rPr/>
        <w:t>ha</w:t>
      </w:r>
      <w:r>
        <w:rPr>
          <w:spacing w:val="-17"/>
        </w:rPr>
        <w:t> </w:t>
      </w:r>
      <w:r>
        <w:rPr/>
        <w:t>impulsado la elaboración de estudios de riesgo a través de leyes y reglamentos de protección civil</w:t>
      </w:r>
      <w:r>
        <w:rPr>
          <w:spacing w:val="-15"/>
        </w:rPr>
        <w:t> </w:t>
      </w:r>
      <w:r>
        <w:rPr/>
        <w:t>y</w:t>
      </w:r>
      <w:r>
        <w:rPr>
          <w:spacing w:val="-18"/>
        </w:rPr>
        <w:t> </w:t>
      </w:r>
      <w:r>
        <w:rPr/>
        <w:t>de</w:t>
      </w:r>
      <w:r>
        <w:rPr>
          <w:spacing w:val="-18"/>
        </w:rPr>
        <w:t> </w:t>
      </w:r>
      <w:r>
        <w:rPr/>
        <w:t>mecanismos</w:t>
      </w:r>
      <w:r>
        <w:rPr>
          <w:spacing w:val="-18"/>
        </w:rPr>
        <w:t> </w:t>
      </w:r>
      <w:r>
        <w:rPr/>
        <w:t>de</w:t>
      </w:r>
      <w:r>
        <w:rPr>
          <w:spacing w:val="-18"/>
        </w:rPr>
        <w:t> </w:t>
      </w:r>
      <w:r>
        <w:rPr/>
        <w:t>financiamiento</w:t>
      </w:r>
      <w:r>
        <w:rPr>
          <w:spacing w:val="-17"/>
        </w:rPr>
        <w:t> </w:t>
      </w:r>
      <w:r>
        <w:rPr/>
        <w:t>como</w:t>
      </w:r>
      <w:r>
        <w:rPr>
          <w:spacing w:val="-18"/>
        </w:rPr>
        <w:t> </w:t>
      </w:r>
      <w:r>
        <w:rPr/>
        <w:t>el</w:t>
      </w:r>
      <w:r>
        <w:rPr>
          <w:spacing w:val="-19"/>
        </w:rPr>
        <w:t> </w:t>
      </w:r>
      <w:r>
        <w:rPr/>
        <w:t>Fondo</w:t>
      </w:r>
      <w:r>
        <w:rPr>
          <w:spacing w:val="-18"/>
        </w:rPr>
        <w:t> </w:t>
      </w:r>
      <w:r>
        <w:rPr/>
        <w:t>de</w:t>
      </w:r>
      <w:r>
        <w:rPr>
          <w:spacing w:val="-18"/>
        </w:rPr>
        <w:t> </w:t>
      </w:r>
      <w:r>
        <w:rPr/>
        <w:t>Prevención</w:t>
      </w:r>
      <w:r>
        <w:rPr>
          <w:spacing w:val="-22"/>
        </w:rPr>
        <w:t> </w:t>
      </w:r>
      <w:r>
        <w:rPr/>
        <w:t>de</w:t>
      </w:r>
      <w:r>
        <w:rPr>
          <w:spacing w:val="-18"/>
        </w:rPr>
        <w:t> </w:t>
      </w:r>
      <w:r>
        <w:rPr/>
        <w:t>Desastres Naturales (FOPREDEN), ya que a través de la integración de información sobre riesgo,</w:t>
      </w:r>
      <w:r>
        <w:rPr>
          <w:spacing w:val="-16"/>
        </w:rPr>
        <w:t> </w:t>
      </w:r>
      <w:r>
        <w:rPr/>
        <w:t>se</w:t>
      </w:r>
      <w:r>
        <w:rPr>
          <w:spacing w:val="-20"/>
        </w:rPr>
        <w:t> </w:t>
      </w:r>
      <w:r>
        <w:rPr/>
        <w:t>puede</w:t>
      </w:r>
      <w:r>
        <w:rPr>
          <w:spacing w:val="-16"/>
        </w:rPr>
        <w:t> </w:t>
      </w:r>
      <w:r>
        <w:rPr/>
        <w:t>contar</w:t>
      </w:r>
      <w:r>
        <w:rPr>
          <w:spacing w:val="-15"/>
        </w:rPr>
        <w:t> </w:t>
      </w:r>
      <w:r>
        <w:rPr/>
        <w:t>con</w:t>
      </w:r>
      <w:r>
        <w:rPr>
          <w:spacing w:val="-16"/>
        </w:rPr>
        <w:t> </w:t>
      </w:r>
      <w:r>
        <w:rPr/>
        <w:t>herramientas,</w:t>
      </w:r>
      <w:r>
        <w:rPr>
          <w:spacing w:val="-21"/>
        </w:rPr>
        <w:t> </w:t>
      </w:r>
      <w:r>
        <w:rPr/>
        <w:t>que</w:t>
      </w:r>
      <w:r>
        <w:rPr>
          <w:spacing w:val="-20"/>
        </w:rPr>
        <w:t> </w:t>
      </w:r>
      <w:r>
        <w:rPr/>
        <w:t>entre</w:t>
      </w:r>
      <w:r>
        <w:rPr>
          <w:spacing w:val="-20"/>
        </w:rPr>
        <w:t> </w:t>
      </w:r>
      <w:r>
        <w:rPr/>
        <w:t>otras</w:t>
      </w:r>
      <w:r>
        <w:rPr>
          <w:spacing w:val="-21"/>
        </w:rPr>
        <w:t> </w:t>
      </w:r>
      <w:r>
        <w:rPr/>
        <w:t>cosas,</w:t>
      </w:r>
      <w:r>
        <w:rPr>
          <w:spacing w:val="-21"/>
        </w:rPr>
        <w:t> </w:t>
      </w:r>
      <w:r>
        <w:rPr/>
        <w:t>permitirán</w:t>
      </w:r>
      <w:r>
        <w:rPr>
          <w:spacing w:val="-20"/>
        </w:rPr>
        <w:t> </w:t>
      </w:r>
      <w:r>
        <w:rPr/>
        <w:t>reubicar a la población que está en zonas de peligro y reducir la vulnerabilidad de la infraestructura, por ejemplo de la vivienda, mediante medidas estructurales y no estructurales </w:t>
      </w:r>
      <w:r>
        <w:rPr>
          <w:spacing w:val="2"/>
        </w:rPr>
        <w:t>CENAPRED</w:t>
      </w:r>
      <w:r>
        <w:rPr>
          <w:spacing w:val="13"/>
        </w:rPr>
        <w:t> </w:t>
      </w:r>
      <w:r>
        <w:rPr>
          <w:spacing w:val="5"/>
        </w:rPr>
        <w:t>(2006).</w:t>
      </w:r>
    </w:p>
    <w:p>
      <w:pPr>
        <w:pStyle w:val="BodyText"/>
        <w:spacing w:before="10"/>
      </w:pPr>
    </w:p>
    <w:p>
      <w:pPr>
        <w:pStyle w:val="BodyText"/>
        <w:spacing w:line="360" w:lineRule="auto"/>
        <w:ind w:left="119" w:right="562"/>
      </w:pPr>
      <w:r>
        <w:rPr/>
        <w:t>En la figura 2 se muestran los niveles de aproximación que persiguen con esta investigación.</w:t>
      </w:r>
    </w:p>
    <w:p>
      <w:pPr>
        <w:pStyle w:val="BodyText"/>
        <w:spacing w:before="2"/>
        <w:rPr>
          <w:sz w:val="25"/>
        </w:rPr>
      </w:pPr>
    </w:p>
    <w:p>
      <w:pPr>
        <w:spacing w:before="1"/>
        <w:ind w:left="2775" w:right="70" w:firstLine="0"/>
        <w:jc w:val="left"/>
        <w:rPr>
          <w:sz w:val="22"/>
        </w:rPr>
      </w:pPr>
      <w:r>
        <w:rPr>
          <w:sz w:val="22"/>
        </w:rPr>
        <w:t>Figura 2. Niveles de la investigación</w:t>
      </w:r>
    </w:p>
    <w:p>
      <w:pPr>
        <w:pStyle w:val="BodyText"/>
        <w:rPr>
          <w:sz w:val="20"/>
        </w:rPr>
      </w:pPr>
    </w:p>
    <w:p>
      <w:pPr>
        <w:pStyle w:val="BodyText"/>
        <w:rPr>
          <w:sz w:val="20"/>
        </w:rPr>
      </w:pPr>
    </w:p>
    <w:p>
      <w:pPr>
        <w:pStyle w:val="BodyText"/>
        <w:spacing w:before="6"/>
        <w:rPr>
          <w:sz w:val="19"/>
        </w:rPr>
      </w:pPr>
      <w:r>
        <w:rPr/>
        <w:drawing>
          <wp:anchor distT="0" distB="0" distL="0" distR="0" allowOverlap="1" layoutInCell="1" locked="0" behindDoc="0" simplePos="0" relativeHeight="1384">
            <wp:simplePos x="0" y="0"/>
            <wp:positionH relativeFrom="page">
              <wp:posOffset>1080134</wp:posOffset>
            </wp:positionH>
            <wp:positionV relativeFrom="paragraph">
              <wp:posOffset>167832</wp:posOffset>
            </wp:positionV>
            <wp:extent cx="5314817" cy="2013585"/>
            <wp:effectExtent l="0" t="0" r="0" b="0"/>
            <wp:wrapTopAndBottom/>
            <wp:docPr id="11" name="image22.jpeg" descr=""/>
            <wp:cNvGraphicFramePr>
              <a:graphicFrameLocks noChangeAspect="1"/>
            </wp:cNvGraphicFramePr>
            <a:graphic>
              <a:graphicData uri="http://schemas.openxmlformats.org/drawingml/2006/picture">
                <pic:pic>
                  <pic:nvPicPr>
                    <pic:cNvPr id="12" name="image22.jpeg"/>
                    <pic:cNvPicPr/>
                  </pic:nvPicPr>
                  <pic:blipFill>
                    <a:blip r:embed="rId33" cstate="print"/>
                    <a:stretch>
                      <a:fillRect/>
                    </a:stretch>
                  </pic:blipFill>
                  <pic:spPr>
                    <a:xfrm>
                      <a:off x="0" y="0"/>
                      <a:ext cx="5314817" cy="2013585"/>
                    </a:xfrm>
                    <a:prstGeom prst="rect">
                      <a:avLst/>
                    </a:prstGeom>
                  </pic:spPr>
                </pic:pic>
              </a:graphicData>
            </a:graphic>
          </wp:anchor>
        </w:drawing>
      </w:r>
    </w:p>
    <w:p>
      <w:pPr>
        <w:spacing w:before="100"/>
        <w:ind w:left="119" w:right="0" w:firstLine="0"/>
        <w:jc w:val="both"/>
        <w:rPr>
          <w:sz w:val="20"/>
        </w:rPr>
      </w:pPr>
      <w:r>
        <w:rPr>
          <w:sz w:val="20"/>
        </w:rPr>
        <w:t>Fuente: CENAPRED, 2006.</w:t>
      </w:r>
    </w:p>
    <w:p>
      <w:pPr>
        <w:pStyle w:val="BodyText"/>
        <w:rPr>
          <w:sz w:val="20"/>
        </w:rPr>
      </w:pPr>
    </w:p>
    <w:p>
      <w:pPr>
        <w:pStyle w:val="BodyText"/>
        <w:spacing w:before="4"/>
      </w:pPr>
    </w:p>
    <w:p>
      <w:pPr>
        <w:pStyle w:val="ListParagraph"/>
        <w:numPr>
          <w:ilvl w:val="2"/>
          <w:numId w:val="14"/>
        </w:numPr>
        <w:tabs>
          <w:tab w:pos="841" w:val="left" w:leader="none"/>
        </w:tabs>
        <w:spacing w:line="360" w:lineRule="auto" w:before="0" w:after="0"/>
        <w:ind w:left="840" w:right="115" w:hanging="360"/>
        <w:jc w:val="both"/>
        <w:rPr>
          <w:sz w:val="24"/>
        </w:rPr>
      </w:pPr>
      <w:r>
        <w:rPr>
          <w:sz w:val="24"/>
        </w:rPr>
        <w:t>Elaboración</w:t>
      </w:r>
      <w:r>
        <w:rPr>
          <w:spacing w:val="-12"/>
          <w:sz w:val="24"/>
        </w:rPr>
        <w:t> </w:t>
      </w:r>
      <w:r>
        <w:rPr>
          <w:sz w:val="24"/>
        </w:rPr>
        <w:t>de</w:t>
      </w:r>
      <w:r>
        <w:rPr>
          <w:spacing w:val="-17"/>
          <w:sz w:val="24"/>
        </w:rPr>
        <w:t> </w:t>
      </w:r>
      <w:r>
        <w:rPr>
          <w:sz w:val="24"/>
        </w:rPr>
        <w:t>la</w:t>
      </w:r>
      <w:r>
        <w:rPr>
          <w:spacing w:val="-12"/>
          <w:sz w:val="24"/>
        </w:rPr>
        <w:t> </w:t>
      </w:r>
      <w:r>
        <w:rPr>
          <w:sz w:val="24"/>
        </w:rPr>
        <w:t>cartografía</w:t>
      </w:r>
      <w:r>
        <w:rPr>
          <w:spacing w:val="-12"/>
          <w:sz w:val="24"/>
        </w:rPr>
        <w:t> </w:t>
      </w:r>
      <w:r>
        <w:rPr>
          <w:sz w:val="24"/>
        </w:rPr>
        <w:t>base</w:t>
      </w:r>
      <w:r>
        <w:rPr>
          <w:spacing w:val="-12"/>
          <w:sz w:val="24"/>
        </w:rPr>
        <w:t> </w:t>
      </w:r>
      <w:r>
        <w:rPr>
          <w:sz w:val="24"/>
        </w:rPr>
        <w:t>y</w:t>
      </w:r>
      <w:r>
        <w:rPr>
          <w:spacing w:val="-13"/>
          <w:sz w:val="24"/>
        </w:rPr>
        <w:t> </w:t>
      </w:r>
      <w:r>
        <w:rPr>
          <w:sz w:val="24"/>
        </w:rPr>
        <w:t>temática</w:t>
      </w:r>
      <w:r>
        <w:rPr>
          <w:spacing w:val="-17"/>
          <w:sz w:val="24"/>
        </w:rPr>
        <w:t> </w:t>
      </w:r>
      <w:r>
        <w:rPr>
          <w:sz w:val="24"/>
        </w:rPr>
        <w:t>que</w:t>
      </w:r>
      <w:r>
        <w:rPr>
          <w:spacing w:val="-12"/>
          <w:sz w:val="24"/>
        </w:rPr>
        <w:t> </w:t>
      </w:r>
      <w:r>
        <w:rPr>
          <w:sz w:val="24"/>
        </w:rPr>
        <w:t>permitirá</w:t>
      </w:r>
      <w:r>
        <w:rPr>
          <w:spacing w:val="-16"/>
          <w:sz w:val="24"/>
        </w:rPr>
        <w:t> </w:t>
      </w:r>
      <w:r>
        <w:rPr>
          <w:sz w:val="24"/>
        </w:rPr>
        <w:t>la</w:t>
      </w:r>
      <w:r>
        <w:rPr>
          <w:spacing w:val="-12"/>
          <w:sz w:val="24"/>
        </w:rPr>
        <w:t> </w:t>
      </w:r>
      <w:r>
        <w:rPr>
          <w:sz w:val="24"/>
        </w:rPr>
        <w:t>caracterización de</w:t>
      </w:r>
      <w:r>
        <w:rPr>
          <w:spacing w:val="-6"/>
          <w:sz w:val="24"/>
        </w:rPr>
        <w:t> </w:t>
      </w:r>
      <w:r>
        <w:rPr>
          <w:sz w:val="24"/>
        </w:rPr>
        <w:t>los</w:t>
      </w:r>
      <w:r>
        <w:rPr>
          <w:spacing w:val="-5"/>
          <w:sz w:val="24"/>
        </w:rPr>
        <w:t> </w:t>
      </w:r>
      <w:r>
        <w:rPr>
          <w:sz w:val="24"/>
        </w:rPr>
        <w:t>factores</w:t>
      </w:r>
      <w:r>
        <w:rPr>
          <w:spacing w:val="-2"/>
          <w:sz w:val="24"/>
        </w:rPr>
        <w:t> </w:t>
      </w:r>
      <w:r>
        <w:rPr>
          <w:sz w:val="24"/>
        </w:rPr>
        <w:t>físico-naturales</w:t>
      </w:r>
      <w:r>
        <w:rPr>
          <w:spacing w:val="-7"/>
          <w:sz w:val="24"/>
        </w:rPr>
        <w:t> </w:t>
      </w:r>
      <w:r>
        <w:rPr>
          <w:sz w:val="24"/>
        </w:rPr>
        <w:t>que</w:t>
      </w:r>
      <w:r>
        <w:rPr>
          <w:spacing w:val="-6"/>
          <w:sz w:val="24"/>
        </w:rPr>
        <w:t> </w:t>
      </w:r>
      <w:r>
        <w:rPr>
          <w:sz w:val="24"/>
        </w:rPr>
        <w:t>provocan</w:t>
      </w:r>
      <w:r>
        <w:rPr>
          <w:spacing w:val="-6"/>
          <w:sz w:val="24"/>
        </w:rPr>
        <w:t> </w:t>
      </w:r>
      <w:r>
        <w:rPr>
          <w:sz w:val="24"/>
        </w:rPr>
        <w:t>las</w:t>
      </w:r>
      <w:r>
        <w:rPr>
          <w:spacing w:val="-7"/>
          <w:sz w:val="24"/>
        </w:rPr>
        <w:t> </w:t>
      </w:r>
      <w:r>
        <w:rPr>
          <w:sz w:val="24"/>
        </w:rPr>
        <w:t>inundaciones</w:t>
      </w:r>
      <w:r>
        <w:rPr>
          <w:spacing w:val="-7"/>
          <w:sz w:val="24"/>
        </w:rPr>
        <w:t> </w:t>
      </w:r>
      <w:r>
        <w:rPr>
          <w:sz w:val="24"/>
        </w:rPr>
        <w:t>en</w:t>
      </w:r>
      <w:r>
        <w:rPr>
          <w:spacing w:val="-6"/>
          <w:sz w:val="24"/>
        </w:rPr>
        <w:t> </w:t>
      </w:r>
      <w:r>
        <w:rPr>
          <w:sz w:val="24"/>
        </w:rPr>
        <w:t>la</w:t>
      </w:r>
      <w:r>
        <w:rPr>
          <w:spacing w:val="-2"/>
          <w:sz w:val="24"/>
        </w:rPr>
        <w:t> </w:t>
      </w:r>
      <w:r>
        <w:rPr>
          <w:sz w:val="24"/>
        </w:rPr>
        <w:t>zona</w:t>
      </w:r>
      <w:r>
        <w:rPr>
          <w:spacing w:val="-2"/>
          <w:sz w:val="24"/>
        </w:rPr>
        <w:t> </w:t>
      </w:r>
      <w:r>
        <w:rPr>
          <w:sz w:val="24"/>
        </w:rPr>
        <w:t>de estudio. La caracterización físico natural se llevó a cabo por medio de los siguientes indicadores: sistema de drenaje, tipo de escurrimientos, precipitación,</w:t>
      </w:r>
      <w:r>
        <w:rPr>
          <w:spacing w:val="-11"/>
          <w:sz w:val="24"/>
        </w:rPr>
        <w:t> </w:t>
      </w:r>
      <w:r>
        <w:rPr>
          <w:sz w:val="24"/>
        </w:rPr>
        <w:t>tipos</w:t>
      </w:r>
      <w:r>
        <w:rPr>
          <w:spacing w:val="-12"/>
          <w:sz w:val="24"/>
        </w:rPr>
        <w:t> </w:t>
      </w:r>
      <w:r>
        <w:rPr>
          <w:sz w:val="24"/>
        </w:rPr>
        <w:t>y</w:t>
      </w:r>
      <w:r>
        <w:rPr>
          <w:spacing w:val="-12"/>
          <w:sz w:val="24"/>
        </w:rPr>
        <w:t> </w:t>
      </w:r>
      <w:r>
        <w:rPr>
          <w:sz w:val="24"/>
        </w:rPr>
        <w:t>uso</w:t>
      </w:r>
      <w:r>
        <w:rPr>
          <w:spacing w:val="-6"/>
          <w:sz w:val="24"/>
        </w:rPr>
        <w:t> </w:t>
      </w:r>
      <w:r>
        <w:rPr>
          <w:sz w:val="24"/>
        </w:rPr>
        <w:t>de</w:t>
      </w:r>
      <w:r>
        <w:rPr>
          <w:spacing w:val="-6"/>
          <w:sz w:val="24"/>
        </w:rPr>
        <w:t> </w:t>
      </w:r>
      <w:r>
        <w:rPr>
          <w:sz w:val="24"/>
        </w:rPr>
        <w:t>suelo</w:t>
      </w:r>
      <w:r>
        <w:rPr>
          <w:spacing w:val="-6"/>
          <w:sz w:val="24"/>
        </w:rPr>
        <w:t> </w:t>
      </w:r>
      <w:r>
        <w:rPr>
          <w:sz w:val="24"/>
        </w:rPr>
        <w:t>y</w:t>
      </w:r>
      <w:r>
        <w:rPr>
          <w:spacing w:val="-12"/>
          <w:sz w:val="24"/>
        </w:rPr>
        <w:t> </w:t>
      </w:r>
      <w:r>
        <w:rPr>
          <w:sz w:val="24"/>
        </w:rPr>
        <w:t>vegetación,</w:t>
      </w:r>
      <w:r>
        <w:rPr>
          <w:spacing w:val="-6"/>
          <w:sz w:val="24"/>
        </w:rPr>
        <w:t> </w:t>
      </w:r>
      <w:r>
        <w:rPr>
          <w:sz w:val="24"/>
        </w:rPr>
        <w:t>pendientes,</w:t>
      </w:r>
      <w:r>
        <w:rPr>
          <w:spacing w:val="-11"/>
          <w:sz w:val="24"/>
        </w:rPr>
        <w:t> </w:t>
      </w:r>
      <w:r>
        <w:rPr>
          <w:sz w:val="24"/>
        </w:rPr>
        <w:t>y</w:t>
      </w:r>
      <w:r>
        <w:rPr>
          <w:spacing w:val="-12"/>
          <w:sz w:val="24"/>
        </w:rPr>
        <w:t> </w:t>
      </w:r>
      <w:r>
        <w:rPr>
          <w:sz w:val="24"/>
        </w:rPr>
        <w:t>distribución</w:t>
      </w:r>
      <w:r>
        <w:rPr>
          <w:spacing w:val="-11"/>
          <w:sz w:val="24"/>
        </w:rPr>
        <w:t> </w:t>
      </w:r>
      <w:r>
        <w:rPr>
          <w:sz w:val="24"/>
        </w:rPr>
        <w:t>de los asentamientos humanos. Se utilizará cartografía temática escala 1:50,000 y 1:250, 000, e imágenes de satélite spot o raster escala 1:20,000 para   casos   seleccionados.   Para   resta   caracterización   se   realizó  </w:t>
      </w:r>
      <w:r>
        <w:rPr>
          <w:spacing w:val="5"/>
          <w:sz w:val="24"/>
        </w:rPr>
        <w:t> </w:t>
      </w:r>
      <w:r>
        <w:rPr>
          <w:sz w:val="24"/>
        </w:rPr>
        <w:t>la</w:t>
      </w:r>
    </w:p>
    <w:p>
      <w:pPr>
        <w:spacing w:after="0" w:line="360" w:lineRule="auto"/>
        <w:jc w:val="both"/>
        <w:rPr>
          <w:sz w:val="24"/>
        </w:rPr>
        <w:sectPr>
          <w:pgSz w:w="12240" w:h="15840"/>
          <w:pgMar w:header="0" w:footer="1031" w:top="1360" w:bottom="1220" w:left="1580" w:right="1580"/>
        </w:sectPr>
      </w:pPr>
    </w:p>
    <w:p>
      <w:pPr>
        <w:pStyle w:val="BodyText"/>
        <w:spacing w:line="362" w:lineRule="auto" w:before="52"/>
        <w:ind w:left="840" w:right="103"/>
        <w:jc w:val="both"/>
      </w:pPr>
      <w:r>
        <w:rPr/>
        <w:t>superposición de cartografía e interpretación de la </w:t>
      </w:r>
      <w:r>
        <w:rPr>
          <w:spacing w:val="-2"/>
        </w:rPr>
        <w:t>misma, </w:t>
      </w:r>
      <w:r>
        <w:rPr/>
        <w:t>de este modo se obtuvo</w:t>
      </w:r>
      <w:r>
        <w:rPr>
          <w:spacing w:val="-10"/>
        </w:rPr>
        <w:t> </w:t>
      </w:r>
      <w:r>
        <w:rPr/>
        <w:t>la</w:t>
      </w:r>
      <w:r>
        <w:rPr>
          <w:spacing w:val="-6"/>
        </w:rPr>
        <w:t> </w:t>
      </w:r>
      <w:r>
        <w:rPr/>
        <w:t>cartografía</w:t>
      </w:r>
      <w:r>
        <w:rPr>
          <w:spacing w:val="-6"/>
        </w:rPr>
        <w:t> </w:t>
      </w:r>
      <w:r>
        <w:rPr/>
        <w:t>sintética</w:t>
      </w:r>
      <w:r>
        <w:rPr>
          <w:spacing w:val="-6"/>
        </w:rPr>
        <w:t> </w:t>
      </w:r>
      <w:r>
        <w:rPr/>
        <w:t>que</w:t>
      </w:r>
      <w:r>
        <w:rPr>
          <w:spacing w:val="-6"/>
        </w:rPr>
        <w:t> </w:t>
      </w:r>
      <w:r>
        <w:rPr/>
        <w:t>relaciona</w:t>
      </w:r>
      <w:r>
        <w:rPr>
          <w:spacing w:val="-11"/>
        </w:rPr>
        <w:t> </w:t>
      </w:r>
      <w:r>
        <w:rPr/>
        <w:t>los</w:t>
      </w:r>
      <w:r>
        <w:rPr>
          <w:spacing w:val="-7"/>
        </w:rPr>
        <w:t> </w:t>
      </w:r>
      <w:r>
        <w:rPr/>
        <w:t>asentamientos</w:t>
      </w:r>
      <w:r>
        <w:rPr>
          <w:spacing w:val="-7"/>
        </w:rPr>
        <w:t> </w:t>
      </w:r>
      <w:r>
        <w:rPr/>
        <w:t>humanos</w:t>
      </w:r>
      <w:r>
        <w:rPr>
          <w:spacing w:val="-7"/>
        </w:rPr>
        <w:t> </w:t>
      </w:r>
      <w:r>
        <w:rPr/>
        <w:t>con las características del</w:t>
      </w:r>
      <w:r>
        <w:rPr>
          <w:spacing w:val="-9"/>
        </w:rPr>
        <w:t> </w:t>
      </w:r>
      <w:r>
        <w:rPr/>
        <w:t>terreno.</w:t>
      </w:r>
    </w:p>
    <w:p>
      <w:pPr>
        <w:pStyle w:val="BodyText"/>
        <w:spacing w:before="2"/>
      </w:pPr>
    </w:p>
    <w:p>
      <w:pPr>
        <w:pStyle w:val="BodyText"/>
        <w:spacing w:line="360" w:lineRule="auto"/>
        <w:ind w:left="840" w:right="107"/>
        <w:jc w:val="both"/>
      </w:pPr>
      <w:r>
        <w:rPr/>
        <w:t>Se realizó observación de campo en temporada de lluvias para estimar el caudal y sus posibles efectos. Todo esto nos llevará a elaborar la tipología de asentamientos humanos de acuerdo con la magnitud de su exposición a las inundaciones.</w:t>
      </w:r>
    </w:p>
    <w:p>
      <w:pPr>
        <w:pStyle w:val="BodyText"/>
        <w:spacing w:before="10"/>
      </w:pPr>
    </w:p>
    <w:p>
      <w:pPr>
        <w:pStyle w:val="ListParagraph"/>
        <w:numPr>
          <w:ilvl w:val="2"/>
          <w:numId w:val="14"/>
        </w:numPr>
        <w:tabs>
          <w:tab w:pos="841" w:val="left" w:leader="none"/>
        </w:tabs>
        <w:spacing w:line="360" w:lineRule="auto" w:before="0" w:after="0"/>
        <w:ind w:left="840" w:right="100" w:hanging="360"/>
        <w:jc w:val="both"/>
        <w:rPr>
          <w:sz w:val="24"/>
        </w:rPr>
      </w:pPr>
      <w:r>
        <w:rPr>
          <w:sz w:val="24"/>
        </w:rPr>
        <w:t>Caracterización de la estructura espacial y socioeconómica de los asentamientos humanos expuestos a los riesgos por inundación. Para esto se analizará información de los censos nacionales, cartografía y verificación en</w:t>
      </w:r>
      <w:r>
        <w:rPr>
          <w:spacing w:val="-8"/>
          <w:sz w:val="24"/>
        </w:rPr>
        <w:t> </w:t>
      </w:r>
      <w:r>
        <w:rPr>
          <w:sz w:val="24"/>
        </w:rPr>
        <w:t>campo.</w:t>
      </w:r>
    </w:p>
    <w:p>
      <w:pPr>
        <w:pStyle w:val="BodyText"/>
      </w:pPr>
    </w:p>
    <w:p>
      <w:pPr>
        <w:pStyle w:val="BodyText"/>
        <w:ind w:left="119"/>
        <w:jc w:val="both"/>
      </w:pPr>
      <w:r>
        <w:rPr/>
        <w:t>Obtención de los</w:t>
      </w:r>
      <w:r>
        <w:rPr>
          <w:spacing w:val="60"/>
        </w:rPr>
        <w:t> </w:t>
      </w:r>
      <w:r>
        <w:rPr/>
        <w:t>datos</w:t>
      </w:r>
    </w:p>
    <w:p>
      <w:pPr>
        <w:pStyle w:val="BodyText"/>
        <w:spacing w:before="5"/>
        <w:rPr>
          <w:sz w:val="21"/>
        </w:rPr>
      </w:pPr>
    </w:p>
    <w:p>
      <w:pPr>
        <w:pStyle w:val="BodyText"/>
        <w:spacing w:line="360" w:lineRule="auto"/>
        <w:ind w:left="119" w:right="99"/>
        <w:jc w:val="both"/>
      </w:pPr>
      <w:r>
        <w:rPr/>
        <w:t>Una parte fundamental de la investigación es contar con información de diferentes ámbitos,</w:t>
      </w:r>
      <w:r>
        <w:rPr>
          <w:spacing w:val="-12"/>
        </w:rPr>
        <w:t> </w:t>
      </w:r>
      <w:r>
        <w:rPr/>
        <w:t>temas,</w:t>
      </w:r>
      <w:r>
        <w:rPr>
          <w:spacing w:val="-12"/>
        </w:rPr>
        <w:t> </w:t>
      </w:r>
      <w:r>
        <w:rPr/>
        <w:t>escalas.,</w:t>
      </w:r>
      <w:r>
        <w:rPr>
          <w:spacing w:val="-12"/>
        </w:rPr>
        <w:t> </w:t>
      </w:r>
      <w:r>
        <w:rPr/>
        <w:t>sobre</w:t>
      </w:r>
      <w:r>
        <w:rPr>
          <w:spacing w:val="-16"/>
        </w:rPr>
        <w:t> </w:t>
      </w:r>
      <w:r>
        <w:rPr/>
        <w:t>todo</w:t>
      </w:r>
      <w:r>
        <w:rPr>
          <w:spacing w:val="-16"/>
        </w:rPr>
        <w:t> </w:t>
      </w:r>
      <w:r>
        <w:rPr/>
        <w:t>considerar</w:t>
      </w:r>
      <w:r>
        <w:rPr>
          <w:spacing w:val="-16"/>
        </w:rPr>
        <w:t> </w:t>
      </w:r>
      <w:r>
        <w:rPr/>
        <w:t>los</w:t>
      </w:r>
      <w:r>
        <w:rPr>
          <w:spacing w:val="-17"/>
        </w:rPr>
        <w:t> </w:t>
      </w:r>
      <w:r>
        <w:rPr/>
        <w:t>diversos</w:t>
      </w:r>
      <w:r>
        <w:rPr>
          <w:spacing w:val="-13"/>
        </w:rPr>
        <w:t> </w:t>
      </w:r>
      <w:r>
        <w:rPr/>
        <w:t>procesos</w:t>
      </w:r>
      <w:r>
        <w:rPr>
          <w:spacing w:val="-17"/>
        </w:rPr>
        <w:t> </w:t>
      </w:r>
      <w:r>
        <w:rPr/>
        <w:t>de</w:t>
      </w:r>
      <w:r>
        <w:rPr>
          <w:spacing w:val="-16"/>
        </w:rPr>
        <w:t> </w:t>
      </w:r>
      <w:r>
        <w:rPr/>
        <w:t>la</w:t>
      </w:r>
      <w:r>
        <w:rPr>
          <w:spacing w:val="-12"/>
        </w:rPr>
        <w:t> </w:t>
      </w:r>
      <w:r>
        <w:rPr/>
        <w:t>gestión, administración y difusión de la </w:t>
      </w:r>
      <w:r>
        <w:rPr>
          <w:spacing w:val="-2"/>
        </w:rPr>
        <w:t>misma. </w:t>
      </w:r>
      <w:r>
        <w:rPr/>
        <w:t>En la figura 3 se presenta un diagrama de flujo donde se muestran los procedimientos para la obtención de datos geoestadísticos y</w:t>
      </w:r>
      <w:r>
        <w:rPr>
          <w:spacing w:val="-13"/>
        </w:rPr>
        <w:t> </w:t>
      </w:r>
      <w:r>
        <w:rPr/>
        <w:t>cartográficos.</w:t>
      </w:r>
    </w:p>
    <w:p>
      <w:pPr>
        <w:pStyle w:val="BodyText"/>
      </w:pPr>
    </w:p>
    <w:p>
      <w:pPr>
        <w:pStyle w:val="BodyText"/>
        <w:spacing w:before="5"/>
        <w:rPr>
          <w:sz w:val="20"/>
        </w:rPr>
      </w:pPr>
    </w:p>
    <w:p>
      <w:pPr>
        <w:spacing w:before="0" w:after="3"/>
        <w:ind w:left="1939" w:right="0" w:firstLine="0"/>
        <w:jc w:val="left"/>
        <w:rPr>
          <w:sz w:val="22"/>
        </w:rPr>
      </w:pPr>
      <w:r>
        <w:rPr>
          <w:sz w:val="22"/>
        </w:rPr>
        <w:t>Figura 3. Diagrama de flujo para la obtención de información</w:t>
      </w:r>
    </w:p>
    <w:p>
      <w:pPr>
        <w:pStyle w:val="BodyText"/>
        <w:ind w:left="1444"/>
        <w:rPr>
          <w:sz w:val="20"/>
        </w:rPr>
      </w:pPr>
      <w:r>
        <w:rPr>
          <w:sz w:val="20"/>
        </w:rPr>
        <w:drawing>
          <wp:inline distT="0" distB="0" distL="0" distR="0">
            <wp:extent cx="4391605" cy="2278380"/>
            <wp:effectExtent l="0" t="0" r="0" b="0"/>
            <wp:docPr id="13" name="image23.png" descr=""/>
            <wp:cNvGraphicFramePr>
              <a:graphicFrameLocks noChangeAspect="1"/>
            </wp:cNvGraphicFramePr>
            <a:graphic>
              <a:graphicData uri="http://schemas.openxmlformats.org/drawingml/2006/picture">
                <pic:pic>
                  <pic:nvPicPr>
                    <pic:cNvPr id="14" name="image23.png"/>
                    <pic:cNvPicPr/>
                  </pic:nvPicPr>
                  <pic:blipFill>
                    <a:blip r:embed="rId34" cstate="print"/>
                    <a:stretch>
                      <a:fillRect/>
                    </a:stretch>
                  </pic:blipFill>
                  <pic:spPr>
                    <a:xfrm>
                      <a:off x="0" y="0"/>
                      <a:ext cx="4391605" cy="2278380"/>
                    </a:xfrm>
                    <a:prstGeom prst="rect">
                      <a:avLst/>
                    </a:prstGeom>
                  </pic:spPr>
                </pic:pic>
              </a:graphicData>
            </a:graphic>
          </wp:inline>
        </w:drawing>
      </w:r>
      <w:r>
        <w:rPr>
          <w:sz w:val="20"/>
        </w:rPr>
      </w:r>
    </w:p>
    <w:p>
      <w:pPr>
        <w:pStyle w:val="BodyText"/>
        <w:spacing w:before="5"/>
        <w:rPr>
          <w:sz w:val="28"/>
        </w:rPr>
      </w:pPr>
    </w:p>
    <w:p>
      <w:pPr>
        <w:spacing w:before="1"/>
        <w:ind w:left="830" w:right="0" w:firstLine="0"/>
        <w:jc w:val="both"/>
        <w:rPr>
          <w:sz w:val="20"/>
        </w:rPr>
      </w:pPr>
      <w:r>
        <w:rPr>
          <w:sz w:val="20"/>
        </w:rPr>
        <w:t>Fuente: CENAPRED, 2006.</w:t>
      </w:r>
    </w:p>
    <w:p>
      <w:pPr>
        <w:spacing w:after="0"/>
        <w:jc w:val="both"/>
        <w:rPr>
          <w:sz w:val="20"/>
        </w:rPr>
        <w:sectPr>
          <w:pgSz w:w="12240" w:h="15840"/>
          <w:pgMar w:header="0" w:footer="1031" w:top="1360" w:bottom="1220" w:left="1580" w:right="1600"/>
        </w:sectPr>
      </w:pPr>
    </w:p>
    <w:p>
      <w:pPr>
        <w:pStyle w:val="BodyText"/>
        <w:spacing w:line="360" w:lineRule="auto" w:before="52"/>
        <w:ind w:left="119" w:right="116"/>
        <w:jc w:val="both"/>
      </w:pPr>
      <w:r>
        <w:rPr/>
        <w:t>Es</w:t>
      </w:r>
      <w:r>
        <w:rPr>
          <w:spacing w:val="-16"/>
        </w:rPr>
        <w:t> </w:t>
      </w:r>
      <w:r>
        <w:rPr/>
        <w:t>importante</w:t>
      </w:r>
      <w:r>
        <w:rPr>
          <w:spacing w:val="-15"/>
        </w:rPr>
        <w:t> </w:t>
      </w:r>
      <w:r>
        <w:rPr/>
        <w:t>considerar</w:t>
      </w:r>
      <w:r>
        <w:rPr>
          <w:spacing w:val="-15"/>
        </w:rPr>
        <w:t> </w:t>
      </w:r>
      <w:r>
        <w:rPr/>
        <w:t>que</w:t>
      </w:r>
      <w:r>
        <w:rPr>
          <w:spacing w:val="-16"/>
        </w:rPr>
        <w:t> </w:t>
      </w:r>
      <w:r>
        <w:rPr/>
        <w:t>de</w:t>
      </w:r>
      <w:r>
        <w:rPr>
          <w:spacing w:val="-16"/>
        </w:rPr>
        <w:t> </w:t>
      </w:r>
      <w:r>
        <w:rPr/>
        <w:t>acuerdo</w:t>
      </w:r>
      <w:r>
        <w:rPr>
          <w:spacing w:val="-20"/>
        </w:rPr>
        <w:t> </w:t>
      </w:r>
      <w:r>
        <w:rPr/>
        <w:t>a</w:t>
      </w:r>
      <w:r>
        <w:rPr>
          <w:spacing w:val="-16"/>
        </w:rPr>
        <w:t> </w:t>
      </w:r>
      <w:r>
        <w:rPr/>
        <w:t>una</w:t>
      </w:r>
      <w:r>
        <w:rPr>
          <w:spacing w:val="-16"/>
        </w:rPr>
        <w:t> </w:t>
      </w:r>
      <w:r>
        <w:rPr/>
        <w:t>estimación</w:t>
      </w:r>
      <w:r>
        <w:rPr>
          <w:spacing w:val="-16"/>
        </w:rPr>
        <w:t> </w:t>
      </w:r>
      <w:r>
        <w:rPr/>
        <w:t>de</w:t>
      </w:r>
      <w:r>
        <w:rPr>
          <w:spacing w:val="-20"/>
        </w:rPr>
        <w:t> </w:t>
      </w:r>
      <w:r>
        <w:rPr/>
        <w:t>los</w:t>
      </w:r>
      <w:r>
        <w:rPr>
          <w:spacing w:val="-16"/>
        </w:rPr>
        <w:t> </w:t>
      </w:r>
      <w:r>
        <w:rPr/>
        <w:t>autores,</w:t>
      </w:r>
      <w:r>
        <w:rPr>
          <w:spacing w:val="-16"/>
        </w:rPr>
        <w:t> </w:t>
      </w:r>
      <w:r>
        <w:rPr/>
        <w:t>alrededor del</w:t>
      </w:r>
      <w:r>
        <w:rPr>
          <w:spacing w:val="-2"/>
        </w:rPr>
        <w:t> </w:t>
      </w:r>
      <w:r>
        <w:rPr/>
        <w:t>60</w:t>
      </w:r>
      <w:r>
        <w:rPr>
          <w:spacing w:val="-6"/>
        </w:rPr>
        <w:t> </w:t>
      </w:r>
      <w:r>
        <w:rPr/>
        <w:t>%</w:t>
      </w:r>
      <w:r>
        <w:rPr>
          <w:spacing w:val="-4"/>
        </w:rPr>
        <w:t> </w:t>
      </w:r>
      <w:r>
        <w:rPr/>
        <w:t>del</w:t>
      </w:r>
      <w:r>
        <w:rPr>
          <w:spacing w:val="2"/>
        </w:rPr>
        <w:t> </w:t>
      </w:r>
      <w:r>
        <w:rPr/>
        <w:t>tiempo</w:t>
      </w:r>
      <w:r>
        <w:rPr>
          <w:spacing w:val="-2"/>
        </w:rPr>
        <w:t> </w:t>
      </w:r>
      <w:r>
        <w:rPr/>
        <w:t>y</w:t>
      </w:r>
      <w:r>
        <w:rPr>
          <w:spacing w:val="-2"/>
        </w:rPr>
        <w:t> </w:t>
      </w:r>
      <w:r>
        <w:rPr/>
        <w:t>recursos</w:t>
      </w:r>
      <w:r>
        <w:rPr>
          <w:spacing w:val="-12"/>
        </w:rPr>
        <w:t> </w:t>
      </w:r>
      <w:r>
        <w:rPr/>
        <w:t>invertidos</w:t>
      </w:r>
      <w:r>
        <w:rPr>
          <w:spacing w:val="-7"/>
        </w:rPr>
        <w:t> </w:t>
      </w:r>
      <w:r>
        <w:rPr/>
        <w:t>para</w:t>
      </w:r>
      <w:r>
        <w:rPr>
          <w:spacing w:val="-6"/>
        </w:rPr>
        <w:t> </w:t>
      </w:r>
      <w:r>
        <w:rPr/>
        <w:t>la</w:t>
      </w:r>
      <w:r>
        <w:rPr>
          <w:spacing w:val="-2"/>
        </w:rPr>
        <w:t> </w:t>
      </w:r>
      <w:r>
        <w:rPr/>
        <w:t>elaboración</w:t>
      </w:r>
      <w:r>
        <w:rPr>
          <w:spacing w:val="-6"/>
        </w:rPr>
        <w:t> </w:t>
      </w:r>
      <w:r>
        <w:rPr/>
        <w:t>de</w:t>
      </w:r>
      <w:r>
        <w:rPr>
          <w:spacing w:val="-11"/>
        </w:rPr>
        <w:t> </w:t>
      </w:r>
      <w:r>
        <w:rPr/>
        <w:t>investigaciones</w:t>
      </w:r>
      <w:r>
        <w:rPr>
          <w:spacing w:val="-7"/>
        </w:rPr>
        <w:t> </w:t>
      </w:r>
      <w:r>
        <w:rPr/>
        <w:t>de este tipo se destina a la adquisición e integración de información, por lo que se deberá tener en cuenta que ésta tiene un costo que puede ser elevado y que requiere de infraestructura computacional y </w:t>
      </w:r>
      <w:r>
        <w:rPr>
          <w:spacing w:val="-2"/>
        </w:rPr>
        <w:t>humana </w:t>
      </w:r>
      <w:r>
        <w:rPr/>
        <w:t>para su análisis y</w:t>
      </w:r>
      <w:r>
        <w:rPr>
          <w:spacing w:val="-20"/>
        </w:rPr>
        <w:t> </w:t>
      </w:r>
      <w:r>
        <w:rPr/>
        <w:t>difusión.</w:t>
      </w:r>
    </w:p>
    <w:p>
      <w:pPr>
        <w:pStyle w:val="BodyText"/>
        <w:spacing w:before="10"/>
      </w:pPr>
    </w:p>
    <w:p>
      <w:pPr>
        <w:pStyle w:val="Heading2"/>
      </w:pPr>
      <w:bookmarkStart w:name="_TOC_250037" w:id="17"/>
      <w:bookmarkEnd w:id="17"/>
      <w:r>
        <w:rPr/>
        <w:t>2.3.1 Método de Evaluación Multicriterio.</w:t>
      </w:r>
    </w:p>
    <w:p>
      <w:pPr>
        <w:pStyle w:val="BodyText"/>
        <w:spacing w:before="4"/>
        <w:rPr>
          <w:b/>
        </w:rPr>
      </w:pPr>
    </w:p>
    <w:p>
      <w:pPr>
        <w:pStyle w:val="BodyText"/>
        <w:spacing w:line="360" w:lineRule="auto" w:before="1"/>
        <w:ind w:left="119" w:right="115"/>
        <w:jc w:val="both"/>
      </w:pPr>
      <w:r>
        <w:rPr/>
        <w:t>El método de evaluación multicriterio (EMC) utiliza los principios del proceso de análisis jerárquico desarrollado por Saaty (1980), está diseñado para resolver problemas complejos de criterios múltiples. Constituye un conjunto de técnicas de gran utilidad para investigar el territorio y coadyuvar a la gestión sustentable de los recursos naturales. Se trata de evaluar un conjunto de alternativas (unidades espaciales de observación) a la luz de múltiples criterios y prioridades en conflicto. Desde el punto de vista geográfico, las alternativas suelen ser un conjunto de porciones del territorio que son evaluadas con base en sus características ambientales, sociales o económicas. La EMC se concibe como un “…. conjunto de técnicas orientadas a asistir en los procesos de toma de decisiones espaciales” (Barredo, 1996: 47). Los estudiosos de los problemas ambientales suelen aplicar este tipo de técnicas para conocer, por ejemplo, la capacidad del territorio para el desarrollo de ciertas actividades productivas o para determinar el nivel del impacto de las actividades humanas en la conservación de la biodiversidad.</w:t>
      </w:r>
    </w:p>
    <w:p>
      <w:pPr>
        <w:pStyle w:val="BodyText"/>
        <w:spacing w:before="10"/>
      </w:pPr>
    </w:p>
    <w:p>
      <w:pPr>
        <w:pStyle w:val="BodyText"/>
        <w:spacing w:line="360" w:lineRule="auto"/>
        <w:ind w:left="119" w:right="114"/>
        <w:jc w:val="both"/>
      </w:pPr>
      <w:r>
        <w:rPr/>
        <w:t>El paradigma de la </w:t>
      </w:r>
      <w:r>
        <w:rPr>
          <w:spacing w:val="-2"/>
        </w:rPr>
        <w:t>EMC </w:t>
      </w:r>
      <w:r>
        <w:rPr/>
        <w:t>comenzó a desarrollarse en la década de los 60 y </w:t>
      </w:r>
      <w:r>
        <w:rPr>
          <w:spacing w:val="-3"/>
        </w:rPr>
        <w:t>se </w:t>
      </w:r>
      <w:r>
        <w:rPr/>
        <w:t>consolido a principios de los 70. Surgió como respuesta al paradigma decisorio de la investigación operativa, el cual planteaba como principio “la búsqueda de una decisión optima maximizando una función económica” (Barba-Romero y Pomerol, 1997:9).</w:t>
      </w:r>
      <w:r>
        <w:rPr>
          <w:spacing w:val="-11"/>
        </w:rPr>
        <w:t> </w:t>
      </w:r>
      <w:r>
        <w:rPr/>
        <w:t>Sin</w:t>
      </w:r>
      <w:r>
        <w:rPr>
          <w:spacing w:val="-13"/>
        </w:rPr>
        <w:t> </w:t>
      </w:r>
      <w:r>
        <w:rPr/>
        <w:t>embargo,</w:t>
      </w:r>
      <w:r>
        <w:rPr>
          <w:spacing w:val="-11"/>
        </w:rPr>
        <w:t> </w:t>
      </w:r>
      <w:r>
        <w:rPr/>
        <w:t>el</w:t>
      </w:r>
      <w:r>
        <w:rPr>
          <w:spacing w:val="-9"/>
        </w:rPr>
        <w:t> </w:t>
      </w:r>
      <w:r>
        <w:rPr/>
        <w:t>análisis</w:t>
      </w:r>
      <w:r>
        <w:rPr>
          <w:spacing w:val="36"/>
        </w:rPr>
        <w:t> </w:t>
      </w:r>
      <w:r>
        <w:rPr/>
        <w:t>costo-beneficio</w:t>
      </w:r>
      <w:r>
        <w:rPr>
          <w:spacing w:val="-13"/>
        </w:rPr>
        <w:t> </w:t>
      </w:r>
      <w:r>
        <w:rPr/>
        <w:t>tiene</w:t>
      </w:r>
      <w:r>
        <w:rPr>
          <w:spacing w:val="-13"/>
        </w:rPr>
        <w:t> </w:t>
      </w:r>
      <w:r>
        <w:rPr/>
        <w:t>serios</w:t>
      </w:r>
      <w:r>
        <w:rPr>
          <w:spacing w:val="-18"/>
        </w:rPr>
        <w:t> </w:t>
      </w:r>
      <w:r>
        <w:rPr/>
        <w:t>inconvenientes,</w:t>
      </w:r>
      <w:r>
        <w:rPr>
          <w:spacing w:val="-13"/>
        </w:rPr>
        <w:t> </w:t>
      </w:r>
      <w:r>
        <w:rPr/>
        <w:t>sobre todo</w:t>
      </w:r>
      <w:r>
        <w:rPr>
          <w:spacing w:val="-6"/>
        </w:rPr>
        <w:t> </w:t>
      </w:r>
      <w:r>
        <w:rPr/>
        <w:t>cuando</w:t>
      </w:r>
      <w:r>
        <w:rPr>
          <w:spacing w:val="-6"/>
        </w:rPr>
        <w:t> </w:t>
      </w:r>
      <w:r>
        <w:rPr/>
        <w:t>se</w:t>
      </w:r>
      <w:r>
        <w:rPr>
          <w:spacing w:val="-11"/>
        </w:rPr>
        <w:t> </w:t>
      </w:r>
      <w:r>
        <w:rPr/>
        <w:t>manejan</w:t>
      </w:r>
      <w:r>
        <w:rPr>
          <w:spacing w:val="-6"/>
        </w:rPr>
        <w:t> </w:t>
      </w:r>
      <w:r>
        <w:rPr/>
        <w:t>aspectos</w:t>
      </w:r>
      <w:r>
        <w:rPr>
          <w:spacing w:val="-7"/>
        </w:rPr>
        <w:t> </w:t>
      </w:r>
      <w:r>
        <w:rPr/>
        <w:t>intangibles</w:t>
      </w:r>
      <w:r>
        <w:rPr>
          <w:spacing w:val="-16"/>
        </w:rPr>
        <w:t> </w:t>
      </w:r>
      <w:r>
        <w:rPr/>
        <w:t>que</w:t>
      </w:r>
      <w:r>
        <w:rPr>
          <w:spacing w:val="-11"/>
        </w:rPr>
        <w:t> </w:t>
      </w:r>
      <w:r>
        <w:rPr/>
        <w:t>implican</w:t>
      </w:r>
      <w:r>
        <w:rPr>
          <w:spacing w:val="-11"/>
        </w:rPr>
        <w:t> </w:t>
      </w:r>
      <w:r>
        <w:rPr/>
        <w:t>el</w:t>
      </w:r>
      <w:r>
        <w:rPr>
          <w:spacing w:val="-3"/>
        </w:rPr>
        <w:t> </w:t>
      </w:r>
      <w:r>
        <w:rPr/>
        <w:t>desarrollo</w:t>
      </w:r>
      <w:r>
        <w:rPr>
          <w:spacing w:val="-6"/>
        </w:rPr>
        <w:t> </w:t>
      </w:r>
      <w:r>
        <w:rPr/>
        <w:t>de</w:t>
      </w:r>
      <w:r>
        <w:rPr>
          <w:spacing w:val="-6"/>
        </w:rPr>
        <w:t> </w:t>
      </w:r>
      <w:r>
        <w:rPr/>
        <w:t>criterios inconmensurables (Vreeker y Nijkamp,2001). Los métodos </w:t>
      </w:r>
      <w:r>
        <w:rPr>
          <w:spacing w:val="-2"/>
        </w:rPr>
        <w:t>EMC </w:t>
      </w:r>
      <w:r>
        <w:rPr/>
        <w:t>son procedimientos alternativos que permiten la toma de decisiones incorporando el análisis simultáneo de criterios monetarios y no monetarios, incluidos los aspectos cualitativos.</w:t>
      </w:r>
    </w:p>
    <w:p>
      <w:pPr>
        <w:spacing w:after="0" w:line="360" w:lineRule="auto"/>
        <w:jc w:val="both"/>
        <w:sectPr>
          <w:pgSz w:w="12240" w:h="15840"/>
          <w:pgMar w:header="0" w:footer="1031" w:top="1360" w:bottom="1220" w:left="1580" w:right="1580"/>
        </w:sectPr>
      </w:pPr>
    </w:p>
    <w:p>
      <w:pPr>
        <w:pStyle w:val="BodyText"/>
        <w:spacing w:before="7"/>
        <w:rPr>
          <w:sz w:val="22"/>
        </w:rPr>
      </w:pPr>
    </w:p>
    <w:p>
      <w:pPr>
        <w:pStyle w:val="BodyText"/>
        <w:spacing w:line="360" w:lineRule="auto" w:before="69"/>
        <w:ind w:left="119" w:right="116"/>
        <w:jc w:val="both"/>
      </w:pPr>
      <w:r>
        <w:rPr/>
        <w:t>La decisión multicriterio puede ser “discreta”, cuando se analiza su conjunto finito de</w:t>
      </w:r>
      <w:r>
        <w:rPr>
          <w:spacing w:val="-11"/>
        </w:rPr>
        <w:t> </w:t>
      </w:r>
      <w:r>
        <w:rPr/>
        <w:t>alternativas,</w:t>
      </w:r>
      <w:r>
        <w:rPr>
          <w:spacing w:val="-11"/>
        </w:rPr>
        <w:t> </w:t>
      </w:r>
      <w:r>
        <w:rPr/>
        <w:t>o</w:t>
      </w:r>
      <w:r>
        <w:rPr>
          <w:spacing w:val="-11"/>
        </w:rPr>
        <w:t> </w:t>
      </w:r>
      <w:r>
        <w:rPr/>
        <w:t>“continua”</w:t>
      </w:r>
      <w:r>
        <w:rPr>
          <w:spacing w:val="-10"/>
        </w:rPr>
        <w:t> </w:t>
      </w:r>
      <w:r>
        <w:rPr/>
        <w:t>(de</w:t>
      </w:r>
      <w:r>
        <w:rPr>
          <w:spacing w:val="-11"/>
        </w:rPr>
        <w:t> </w:t>
      </w:r>
      <w:r>
        <w:rPr/>
        <w:t>programación</w:t>
      </w:r>
      <w:r>
        <w:rPr>
          <w:spacing w:val="-15"/>
        </w:rPr>
        <w:t> </w:t>
      </w:r>
      <w:r>
        <w:rPr/>
        <w:t>lineal</w:t>
      </w:r>
      <w:r>
        <w:rPr>
          <w:spacing w:val="-8"/>
        </w:rPr>
        <w:t> </w:t>
      </w:r>
      <w:r>
        <w:rPr/>
        <w:t>con</w:t>
      </w:r>
      <w:r>
        <w:rPr>
          <w:spacing w:val="-11"/>
        </w:rPr>
        <w:t> </w:t>
      </w:r>
      <w:r>
        <w:rPr/>
        <w:t>criterios</w:t>
      </w:r>
      <w:r>
        <w:rPr>
          <w:spacing w:val="-11"/>
        </w:rPr>
        <w:t> </w:t>
      </w:r>
      <w:r>
        <w:rPr/>
        <w:t>múltiples),</w:t>
      </w:r>
      <w:r>
        <w:rPr>
          <w:spacing w:val="-11"/>
        </w:rPr>
        <w:t> </w:t>
      </w:r>
      <w:r>
        <w:rPr/>
        <w:t>cuando se analiza un número infinito de alternativas. En términos generales, la evaluación multicriterio discreta se basa en la construcción de una matriz que “…refleja las características</w:t>
      </w:r>
      <w:r>
        <w:rPr>
          <w:spacing w:val="-8"/>
        </w:rPr>
        <w:t> </w:t>
      </w:r>
      <w:r>
        <w:rPr/>
        <w:t>de</w:t>
      </w:r>
      <w:r>
        <w:rPr>
          <w:spacing w:val="-7"/>
        </w:rPr>
        <w:t> </w:t>
      </w:r>
      <w:r>
        <w:rPr/>
        <w:t>un</w:t>
      </w:r>
      <w:r>
        <w:rPr>
          <w:spacing w:val="-7"/>
        </w:rPr>
        <w:t> </w:t>
      </w:r>
      <w:r>
        <w:rPr/>
        <w:t>conjunto</w:t>
      </w:r>
      <w:r>
        <w:rPr>
          <w:spacing w:val="-7"/>
        </w:rPr>
        <w:t> </w:t>
      </w:r>
      <w:r>
        <w:rPr/>
        <w:t>dado</w:t>
      </w:r>
      <w:r>
        <w:rPr>
          <w:spacing w:val="-7"/>
        </w:rPr>
        <w:t> </w:t>
      </w:r>
      <w:r>
        <w:rPr/>
        <w:t>de</w:t>
      </w:r>
      <w:r>
        <w:rPr>
          <w:spacing w:val="-7"/>
        </w:rPr>
        <w:t> </w:t>
      </w:r>
      <w:r>
        <w:rPr/>
        <w:t>alternativas</w:t>
      </w:r>
      <w:r>
        <w:rPr>
          <w:spacing w:val="-8"/>
        </w:rPr>
        <w:t> </w:t>
      </w:r>
      <w:r>
        <w:rPr/>
        <w:t>de</w:t>
      </w:r>
      <w:r>
        <w:rPr>
          <w:spacing w:val="-7"/>
        </w:rPr>
        <w:t> </w:t>
      </w:r>
      <w:r>
        <w:rPr/>
        <w:t>elección</w:t>
      </w:r>
      <w:r>
        <w:rPr>
          <w:spacing w:val="-12"/>
        </w:rPr>
        <w:t> </w:t>
      </w:r>
      <w:r>
        <w:rPr/>
        <w:t>a</w:t>
      </w:r>
      <w:r>
        <w:rPr>
          <w:spacing w:val="-7"/>
        </w:rPr>
        <w:t> </w:t>
      </w:r>
      <w:r>
        <w:rPr/>
        <w:t>partir</w:t>
      </w:r>
      <w:r>
        <w:rPr>
          <w:spacing w:val="-6"/>
        </w:rPr>
        <w:t> </w:t>
      </w:r>
      <w:r>
        <w:rPr/>
        <w:t>de</w:t>
      </w:r>
      <w:r>
        <w:rPr>
          <w:spacing w:val="-12"/>
        </w:rPr>
        <w:t> </w:t>
      </w:r>
      <w:r>
        <w:rPr/>
        <w:t>una</w:t>
      </w:r>
      <w:r>
        <w:rPr>
          <w:spacing w:val="-7"/>
        </w:rPr>
        <w:t> </w:t>
      </w:r>
      <w:r>
        <w:rPr/>
        <w:t>serie de criterios” (Voogd, 1983:28). Dicha matriz ha recibido diversos nombres: matriz de puntuaciones, (1996) le denominan matriz de proyecto-efecto. Voogd (1983) y Barredo la definen como matriz de</w:t>
      </w:r>
      <w:r>
        <w:rPr>
          <w:spacing w:val="-19"/>
        </w:rPr>
        <w:t> </w:t>
      </w:r>
      <w:r>
        <w:rPr/>
        <w:t>decisión.</w:t>
      </w:r>
    </w:p>
    <w:p>
      <w:pPr>
        <w:pStyle w:val="BodyText"/>
      </w:pPr>
    </w:p>
    <w:p>
      <w:pPr>
        <w:pStyle w:val="BodyText"/>
        <w:spacing w:line="360" w:lineRule="auto" w:before="145"/>
        <w:ind w:left="119" w:right="116"/>
        <w:jc w:val="both"/>
      </w:pPr>
      <w:r>
        <w:rPr/>
        <w:t>La matriz de decisión (aij) “…..expresa las cualidades (valor numérico o simbólico) de la alternativa o unidad de observación i con respecto a los n atributos considerados” (Tabla 3) (Barba-Romero y Pomerol 2 1997:27). El conjunto de elección se refiere a las alternativas o entidades geográficas diferentes, caracterizadas por una serie de atributos que, cuando se les añade un mínimo de información relativa a las preferencias del decisor, se consideran criterios. Si los criterios corresponden a evaluaciones numéricas, se les denomina cuantitativos y cuando no presentan una unidad canónica de medida, se les conoce cualitativos.</w:t>
      </w:r>
    </w:p>
    <w:p>
      <w:pPr>
        <w:spacing w:before="2"/>
        <w:ind w:left="96" w:right="96" w:firstLine="0"/>
        <w:jc w:val="center"/>
        <w:rPr>
          <w:sz w:val="22"/>
        </w:rPr>
      </w:pPr>
      <w:r>
        <w:rPr>
          <w:sz w:val="22"/>
        </w:rPr>
        <w:t>Tabla 3. La Matriz de</w:t>
      </w:r>
      <w:r>
        <w:rPr>
          <w:spacing w:val="51"/>
          <w:sz w:val="22"/>
        </w:rPr>
        <w:t> </w:t>
      </w:r>
      <w:r>
        <w:rPr>
          <w:sz w:val="22"/>
        </w:rPr>
        <w:t>decisión</w:t>
      </w:r>
    </w:p>
    <w:p>
      <w:pPr>
        <w:pStyle w:val="BodyText"/>
        <w:spacing w:after="1"/>
        <w:rPr>
          <w:sz w:val="23"/>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99"/>
        <w:gridCol w:w="980"/>
        <w:gridCol w:w="916"/>
        <w:gridCol w:w="1105"/>
        <w:gridCol w:w="1073"/>
        <w:gridCol w:w="1110"/>
        <w:gridCol w:w="1104"/>
        <w:gridCol w:w="1456"/>
      </w:tblGrid>
      <w:tr>
        <w:trPr>
          <w:trHeight w:val="274" w:hRule="exact"/>
        </w:trPr>
        <w:tc>
          <w:tcPr>
            <w:tcW w:w="1099" w:type="dxa"/>
            <w:tcBorders>
              <w:left w:val="nil"/>
              <w:right w:val="nil"/>
            </w:tcBorders>
          </w:tcPr>
          <w:p>
            <w:pPr>
              <w:pStyle w:val="TableParagraph"/>
              <w:spacing w:line="246" w:lineRule="exact"/>
              <w:ind w:left="110" w:right="-2"/>
              <w:rPr>
                <w:rFonts w:ascii="Trebuchet MS"/>
                <w:b/>
                <w:sz w:val="22"/>
              </w:rPr>
            </w:pPr>
            <w:r>
              <w:rPr>
                <w:rFonts w:ascii="Trebuchet MS"/>
                <w:b/>
                <w:w w:val="85"/>
                <w:sz w:val="22"/>
              </w:rPr>
              <w:t>Atributos o</w:t>
            </w:r>
          </w:p>
        </w:tc>
        <w:tc>
          <w:tcPr>
            <w:tcW w:w="980" w:type="dxa"/>
            <w:tcBorders>
              <w:left w:val="nil"/>
              <w:right w:val="nil"/>
            </w:tcBorders>
          </w:tcPr>
          <w:p>
            <w:pPr>
              <w:pStyle w:val="TableParagraph"/>
              <w:spacing w:line="246" w:lineRule="exact"/>
              <w:ind w:left="23"/>
              <w:rPr>
                <w:rFonts w:ascii="Trebuchet MS"/>
                <w:b/>
                <w:sz w:val="22"/>
              </w:rPr>
            </w:pPr>
            <w:r>
              <w:rPr>
                <w:rFonts w:ascii="Trebuchet MS"/>
                <w:b/>
                <w:w w:val="90"/>
                <w:sz w:val="22"/>
              </w:rPr>
              <w:t>criterios</w:t>
            </w:r>
          </w:p>
        </w:tc>
        <w:tc>
          <w:tcPr>
            <w:tcW w:w="6762" w:type="dxa"/>
            <w:gridSpan w:val="6"/>
            <w:tcBorders>
              <w:left w:val="nil"/>
              <w:right w:val="nil"/>
            </w:tcBorders>
          </w:tcPr>
          <w:p>
            <w:pPr/>
          </w:p>
        </w:tc>
      </w:tr>
      <w:tr>
        <w:trPr>
          <w:trHeight w:val="286" w:hRule="exact"/>
        </w:trPr>
        <w:tc>
          <w:tcPr>
            <w:tcW w:w="1099" w:type="dxa"/>
            <w:tcBorders>
              <w:left w:val="nil"/>
              <w:bottom w:val="nil"/>
              <w:right w:val="nil"/>
            </w:tcBorders>
          </w:tcPr>
          <w:p>
            <w:pPr>
              <w:pStyle w:val="TableParagraph"/>
              <w:spacing w:line="246" w:lineRule="exact"/>
              <w:ind w:left="110"/>
              <w:rPr>
                <w:rFonts w:ascii="Trebuchet MS"/>
                <w:b/>
                <w:sz w:val="22"/>
              </w:rPr>
            </w:pPr>
            <w:r>
              <w:rPr>
                <w:rFonts w:ascii="Trebuchet MS"/>
                <w:b/>
                <w:w w:val="93"/>
                <w:sz w:val="22"/>
              </w:rPr>
              <w:t>A</w:t>
            </w:r>
          </w:p>
        </w:tc>
        <w:tc>
          <w:tcPr>
            <w:tcW w:w="980" w:type="dxa"/>
            <w:tcBorders>
              <w:left w:val="nil"/>
              <w:bottom w:val="nil"/>
              <w:right w:val="nil"/>
            </w:tcBorders>
          </w:tcPr>
          <w:p>
            <w:pPr/>
          </w:p>
        </w:tc>
        <w:tc>
          <w:tcPr>
            <w:tcW w:w="916" w:type="dxa"/>
            <w:tcBorders>
              <w:left w:val="nil"/>
              <w:bottom w:val="nil"/>
              <w:right w:val="nil"/>
            </w:tcBorders>
          </w:tcPr>
          <w:p>
            <w:pPr>
              <w:pStyle w:val="TableParagraph"/>
              <w:spacing w:line="246" w:lineRule="exact"/>
              <w:ind w:left="241"/>
              <w:rPr>
                <w:sz w:val="14"/>
              </w:rPr>
            </w:pPr>
            <w:r>
              <w:rPr>
                <w:w w:val="90"/>
                <w:position w:val="2"/>
                <w:sz w:val="22"/>
              </w:rPr>
              <w:t>C</w:t>
            </w:r>
            <w:r>
              <w:rPr>
                <w:w w:val="90"/>
                <w:sz w:val="14"/>
              </w:rPr>
              <w:t>1</w:t>
            </w:r>
          </w:p>
        </w:tc>
        <w:tc>
          <w:tcPr>
            <w:tcW w:w="1105" w:type="dxa"/>
            <w:tcBorders>
              <w:left w:val="nil"/>
              <w:bottom w:val="nil"/>
              <w:right w:val="nil"/>
            </w:tcBorders>
          </w:tcPr>
          <w:p>
            <w:pPr>
              <w:pStyle w:val="TableParagraph"/>
              <w:spacing w:line="246" w:lineRule="exact"/>
              <w:ind w:left="429"/>
              <w:rPr>
                <w:sz w:val="14"/>
              </w:rPr>
            </w:pPr>
            <w:r>
              <w:rPr>
                <w:w w:val="90"/>
                <w:position w:val="2"/>
                <w:sz w:val="22"/>
              </w:rPr>
              <w:t>C</w:t>
            </w:r>
            <w:r>
              <w:rPr>
                <w:w w:val="90"/>
                <w:sz w:val="14"/>
              </w:rPr>
              <w:t>2</w:t>
            </w:r>
          </w:p>
        </w:tc>
        <w:tc>
          <w:tcPr>
            <w:tcW w:w="1073" w:type="dxa"/>
            <w:tcBorders>
              <w:left w:val="nil"/>
              <w:bottom w:val="nil"/>
              <w:right w:val="nil"/>
            </w:tcBorders>
          </w:tcPr>
          <w:p>
            <w:pPr>
              <w:pStyle w:val="TableParagraph"/>
              <w:spacing w:line="244" w:lineRule="exact"/>
              <w:ind w:right="29"/>
              <w:jc w:val="center"/>
              <w:rPr>
                <w:sz w:val="22"/>
              </w:rPr>
            </w:pPr>
            <w:r>
              <w:rPr>
                <w:w w:val="82"/>
                <w:sz w:val="22"/>
              </w:rPr>
              <w:t>…</w:t>
            </w:r>
          </w:p>
        </w:tc>
        <w:tc>
          <w:tcPr>
            <w:tcW w:w="1110" w:type="dxa"/>
            <w:tcBorders>
              <w:left w:val="nil"/>
              <w:bottom w:val="nil"/>
              <w:right w:val="nil"/>
            </w:tcBorders>
          </w:tcPr>
          <w:p>
            <w:pPr>
              <w:pStyle w:val="TableParagraph"/>
              <w:spacing w:line="244" w:lineRule="exact"/>
              <w:ind w:left="414" w:right="430"/>
              <w:jc w:val="center"/>
              <w:rPr>
                <w:sz w:val="22"/>
              </w:rPr>
            </w:pPr>
            <w:r>
              <w:rPr>
                <w:w w:val="90"/>
                <w:sz w:val="22"/>
              </w:rPr>
              <w:t>Cj</w:t>
            </w:r>
          </w:p>
        </w:tc>
        <w:tc>
          <w:tcPr>
            <w:tcW w:w="1104" w:type="dxa"/>
            <w:tcBorders>
              <w:left w:val="nil"/>
              <w:bottom w:val="nil"/>
              <w:right w:val="nil"/>
            </w:tcBorders>
          </w:tcPr>
          <w:p>
            <w:pPr>
              <w:pStyle w:val="TableParagraph"/>
              <w:spacing w:line="244" w:lineRule="exact"/>
              <w:ind w:left="460"/>
              <w:rPr>
                <w:sz w:val="22"/>
              </w:rPr>
            </w:pPr>
            <w:r>
              <w:rPr>
                <w:w w:val="82"/>
                <w:sz w:val="22"/>
              </w:rPr>
              <w:t>…</w:t>
            </w:r>
          </w:p>
        </w:tc>
        <w:tc>
          <w:tcPr>
            <w:tcW w:w="1456" w:type="dxa"/>
            <w:tcBorders>
              <w:left w:val="nil"/>
              <w:bottom w:val="nil"/>
              <w:right w:val="nil"/>
            </w:tcBorders>
          </w:tcPr>
          <w:p>
            <w:pPr>
              <w:pStyle w:val="TableParagraph"/>
              <w:spacing w:line="244" w:lineRule="exact"/>
              <w:ind w:left="461"/>
              <w:rPr>
                <w:sz w:val="22"/>
              </w:rPr>
            </w:pPr>
            <w:r>
              <w:rPr>
                <w:w w:val="90"/>
                <w:sz w:val="22"/>
              </w:rPr>
              <w:t>Cn</w:t>
            </w:r>
          </w:p>
        </w:tc>
      </w:tr>
      <w:tr>
        <w:trPr>
          <w:trHeight w:val="290" w:hRule="exact"/>
        </w:trPr>
        <w:tc>
          <w:tcPr>
            <w:tcW w:w="1099" w:type="dxa"/>
            <w:tcBorders>
              <w:top w:val="nil"/>
              <w:left w:val="nil"/>
              <w:bottom w:val="nil"/>
              <w:right w:val="nil"/>
            </w:tcBorders>
          </w:tcPr>
          <w:p>
            <w:pPr>
              <w:pStyle w:val="TableParagraph"/>
              <w:spacing w:before="7"/>
              <w:ind w:left="110"/>
              <w:rPr>
                <w:rFonts w:ascii="Trebuchet MS"/>
                <w:b/>
                <w:sz w:val="22"/>
              </w:rPr>
            </w:pPr>
            <w:r>
              <w:rPr>
                <w:rFonts w:ascii="Trebuchet MS"/>
                <w:b/>
                <w:w w:val="77"/>
                <w:sz w:val="22"/>
              </w:rPr>
              <w:t>l</w:t>
            </w:r>
          </w:p>
        </w:tc>
        <w:tc>
          <w:tcPr>
            <w:tcW w:w="980" w:type="dxa"/>
            <w:tcBorders>
              <w:top w:val="nil"/>
              <w:left w:val="nil"/>
              <w:bottom w:val="nil"/>
              <w:right w:val="nil"/>
            </w:tcBorders>
          </w:tcPr>
          <w:p>
            <w:pPr>
              <w:pStyle w:val="TableParagraph"/>
              <w:spacing w:before="7"/>
              <w:ind w:left="116"/>
              <w:rPr>
                <w:sz w:val="14"/>
              </w:rPr>
            </w:pPr>
            <w:r>
              <w:rPr>
                <w:w w:val="90"/>
                <w:position w:val="2"/>
                <w:sz w:val="22"/>
              </w:rPr>
              <w:t>A</w:t>
            </w:r>
            <w:r>
              <w:rPr>
                <w:w w:val="90"/>
                <w:sz w:val="14"/>
              </w:rPr>
              <w:t>1</w:t>
            </w:r>
          </w:p>
        </w:tc>
        <w:tc>
          <w:tcPr>
            <w:tcW w:w="916" w:type="dxa"/>
            <w:tcBorders>
              <w:top w:val="nil"/>
              <w:left w:val="nil"/>
              <w:bottom w:val="nil"/>
              <w:right w:val="nil"/>
            </w:tcBorders>
          </w:tcPr>
          <w:p>
            <w:pPr>
              <w:pStyle w:val="TableParagraph"/>
              <w:spacing w:before="7"/>
              <w:ind w:left="241"/>
              <w:rPr>
                <w:sz w:val="14"/>
              </w:rPr>
            </w:pPr>
            <w:r>
              <w:rPr>
                <w:w w:val="90"/>
                <w:position w:val="2"/>
                <w:sz w:val="22"/>
              </w:rPr>
              <w:t>A</w:t>
            </w:r>
            <w:r>
              <w:rPr>
                <w:w w:val="90"/>
                <w:sz w:val="14"/>
              </w:rPr>
              <w:t>11</w:t>
            </w:r>
          </w:p>
        </w:tc>
        <w:tc>
          <w:tcPr>
            <w:tcW w:w="1105" w:type="dxa"/>
            <w:tcBorders>
              <w:top w:val="nil"/>
              <w:left w:val="nil"/>
              <w:bottom w:val="nil"/>
              <w:right w:val="nil"/>
            </w:tcBorders>
          </w:tcPr>
          <w:p>
            <w:pPr>
              <w:pStyle w:val="TableParagraph"/>
              <w:spacing w:before="7"/>
              <w:ind w:left="429"/>
              <w:rPr>
                <w:sz w:val="14"/>
              </w:rPr>
            </w:pPr>
            <w:r>
              <w:rPr>
                <w:w w:val="90"/>
                <w:position w:val="2"/>
                <w:sz w:val="22"/>
              </w:rPr>
              <w:t>A</w:t>
            </w:r>
            <w:r>
              <w:rPr>
                <w:w w:val="90"/>
                <w:sz w:val="14"/>
              </w:rPr>
              <w:t>12</w:t>
            </w:r>
          </w:p>
        </w:tc>
        <w:tc>
          <w:tcPr>
            <w:tcW w:w="1073" w:type="dxa"/>
            <w:tcBorders>
              <w:top w:val="nil"/>
              <w:left w:val="nil"/>
              <w:bottom w:val="nil"/>
              <w:right w:val="nil"/>
            </w:tcBorders>
          </w:tcPr>
          <w:p>
            <w:pPr>
              <w:pStyle w:val="TableParagraph"/>
              <w:spacing w:before="7"/>
              <w:ind w:right="29"/>
              <w:jc w:val="center"/>
              <w:rPr>
                <w:sz w:val="22"/>
              </w:rPr>
            </w:pPr>
            <w:r>
              <w:rPr>
                <w:w w:val="82"/>
                <w:sz w:val="22"/>
              </w:rPr>
              <w:t>…</w:t>
            </w:r>
          </w:p>
        </w:tc>
        <w:tc>
          <w:tcPr>
            <w:tcW w:w="1110" w:type="dxa"/>
            <w:tcBorders>
              <w:top w:val="nil"/>
              <w:left w:val="nil"/>
              <w:bottom w:val="nil"/>
              <w:right w:val="nil"/>
            </w:tcBorders>
          </w:tcPr>
          <w:p>
            <w:pPr>
              <w:pStyle w:val="TableParagraph"/>
              <w:spacing w:before="7"/>
              <w:ind w:left="430" w:right="430"/>
              <w:jc w:val="center"/>
              <w:rPr>
                <w:sz w:val="14"/>
              </w:rPr>
            </w:pPr>
            <w:r>
              <w:rPr>
                <w:w w:val="90"/>
                <w:position w:val="2"/>
                <w:sz w:val="22"/>
              </w:rPr>
              <w:t>a</w:t>
            </w:r>
            <w:r>
              <w:rPr>
                <w:w w:val="90"/>
                <w:sz w:val="14"/>
              </w:rPr>
              <w:t>1j</w:t>
            </w:r>
          </w:p>
        </w:tc>
        <w:tc>
          <w:tcPr>
            <w:tcW w:w="1104" w:type="dxa"/>
            <w:tcBorders>
              <w:top w:val="nil"/>
              <w:left w:val="nil"/>
              <w:bottom w:val="nil"/>
              <w:right w:val="nil"/>
            </w:tcBorders>
          </w:tcPr>
          <w:p>
            <w:pPr>
              <w:pStyle w:val="TableParagraph"/>
              <w:spacing w:before="7"/>
              <w:ind w:left="460"/>
              <w:rPr>
                <w:sz w:val="22"/>
              </w:rPr>
            </w:pPr>
            <w:r>
              <w:rPr>
                <w:w w:val="82"/>
                <w:sz w:val="22"/>
              </w:rPr>
              <w:t>…</w:t>
            </w:r>
          </w:p>
        </w:tc>
        <w:tc>
          <w:tcPr>
            <w:tcW w:w="1456" w:type="dxa"/>
            <w:tcBorders>
              <w:top w:val="nil"/>
              <w:left w:val="nil"/>
              <w:bottom w:val="nil"/>
              <w:right w:val="nil"/>
            </w:tcBorders>
          </w:tcPr>
          <w:p>
            <w:pPr>
              <w:pStyle w:val="TableParagraph"/>
              <w:spacing w:before="7"/>
              <w:ind w:left="461"/>
              <w:rPr>
                <w:sz w:val="14"/>
              </w:rPr>
            </w:pPr>
            <w:r>
              <w:rPr>
                <w:w w:val="90"/>
                <w:position w:val="2"/>
                <w:sz w:val="22"/>
              </w:rPr>
              <w:t>a</w:t>
            </w:r>
            <w:r>
              <w:rPr>
                <w:w w:val="90"/>
                <w:sz w:val="14"/>
              </w:rPr>
              <w:t>1n</w:t>
            </w:r>
          </w:p>
        </w:tc>
      </w:tr>
      <w:tr>
        <w:trPr>
          <w:trHeight w:val="290" w:hRule="exact"/>
        </w:trPr>
        <w:tc>
          <w:tcPr>
            <w:tcW w:w="1099" w:type="dxa"/>
            <w:tcBorders>
              <w:top w:val="nil"/>
              <w:left w:val="nil"/>
              <w:bottom w:val="nil"/>
              <w:right w:val="nil"/>
            </w:tcBorders>
          </w:tcPr>
          <w:p>
            <w:pPr>
              <w:pStyle w:val="TableParagraph"/>
              <w:spacing w:before="5"/>
              <w:ind w:left="110"/>
              <w:rPr>
                <w:rFonts w:ascii="Trebuchet MS"/>
                <w:b/>
                <w:sz w:val="22"/>
              </w:rPr>
            </w:pPr>
            <w:r>
              <w:rPr>
                <w:rFonts w:ascii="Trebuchet MS"/>
                <w:b/>
                <w:w w:val="69"/>
                <w:sz w:val="22"/>
              </w:rPr>
              <w:t>t</w:t>
            </w:r>
          </w:p>
        </w:tc>
        <w:tc>
          <w:tcPr>
            <w:tcW w:w="980" w:type="dxa"/>
            <w:tcBorders>
              <w:top w:val="nil"/>
              <w:left w:val="nil"/>
              <w:bottom w:val="nil"/>
              <w:right w:val="nil"/>
            </w:tcBorders>
          </w:tcPr>
          <w:p>
            <w:pPr>
              <w:pStyle w:val="TableParagraph"/>
              <w:spacing w:before="4"/>
              <w:ind w:left="116"/>
              <w:rPr>
                <w:sz w:val="14"/>
              </w:rPr>
            </w:pPr>
            <w:r>
              <w:rPr>
                <w:w w:val="90"/>
                <w:position w:val="2"/>
                <w:sz w:val="22"/>
              </w:rPr>
              <w:t>A</w:t>
            </w:r>
            <w:r>
              <w:rPr>
                <w:w w:val="90"/>
                <w:sz w:val="14"/>
              </w:rPr>
              <w:t>2</w:t>
            </w:r>
          </w:p>
        </w:tc>
        <w:tc>
          <w:tcPr>
            <w:tcW w:w="916" w:type="dxa"/>
            <w:tcBorders>
              <w:top w:val="nil"/>
              <w:left w:val="nil"/>
              <w:bottom w:val="nil"/>
              <w:right w:val="nil"/>
            </w:tcBorders>
          </w:tcPr>
          <w:p>
            <w:pPr>
              <w:pStyle w:val="TableParagraph"/>
              <w:spacing w:before="4"/>
              <w:ind w:left="241"/>
              <w:rPr>
                <w:sz w:val="14"/>
              </w:rPr>
            </w:pPr>
            <w:r>
              <w:rPr>
                <w:w w:val="90"/>
                <w:position w:val="2"/>
                <w:sz w:val="22"/>
              </w:rPr>
              <w:t>A</w:t>
            </w:r>
            <w:r>
              <w:rPr>
                <w:w w:val="90"/>
                <w:sz w:val="14"/>
              </w:rPr>
              <w:t>21</w:t>
            </w:r>
          </w:p>
        </w:tc>
        <w:tc>
          <w:tcPr>
            <w:tcW w:w="1105" w:type="dxa"/>
            <w:tcBorders>
              <w:top w:val="nil"/>
              <w:left w:val="nil"/>
              <w:bottom w:val="nil"/>
              <w:right w:val="nil"/>
            </w:tcBorders>
          </w:tcPr>
          <w:p>
            <w:pPr>
              <w:pStyle w:val="TableParagraph"/>
              <w:spacing w:before="4"/>
              <w:ind w:left="429"/>
              <w:rPr>
                <w:sz w:val="14"/>
              </w:rPr>
            </w:pPr>
            <w:r>
              <w:rPr>
                <w:w w:val="90"/>
                <w:position w:val="2"/>
                <w:sz w:val="22"/>
              </w:rPr>
              <w:t>A</w:t>
            </w:r>
            <w:r>
              <w:rPr>
                <w:w w:val="90"/>
                <w:sz w:val="14"/>
              </w:rPr>
              <w:t>22</w:t>
            </w:r>
          </w:p>
        </w:tc>
        <w:tc>
          <w:tcPr>
            <w:tcW w:w="1073" w:type="dxa"/>
            <w:tcBorders>
              <w:top w:val="nil"/>
              <w:left w:val="nil"/>
              <w:bottom w:val="nil"/>
              <w:right w:val="nil"/>
            </w:tcBorders>
          </w:tcPr>
          <w:p>
            <w:pPr>
              <w:pStyle w:val="TableParagraph"/>
              <w:spacing w:before="5"/>
              <w:ind w:right="29"/>
              <w:jc w:val="center"/>
              <w:rPr>
                <w:sz w:val="22"/>
              </w:rPr>
            </w:pPr>
            <w:r>
              <w:rPr>
                <w:w w:val="82"/>
                <w:sz w:val="22"/>
              </w:rPr>
              <w:t>…</w:t>
            </w:r>
          </w:p>
        </w:tc>
        <w:tc>
          <w:tcPr>
            <w:tcW w:w="1110" w:type="dxa"/>
            <w:tcBorders>
              <w:top w:val="nil"/>
              <w:left w:val="nil"/>
              <w:bottom w:val="nil"/>
              <w:right w:val="nil"/>
            </w:tcBorders>
          </w:tcPr>
          <w:p>
            <w:pPr>
              <w:pStyle w:val="TableParagraph"/>
              <w:spacing w:before="4"/>
              <w:ind w:left="430" w:right="430"/>
              <w:jc w:val="center"/>
              <w:rPr>
                <w:sz w:val="14"/>
              </w:rPr>
            </w:pPr>
            <w:r>
              <w:rPr>
                <w:w w:val="90"/>
                <w:position w:val="2"/>
                <w:sz w:val="22"/>
              </w:rPr>
              <w:t>a</w:t>
            </w:r>
            <w:r>
              <w:rPr>
                <w:w w:val="90"/>
                <w:sz w:val="14"/>
              </w:rPr>
              <w:t>2j</w:t>
            </w:r>
          </w:p>
        </w:tc>
        <w:tc>
          <w:tcPr>
            <w:tcW w:w="1104" w:type="dxa"/>
            <w:tcBorders>
              <w:top w:val="nil"/>
              <w:left w:val="nil"/>
              <w:bottom w:val="nil"/>
              <w:right w:val="nil"/>
            </w:tcBorders>
          </w:tcPr>
          <w:p>
            <w:pPr>
              <w:pStyle w:val="TableParagraph"/>
              <w:spacing w:before="5"/>
              <w:ind w:left="460"/>
              <w:rPr>
                <w:sz w:val="22"/>
              </w:rPr>
            </w:pPr>
            <w:r>
              <w:rPr>
                <w:w w:val="82"/>
                <w:sz w:val="22"/>
              </w:rPr>
              <w:t>…</w:t>
            </w:r>
          </w:p>
        </w:tc>
        <w:tc>
          <w:tcPr>
            <w:tcW w:w="1456" w:type="dxa"/>
            <w:tcBorders>
              <w:top w:val="nil"/>
              <w:left w:val="nil"/>
              <w:bottom w:val="nil"/>
              <w:right w:val="nil"/>
            </w:tcBorders>
          </w:tcPr>
          <w:p>
            <w:pPr>
              <w:pStyle w:val="TableParagraph"/>
              <w:spacing w:before="4"/>
              <w:ind w:left="461"/>
              <w:rPr>
                <w:sz w:val="14"/>
              </w:rPr>
            </w:pPr>
            <w:r>
              <w:rPr>
                <w:w w:val="90"/>
                <w:position w:val="2"/>
                <w:sz w:val="22"/>
              </w:rPr>
              <w:t>a</w:t>
            </w:r>
            <w:r>
              <w:rPr>
                <w:w w:val="90"/>
                <w:sz w:val="14"/>
              </w:rPr>
              <w:t>2n</w:t>
            </w:r>
          </w:p>
        </w:tc>
      </w:tr>
      <w:tr>
        <w:trPr>
          <w:trHeight w:val="288" w:hRule="exact"/>
        </w:trPr>
        <w:tc>
          <w:tcPr>
            <w:tcW w:w="1099" w:type="dxa"/>
            <w:tcBorders>
              <w:top w:val="nil"/>
              <w:left w:val="nil"/>
              <w:bottom w:val="nil"/>
              <w:right w:val="nil"/>
            </w:tcBorders>
          </w:tcPr>
          <w:p>
            <w:pPr>
              <w:pStyle w:val="TableParagraph"/>
              <w:spacing w:before="7"/>
              <w:ind w:left="110"/>
              <w:rPr>
                <w:rFonts w:ascii="Trebuchet MS"/>
                <w:b/>
                <w:sz w:val="22"/>
              </w:rPr>
            </w:pPr>
            <w:r>
              <w:rPr>
                <w:rFonts w:ascii="Trebuchet MS"/>
                <w:b/>
                <w:w w:val="79"/>
                <w:sz w:val="22"/>
              </w:rPr>
              <w:t>e</w:t>
            </w:r>
          </w:p>
        </w:tc>
        <w:tc>
          <w:tcPr>
            <w:tcW w:w="980" w:type="dxa"/>
            <w:tcBorders>
              <w:top w:val="nil"/>
              <w:left w:val="nil"/>
              <w:bottom w:val="nil"/>
              <w:right w:val="nil"/>
            </w:tcBorders>
          </w:tcPr>
          <w:p>
            <w:pPr>
              <w:pStyle w:val="TableParagraph"/>
              <w:spacing w:before="7"/>
              <w:ind w:left="116"/>
              <w:rPr>
                <w:sz w:val="22"/>
              </w:rPr>
            </w:pPr>
            <w:r>
              <w:rPr>
                <w:w w:val="82"/>
                <w:sz w:val="22"/>
              </w:rPr>
              <w:t>“</w:t>
            </w:r>
          </w:p>
        </w:tc>
        <w:tc>
          <w:tcPr>
            <w:tcW w:w="916" w:type="dxa"/>
            <w:tcBorders>
              <w:top w:val="nil"/>
              <w:left w:val="nil"/>
              <w:bottom w:val="nil"/>
              <w:right w:val="nil"/>
            </w:tcBorders>
          </w:tcPr>
          <w:p>
            <w:pPr>
              <w:pStyle w:val="TableParagraph"/>
              <w:spacing w:before="7"/>
              <w:ind w:left="241"/>
              <w:rPr>
                <w:sz w:val="22"/>
              </w:rPr>
            </w:pPr>
            <w:r>
              <w:rPr>
                <w:w w:val="82"/>
                <w:sz w:val="22"/>
              </w:rPr>
              <w:t>“</w:t>
            </w:r>
          </w:p>
        </w:tc>
        <w:tc>
          <w:tcPr>
            <w:tcW w:w="1105" w:type="dxa"/>
            <w:tcBorders>
              <w:top w:val="nil"/>
              <w:left w:val="nil"/>
              <w:bottom w:val="nil"/>
              <w:right w:val="nil"/>
            </w:tcBorders>
          </w:tcPr>
          <w:p>
            <w:pPr>
              <w:pStyle w:val="TableParagraph"/>
              <w:spacing w:before="7"/>
              <w:ind w:left="429"/>
              <w:rPr>
                <w:sz w:val="22"/>
              </w:rPr>
            </w:pPr>
            <w:r>
              <w:rPr>
                <w:w w:val="82"/>
                <w:sz w:val="22"/>
              </w:rPr>
              <w:t>“</w:t>
            </w:r>
          </w:p>
        </w:tc>
        <w:tc>
          <w:tcPr>
            <w:tcW w:w="1073" w:type="dxa"/>
            <w:tcBorders>
              <w:top w:val="nil"/>
              <w:left w:val="nil"/>
              <w:bottom w:val="nil"/>
              <w:right w:val="nil"/>
            </w:tcBorders>
          </w:tcPr>
          <w:p>
            <w:pPr>
              <w:pStyle w:val="TableParagraph"/>
              <w:spacing w:before="7"/>
              <w:ind w:right="29"/>
              <w:jc w:val="center"/>
              <w:rPr>
                <w:sz w:val="22"/>
              </w:rPr>
            </w:pPr>
            <w:r>
              <w:rPr>
                <w:w w:val="82"/>
                <w:sz w:val="22"/>
              </w:rPr>
              <w:t>…</w:t>
            </w:r>
          </w:p>
        </w:tc>
        <w:tc>
          <w:tcPr>
            <w:tcW w:w="1110" w:type="dxa"/>
            <w:tcBorders>
              <w:top w:val="nil"/>
              <w:left w:val="nil"/>
              <w:bottom w:val="nil"/>
              <w:right w:val="nil"/>
            </w:tcBorders>
          </w:tcPr>
          <w:p>
            <w:pPr>
              <w:pStyle w:val="TableParagraph"/>
              <w:spacing w:before="7"/>
              <w:ind w:right="124"/>
              <w:jc w:val="center"/>
              <w:rPr>
                <w:sz w:val="22"/>
              </w:rPr>
            </w:pPr>
            <w:r>
              <w:rPr>
                <w:w w:val="82"/>
                <w:sz w:val="22"/>
              </w:rPr>
              <w:t>“</w:t>
            </w:r>
          </w:p>
        </w:tc>
        <w:tc>
          <w:tcPr>
            <w:tcW w:w="1104" w:type="dxa"/>
            <w:tcBorders>
              <w:top w:val="nil"/>
              <w:left w:val="nil"/>
              <w:bottom w:val="nil"/>
              <w:right w:val="nil"/>
            </w:tcBorders>
          </w:tcPr>
          <w:p>
            <w:pPr>
              <w:pStyle w:val="TableParagraph"/>
              <w:spacing w:before="7"/>
              <w:ind w:left="460"/>
              <w:rPr>
                <w:sz w:val="22"/>
              </w:rPr>
            </w:pPr>
            <w:r>
              <w:rPr>
                <w:w w:val="82"/>
                <w:sz w:val="22"/>
              </w:rPr>
              <w:t>“</w:t>
            </w:r>
          </w:p>
        </w:tc>
        <w:tc>
          <w:tcPr>
            <w:tcW w:w="1456" w:type="dxa"/>
            <w:tcBorders>
              <w:top w:val="nil"/>
              <w:left w:val="nil"/>
              <w:bottom w:val="nil"/>
              <w:right w:val="nil"/>
            </w:tcBorders>
          </w:tcPr>
          <w:p>
            <w:pPr>
              <w:pStyle w:val="TableParagraph"/>
              <w:spacing w:before="7"/>
              <w:ind w:left="461"/>
              <w:rPr>
                <w:sz w:val="22"/>
              </w:rPr>
            </w:pPr>
            <w:r>
              <w:rPr>
                <w:w w:val="82"/>
                <w:sz w:val="22"/>
              </w:rPr>
              <w:t>“</w:t>
            </w:r>
          </w:p>
        </w:tc>
      </w:tr>
      <w:tr>
        <w:trPr>
          <w:trHeight w:val="291" w:hRule="exact"/>
        </w:trPr>
        <w:tc>
          <w:tcPr>
            <w:tcW w:w="1099" w:type="dxa"/>
            <w:tcBorders>
              <w:top w:val="nil"/>
              <w:left w:val="nil"/>
              <w:bottom w:val="nil"/>
              <w:right w:val="nil"/>
            </w:tcBorders>
          </w:tcPr>
          <w:p>
            <w:pPr>
              <w:pStyle w:val="TableParagraph"/>
              <w:spacing w:before="7"/>
              <w:ind w:left="110"/>
              <w:rPr>
                <w:rFonts w:ascii="Trebuchet MS"/>
                <w:b/>
                <w:sz w:val="22"/>
              </w:rPr>
            </w:pPr>
            <w:r>
              <w:rPr>
                <w:rFonts w:ascii="Trebuchet MS"/>
                <w:b/>
                <w:w w:val="74"/>
                <w:sz w:val="22"/>
              </w:rPr>
              <w:t>r</w:t>
            </w:r>
          </w:p>
        </w:tc>
        <w:tc>
          <w:tcPr>
            <w:tcW w:w="980" w:type="dxa"/>
            <w:tcBorders>
              <w:top w:val="nil"/>
              <w:left w:val="nil"/>
              <w:bottom w:val="nil"/>
              <w:right w:val="nil"/>
            </w:tcBorders>
          </w:tcPr>
          <w:p>
            <w:pPr>
              <w:pStyle w:val="TableParagraph"/>
              <w:spacing w:before="7"/>
              <w:ind w:left="116"/>
              <w:rPr>
                <w:sz w:val="22"/>
              </w:rPr>
            </w:pPr>
            <w:r>
              <w:rPr>
                <w:w w:val="82"/>
                <w:sz w:val="22"/>
              </w:rPr>
              <w:t>“</w:t>
            </w:r>
          </w:p>
        </w:tc>
        <w:tc>
          <w:tcPr>
            <w:tcW w:w="916" w:type="dxa"/>
            <w:tcBorders>
              <w:top w:val="nil"/>
              <w:left w:val="nil"/>
              <w:bottom w:val="nil"/>
              <w:right w:val="nil"/>
            </w:tcBorders>
          </w:tcPr>
          <w:p>
            <w:pPr>
              <w:pStyle w:val="TableParagraph"/>
              <w:spacing w:before="7"/>
              <w:ind w:left="241"/>
              <w:rPr>
                <w:sz w:val="22"/>
              </w:rPr>
            </w:pPr>
            <w:r>
              <w:rPr>
                <w:w w:val="82"/>
                <w:sz w:val="22"/>
              </w:rPr>
              <w:t>“</w:t>
            </w:r>
          </w:p>
        </w:tc>
        <w:tc>
          <w:tcPr>
            <w:tcW w:w="1105" w:type="dxa"/>
            <w:tcBorders>
              <w:top w:val="nil"/>
              <w:left w:val="nil"/>
              <w:bottom w:val="nil"/>
              <w:right w:val="nil"/>
            </w:tcBorders>
          </w:tcPr>
          <w:p>
            <w:pPr>
              <w:pStyle w:val="TableParagraph"/>
              <w:spacing w:before="7"/>
              <w:ind w:left="429"/>
              <w:rPr>
                <w:sz w:val="22"/>
              </w:rPr>
            </w:pPr>
            <w:r>
              <w:rPr>
                <w:w w:val="82"/>
                <w:sz w:val="22"/>
              </w:rPr>
              <w:t>“</w:t>
            </w:r>
          </w:p>
        </w:tc>
        <w:tc>
          <w:tcPr>
            <w:tcW w:w="1073" w:type="dxa"/>
            <w:tcBorders>
              <w:top w:val="nil"/>
              <w:left w:val="nil"/>
              <w:bottom w:val="nil"/>
              <w:right w:val="nil"/>
            </w:tcBorders>
          </w:tcPr>
          <w:p>
            <w:pPr>
              <w:pStyle w:val="TableParagraph"/>
              <w:spacing w:before="7"/>
              <w:ind w:right="29"/>
              <w:jc w:val="center"/>
              <w:rPr>
                <w:sz w:val="22"/>
              </w:rPr>
            </w:pPr>
            <w:r>
              <w:rPr>
                <w:w w:val="82"/>
                <w:sz w:val="22"/>
              </w:rPr>
              <w:t>…</w:t>
            </w:r>
          </w:p>
        </w:tc>
        <w:tc>
          <w:tcPr>
            <w:tcW w:w="1110" w:type="dxa"/>
            <w:tcBorders>
              <w:top w:val="nil"/>
              <w:left w:val="nil"/>
              <w:bottom w:val="nil"/>
              <w:right w:val="nil"/>
            </w:tcBorders>
          </w:tcPr>
          <w:p>
            <w:pPr>
              <w:pStyle w:val="TableParagraph"/>
              <w:spacing w:before="7"/>
              <w:ind w:right="124"/>
              <w:jc w:val="center"/>
              <w:rPr>
                <w:sz w:val="22"/>
              </w:rPr>
            </w:pPr>
            <w:r>
              <w:rPr>
                <w:w w:val="82"/>
                <w:sz w:val="22"/>
              </w:rPr>
              <w:t>“</w:t>
            </w:r>
          </w:p>
        </w:tc>
        <w:tc>
          <w:tcPr>
            <w:tcW w:w="1104" w:type="dxa"/>
            <w:tcBorders>
              <w:top w:val="nil"/>
              <w:left w:val="nil"/>
              <w:bottom w:val="nil"/>
              <w:right w:val="nil"/>
            </w:tcBorders>
          </w:tcPr>
          <w:p>
            <w:pPr>
              <w:pStyle w:val="TableParagraph"/>
              <w:spacing w:before="7"/>
              <w:ind w:left="460"/>
              <w:rPr>
                <w:sz w:val="22"/>
              </w:rPr>
            </w:pPr>
            <w:r>
              <w:rPr>
                <w:w w:val="82"/>
                <w:sz w:val="22"/>
              </w:rPr>
              <w:t>“</w:t>
            </w:r>
          </w:p>
        </w:tc>
        <w:tc>
          <w:tcPr>
            <w:tcW w:w="1456" w:type="dxa"/>
            <w:tcBorders>
              <w:top w:val="nil"/>
              <w:left w:val="nil"/>
              <w:bottom w:val="nil"/>
              <w:right w:val="nil"/>
            </w:tcBorders>
          </w:tcPr>
          <w:p>
            <w:pPr>
              <w:pStyle w:val="TableParagraph"/>
              <w:spacing w:before="7"/>
              <w:ind w:left="461"/>
              <w:rPr>
                <w:sz w:val="22"/>
              </w:rPr>
            </w:pPr>
            <w:r>
              <w:rPr>
                <w:w w:val="82"/>
                <w:sz w:val="22"/>
              </w:rPr>
              <w:t>“</w:t>
            </w:r>
          </w:p>
        </w:tc>
      </w:tr>
      <w:tr>
        <w:trPr>
          <w:trHeight w:val="291" w:hRule="exact"/>
        </w:trPr>
        <w:tc>
          <w:tcPr>
            <w:tcW w:w="1099" w:type="dxa"/>
            <w:tcBorders>
              <w:top w:val="nil"/>
              <w:left w:val="nil"/>
              <w:bottom w:val="nil"/>
              <w:right w:val="nil"/>
            </w:tcBorders>
          </w:tcPr>
          <w:p>
            <w:pPr>
              <w:pStyle w:val="TableParagraph"/>
              <w:spacing w:before="9"/>
              <w:ind w:left="110"/>
              <w:rPr>
                <w:rFonts w:ascii="Trebuchet MS"/>
                <w:b/>
                <w:sz w:val="22"/>
              </w:rPr>
            </w:pPr>
            <w:r>
              <w:rPr>
                <w:rFonts w:ascii="Trebuchet MS"/>
                <w:b/>
                <w:w w:val="85"/>
                <w:sz w:val="22"/>
              </w:rPr>
              <w:t>n</w:t>
            </w:r>
          </w:p>
        </w:tc>
        <w:tc>
          <w:tcPr>
            <w:tcW w:w="980" w:type="dxa"/>
            <w:tcBorders>
              <w:top w:val="nil"/>
              <w:left w:val="nil"/>
              <w:bottom w:val="nil"/>
              <w:right w:val="nil"/>
            </w:tcBorders>
          </w:tcPr>
          <w:p>
            <w:pPr>
              <w:pStyle w:val="TableParagraph"/>
              <w:spacing w:before="10"/>
              <w:ind w:left="116"/>
              <w:rPr>
                <w:sz w:val="22"/>
              </w:rPr>
            </w:pPr>
            <w:r>
              <w:rPr>
                <w:w w:val="82"/>
                <w:sz w:val="22"/>
              </w:rPr>
              <w:t>“</w:t>
            </w:r>
          </w:p>
        </w:tc>
        <w:tc>
          <w:tcPr>
            <w:tcW w:w="916" w:type="dxa"/>
            <w:tcBorders>
              <w:top w:val="nil"/>
              <w:left w:val="nil"/>
              <w:bottom w:val="nil"/>
              <w:right w:val="nil"/>
            </w:tcBorders>
          </w:tcPr>
          <w:p>
            <w:pPr>
              <w:pStyle w:val="TableParagraph"/>
              <w:spacing w:before="10"/>
              <w:ind w:left="241"/>
              <w:rPr>
                <w:sz w:val="22"/>
              </w:rPr>
            </w:pPr>
            <w:r>
              <w:rPr>
                <w:w w:val="82"/>
                <w:sz w:val="22"/>
              </w:rPr>
              <w:t>“</w:t>
            </w:r>
          </w:p>
        </w:tc>
        <w:tc>
          <w:tcPr>
            <w:tcW w:w="1105" w:type="dxa"/>
            <w:tcBorders>
              <w:top w:val="nil"/>
              <w:left w:val="nil"/>
              <w:bottom w:val="nil"/>
              <w:right w:val="nil"/>
            </w:tcBorders>
          </w:tcPr>
          <w:p>
            <w:pPr>
              <w:pStyle w:val="TableParagraph"/>
              <w:spacing w:before="10"/>
              <w:ind w:left="429"/>
              <w:rPr>
                <w:sz w:val="22"/>
              </w:rPr>
            </w:pPr>
            <w:r>
              <w:rPr>
                <w:w w:val="82"/>
                <w:sz w:val="22"/>
              </w:rPr>
              <w:t>“</w:t>
            </w:r>
          </w:p>
        </w:tc>
        <w:tc>
          <w:tcPr>
            <w:tcW w:w="1073" w:type="dxa"/>
            <w:tcBorders>
              <w:top w:val="nil"/>
              <w:left w:val="nil"/>
              <w:bottom w:val="nil"/>
              <w:right w:val="nil"/>
            </w:tcBorders>
          </w:tcPr>
          <w:p>
            <w:pPr>
              <w:pStyle w:val="TableParagraph"/>
              <w:spacing w:before="10"/>
              <w:ind w:right="29"/>
              <w:jc w:val="center"/>
              <w:rPr>
                <w:sz w:val="22"/>
              </w:rPr>
            </w:pPr>
            <w:r>
              <w:rPr>
                <w:w w:val="82"/>
                <w:sz w:val="22"/>
              </w:rPr>
              <w:t>…</w:t>
            </w:r>
          </w:p>
        </w:tc>
        <w:tc>
          <w:tcPr>
            <w:tcW w:w="1110" w:type="dxa"/>
            <w:tcBorders>
              <w:top w:val="nil"/>
              <w:left w:val="nil"/>
              <w:bottom w:val="nil"/>
              <w:right w:val="nil"/>
            </w:tcBorders>
          </w:tcPr>
          <w:p>
            <w:pPr>
              <w:pStyle w:val="TableParagraph"/>
              <w:spacing w:before="10"/>
              <w:ind w:right="124"/>
              <w:jc w:val="center"/>
              <w:rPr>
                <w:sz w:val="22"/>
              </w:rPr>
            </w:pPr>
            <w:r>
              <w:rPr>
                <w:w w:val="82"/>
                <w:sz w:val="22"/>
              </w:rPr>
              <w:t>“</w:t>
            </w:r>
          </w:p>
        </w:tc>
        <w:tc>
          <w:tcPr>
            <w:tcW w:w="1104" w:type="dxa"/>
            <w:tcBorders>
              <w:top w:val="nil"/>
              <w:left w:val="nil"/>
              <w:bottom w:val="nil"/>
              <w:right w:val="nil"/>
            </w:tcBorders>
          </w:tcPr>
          <w:p>
            <w:pPr>
              <w:pStyle w:val="TableParagraph"/>
              <w:spacing w:before="10"/>
              <w:ind w:left="460"/>
              <w:rPr>
                <w:sz w:val="22"/>
              </w:rPr>
            </w:pPr>
            <w:r>
              <w:rPr>
                <w:w w:val="82"/>
                <w:sz w:val="22"/>
              </w:rPr>
              <w:t>“</w:t>
            </w:r>
          </w:p>
        </w:tc>
        <w:tc>
          <w:tcPr>
            <w:tcW w:w="1456" w:type="dxa"/>
            <w:tcBorders>
              <w:top w:val="nil"/>
              <w:left w:val="nil"/>
              <w:bottom w:val="nil"/>
              <w:right w:val="nil"/>
            </w:tcBorders>
          </w:tcPr>
          <w:p>
            <w:pPr>
              <w:pStyle w:val="TableParagraph"/>
              <w:spacing w:before="10"/>
              <w:ind w:left="461"/>
              <w:rPr>
                <w:sz w:val="22"/>
              </w:rPr>
            </w:pPr>
            <w:r>
              <w:rPr>
                <w:w w:val="82"/>
                <w:sz w:val="22"/>
              </w:rPr>
              <w:t>“</w:t>
            </w:r>
          </w:p>
        </w:tc>
      </w:tr>
      <w:tr>
        <w:trPr>
          <w:trHeight w:val="288" w:hRule="exact"/>
        </w:trPr>
        <w:tc>
          <w:tcPr>
            <w:tcW w:w="1099" w:type="dxa"/>
            <w:tcBorders>
              <w:top w:val="nil"/>
              <w:left w:val="nil"/>
              <w:bottom w:val="nil"/>
              <w:right w:val="nil"/>
            </w:tcBorders>
          </w:tcPr>
          <w:p>
            <w:pPr>
              <w:pStyle w:val="TableParagraph"/>
              <w:spacing w:before="7"/>
              <w:ind w:left="110"/>
              <w:rPr>
                <w:rFonts w:ascii="Trebuchet MS"/>
                <w:b/>
                <w:sz w:val="22"/>
              </w:rPr>
            </w:pPr>
            <w:r>
              <w:rPr>
                <w:rFonts w:ascii="Trebuchet MS"/>
                <w:b/>
                <w:w w:val="85"/>
                <w:sz w:val="22"/>
              </w:rPr>
              <w:t>a</w:t>
            </w:r>
          </w:p>
        </w:tc>
        <w:tc>
          <w:tcPr>
            <w:tcW w:w="980" w:type="dxa"/>
            <w:tcBorders>
              <w:top w:val="nil"/>
              <w:left w:val="nil"/>
              <w:bottom w:val="nil"/>
              <w:right w:val="nil"/>
            </w:tcBorders>
          </w:tcPr>
          <w:p>
            <w:pPr>
              <w:pStyle w:val="TableParagraph"/>
              <w:spacing w:before="7"/>
              <w:ind w:left="116"/>
              <w:rPr>
                <w:sz w:val="22"/>
              </w:rPr>
            </w:pPr>
            <w:r>
              <w:rPr>
                <w:w w:val="82"/>
                <w:sz w:val="22"/>
              </w:rPr>
              <w:t>“</w:t>
            </w:r>
          </w:p>
        </w:tc>
        <w:tc>
          <w:tcPr>
            <w:tcW w:w="916" w:type="dxa"/>
            <w:tcBorders>
              <w:top w:val="nil"/>
              <w:left w:val="nil"/>
              <w:bottom w:val="nil"/>
              <w:right w:val="nil"/>
            </w:tcBorders>
          </w:tcPr>
          <w:p>
            <w:pPr>
              <w:pStyle w:val="TableParagraph"/>
              <w:spacing w:before="7"/>
              <w:ind w:left="241"/>
              <w:rPr>
                <w:sz w:val="22"/>
              </w:rPr>
            </w:pPr>
            <w:r>
              <w:rPr>
                <w:w w:val="82"/>
                <w:sz w:val="22"/>
              </w:rPr>
              <w:t>“</w:t>
            </w:r>
          </w:p>
        </w:tc>
        <w:tc>
          <w:tcPr>
            <w:tcW w:w="1105" w:type="dxa"/>
            <w:tcBorders>
              <w:top w:val="nil"/>
              <w:left w:val="nil"/>
              <w:bottom w:val="nil"/>
              <w:right w:val="nil"/>
            </w:tcBorders>
          </w:tcPr>
          <w:p>
            <w:pPr>
              <w:pStyle w:val="TableParagraph"/>
              <w:spacing w:before="7"/>
              <w:ind w:left="429"/>
              <w:rPr>
                <w:sz w:val="22"/>
              </w:rPr>
            </w:pPr>
            <w:r>
              <w:rPr>
                <w:w w:val="82"/>
                <w:sz w:val="22"/>
              </w:rPr>
              <w:t>“</w:t>
            </w:r>
          </w:p>
        </w:tc>
        <w:tc>
          <w:tcPr>
            <w:tcW w:w="1073" w:type="dxa"/>
            <w:tcBorders>
              <w:top w:val="nil"/>
              <w:left w:val="nil"/>
              <w:bottom w:val="nil"/>
              <w:right w:val="nil"/>
            </w:tcBorders>
          </w:tcPr>
          <w:p>
            <w:pPr>
              <w:pStyle w:val="TableParagraph"/>
              <w:spacing w:before="7"/>
              <w:ind w:right="29"/>
              <w:jc w:val="center"/>
              <w:rPr>
                <w:sz w:val="22"/>
              </w:rPr>
            </w:pPr>
            <w:r>
              <w:rPr>
                <w:w w:val="82"/>
                <w:sz w:val="22"/>
              </w:rPr>
              <w:t>…</w:t>
            </w:r>
          </w:p>
        </w:tc>
        <w:tc>
          <w:tcPr>
            <w:tcW w:w="1110" w:type="dxa"/>
            <w:tcBorders>
              <w:top w:val="nil"/>
              <w:left w:val="nil"/>
              <w:bottom w:val="nil"/>
              <w:right w:val="nil"/>
            </w:tcBorders>
          </w:tcPr>
          <w:p>
            <w:pPr>
              <w:pStyle w:val="TableParagraph"/>
              <w:spacing w:before="7"/>
              <w:ind w:right="124"/>
              <w:jc w:val="center"/>
              <w:rPr>
                <w:sz w:val="22"/>
              </w:rPr>
            </w:pPr>
            <w:r>
              <w:rPr>
                <w:w w:val="82"/>
                <w:sz w:val="22"/>
              </w:rPr>
              <w:t>“</w:t>
            </w:r>
          </w:p>
        </w:tc>
        <w:tc>
          <w:tcPr>
            <w:tcW w:w="1104" w:type="dxa"/>
            <w:tcBorders>
              <w:top w:val="nil"/>
              <w:left w:val="nil"/>
              <w:bottom w:val="nil"/>
              <w:right w:val="nil"/>
            </w:tcBorders>
          </w:tcPr>
          <w:p>
            <w:pPr>
              <w:pStyle w:val="TableParagraph"/>
              <w:spacing w:before="7"/>
              <w:ind w:left="460"/>
              <w:rPr>
                <w:sz w:val="22"/>
              </w:rPr>
            </w:pPr>
            <w:r>
              <w:rPr>
                <w:w w:val="82"/>
                <w:sz w:val="22"/>
              </w:rPr>
              <w:t>“</w:t>
            </w:r>
          </w:p>
        </w:tc>
        <w:tc>
          <w:tcPr>
            <w:tcW w:w="1456" w:type="dxa"/>
            <w:tcBorders>
              <w:top w:val="nil"/>
              <w:left w:val="nil"/>
              <w:bottom w:val="nil"/>
              <w:right w:val="nil"/>
            </w:tcBorders>
          </w:tcPr>
          <w:p>
            <w:pPr>
              <w:pStyle w:val="TableParagraph"/>
              <w:spacing w:before="7"/>
              <w:ind w:left="461"/>
              <w:rPr>
                <w:sz w:val="22"/>
              </w:rPr>
            </w:pPr>
            <w:r>
              <w:rPr>
                <w:w w:val="82"/>
                <w:sz w:val="22"/>
              </w:rPr>
              <w:t>“</w:t>
            </w:r>
          </w:p>
        </w:tc>
      </w:tr>
      <w:tr>
        <w:trPr>
          <w:trHeight w:val="290" w:hRule="exact"/>
        </w:trPr>
        <w:tc>
          <w:tcPr>
            <w:tcW w:w="1099" w:type="dxa"/>
            <w:tcBorders>
              <w:top w:val="nil"/>
              <w:left w:val="nil"/>
              <w:bottom w:val="nil"/>
              <w:right w:val="nil"/>
            </w:tcBorders>
          </w:tcPr>
          <w:p>
            <w:pPr>
              <w:pStyle w:val="TableParagraph"/>
              <w:spacing w:before="7"/>
              <w:ind w:left="110"/>
              <w:rPr>
                <w:rFonts w:ascii="Trebuchet MS"/>
                <w:b/>
                <w:sz w:val="22"/>
              </w:rPr>
            </w:pPr>
            <w:r>
              <w:rPr>
                <w:rFonts w:ascii="Trebuchet MS"/>
                <w:b/>
                <w:w w:val="69"/>
                <w:sz w:val="22"/>
              </w:rPr>
              <w:t>t</w:t>
            </w:r>
          </w:p>
        </w:tc>
        <w:tc>
          <w:tcPr>
            <w:tcW w:w="980" w:type="dxa"/>
            <w:tcBorders>
              <w:top w:val="nil"/>
              <w:left w:val="nil"/>
              <w:bottom w:val="nil"/>
              <w:right w:val="nil"/>
            </w:tcBorders>
          </w:tcPr>
          <w:p>
            <w:pPr>
              <w:pStyle w:val="TableParagraph"/>
              <w:spacing w:before="7"/>
              <w:ind w:left="116"/>
              <w:rPr>
                <w:sz w:val="22"/>
              </w:rPr>
            </w:pPr>
            <w:r>
              <w:rPr>
                <w:w w:val="82"/>
                <w:sz w:val="22"/>
              </w:rPr>
              <w:t>“</w:t>
            </w:r>
          </w:p>
        </w:tc>
        <w:tc>
          <w:tcPr>
            <w:tcW w:w="916" w:type="dxa"/>
            <w:tcBorders>
              <w:top w:val="nil"/>
              <w:left w:val="nil"/>
              <w:bottom w:val="nil"/>
              <w:right w:val="nil"/>
            </w:tcBorders>
          </w:tcPr>
          <w:p>
            <w:pPr>
              <w:pStyle w:val="TableParagraph"/>
              <w:spacing w:before="7"/>
              <w:ind w:left="241"/>
              <w:rPr>
                <w:sz w:val="22"/>
              </w:rPr>
            </w:pPr>
            <w:r>
              <w:rPr>
                <w:w w:val="82"/>
                <w:sz w:val="22"/>
              </w:rPr>
              <w:t>“</w:t>
            </w:r>
          </w:p>
        </w:tc>
        <w:tc>
          <w:tcPr>
            <w:tcW w:w="1105" w:type="dxa"/>
            <w:tcBorders>
              <w:top w:val="nil"/>
              <w:left w:val="nil"/>
              <w:bottom w:val="nil"/>
              <w:right w:val="nil"/>
            </w:tcBorders>
          </w:tcPr>
          <w:p>
            <w:pPr>
              <w:pStyle w:val="TableParagraph"/>
              <w:spacing w:before="7"/>
              <w:ind w:left="429"/>
              <w:rPr>
                <w:sz w:val="22"/>
              </w:rPr>
            </w:pPr>
            <w:r>
              <w:rPr>
                <w:w w:val="82"/>
                <w:sz w:val="22"/>
              </w:rPr>
              <w:t>“</w:t>
            </w:r>
          </w:p>
        </w:tc>
        <w:tc>
          <w:tcPr>
            <w:tcW w:w="1073" w:type="dxa"/>
            <w:tcBorders>
              <w:top w:val="nil"/>
              <w:left w:val="nil"/>
              <w:bottom w:val="nil"/>
              <w:right w:val="nil"/>
            </w:tcBorders>
          </w:tcPr>
          <w:p>
            <w:pPr>
              <w:pStyle w:val="TableParagraph"/>
              <w:spacing w:before="7"/>
              <w:ind w:right="29"/>
              <w:jc w:val="center"/>
              <w:rPr>
                <w:sz w:val="22"/>
              </w:rPr>
            </w:pPr>
            <w:r>
              <w:rPr>
                <w:w w:val="82"/>
                <w:sz w:val="22"/>
              </w:rPr>
              <w:t>…</w:t>
            </w:r>
          </w:p>
        </w:tc>
        <w:tc>
          <w:tcPr>
            <w:tcW w:w="1110" w:type="dxa"/>
            <w:tcBorders>
              <w:top w:val="nil"/>
              <w:left w:val="nil"/>
              <w:bottom w:val="nil"/>
              <w:right w:val="nil"/>
            </w:tcBorders>
          </w:tcPr>
          <w:p>
            <w:pPr>
              <w:pStyle w:val="TableParagraph"/>
              <w:spacing w:before="7"/>
              <w:ind w:right="124"/>
              <w:jc w:val="center"/>
              <w:rPr>
                <w:sz w:val="22"/>
              </w:rPr>
            </w:pPr>
            <w:r>
              <w:rPr>
                <w:w w:val="82"/>
                <w:sz w:val="22"/>
              </w:rPr>
              <w:t>“</w:t>
            </w:r>
          </w:p>
        </w:tc>
        <w:tc>
          <w:tcPr>
            <w:tcW w:w="1104" w:type="dxa"/>
            <w:tcBorders>
              <w:top w:val="nil"/>
              <w:left w:val="nil"/>
              <w:bottom w:val="nil"/>
              <w:right w:val="nil"/>
            </w:tcBorders>
          </w:tcPr>
          <w:p>
            <w:pPr>
              <w:pStyle w:val="TableParagraph"/>
              <w:spacing w:before="7"/>
              <w:ind w:left="460"/>
              <w:rPr>
                <w:sz w:val="22"/>
              </w:rPr>
            </w:pPr>
            <w:r>
              <w:rPr>
                <w:w w:val="82"/>
                <w:sz w:val="22"/>
              </w:rPr>
              <w:t>“</w:t>
            </w:r>
          </w:p>
        </w:tc>
        <w:tc>
          <w:tcPr>
            <w:tcW w:w="1456" w:type="dxa"/>
            <w:tcBorders>
              <w:top w:val="nil"/>
              <w:left w:val="nil"/>
              <w:bottom w:val="nil"/>
              <w:right w:val="nil"/>
            </w:tcBorders>
          </w:tcPr>
          <w:p>
            <w:pPr>
              <w:pStyle w:val="TableParagraph"/>
              <w:spacing w:before="7"/>
              <w:ind w:left="461"/>
              <w:rPr>
                <w:sz w:val="22"/>
              </w:rPr>
            </w:pPr>
            <w:r>
              <w:rPr>
                <w:w w:val="82"/>
                <w:sz w:val="22"/>
              </w:rPr>
              <w:t>“</w:t>
            </w:r>
          </w:p>
        </w:tc>
      </w:tr>
      <w:tr>
        <w:trPr>
          <w:trHeight w:val="290" w:hRule="exact"/>
        </w:trPr>
        <w:tc>
          <w:tcPr>
            <w:tcW w:w="1099" w:type="dxa"/>
            <w:tcBorders>
              <w:top w:val="nil"/>
              <w:left w:val="nil"/>
              <w:bottom w:val="nil"/>
              <w:right w:val="nil"/>
            </w:tcBorders>
          </w:tcPr>
          <w:p>
            <w:pPr>
              <w:pStyle w:val="TableParagraph"/>
              <w:spacing w:before="9"/>
              <w:ind w:left="110"/>
              <w:rPr>
                <w:rFonts w:ascii="Trebuchet MS"/>
                <w:b/>
                <w:sz w:val="22"/>
              </w:rPr>
            </w:pPr>
            <w:r>
              <w:rPr>
                <w:rFonts w:ascii="Trebuchet MS"/>
                <w:b/>
                <w:w w:val="76"/>
                <w:sz w:val="22"/>
              </w:rPr>
              <w:t>i</w:t>
            </w:r>
          </w:p>
        </w:tc>
        <w:tc>
          <w:tcPr>
            <w:tcW w:w="980" w:type="dxa"/>
            <w:tcBorders>
              <w:top w:val="nil"/>
              <w:left w:val="nil"/>
              <w:bottom w:val="nil"/>
              <w:right w:val="nil"/>
            </w:tcBorders>
          </w:tcPr>
          <w:p>
            <w:pPr>
              <w:pStyle w:val="TableParagraph"/>
              <w:spacing w:before="9"/>
              <w:ind w:left="116"/>
              <w:rPr>
                <w:sz w:val="22"/>
              </w:rPr>
            </w:pPr>
            <w:r>
              <w:rPr>
                <w:w w:val="82"/>
                <w:sz w:val="22"/>
              </w:rPr>
              <w:t>“</w:t>
            </w:r>
          </w:p>
        </w:tc>
        <w:tc>
          <w:tcPr>
            <w:tcW w:w="916" w:type="dxa"/>
            <w:tcBorders>
              <w:top w:val="nil"/>
              <w:left w:val="nil"/>
              <w:bottom w:val="nil"/>
              <w:right w:val="nil"/>
            </w:tcBorders>
          </w:tcPr>
          <w:p>
            <w:pPr>
              <w:pStyle w:val="TableParagraph"/>
              <w:spacing w:before="9"/>
              <w:ind w:left="241"/>
              <w:rPr>
                <w:sz w:val="22"/>
              </w:rPr>
            </w:pPr>
            <w:r>
              <w:rPr>
                <w:w w:val="82"/>
                <w:sz w:val="22"/>
              </w:rPr>
              <w:t>“</w:t>
            </w:r>
          </w:p>
        </w:tc>
        <w:tc>
          <w:tcPr>
            <w:tcW w:w="1105" w:type="dxa"/>
            <w:tcBorders>
              <w:top w:val="nil"/>
              <w:left w:val="nil"/>
              <w:bottom w:val="nil"/>
              <w:right w:val="nil"/>
            </w:tcBorders>
          </w:tcPr>
          <w:p>
            <w:pPr>
              <w:pStyle w:val="TableParagraph"/>
              <w:spacing w:before="9"/>
              <w:ind w:left="429"/>
              <w:rPr>
                <w:sz w:val="22"/>
              </w:rPr>
            </w:pPr>
            <w:r>
              <w:rPr>
                <w:w w:val="82"/>
                <w:sz w:val="22"/>
              </w:rPr>
              <w:t>“</w:t>
            </w:r>
          </w:p>
        </w:tc>
        <w:tc>
          <w:tcPr>
            <w:tcW w:w="1073" w:type="dxa"/>
            <w:tcBorders>
              <w:top w:val="nil"/>
              <w:left w:val="nil"/>
              <w:bottom w:val="nil"/>
              <w:right w:val="nil"/>
            </w:tcBorders>
          </w:tcPr>
          <w:p>
            <w:pPr>
              <w:pStyle w:val="TableParagraph"/>
              <w:spacing w:before="9"/>
              <w:ind w:right="29"/>
              <w:jc w:val="center"/>
              <w:rPr>
                <w:sz w:val="22"/>
              </w:rPr>
            </w:pPr>
            <w:r>
              <w:rPr>
                <w:w w:val="82"/>
                <w:sz w:val="22"/>
              </w:rPr>
              <w:t>…</w:t>
            </w:r>
          </w:p>
        </w:tc>
        <w:tc>
          <w:tcPr>
            <w:tcW w:w="1110" w:type="dxa"/>
            <w:tcBorders>
              <w:top w:val="nil"/>
              <w:left w:val="nil"/>
              <w:bottom w:val="nil"/>
              <w:right w:val="nil"/>
            </w:tcBorders>
          </w:tcPr>
          <w:p>
            <w:pPr>
              <w:pStyle w:val="TableParagraph"/>
              <w:spacing w:before="9"/>
              <w:ind w:right="124"/>
              <w:jc w:val="center"/>
              <w:rPr>
                <w:sz w:val="22"/>
              </w:rPr>
            </w:pPr>
            <w:r>
              <w:rPr>
                <w:w w:val="82"/>
                <w:sz w:val="22"/>
              </w:rPr>
              <w:t>“</w:t>
            </w:r>
          </w:p>
        </w:tc>
        <w:tc>
          <w:tcPr>
            <w:tcW w:w="1104" w:type="dxa"/>
            <w:tcBorders>
              <w:top w:val="nil"/>
              <w:left w:val="nil"/>
              <w:bottom w:val="nil"/>
              <w:right w:val="nil"/>
            </w:tcBorders>
          </w:tcPr>
          <w:p>
            <w:pPr>
              <w:pStyle w:val="TableParagraph"/>
              <w:spacing w:before="9"/>
              <w:ind w:left="460"/>
              <w:rPr>
                <w:sz w:val="22"/>
              </w:rPr>
            </w:pPr>
            <w:r>
              <w:rPr>
                <w:w w:val="82"/>
                <w:sz w:val="22"/>
              </w:rPr>
              <w:t>“</w:t>
            </w:r>
          </w:p>
        </w:tc>
        <w:tc>
          <w:tcPr>
            <w:tcW w:w="1456" w:type="dxa"/>
            <w:tcBorders>
              <w:top w:val="nil"/>
              <w:left w:val="nil"/>
              <w:bottom w:val="nil"/>
              <w:right w:val="nil"/>
            </w:tcBorders>
          </w:tcPr>
          <w:p>
            <w:pPr>
              <w:pStyle w:val="TableParagraph"/>
              <w:spacing w:before="9"/>
              <w:ind w:left="461"/>
              <w:rPr>
                <w:sz w:val="22"/>
              </w:rPr>
            </w:pPr>
            <w:r>
              <w:rPr>
                <w:w w:val="82"/>
                <w:sz w:val="22"/>
              </w:rPr>
              <w:t>“</w:t>
            </w:r>
          </w:p>
        </w:tc>
      </w:tr>
      <w:tr>
        <w:trPr>
          <w:trHeight w:val="290" w:hRule="exact"/>
        </w:trPr>
        <w:tc>
          <w:tcPr>
            <w:tcW w:w="1099" w:type="dxa"/>
            <w:tcBorders>
              <w:top w:val="nil"/>
              <w:left w:val="nil"/>
              <w:bottom w:val="nil"/>
              <w:right w:val="nil"/>
            </w:tcBorders>
          </w:tcPr>
          <w:p>
            <w:pPr>
              <w:pStyle w:val="TableParagraph"/>
              <w:spacing w:before="7"/>
              <w:ind w:left="110"/>
              <w:rPr>
                <w:rFonts w:ascii="Trebuchet MS"/>
                <w:b/>
                <w:sz w:val="22"/>
              </w:rPr>
            </w:pPr>
            <w:r>
              <w:rPr>
                <w:rFonts w:ascii="Trebuchet MS"/>
                <w:b/>
                <w:w w:val="86"/>
                <w:sz w:val="22"/>
              </w:rPr>
              <w:t>v</w:t>
            </w:r>
          </w:p>
        </w:tc>
        <w:tc>
          <w:tcPr>
            <w:tcW w:w="980" w:type="dxa"/>
            <w:tcBorders>
              <w:top w:val="nil"/>
              <w:left w:val="nil"/>
              <w:bottom w:val="nil"/>
              <w:right w:val="nil"/>
            </w:tcBorders>
          </w:tcPr>
          <w:p>
            <w:pPr>
              <w:pStyle w:val="TableParagraph"/>
              <w:spacing w:before="7"/>
              <w:ind w:left="116"/>
              <w:rPr>
                <w:sz w:val="22"/>
              </w:rPr>
            </w:pPr>
            <w:r>
              <w:rPr>
                <w:w w:val="82"/>
                <w:sz w:val="22"/>
              </w:rPr>
              <w:t>“</w:t>
            </w:r>
          </w:p>
        </w:tc>
        <w:tc>
          <w:tcPr>
            <w:tcW w:w="916" w:type="dxa"/>
            <w:tcBorders>
              <w:top w:val="nil"/>
              <w:left w:val="nil"/>
              <w:bottom w:val="nil"/>
              <w:right w:val="nil"/>
            </w:tcBorders>
          </w:tcPr>
          <w:p>
            <w:pPr>
              <w:pStyle w:val="TableParagraph"/>
              <w:spacing w:before="7"/>
              <w:ind w:left="241"/>
              <w:rPr>
                <w:sz w:val="22"/>
              </w:rPr>
            </w:pPr>
            <w:r>
              <w:rPr>
                <w:w w:val="82"/>
                <w:sz w:val="22"/>
              </w:rPr>
              <w:t>“</w:t>
            </w:r>
          </w:p>
        </w:tc>
        <w:tc>
          <w:tcPr>
            <w:tcW w:w="1105" w:type="dxa"/>
            <w:tcBorders>
              <w:top w:val="nil"/>
              <w:left w:val="nil"/>
              <w:bottom w:val="nil"/>
              <w:right w:val="nil"/>
            </w:tcBorders>
          </w:tcPr>
          <w:p>
            <w:pPr>
              <w:pStyle w:val="TableParagraph"/>
              <w:spacing w:before="7"/>
              <w:ind w:left="429"/>
              <w:rPr>
                <w:sz w:val="22"/>
              </w:rPr>
            </w:pPr>
            <w:r>
              <w:rPr>
                <w:w w:val="82"/>
                <w:sz w:val="22"/>
              </w:rPr>
              <w:t>“</w:t>
            </w:r>
          </w:p>
        </w:tc>
        <w:tc>
          <w:tcPr>
            <w:tcW w:w="1073" w:type="dxa"/>
            <w:tcBorders>
              <w:top w:val="nil"/>
              <w:left w:val="nil"/>
              <w:bottom w:val="nil"/>
              <w:right w:val="nil"/>
            </w:tcBorders>
          </w:tcPr>
          <w:p>
            <w:pPr>
              <w:pStyle w:val="TableParagraph"/>
              <w:spacing w:before="7"/>
              <w:ind w:right="29"/>
              <w:jc w:val="center"/>
              <w:rPr>
                <w:sz w:val="22"/>
              </w:rPr>
            </w:pPr>
            <w:r>
              <w:rPr>
                <w:w w:val="82"/>
                <w:sz w:val="22"/>
              </w:rPr>
              <w:t>…</w:t>
            </w:r>
          </w:p>
        </w:tc>
        <w:tc>
          <w:tcPr>
            <w:tcW w:w="1110" w:type="dxa"/>
            <w:tcBorders>
              <w:top w:val="nil"/>
              <w:left w:val="nil"/>
              <w:bottom w:val="nil"/>
              <w:right w:val="nil"/>
            </w:tcBorders>
          </w:tcPr>
          <w:p>
            <w:pPr>
              <w:pStyle w:val="TableParagraph"/>
              <w:spacing w:before="7"/>
              <w:ind w:right="124"/>
              <w:jc w:val="center"/>
              <w:rPr>
                <w:sz w:val="22"/>
              </w:rPr>
            </w:pPr>
            <w:r>
              <w:rPr>
                <w:w w:val="82"/>
                <w:sz w:val="22"/>
              </w:rPr>
              <w:t>“</w:t>
            </w:r>
          </w:p>
        </w:tc>
        <w:tc>
          <w:tcPr>
            <w:tcW w:w="1104" w:type="dxa"/>
            <w:tcBorders>
              <w:top w:val="nil"/>
              <w:left w:val="nil"/>
              <w:bottom w:val="nil"/>
              <w:right w:val="nil"/>
            </w:tcBorders>
          </w:tcPr>
          <w:p>
            <w:pPr>
              <w:pStyle w:val="TableParagraph"/>
              <w:spacing w:before="7"/>
              <w:ind w:left="460"/>
              <w:rPr>
                <w:sz w:val="22"/>
              </w:rPr>
            </w:pPr>
            <w:r>
              <w:rPr>
                <w:w w:val="82"/>
                <w:sz w:val="22"/>
              </w:rPr>
              <w:t>“</w:t>
            </w:r>
          </w:p>
        </w:tc>
        <w:tc>
          <w:tcPr>
            <w:tcW w:w="1456" w:type="dxa"/>
            <w:tcBorders>
              <w:top w:val="nil"/>
              <w:left w:val="nil"/>
              <w:bottom w:val="nil"/>
              <w:right w:val="nil"/>
            </w:tcBorders>
          </w:tcPr>
          <w:p>
            <w:pPr>
              <w:pStyle w:val="TableParagraph"/>
              <w:spacing w:before="7"/>
              <w:ind w:left="461"/>
              <w:rPr>
                <w:sz w:val="22"/>
              </w:rPr>
            </w:pPr>
            <w:r>
              <w:rPr>
                <w:w w:val="82"/>
                <w:sz w:val="22"/>
              </w:rPr>
              <w:t>“</w:t>
            </w:r>
          </w:p>
        </w:tc>
      </w:tr>
      <w:tr>
        <w:trPr>
          <w:trHeight w:val="291" w:hRule="exact"/>
        </w:trPr>
        <w:tc>
          <w:tcPr>
            <w:tcW w:w="1099" w:type="dxa"/>
            <w:tcBorders>
              <w:top w:val="nil"/>
              <w:left w:val="nil"/>
              <w:bottom w:val="nil"/>
              <w:right w:val="nil"/>
            </w:tcBorders>
          </w:tcPr>
          <w:p>
            <w:pPr>
              <w:pStyle w:val="TableParagraph"/>
              <w:spacing w:before="9"/>
              <w:ind w:left="110"/>
              <w:rPr>
                <w:rFonts w:ascii="Trebuchet MS"/>
                <w:b/>
                <w:sz w:val="22"/>
              </w:rPr>
            </w:pPr>
            <w:r>
              <w:rPr>
                <w:rFonts w:ascii="Trebuchet MS"/>
                <w:b/>
                <w:w w:val="85"/>
                <w:sz w:val="22"/>
              </w:rPr>
              <w:t>a</w:t>
            </w:r>
          </w:p>
        </w:tc>
        <w:tc>
          <w:tcPr>
            <w:tcW w:w="980" w:type="dxa"/>
            <w:tcBorders>
              <w:top w:val="nil"/>
              <w:left w:val="nil"/>
              <w:bottom w:val="nil"/>
              <w:right w:val="nil"/>
            </w:tcBorders>
          </w:tcPr>
          <w:p>
            <w:pPr>
              <w:pStyle w:val="TableParagraph"/>
              <w:spacing w:before="9"/>
              <w:ind w:left="116"/>
              <w:rPr>
                <w:sz w:val="22"/>
              </w:rPr>
            </w:pPr>
            <w:r>
              <w:rPr>
                <w:w w:val="82"/>
                <w:sz w:val="22"/>
              </w:rPr>
              <w:t>“</w:t>
            </w:r>
          </w:p>
        </w:tc>
        <w:tc>
          <w:tcPr>
            <w:tcW w:w="916" w:type="dxa"/>
            <w:tcBorders>
              <w:top w:val="nil"/>
              <w:left w:val="nil"/>
              <w:bottom w:val="nil"/>
              <w:right w:val="nil"/>
            </w:tcBorders>
          </w:tcPr>
          <w:p>
            <w:pPr>
              <w:pStyle w:val="TableParagraph"/>
              <w:spacing w:before="9"/>
              <w:ind w:left="241"/>
              <w:rPr>
                <w:sz w:val="22"/>
              </w:rPr>
            </w:pPr>
            <w:r>
              <w:rPr>
                <w:w w:val="82"/>
                <w:sz w:val="22"/>
              </w:rPr>
              <w:t>“</w:t>
            </w:r>
          </w:p>
        </w:tc>
        <w:tc>
          <w:tcPr>
            <w:tcW w:w="1105" w:type="dxa"/>
            <w:tcBorders>
              <w:top w:val="nil"/>
              <w:left w:val="nil"/>
              <w:bottom w:val="nil"/>
              <w:right w:val="nil"/>
            </w:tcBorders>
          </w:tcPr>
          <w:p>
            <w:pPr>
              <w:pStyle w:val="TableParagraph"/>
              <w:spacing w:before="9"/>
              <w:ind w:left="429"/>
              <w:rPr>
                <w:sz w:val="22"/>
              </w:rPr>
            </w:pPr>
            <w:r>
              <w:rPr>
                <w:w w:val="82"/>
                <w:sz w:val="22"/>
              </w:rPr>
              <w:t>“</w:t>
            </w:r>
          </w:p>
        </w:tc>
        <w:tc>
          <w:tcPr>
            <w:tcW w:w="1073" w:type="dxa"/>
            <w:tcBorders>
              <w:top w:val="nil"/>
              <w:left w:val="nil"/>
              <w:bottom w:val="nil"/>
              <w:right w:val="nil"/>
            </w:tcBorders>
          </w:tcPr>
          <w:p>
            <w:pPr>
              <w:pStyle w:val="TableParagraph"/>
              <w:spacing w:before="9"/>
              <w:ind w:right="29"/>
              <w:jc w:val="center"/>
              <w:rPr>
                <w:sz w:val="22"/>
              </w:rPr>
            </w:pPr>
            <w:r>
              <w:rPr>
                <w:w w:val="82"/>
                <w:sz w:val="22"/>
              </w:rPr>
              <w:t>…</w:t>
            </w:r>
          </w:p>
        </w:tc>
        <w:tc>
          <w:tcPr>
            <w:tcW w:w="1110" w:type="dxa"/>
            <w:tcBorders>
              <w:top w:val="nil"/>
              <w:left w:val="nil"/>
              <w:bottom w:val="nil"/>
              <w:right w:val="nil"/>
            </w:tcBorders>
          </w:tcPr>
          <w:p>
            <w:pPr>
              <w:pStyle w:val="TableParagraph"/>
              <w:spacing w:before="9"/>
              <w:ind w:right="124"/>
              <w:jc w:val="center"/>
              <w:rPr>
                <w:sz w:val="22"/>
              </w:rPr>
            </w:pPr>
            <w:r>
              <w:rPr>
                <w:w w:val="82"/>
                <w:sz w:val="22"/>
              </w:rPr>
              <w:t>“</w:t>
            </w:r>
          </w:p>
        </w:tc>
        <w:tc>
          <w:tcPr>
            <w:tcW w:w="1104" w:type="dxa"/>
            <w:tcBorders>
              <w:top w:val="nil"/>
              <w:left w:val="nil"/>
              <w:bottom w:val="nil"/>
              <w:right w:val="nil"/>
            </w:tcBorders>
          </w:tcPr>
          <w:p>
            <w:pPr>
              <w:pStyle w:val="TableParagraph"/>
              <w:spacing w:before="9"/>
              <w:ind w:left="460"/>
              <w:rPr>
                <w:sz w:val="22"/>
              </w:rPr>
            </w:pPr>
            <w:r>
              <w:rPr>
                <w:w w:val="82"/>
                <w:sz w:val="22"/>
              </w:rPr>
              <w:t>“</w:t>
            </w:r>
          </w:p>
        </w:tc>
        <w:tc>
          <w:tcPr>
            <w:tcW w:w="1456" w:type="dxa"/>
            <w:tcBorders>
              <w:top w:val="nil"/>
              <w:left w:val="nil"/>
              <w:bottom w:val="nil"/>
              <w:right w:val="nil"/>
            </w:tcBorders>
          </w:tcPr>
          <w:p>
            <w:pPr>
              <w:pStyle w:val="TableParagraph"/>
              <w:spacing w:before="9"/>
              <w:ind w:left="461"/>
              <w:rPr>
                <w:sz w:val="22"/>
              </w:rPr>
            </w:pPr>
            <w:r>
              <w:rPr>
                <w:w w:val="82"/>
                <w:sz w:val="22"/>
              </w:rPr>
              <w:t>“</w:t>
            </w:r>
          </w:p>
        </w:tc>
      </w:tr>
      <w:tr>
        <w:trPr>
          <w:trHeight w:val="320" w:hRule="exact"/>
        </w:trPr>
        <w:tc>
          <w:tcPr>
            <w:tcW w:w="1099" w:type="dxa"/>
            <w:tcBorders>
              <w:top w:val="nil"/>
              <w:left w:val="nil"/>
              <w:right w:val="nil"/>
            </w:tcBorders>
          </w:tcPr>
          <w:p>
            <w:pPr>
              <w:pStyle w:val="TableParagraph"/>
              <w:spacing w:before="7"/>
              <w:ind w:left="110"/>
              <w:rPr>
                <w:rFonts w:ascii="Trebuchet MS"/>
                <w:b/>
                <w:sz w:val="22"/>
              </w:rPr>
            </w:pPr>
            <w:r>
              <w:rPr>
                <w:rFonts w:ascii="Trebuchet MS"/>
                <w:b/>
                <w:w w:val="106"/>
                <w:sz w:val="22"/>
              </w:rPr>
              <w:t>s</w:t>
            </w:r>
          </w:p>
        </w:tc>
        <w:tc>
          <w:tcPr>
            <w:tcW w:w="980" w:type="dxa"/>
            <w:tcBorders>
              <w:top w:val="nil"/>
              <w:left w:val="nil"/>
              <w:bottom w:val="single" w:sz="4" w:space="0" w:color="000000"/>
              <w:right w:val="nil"/>
            </w:tcBorders>
          </w:tcPr>
          <w:p>
            <w:pPr>
              <w:pStyle w:val="TableParagraph"/>
              <w:spacing w:before="6"/>
              <w:ind w:left="116"/>
              <w:rPr>
                <w:sz w:val="14"/>
              </w:rPr>
            </w:pPr>
            <w:r>
              <w:rPr>
                <w:w w:val="90"/>
                <w:position w:val="2"/>
                <w:sz w:val="22"/>
              </w:rPr>
              <w:t>A</w:t>
            </w:r>
            <w:r>
              <w:rPr>
                <w:w w:val="90"/>
                <w:sz w:val="14"/>
              </w:rPr>
              <w:t>j</w:t>
            </w:r>
          </w:p>
        </w:tc>
        <w:tc>
          <w:tcPr>
            <w:tcW w:w="916" w:type="dxa"/>
            <w:tcBorders>
              <w:top w:val="nil"/>
              <w:left w:val="nil"/>
              <w:bottom w:val="single" w:sz="4" w:space="0" w:color="000000"/>
              <w:right w:val="nil"/>
            </w:tcBorders>
          </w:tcPr>
          <w:p>
            <w:pPr>
              <w:pStyle w:val="TableParagraph"/>
              <w:spacing w:before="6"/>
              <w:ind w:left="241"/>
              <w:rPr>
                <w:sz w:val="14"/>
              </w:rPr>
            </w:pPr>
            <w:r>
              <w:rPr>
                <w:w w:val="90"/>
                <w:position w:val="2"/>
                <w:sz w:val="22"/>
              </w:rPr>
              <w:t>a</w:t>
            </w:r>
            <w:r>
              <w:rPr>
                <w:w w:val="90"/>
                <w:sz w:val="14"/>
              </w:rPr>
              <w:t>1j</w:t>
            </w:r>
          </w:p>
        </w:tc>
        <w:tc>
          <w:tcPr>
            <w:tcW w:w="1105" w:type="dxa"/>
            <w:tcBorders>
              <w:top w:val="nil"/>
              <w:left w:val="nil"/>
              <w:bottom w:val="single" w:sz="4" w:space="0" w:color="000000"/>
              <w:right w:val="nil"/>
            </w:tcBorders>
          </w:tcPr>
          <w:p>
            <w:pPr>
              <w:pStyle w:val="TableParagraph"/>
              <w:spacing w:before="6"/>
              <w:ind w:left="429"/>
              <w:rPr>
                <w:sz w:val="14"/>
              </w:rPr>
            </w:pPr>
            <w:r>
              <w:rPr>
                <w:w w:val="90"/>
                <w:position w:val="2"/>
                <w:sz w:val="22"/>
              </w:rPr>
              <w:t>a</w:t>
            </w:r>
            <w:r>
              <w:rPr>
                <w:w w:val="90"/>
                <w:sz w:val="14"/>
              </w:rPr>
              <w:t>2j</w:t>
            </w:r>
          </w:p>
        </w:tc>
        <w:tc>
          <w:tcPr>
            <w:tcW w:w="1073" w:type="dxa"/>
            <w:tcBorders>
              <w:top w:val="nil"/>
              <w:left w:val="nil"/>
              <w:bottom w:val="single" w:sz="4" w:space="0" w:color="000000"/>
              <w:right w:val="nil"/>
            </w:tcBorders>
          </w:tcPr>
          <w:p>
            <w:pPr>
              <w:pStyle w:val="TableParagraph"/>
              <w:spacing w:before="7"/>
              <w:ind w:right="29"/>
              <w:jc w:val="center"/>
              <w:rPr>
                <w:sz w:val="22"/>
              </w:rPr>
            </w:pPr>
            <w:r>
              <w:rPr>
                <w:w w:val="82"/>
                <w:sz w:val="22"/>
              </w:rPr>
              <w:t>…</w:t>
            </w:r>
          </w:p>
        </w:tc>
        <w:tc>
          <w:tcPr>
            <w:tcW w:w="1110" w:type="dxa"/>
            <w:tcBorders>
              <w:top w:val="nil"/>
              <w:left w:val="nil"/>
              <w:bottom w:val="single" w:sz="4" w:space="0" w:color="000000"/>
              <w:right w:val="nil"/>
            </w:tcBorders>
          </w:tcPr>
          <w:p>
            <w:pPr>
              <w:pStyle w:val="TableParagraph"/>
              <w:spacing w:before="6"/>
              <w:ind w:left="430" w:right="430"/>
              <w:jc w:val="center"/>
              <w:rPr>
                <w:sz w:val="14"/>
              </w:rPr>
            </w:pPr>
            <w:r>
              <w:rPr>
                <w:w w:val="90"/>
                <w:position w:val="2"/>
                <w:sz w:val="22"/>
              </w:rPr>
              <w:t>a</w:t>
            </w:r>
            <w:r>
              <w:rPr>
                <w:w w:val="90"/>
                <w:sz w:val="14"/>
              </w:rPr>
              <w:t>1j</w:t>
            </w:r>
          </w:p>
        </w:tc>
        <w:tc>
          <w:tcPr>
            <w:tcW w:w="1104" w:type="dxa"/>
            <w:tcBorders>
              <w:top w:val="nil"/>
              <w:left w:val="nil"/>
              <w:bottom w:val="single" w:sz="4" w:space="0" w:color="000000"/>
              <w:right w:val="nil"/>
            </w:tcBorders>
          </w:tcPr>
          <w:p>
            <w:pPr>
              <w:pStyle w:val="TableParagraph"/>
              <w:spacing w:before="7"/>
              <w:ind w:left="460"/>
              <w:rPr>
                <w:sz w:val="22"/>
              </w:rPr>
            </w:pPr>
            <w:r>
              <w:rPr>
                <w:w w:val="82"/>
                <w:sz w:val="22"/>
              </w:rPr>
              <w:t>…</w:t>
            </w:r>
          </w:p>
        </w:tc>
        <w:tc>
          <w:tcPr>
            <w:tcW w:w="1456" w:type="dxa"/>
            <w:tcBorders>
              <w:top w:val="nil"/>
              <w:left w:val="nil"/>
              <w:bottom w:val="single" w:sz="4" w:space="0" w:color="000000"/>
              <w:right w:val="nil"/>
            </w:tcBorders>
          </w:tcPr>
          <w:p>
            <w:pPr>
              <w:pStyle w:val="TableParagraph"/>
              <w:spacing w:before="6"/>
              <w:ind w:left="461"/>
              <w:rPr>
                <w:sz w:val="14"/>
              </w:rPr>
            </w:pPr>
            <w:r>
              <w:rPr>
                <w:w w:val="90"/>
                <w:position w:val="2"/>
                <w:sz w:val="22"/>
              </w:rPr>
              <w:t>a</w:t>
            </w:r>
            <w:r>
              <w:rPr>
                <w:w w:val="90"/>
                <w:sz w:val="14"/>
              </w:rPr>
              <w:t>in</w:t>
            </w:r>
          </w:p>
        </w:tc>
      </w:tr>
    </w:tbl>
    <w:p>
      <w:pPr>
        <w:spacing w:line="220" w:lineRule="exact" w:before="0"/>
        <w:ind w:left="119" w:right="70" w:firstLine="0"/>
        <w:jc w:val="left"/>
        <w:rPr>
          <w:sz w:val="20"/>
        </w:rPr>
      </w:pPr>
      <w:r>
        <w:rPr>
          <w:sz w:val="20"/>
        </w:rPr>
        <w:t>Fuente: Franco-Maass, 2009.</w:t>
      </w:r>
    </w:p>
    <w:p>
      <w:pPr>
        <w:pStyle w:val="BodyText"/>
        <w:spacing w:before="6"/>
        <w:rPr>
          <w:sz w:val="25"/>
        </w:rPr>
      </w:pPr>
    </w:p>
    <w:p>
      <w:pPr>
        <w:pStyle w:val="BodyText"/>
        <w:spacing w:line="360" w:lineRule="auto"/>
        <w:ind w:left="96" w:right="103"/>
        <w:jc w:val="center"/>
      </w:pPr>
      <w:r>
        <w:rPr/>
        <w:t>Cuando la matriz de decisión cuenta con atributos expresados en forma cualitativa, resulta útil traducirlos a valores numéricos que respeten su orden de   importancia.</w:t>
      </w:r>
    </w:p>
    <w:p>
      <w:pPr>
        <w:pStyle w:val="BodyText"/>
        <w:spacing w:before="55"/>
        <w:ind w:left="96" w:right="98"/>
        <w:jc w:val="center"/>
      </w:pPr>
      <w:r>
        <w:rPr/>
        <w:t>47</w:t>
      </w:r>
    </w:p>
    <w:p>
      <w:pPr>
        <w:spacing w:after="0"/>
        <w:jc w:val="center"/>
        <w:sectPr>
          <w:footerReference w:type="default" r:id="rId35"/>
          <w:pgSz w:w="12240" w:h="15840"/>
          <w:pgMar w:footer="0" w:header="0" w:top="1500" w:bottom="280" w:left="1580" w:right="1580"/>
        </w:sectPr>
      </w:pPr>
    </w:p>
    <w:p>
      <w:pPr>
        <w:pStyle w:val="BodyText"/>
        <w:spacing w:line="362" w:lineRule="auto" w:before="52"/>
        <w:ind w:left="119" w:right="103"/>
        <w:jc w:val="both"/>
      </w:pPr>
      <w:r>
        <w:rPr/>
        <w:t>Para</w:t>
      </w:r>
      <w:r>
        <w:rPr>
          <w:spacing w:val="-6"/>
        </w:rPr>
        <w:t> </w:t>
      </w:r>
      <w:r>
        <w:rPr/>
        <w:t>ello</w:t>
      </w:r>
      <w:r>
        <w:rPr>
          <w:spacing w:val="-6"/>
        </w:rPr>
        <w:t> </w:t>
      </w:r>
      <w:r>
        <w:rPr>
          <w:spacing w:val="-3"/>
        </w:rPr>
        <w:t>se</w:t>
      </w:r>
      <w:r>
        <w:rPr>
          <w:spacing w:val="-6"/>
        </w:rPr>
        <w:t> </w:t>
      </w:r>
      <w:r>
        <w:rPr/>
        <w:t>utiliza</w:t>
      </w:r>
      <w:r>
        <w:rPr>
          <w:spacing w:val="-6"/>
        </w:rPr>
        <w:t> </w:t>
      </w:r>
      <w:r>
        <w:rPr/>
        <w:t>una</w:t>
      </w:r>
      <w:r>
        <w:rPr>
          <w:spacing w:val="-6"/>
        </w:rPr>
        <w:t> </w:t>
      </w:r>
      <w:r>
        <w:rPr/>
        <w:t>escala</w:t>
      </w:r>
      <w:r>
        <w:rPr>
          <w:spacing w:val="-11"/>
        </w:rPr>
        <w:t> </w:t>
      </w:r>
      <w:r>
        <w:rPr/>
        <w:t>de correspondencia</w:t>
      </w:r>
      <w:r>
        <w:rPr>
          <w:spacing w:val="-6"/>
        </w:rPr>
        <w:t> </w:t>
      </w:r>
      <w:r>
        <w:rPr/>
        <w:t>o</w:t>
      </w:r>
      <w:r>
        <w:rPr>
          <w:spacing w:val="-6"/>
        </w:rPr>
        <w:t> </w:t>
      </w:r>
      <w:r>
        <w:rPr/>
        <w:t>función</w:t>
      </w:r>
      <w:r>
        <w:rPr>
          <w:spacing w:val="-6"/>
        </w:rPr>
        <w:t> </w:t>
      </w:r>
      <w:r>
        <w:rPr/>
        <w:t>de</w:t>
      </w:r>
      <w:r>
        <w:rPr>
          <w:spacing w:val="-6"/>
        </w:rPr>
        <w:t> </w:t>
      </w:r>
      <w:r>
        <w:rPr/>
        <w:t>utilidad</w:t>
      </w:r>
      <w:r>
        <w:rPr>
          <w:spacing w:val="-6"/>
        </w:rPr>
        <w:t> </w:t>
      </w:r>
      <w:r>
        <w:rPr/>
        <w:t>que</w:t>
      </w:r>
      <w:r>
        <w:rPr>
          <w:spacing w:val="-6"/>
        </w:rPr>
        <w:t> </w:t>
      </w:r>
      <w:r>
        <w:rPr/>
        <w:t>respete el orden de preferencia de alternativas de acuerdo con el criterio</w:t>
      </w:r>
      <w:r>
        <w:rPr>
          <w:spacing w:val="-37"/>
        </w:rPr>
        <w:t> </w:t>
      </w:r>
      <w:r>
        <w:rPr/>
        <w:t>considerado.</w:t>
      </w:r>
    </w:p>
    <w:p>
      <w:pPr>
        <w:pStyle w:val="BodyText"/>
        <w:spacing w:before="11"/>
        <w:rPr>
          <w:sz w:val="35"/>
        </w:rPr>
      </w:pPr>
    </w:p>
    <w:p>
      <w:pPr>
        <w:pStyle w:val="BodyText"/>
        <w:spacing w:line="360" w:lineRule="auto"/>
        <w:ind w:left="119" w:right="99"/>
        <w:jc w:val="both"/>
      </w:pPr>
      <w:r>
        <w:rPr/>
        <w:t>En términos generales, los métodos EMC consideran la matriz de decisión para aplicar algún procedimiento de evaluación (suma lineal ponderada, índice de concordancia generalizado, análisis de punto ideal, etc). De esta manera, cada alternativa recibe un valor que refleja medida en que dicha alternativa cumple con el objetivo planteado en la evaluación.</w:t>
      </w:r>
    </w:p>
    <w:p>
      <w:pPr>
        <w:pStyle w:val="BodyText"/>
      </w:pPr>
    </w:p>
    <w:p>
      <w:pPr>
        <w:pStyle w:val="BodyText"/>
        <w:spacing w:line="360" w:lineRule="auto" w:before="145"/>
        <w:ind w:left="119" w:right="99"/>
        <w:jc w:val="both"/>
      </w:pPr>
      <w:r>
        <w:rPr/>
        <w:t>En el siguiente apartado se hace una revisión general de los aspectos más importantes a tomar en consideración para aplicar las técnicas EMC en el contexto de la evaluación de los recursos naturales. Esto frecuentemente implica el uso de (SIG) que permiten una implementación más eficiente de los procedimientos de análisis espacial.</w:t>
      </w:r>
    </w:p>
    <w:p>
      <w:pPr>
        <w:pStyle w:val="BodyText"/>
      </w:pPr>
    </w:p>
    <w:p>
      <w:pPr>
        <w:pStyle w:val="BodyText"/>
        <w:spacing w:before="2"/>
        <w:rPr>
          <w:sz w:val="32"/>
        </w:rPr>
      </w:pPr>
    </w:p>
    <w:p>
      <w:pPr>
        <w:pStyle w:val="Heading2"/>
      </w:pPr>
      <w:bookmarkStart w:name="_TOC_250036" w:id="18"/>
      <w:bookmarkEnd w:id="18"/>
      <w:r>
        <w:rPr/>
        <w:t>2.3.1.1 Componentes de la EMC</w:t>
      </w:r>
    </w:p>
    <w:p>
      <w:pPr>
        <w:pStyle w:val="BodyText"/>
        <w:rPr>
          <w:b/>
        </w:rPr>
      </w:pPr>
    </w:p>
    <w:p>
      <w:pPr>
        <w:pStyle w:val="BodyText"/>
        <w:spacing w:before="1"/>
        <w:rPr>
          <w:b/>
          <w:sz w:val="27"/>
        </w:rPr>
      </w:pPr>
    </w:p>
    <w:p>
      <w:pPr>
        <w:pStyle w:val="BodyText"/>
        <w:spacing w:line="360" w:lineRule="auto" w:before="1"/>
        <w:ind w:left="119" w:right="109"/>
        <w:jc w:val="both"/>
      </w:pPr>
      <w:r>
        <w:rPr/>
        <w:t>La implementación de la EMC dentro del ámbito de un SIG implica considerar las posibilidades de instrumentación de una serie de etapas a lo largo del tiempo: a) planteamiento de los objetivos, definición del conjunto de elección y obtención de datos respecto a los criterios y alternativas del problema, b) determinación de criterios y de sus escalas de medida y construcción del conjunto de elección, c) aplicación del procedimiento de elección de las alternativas a partir de un método de decisión multicriterio, y d) revisión de las decisiones.</w:t>
      </w:r>
    </w:p>
    <w:p>
      <w:pPr>
        <w:pStyle w:val="Heading2"/>
        <w:spacing w:line="274" w:lineRule="exact"/>
      </w:pPr>
      <w:r>
        <w:rPr/>
        <w:t>Planteamiento de los objetivos y definición del conjunto de elección.</w:t>
      </w:r>
    </w:p>
    <w:p>
      <w:pPr>
        <w:pStyle w:val="BodyText"/>
        <w:rPr>
          <w:b/>
        </w:rPr>
      </w:pPr>
    </w:p>
    <w:p>
      <w:pPr>
        <w:pStyle w:val="BodyText"/>
        <w:spacing w:before="7"/>
        <w:rPr>
          <w:b/>
        </w:rPr>
      </w:pPr>
    </w:p>
    <w:p>
      <w:pPr>
        <w:pStyle w:val="BodyText"/>
        <w:spacing w:line="360" w:lineRule="auto"/>
        <w:ind w:left="119" w:right="109"/>
        <w:jc w:val="both"/>
      </w:pPr>
      <w:r>
        <w:rPr/>
        <w:t>El planteamiento de los objetivos es el elemento de partida para la estructuración de todo proceso de evaluación multicriterio. Un objetivo es “….una función a desarrollar…..” (Barredo, 1996:58) y, desde el punto de vista geográfico, implicaría la evaluación de un conjunto de elección para resolver problemas de planificación, decisión localización/asignación de actividades. Dentro del  EMC, los     problemas</w:t>
      </w:r>
    </w:p>
    <w:p>
      <w:pPr>
        <w:spacing w:after="0" w:line="360" w:lineRule="auto"/>
        <w:jc w:val="both"/>
        <w:sectPr>
          <w:footerReference w:type="default" r:id="rId36"/>
          <w:pgSz w:w="12240" w:h="15840"/>
          <w:pgMar w:footer="1031" w:header="0" w:top="1360" w:bottom="1220" w:left="1580" w:right="1600"/>
          <w:pgNumType w:start="48"/>
        </w:sectPr>
      </w:pPr>
    </w:p>
    <w:p>
      <w:pPr>
        <w:pStyle w:val="BodyText"/>
        <w:spacing w:line="362" w:lineRule="auto" w:before="52"/>
        <w:ind w:left="119" w:right="128"/>
        <w:jc w:val="both"/>
      </w:pPr>
      <w:r>
        <w:rPr/>
        <w:t>pueden</w:t>
      </w:r>
      <w:r>
        <w:rPr>
          <w:spacing w:val="-12"/>
        </w:rPr>
        <w:t> </w:t>
      </w:r>
      <w:r>
        <w:rPr/>
        <w:t>requerir</w:t>
      </w:r>
      <w:r>
        <w:rPr>
          <w:spacing w:val="-12"/>
        </w:rPr>
        <w:t> </w:t>
      </w:r>
      <w:r>
        <w:rPr/>
        <w:t>el</w:t>
      </w:r>
      <w:r>
        <w:rPr>
          <w:spacing w:val="-8"/>
        </w:rPr>
        <w:t> </w:t>
      </w:r>
      <w:r>
        <w:rPr/>
        <w:t>planteamiento</w:t>
      </w:r>
      <w:r>
        <w:rPr>
          <w:spacing w:val="-11"/>
        </w:rPr>
        <w:t> </w:t>
      </w:r>
      <w:r>
        <w:rPr/>
        <w:t>de</w:t>
      </w:r>
      <w:r>
        <w:rPr>
          <w:spacing w:val="-12"/>
        </w:rPr>
        <w:t> </w:t>
      </w:r>
      <w:r>
        <w:rPr/>
        <w:t>un</w:t>
      </w:r>
      <w:r>
        <w:rPr>
          <w:spacing w:val="-12"/>
        </w:rPr>
        <w:t> </w:t>
      </w:r>
      <w:r>
        <w:rPr/>
        <w:t>solo</w:t>
      </w:r>
      <w:r>
        <w:rPr>
          <w:spacing w:val="-12"/>
        </w:rPr>
        <w:t> </w:t>
      </w:r>
      <w:r>
        <w:rPr/>
        <w:t>objetivo</w:t>
      </w:r>
      <w:r>
        <w:rPr>
          <w:spacing w:val="-12"/>
        </w:rPr>
        <w:t> </w:t>
      </w:r>
      <w:r>
        <w:rPr/>
        <w:t>o</w:t>
      </w:r>
      <w:r>
        <w:rPr>
          <w:spacing w:val="-12"/>
        </w:rPr>
        <w:t> </w:t>
      </w:r>
      <w:r>
        <w:rPr/>
        <w:t>ser</w:t>
      </w:r>
      <w:r>
        <w:rPr>
          <w:spacing w:val="-11"/>
        </w:rPr>
        <w:t> </w:t>
      </w:r>
      <w:r>
        <w:rPr/>
        <w:t>de</w:t>
      </w:r>
      <w:r>
        <w:rPr>
          <w:spacing w:val="-12"/>
        </w:rPr>
        <w:t> </w:t>
      </w:r>
      <w:r>
        <w:rPr/>
        <w:t>carácter</w:t>
      </w:r>
      <w:r>
        <w:rPr>
          <w:spacing w:val="-11"/>
        </w:rPr>
        <w:t> </w:t>
      </w:r>
      <w:r>
        <w:rPr/>
        <w:t>multiobjetivo. En este segundo caso los objetivos pueden ser complementarios o</w:t>
      </w:r>
      <w:r>
        <w:rPr>
          <w:spacing w:val="-32"/>
        </w:rPr>
        <w:t> </w:t>
      </w:r>
      <w:r>
        <w:rPr/>
        <w:t>conflictivos.</w:t>
      </w:r>
    </w:p>
    <w:p>
      <w:pPr>
        <w:pStyle w:val="BodyText"/>
        <w:spacing w:before="6"/>
        <w:rPr>
          <w:sz w:val="35"/>
        </w:rPr>
      </w:pPr>
    </w:p>
    <w:p>
      <w:pPr>
        <w:pStyle w:val="Heading2"/>
      </w:pPr>
      <w:r>
        <w:rPr/>
        <w:t>Determinación de los criterios y construcción del conjunto de elección.</w:t>
      </w:r>
    </w:p>
    <w:p>
      <w:pPr>
        <w:pStyle w:val="BodyText"/>
        <w:rPr>
          <w:b/>
        </w:rPr>
      </w:pPr>
    </w:p>
    <w:p>
      <w:pPr>
        <w:pStyle w:val="BodyText"/>
        <w:spacing w:before="7"/>
        <w:rPr>
          <w:b/>
        </w:rPr>
      </w:pPr>
    </w:p>
    <w:p>
      <w:pPr>
        <w:pStyle w:val="BodyText"/>
        <w:spacing w:line="360" w:lineRule="auto"/>
        <w:ind w:left="119" w:right="120"/>
        <w:jc w:val="both"/>
      </w:pPr>
      <w:r>
        <w:rPr/>
        <w:t>Los criterios constituyen un componente esencial de la EMC. Estos se definen, de manera</w:t>
      </w:r>
      <w:r>
        <w:rPr>
          <w:spacing w:val="-6"/>
        </w:rPr>
        <w:t> </w:t>
      </w:r>
      <w:r>
        <w:rPr>
          <w:spacing w:val="-3"/>
        </w:rPr>
        <w:t>muy</w:t>
      </w:r>
      <w:r>
        <w:rPr>
          <w:spacing w:val="-7"/>
        </w:rPr>
        <w:t> </w:t>
      </w:r>
      <w:r>
        <w:rPr/>
        <w:t>general,</w:t>
      </w:r>
      <w:r>
        <w:rPr>
          <w:spacing w:val="-11"/>
        </w:rPr>
        <w:t> </w:t>
      </w:r>
      <w:r>
        <w:rPr/>
        <w:t>como</w:t>
      </w:r>
      <w:r>
        <w:rPr>
          <w:spacing w:val="-11"/>
        </w:rPr>
        <w:t> </w:t>
      </w:r>
      <w:r>
        <w:rPr/>
        <w:t>“….un</w:t>
      </w:r>
      <w:r>
        <w:rPr>
          <w:spacing w:val="-11"/>
        </w:rPr>
        <w:t> </w:t>
      </w:r>
      <w:r>
        <w:rPr/>
        <w:t>aspecto</w:t>
      </w:r>
      <w:r>
        <w:rPr>
          <w:spacing w:val="-10"/>
        </w:rPr>
        <w:t> </w:t>
      </w:r>
      <w:r>
        <w:rPr/>
        <w:t>medible</w:t>
      </w:r>
      <w:r>
        <w:rPr>
          <w:spacing w:val="-11"/>
        </w:rPr>
        <w:t> </w:t>
      </w:r>
      <w:r>
        <w:rPr/>
        <w:t>de</w:t>
      </w:r>
      <w:r>
        <w:rPr>
          <w:spacing w:val="-11"/>
        </w:rPr>
        <w:t> </w:t>
      </w:r>
      <w:r>
        <w:rPr/>
        <w:t>un</w:t>
      </w:r>
      <w:r>
        <w:rPr>
          <w:spacing w:val="-11"/>
        </w:rPr>
        <w:t> </w:t>
      </w:r>
      <w:r>
        <w:rPr/>
        <w:t>juicio,</w:t>
      </w:r>
      <w:r>
        <w:rPr>
          <w:spacing w:val="-11"/>
        </w:rPr>
        <w:t> </w:t>
      </w:r>
      <w:r>
        <w:rPr/>
        <w:t>mediante</w:t>
      </w:r>
      <w:r>
        <w:rPr>
          <w:spacing w:val="-11"/>
        </w:rPr>
        <w:t> </w:t>
      </w:r>
      <w:r>
        <w:rPr/>
        <w:t>el</w:t>
      </w:r>
      <w:r>
        <w:rPr>
          <w:spacing w:val="-7"/>
        </w:rPr>
        <w:t> </w:t>
      </w:r>
      <w:r>
        <w:rPr/>
        <w:t>cual</w:t>
      </w:r>
      <w:r>
        <w:rPr>
          <w:spacing w:val="-7"/>
        </w:rPr>
        <w:t> </w:t>
      </w:r>
      <w:r>
        <w:rPr/>
        <w:t>se puede</w:t>
      </w:r>
      <w:r>
        <w:rPr>
          <w:spacing w:val="-6"/>
        </w:rPr>
        <w:t> </w:t>
      </w:r>
      <w:r>
        <w:rPr/>
        <w:t>caracterizar</w:t>
      </w:r>
      <w:r>
        <w:rPr>
          <w:spacing w:val="-5"/>
        </w:rPr>
        <w:t> </w:t>
      </w:r>
      <w:r>
        <w:rPr/>
        <w:t>de</w:t>
      </w:r>
      <w:r>
        <w:rPr>
          <w:spacing w:val="-6"/>
        </w:rPr>
        <w:t> </w:t>
      </w:r>
      <w:r>
        <w:rPr/>
        <w:t>las</w:t>
      </w:r>
      <w:r>
        <w:rPr>
          <w:spacing w:val="-6"/>
        </w:rPr>
        <w:t> </w:t>
      </w:r>
      <w:r>
        <w:rPr/>
        <w:t>dimensiones</w:t>
      </w:r>
      <w:r>
        <w:rPr>
          <w:spacing w:val="-7"/>
        </w:rPr>
        <w:t> </w:t>
      </w:r>
      <w:r>
        <w:rPr/>
        <w:t>de</w:t>
      </w:r>
      <w:r>
        <w:rPr>
          <w:spacing w:val="-6"/>
        </w:rPr>
        <w:t> </w:t>
      </w:r>
      <w:r>
        <w:rPr/>
        <w:t>las</w:t>
      </w:r>
      <w:r>
        <w:rPr>
          <w:spacing w:val="-6"/>
        </w:rPr>
        <w:t> </w:t>
      </w:r>
      <w:r>
        <w:rPr/>
        <w:t>diversas</w:t>
      </w:r>
      <w:r>
        <w:rPr>
          <w:spacing w:val="-7"/>
        </w:rPr>
        <w:t> </w:t>
      </w:r>
      <w:r>
        <w:rPr/>
        <w:t>alternativas</w:t>
      </w:r>
      <w:r>
        <w:rPr>
          <w:spacing w:val="-7"/>
        </w:rPr>
        <w:t> </w:t>
      </w:r>
      <w:r>
        <w:rPr/>
        <w:t>de</w:t>
      </w:r>
      <w:r>
        <w:rPr>
          <w:spacing w:val="-6"/>
        </w:rPr>
        <w:t> </w:t>
      </w:r>
      <w:r>
        <w:rPr/>
        <w:t>elección</w:t>
      </w:r>
      <w:r>
        <w:rPr>
          <w:spacing w:val="-6"/>
        </w:rPr>
        <w:t> </w:t>
      </w:r>
      <w:r>
        <w:rPr>
          <w:spacing w:val="-3"/>
        </w:rPr>
        <w:t>bajo </w:t>
      </w:r>
      <w:r>
        <w:rPr/>
        <w:t>consideración”</w:t>
      </w:r>
      <w:r>
        <w:rPr>
          <w:spacing w:val="-7"/>
        </w:rPr>
        <w:t> </w:t>
      </w:r>
      <w:r>
        <w:rPr/>
        <w:t>(Voogd,</w:t>
      </w:r>
      <w:r>
        <w:rPr>
          <w:spacing w:val="-8"/>
        </w:rPr>
        <w:t> </w:t>
      </w:r>
      <w:r>
        <w:rPr/>
        <w:t>1983:57).</w:t>
      </w:r>
      <w:r>
        <w:rPr>
          <w:spacing w:val="-4"/>
        </w:rPr>
        <w:t> </w:t>
      </w:r>
      <w:r>
        <w:rPr/>
        <w:t>De</w:t>
      </w:r>
      <w:r>
        <w:rPr>
          <w:spacing w:val="-8"/>
        </w:rPr>
        <w:t> </w:t>
      </w:r>
      <w:r>
        <w:rPr/>
        <w:t>acuerdo</w:t>
      </w:r>
      <w:r>
        <w:rPr>
          <w:spacing w:val="-7"/>
        </w:rPr>
        <w:t> </w:t>
      </w:r>
      <w:r>
        <w:rPr/>
        <w:t>con</w:t>
      </w:r>
      <w:r>
        <w:rPr>
          <w:spacing w:val="-4"/>
        </w:rPr>
        <w:t> </w:t>
      </w:r>
      <w:r>
        <w:rPr/>
        <w:t>Eastman</w:t>
      </w:r>
      <w:r>
        <w:rPr>
          <w:spacing w:val="-4"/>
        </w:rPr>
        <w:t> </w:t>
      </w:r>
      <w:r>
        <w:rPr/>
        <w:t>et</w:t>
      </w:r>
      <w:r>
        <w:rPr>
          <w:spacing w:val="-7"/>
        </w:rPr>
        <w:t> </w:t>
      </w:r>
      <w:r>
        <w:rPr/>
        <w:t>al.</w:t>
      </w:r>
      <w:r>
        <w:rPr>
          <w:spacing w:val="-4"/>
        </w:rPr>
        <w:t> </w:t>
      </w:r>
      <w:r>
        <w:rPr/>
        <w:t>(1993),</w:t>
      </w:r>
      <w:r>
        <w:rPr>
          <w:spacing w:val="-4"/>
        </w:rPr>
        <w:t> </w:t>
      </w:r>
      <w:r>
        <w:rPr/>
        <w:t>un</w:t>
      </w:r>
      <w:r>
        <w:rPr>
          <w:spacing w:val="-4"/>
        </w:rPr>
        <w:t> </w:t>
      </w:r>
      <w:r>
        <w:rPr/>
        <w:t>criterio es una cierta base que puede ser medida y</w:t>
      </w:r>
      <w:r>
        <w:rPr>
          <w:spacing w:val="-13"/>
        </w:rPr>
        <w:t> </w:t>
      </w:r>
      <w:r>
        <w:rPr/>
        <w:t>evaluada.</w:t>
      </w:r>
    </w:p>
    <w:p>
      <w:pPr>
        <w:pStyle w:val="BodyText"/>
      </w:pPr>
    </w:p>
    <w:p>
      <w:pPr>
        <w:pStyle w:val="BodyText"/>
        <w:spacing w:line="360" w:lineRule="auto" w:before="139"/>
        <w:ind w:left="119" w:right="127"/>
        <w:jc w:val="both"/>
      </w:pPr>
      <w:r>
        <w:rPr/>
        <w:t>De</w:t>
      </w:r>
      <w:r>
        <w:rPr>
          <w:spacing w:val="-6"/>
        </w:rPr>
        <w:t> </w:t>
      </w:r>
      <w:r>
        <w:rPr/>
        <w:t>las</w:t>
      </w:r>
      <w:r>
        <w:rPr>
          <w:spacing w:val="-7"/>
        </w:rPr>
        <w:t> </w:t>
      </w:r>
      <w:r>
        <w:rPr/>
        <w:t>definiciones</w:t>
      </w:r>
      <w:r>
        <w:rPr>
          <w:spacing w:val="-7"/>
        </w:rPr>
        <w:t> </w:t>
      </w:r>
      <w:r>
        <w:rPr/>
        <w:t>anteriores</w:t>
      </w:r>
      <w:r>
        <w:rPr>
          <w:spacing w:val="-7"/>
        </w:rPr>
        <w:t> </w:t>
      </w:r>
      <w:r>
        <w:rPr>
          <w:spacing w:val="-3"/>
        </w:rPr>
        <w:t>se</w:t>
      </w:r>
      <w:r>
        <w:rPr>
          <w:spacing w:val="-6"/>
        </w:rPr>
        <w:t> </w:t>
      </w:r>
      <w:r>
        <w:rPr/>
        <w:t>desprende</w:t>
      </w:r>
      <w:r>
        <w:rPr>
          <w:spacing w:val="-6"/>
        </w:rPr>
        <w:t> </w:t>
      </w:r>
      <w:r>
        <w:rPr/>
        <w:t>que</w:t>
      </w:r>
      <w:r>
        <w:rPr>
          <w:spacing w:val="-6"/>
        </w:rPr>
        <w:t> </w:t>
      </w:r>
      <w:r>
        <w:rPr/>
        <w:t>el</w:t>
      </w:r>
      <w:r>
        <w:rPr>
          <w:spacing w:val="-3"/>
        </w:rPr>
        <w:t> </w:t>
      </w:r>
      <w:r>
        <w:rPr/>
        <w:t>criterio</w:t>
      </w:r>
      <w:r>
        <w:rPr>
          <w:spacing w:val="-6"/>
        </w:rPr>
        <w:t> </w:t>
      </w:r>
      <w:r>
        <w:rPr/>
        <w:t>es</w:t>
      </w:r>
      <w:r>
        <w:rPr>
          <w:spacing w:val="-7"/>
        </w:rPr>
        <w:t> </w:t>
      </w:r>
      <w:r>
        <w:rPr/>
        <w:t>un</w:t>
      </w:r>
      <w:r>
        <w:rPr>
          <w:spacing w:val="-6"/>
        </w:rPr>
        <w:t> </w:t>
      </w:r>
      <w:r>
        <w:rPr/>
        <w:t>valor</w:t>
      </w:r>
      <w:r>
        <w:rPr>
          <w:spacing w:val="-5"/>
        </w:rPr>
        <w:t> </w:t>
      </w:r>
      <w:r>
        <w:rPr/>
        <w:t>de</w:t>
      </w:r>
      <w:r>
        <w:rPr>
          <w:spacing w:val="-11"/>
        </w:rPr>
        <w:t> </w:t>
      </w:r>
      <w:r>
        <w:rPr/>
        <w:t>referencia para la toma de una decisión y que </w:t>
      </w:r>
      <w:r>
        <w:rPr>
          <w:spacing w:val="-3"/>
        </w:rPr>
        <w:t>su </w:t>
      </w:r>
      <w:r>
        <w:rPr/>
        <w:t>adecuada definición es fundamental para el resultado final de una evaluación. Es un </w:t>
      </w:r>
      <w:r>
        <w:rPr>
          <w:spacing w:val="-3"/>
        </w:rPr>
        <w:t>SIG </w:t>
      </w:r>
      <w:r>
        <w:rPr/>
        <w:t>podemos tener caracterizados los objetos espaciales en función de atributos cualitativos (altitud, total de habitantes, etc.). Estos atributos, sin embargo, no necesariamente reflejan las preferencias del decisor. Es necesario, por lo tanto, aplicar un procedimiento que permita traducir dichos atributos en puntuaciones o valores de referencia (Franco-Maass,</w:t>
      </w:r>
      <w:r>
        <w:rPr>
          <w:spacing w:val="-26"/>
        </w:rPr>
        <w:t> </w:t>
      </w:r>
      <w:r>
        <w:rPr/>
        <w:t>2009).</w:t>
      </w:r>
    </w:p>
    <w:p>
      <w:pPr>
        <w:pStyle w:val="BodyText"/>
      </w:pPr>
    </w:p>
    <w:p>
      <w:pPr>
        <w:pStyle w:val="BodyText"/>
        <w:spacing w:before="139"/>
        <w:ind w:left="480" w:right="70"/>
      </w:pPr>
      <w:r>
        <w:rPr/>
        <w:t>En los SIG es posible definir dos tipos de criterios:</w:t>
      </w:r>
    </w:p>
    <w:p>
      <w:pPr>
        <w:pStyle w:val="BodyText"/>
      </w:pPr>
    </w:p>
    <w:p>
      <w:pPr>
        <w:pStyle w:val="BodyText"/>
        <w:spacing w:before="1"/>
      </w:pPr>
    </w:p>
    <w:p>
      <w:pPr>
        <w:pStyle w:val="ListParagraph"/>
        <w:numPr>
          <w:ilvl w:val="0"/>
          <w:numId w:val="15"/>
        </w:numPr>
        <w:tabs>
          <w:tab w:pos="481" w:val="left" w:leader="none"/>
        </w:tabs>
        <w:spacing w:line="357" w:lineRule="auto" w:before="0" w:after="0"/>
        <w:ind w:left="480" w:right="118" w:hanging="361"/>
        <w:jc w:val="both"/>
        <w:rPr>
          <w:sz w:val="24"/>
        </w:rPr>
      </w:pPr>
      <w:r>
        <w:rPr>
          <w:sz w:val="24"/>
        </w:rPr>
        <w:t>Factor: Es un criterio que aumenta o disminuye a partir del nivel de adecuación de una alternativa especificada para la actividad considerada y que por lo general se mide en una escala de razón, es decir, una escala de unidades de medida</w:t>
      </w:r>
      <w:r>
        <w:rPr>
          <w:spacing w:val="-12"/>
          <w:sz w:val="24"/>
        </w:rPr>
        <w:t> </w:t>
      </w:r>
      <w:r>
        <w:rPr>
          <w:sz w:val="24"/>
        </w:rPr>
        <w:t>conocidas</w:t>
      </w:r>
      <w:r>
        <w:rPr>
          <w:spacing w:val="-13"/>
          <w:sz w:val="24"/>
        </w:rPr>
        <w:t> </w:t>
      </w:r>
      <w:r>
        <w:rPr>
          <w:sz w:val="24"/>
        </w:rPr>
        <w:t>con</w:t>
      </w:r>
      <w:r>
        <w:rPr>
          <w:spacing w:val="-12"/>
          <w:sz w:val="24"/>
        </w:rPr>
        <w:t> </w:t>
      </w:r>
      <w:r>
        <w:rPr>
          <w:sz w:val="24"/>
        </w:rPr>
        <w:t>“…origen</w:t>
      </w:r>
      <w:r>
        <w:rPr>
          <w:spacing w:val="-12"/>
          <w:sz w:val="24"/>
        </w:rPr>
        <w:t> </w:t>
      </w:r>
      <w:r>
        <w:rPr>
          <w:sz w:val="24"/>
        </w:rPr>
        <w:t>conocido,</w:t>
      </w:r>
      <w:r>
        <w:rPr>
          <w:spacing w:val="-17"/>
          <w:sz w:val="24"/>
        </w:rPr>
        <w:t> </w:t>
      </w:r>
      <w:r>
        <w:rPr>
          <w:sz w:val="24"/>
        </w:rPr>
        <w:t>indicado</w:t>
      </w:r>
      <w:r>
        <w:rPr>
          <w:spacing w:val="-17"/>
          <w:sz w:val="24"/>
        </w:rPr>
        <w:t> </w:t>
      </w:r>
      <w:r>
        <w:rPr>
          <w:sz w:val="24"/>
        </w:rPr>
        <w:t>por</w:t>
      </w:r>
      <w:r>
        <w:rPr>
          <w:spacing w:val="-11"/>
          <w:sz w:val="24"/>
        </w:rPr>
        <w:t> </w:t>
      </w:r>
      <w:r>
        <w:rPr>
          <w:sz w:val="24"/>
        </w:rPr>
        <w:t>el</w:t>
      </w:r>
      <w:r>
        <w:rPr>
          <w:spacing w:val="-8"/>
          <w:sz w:val="24"/>
        </w:rPr>
        <w:t> </w:t>
      </w:r>
      <w:r>
        <w:rPr>
          <w:sz w:val="24"/>
        </w:rPr>
        <w:t>número</w:t>
      </w:r>
      <w:r>
        <w:rPr>
          <w:spacing w:val="-12"/>
          <w:sz w:val="24"/>
        </w:rPr>
        <w:t> </w:t>
      </w:r>
      <w:r>
        <w:rPr>
          <w:sz w:val="24"/>
        </w:rPr>
        <w:t>cero”</w:t>
      </w:r>
      <w:r>
        <w:rPr>
          <w:spacing w:val="-11"/>
          <w:sz w:val="24"/>
        </w:rPr>
        <w:t> </w:t>
      </w:r>
      <w:r>
        <w:rPr>
          <w:sz w:val="24"/>
        </w:rPr>
        <w:t>(Voogd, 1983:75).</w:t>
      </w:r>
    </w:p>
    <w:p>
      <w:pPr>
        <w:pStyle w:val="ListParagraph"/>
        <w:numPr>
          <w:ilvl w:val="0"/>
          <w:numId w:val="15"/>
        </w:numPr>
        <w:tabs>
          <w:tab w:pos="481" w:val="left" w:leader="none"/>
        </w:tabs>
        <w:spacing w:line="357" w:lineRule="auto" w:before="3" w:after="0"/>
        <w:ind w:left="480" w:right="115" w:hanging="361"/>
        <w:jc w:val="both"/>
        <w:rPr>
          <w:sz w:val="24"/>
        </w:rPr>
      </w:pPr>
      <w:r>
        <w:rPr>
          <w:sz w:val="24"/>
        </w:rPr>
        <w:t>Restricción. Es un criterio que sirve como limite a las alternativas consideradas y que en muchos casos se representa en una “…escala binaria la cual expresa un orden parcial dado que únicamente representa información ‘si’-‘no’” (Voogd, 1983:76). Así, las áreas a ser excluidas de la evaluación reciben un valor de cero, y las zonas a ser consideradas reciben un valor de</w:t>
      </w:r>
      <w:r>
        <w:rPr>
          <w:spacing w:val="-25"/>
          <w:sz w:val="24"/>
        </w:rPr>
        <w:t> </w:t>
      </w:r>
      <w:r>
        <w:rPr>
          <w:sz w:val="24"/>
        </w:rPr>
        <w:t>uno.</w:t>
      </w:r>
    </w:p>
    <w:p>
      <w:pPr>
        <w:spacing w:after="0" w:line="357" w:lineRule="auto"/>
        <w:jc w:val="both"/>
        <w:rPr>
          <w:sz w:val="24"/>
        </w:rPr>
        <w:sectPr>
          <w:pgSz w:w="12240" w:h="15840"/>
          <w:pgMar w:header="0" w:footer="1031" w:top="1360" w:bottom="1220" w:left="1580" w:right="1580"/>
        </w:sectPr>
      </w:pPr>
    </w:p>
    <w:p>
      <w:pPr>
        <w:pStyle w:val="BodyText"/>
        <w:rPr>
          <w:sz w:val="20"/>
        </w:rPr>
      </w:pPr>
    </w:p>
    <w:p>
      <w:pPr>
        <w:pStyle w:val="BodyText"/>
        <w:spacing w:before="5"/>
        <w:rPr>
          <w:sz w:val="26"/>
        </w:rPr>
      </w:pPr>
    </w:p>
    <w:p>
      <w:pPr>
        <w:pStyle w:val="Heading2"/>
        <w:spacing w:before="70"/>
      </w:pPr>
      <w:r>
        <w:rPr/>
        <w:t>Transformación de variables nominales a variables cuantitativas.</w:t>
      </w:r>
    </w:p>
    <w:p>
      <w:pPr>
        <w:pStyle w:val="BodyText"/>
        <w:rPr>
          <w:b/>
        </w:rPr>
      </w:pPr>
    </w:p>
    <w:p>
      <w:pPr>
        <w:pStyle w:val="BodyText"/>
        <w:spacing w:line="360" w:lineRule="auto" w:before="149"/>
        <w:ind w:left="119" w:right="117"/>
        <w:jc w:val="both"/>
      </w:pPr>
      <w:r>
        <w:rPr/>
        <w:t>Una vez definidos los criterios a considerar en la EMC, estos pueden estar expresados en diversas escalas de medida: cuantitativas (razón o intervalo) o cualitativas</w:t>
      </w:r>
      <w:r>
        <w:rPr>
          <w:spacing w:val="-14"/>
        </w:rPr>
        <w:t> </w:t>
      </w:r>
      <w:r>
        <w:rPr/>
        <w:t>(ordinales,</w:t>
      </w:r>
      <w:r>
        <w:rPr>
          <w:spacing w:val="-13"/>
        </w:rPr>
        <w:t> </w:t>
      </w:r>
      <w:r>
        <w:rPr/>
        <w:t>binarias</w:t>
      </w:r>
      <w:r>
        <w:rPr>
          <w:spacing w:val="-14"/>
        </w:rPr>
        <w:t> </w:t>
      </w:r>
      <w:r>
        <w:rPr/>
        <w:t>o</w:t>
      </w:r>
      <w:r>
        <w:rPr>
          <w:spacing w:val="-18"/>
        </w:rPr>
        <w:t> </w:t>
      </w:r>
      <w:r>
        <w:rPr/>
        <w:t>nominales).</w:t>
      </w:r>
      <w:r>
        <w:rPr>
          <w:spacing w:val="-18"/>
        </w:rPr>
        <w:t> </w:t>
      </w:r>
      <w:r>
        <w:rPr/>
        <w:t>Sin</w:t>
      </w:r>
      <w:r>
        <w:rPr>
          <w:spacing w:val="-13"/>
        </w:rPr>
        <w:t> </w:t>
      </w:r>
      <w:r>
        <w:rPr/>
        <w:t>embargo,</w:t>
      </w:r>
      <w:r>
        <w:rPr>
          <w:spacing w:val="-13"/>
        </w:rPr>
        <w:t> </w:t>
      </w:r>
      <w:r>
        <w:rPr/>
        <w:t>dado</w:t>
      </w:r>
      <w:r>
        <w:rPr>
          <w:spacing w:val="-13"/>
        </w:rPr>
        <w:t> </w:t>
      </w:r>
      <w:r>
        <w:rPr/>
        <w:t>que</w:t>
      </w:r>
      <w:r>
        <w:rPr>
          <w:spacing w:val="-18"/>
        </w:rPr>
        <w:t> </w:t>
      </w:r>
      <w:r>
        <w:rPr/>
        <w:t>la</w:t>
      </w:r>
      <w:r>
        <w:rPr>
          <w:spacing w:val="-13"/>
        </w:rPr>
        <w:t> </w:t>
      </w:r>
      <w:r>
        <w:rPr/>
        <w:t>mayor</w:t>
      </w:r>
      <w:r>
        <w:rPr>
          <w:spacing w:val="-12"/>
        </w:rPr>
        <w:t> </w:t>
      </w:r>
      <w:r>
        <w:rPr/>
        <w:t>parte de los métodos multicriterio requieren una matriz de decisión numérica, es preciso aplicar una transformación del preorden del decisor a una escala cuantitativa. Tal es</w:t>
      </w:r>
      <w:r>
        <w:rPr>
          <w:spacing w:val="-7"/>
        </w:rPr>
        <w:t> </w:t>
      </w:r>
      <w:r>
        <w:rPr/>
        <w:t>el</w:t>
      </w:r>
      <w:r>
        <w:rPr>
          <w:spacing w:val="-3"/>
        </w:rPr>
        <w:t> </w:t>
      </w:r>
      <w:r>
        <w:rPr/>
        <w:t>caso</w:t>
      </w:r>
      <w:r>
        <w:rPr>
          <w:spacing w:val="-11"/>
        </w:rPr>
        <w:t> </w:t>
      </w:r>
      <w:r>
        <w:rPr/>
        <w:t>de</w:t>
      </w:r>
      <w:r>
        <w:rPr>
          <w:spacing w:val="-11"/>
        </w:rPr>
        <w:t> </w:t>
      </w:r>
      <w:r>
        <w:rPr/>
        <w:t>diversas</w:t>
      </w:r>
      <w:r>
        <w:rPr>
          <w:spacing w:val="-12"/>
        </w:rPr>
        <w:t> </w:t>
      </w:r>
      <w:r>
        <w:rPr/>
        <w:t>coberturas</w:t>
      </w:r>
      <w:r>
        <w:rPr>
          <w:spacing w:val="-7"/>
        </w:rPr>
        <w:t> </w:t>
      </w:r>
      <w:r>
        <w:rPr/>
        <w:t>temáticas</w:t>
      </w:r>
      <w:r>
        <w:rPr>
          <w:spacing w:val="-12"/>
        </w:rPr>
        <w:t> </w:t>
      </w:r>
      <w:r>
        <w:rPr/>
        <w:t>incluidas</w:t>
      </w:r>
      <w:r>
        <w:rPr>
          <w:spacing w:val="-12"/>
        </w:rPr>
        <w:t> </w:t>
      </w:r>
      <w:r>
        <w:rPr/>
        <w:t>en</w:t>
      </w:r>
      <w:r>
        <w:rPr>
          <w:spacing w:val="-15"/>
        </w:rPr>
        <w:t> </w:t>
      </w:r>
      <w:r>
        <w:rPr/>
        <w:t>los</w:t>
      </w:r>
      <w:r>
        <w:rPr>
          <w:spacing w:val="-12"/>
        </w:rPr>
        <w:t> </w:t>
      </w:r>
      <w:r>
        <w:rPr/>
        <w:t>SIG</w:t>
      </w:r>
      <w:r>
        <w:rPr>
          <w:spacing w:val="-6"/>
        </w:rPr>
        <w:t> </w:t>
      </w:r>
      <w:r>
        <w:rPr/>
        <w:t>donde</w:t>
      </w:r>
      <w:r>
        <w:rPr>
          <w:spacing w:val="-15"/>
        </w:rPr>
        <w:t> </w:t>
      </w:r>
      <w:r>
        <w:rPr/>
        <w:t>los</w:t>
      </w:r>
      <w:r>
        <w:rPr>
          <w:spacing w:val="-12"/>
        </w:rPr>
        <w:t> </w:t>
      </w:r>
      <w:r>
        <w:rPr/>
        <w:t>datos</w:t>
      </w:r>
      <w:r>
        <w:rPr>
          <w:spacing w:val="-12"/>
        </w:rPr>
        <w:t> </w:t>
      </w:r>
      <w:r>
        <w:rPr/>
        <w:t>se encuentran expresados en escala nominal. </w:t>
      </w:r>
      <w:r>
        <w:rPr>
          <w:spacing w:val="-3"/>
        </w:rPr>
        <w:t>De </w:t>
      </w:r>
      <w:r>
        <w:rPr/>
        <w:t>acuerdo con Voogd (1983), existen cuatro diferentes enfoques para determinar el valor de los criterios en función </w:t>
      </w:r>
      <w:r>
        <w:rPr>
          <w:spacing w:val="-3"/>
        </w:rPr>
        <w:t>del </w:t>
      </w:r>
      <w:r>
        <w:rPr/>
        <w:t>procedimiento</w:t>
      </w:r>
      <w:r>
        <w:rPr>
          <w:spacing w:val="-17"/>
        </w:rPr>
        <w:t> </w:t>
      </w:r>
      <w:r>
        <w:rPr/>
        <w:t>y</w:t>
      </w:r>
      <w:r>
        <w:rPr>
          <w:spacing w:val="-18"/>
        </w:rPr>
        <w:t> </w:t>
      </w:r>
      <w:r>
        <w:rPr/>
        <w:t>del</w:t>
      </w:r>
      <w:r>
        <w:rPr>
          <w:spacing w:val="-14"/>
        </w:rPr>
        <w:t> </w:t>
      </w:r>
      <w:r>
        <w:rPr/>
        <w:t>tipo</w:t>
      </w:r>
      <w:r>
        <w:rPr>
          <w:spacing w:val="-17"/>
        </w:rPr>
        <w:t> </w:t>
      </w:r>
      <w:r>
        <w:rPr/>
        <w:t>de</w:t>
      </w:r>
      <w:r>
        <w:rPr>
          <w:spacing w:val="-18"/>
        </w:rPr>
        <w:t> </w:t>
      </w:r>
      <w:r>
        <w:rPr/>
        <w:t>escala</w:t>
      </w:r>
      <w:r>
        <w:rPr>
          <w:spacing w:val="-18"/>
        </w:rPr>
        <w:t> </w:t>
      </w:r>
      <w:r>
        <w:rPr/>
        <w:t>en</w:t>
      </w:r>
      <w:r>
        <w:rPr>
          <w:spacing w:val="-18"/>
        </w:rPr>
        <w:t> </w:t>
      </w:r>
      <w:r>
        <w:rPr/>
        <w:t>que</w:t>
      </w:r>
      <w:r>
        <w:rPr>
          <w:spacing w:val="-18"/>
        </w:rPr>
        <w:t> </w:t>
      </w:r>
      <w:r>
        <w:rPr/>
        <w:t>se</w:t>
      </w:r>
      <w:r>
        <w:rPr>
          <w:spacing w:val="-18"/>
        </w:rPr>
        <w:t> </w:t>
      </w:r>
      <w:r>
        <w:rPr/>
        <w:t>expresan:</w:t>
      </w:r>
      <w:r>
        <w:rPr>
          <w:spacing w:val="-18"/>
        </w:rPr>
        <w:t> </w:t>
      </w:r>
      <w:r>
        <w:rPr/>
        <w:t>a)</w:t>
      </w:r>
      <w:r>
        <w:rPr>
          <w:spacing w:val="-17"/>
        </w:rPr>
        <w:t> </w:t>
      </w:r>
      <w:r>
        <w:rPr/>
        <w:t>determinación</w:t>
      </w:r>
      <w:r>
        <w:rPr>
          <w:spacing w:val="-17"/>
        </w:rPr>
        <w:t> </w:t>
      </w:r>
      <w:r>
        <w:rPr/>
        <w:t>cuantitativa directa, b) determinación cualitativa directa, </w:t>
      </w:r>
      <w:r>
        <w:rPr>
          <w:spacing w:val="-3"/>
        </w:rPr>
        <w:t>c) </w:t>
      </w:r>
      <w:r>
        <w:rPr/>
        <w:t>determinación cuantitativa indirecta, y d) determinación cualitativa</w:t>
      </w:r>
      <w:r>
        <w:rPr>
          <w:spacing w:val="-12"/>
        </w:rPr>
        <w:t> </w:t>
      </w:r>
      <w:r>
        <w:rPr/>
        <w:t>indirecta.</w:t>
      </w:r>
    </w:p>
    <w:p>
      <w:pPr>
        <w:pStyle w:val="BodyText"/>
        <w:spacing w:before="10"/>
      </w:pPr>
    </w:p>
    <w:p>
      <w:pPr>
        <w:pStyle w:val="BodyText"/>
        <w:spacing w:line="360" w:lineRule="auto"/>
        <w:ind w:left="119" w:right="121"/>
        <w:jc w:val="both"/>
      </w:pPr>
      <w:r>
        <w:rPr/>
        <w:t>De los cuatro enfoques considerados, aquellos relacionados con la determinación cuantitativa resultan de especial interés, dado que permiten la construcción de una matriz</w:t>
      </w:r>
      <w:r>
        <w:rPr>
          <w:spacing w:val="-2"/>
        </w:rPr>
        <w:t> </w:t>
      </w:r>
      <w:r>
        <w:rPr/>
        <w:t>numérica.</w:t>
      </w:r>
      <w:r>
        <w:rPr>
          <w:spacing w:val="-2"/>
        </w:rPr>
        <w:t> </w:t>
      </w:r>
      <w:r>
        <w:rPr/>
        <w:t>En</w:t>
      </w:r>
      <w:r>
        <w:rPr>
          <w:spacing w:val="-11"/>
        </w:rPr>
        <w:t> </w:t>
      </w:r>
      <w:r>
        <w:rPr/>
        <w:t>la</w:t>
      </w:r>
      <w:r>
        <w:rPr>
          <w:spacing w:val="-2"/>
        </w:rPr>
        <w:t> </w:t>
      </w:r>
      <w:r>
        <w:rPr/>
        <w:t>determinación</w:t>
      </w:r>
      <w:r>
        <w:rPr>
          <w:spacing w:val="-6"/>
        </w:rPr>
        <w:t> </w:t>
      </w:r>
      <w:r>
        <w:rPr/>
        <w:t>cuantitativa</w:t>
      </w:r>
      <w:r>
        <w:rPr>
          <w:spacing w:val="-6"/>
        </w:rPr>
        <w:t> </w:t>
      </w:r>
      <w:r>
        <w:rPr/>
        <w:t>directa</w:t>
      </w:r>
      <w:r>
        <w:rPr>
          <w:spacing w:val="-2"/>
        </w:rPr>
        <w:t> </w:t>
      </w:r>
      <w:r>
        <w:rPr/>
        <w:t>se</w:t>
      </w:r>
      <w:r>
        <w:rPr>
          <w:spacing w:val="-6"/>
        </w:rPr>
        <w:t> </w:t>
      </w:r>
      <w:r>
        <w:rPr/>
        <w:t>parte</w:t>
      </w:r>
      <w:r>
        <w:rPr>
          <w:spacing w:val="-6"/>
        </w:rPr>
        <w:t> </w:t>
      </w:r>
      <w:r>
        <w:rPr/>
        <w:t>de</w:t>
      </w:r>
      <w:r>
        <w:rPr>
          <w:spacing w:val="-6"/>
        </w:rPr>
        <w:t> </w:t>
      </w:r>
      <w:r>
        <w:rPr/>
        <w:t>la</w:t>
      </w:r>
      <w:r>
        <w:rPr>
          <w:spacing w:val="-11"/>
        </w:rPr>
        <w:t> </w:t>
      </w:r>
      <w:r>
        <w:rPr/>
        <w:t>información cuantitativa disponible sobre un determinado criterio para definir el valor numérico que</w:t>
      </w:r>
      <w:r>
        <w:rPr>
          <w:spacing w:val="-7"/>
        </w:rPr>
        <w:t> </w:t>
      </w:r>
      <w:r>
        <w:rPr/>
        <w:t>refleje</w:t>
      </w:r>
      <w:r>
        <w:rPr>
          <w:spacing w:val="-7"/>
        </w:rPr>
        <w:t> </w:t>
      </w:r>
      <w:r>
        <w:rPr/>
        <w:t>el</w:t>
      </w:r>
      <w:r>
        <w:rPr>
          <w:spacing w:val="-8"/>
        </w:rPr>
        <w:t> </w:t>
      </w:r>
      <w:r>
        <w:rPr/>
        <w:t>orden</w:t>
      </w:r>
      <w:r>
        <w:rPr>
          <w:spacing w:val="-12"/>
        </w:rPr>
        <w:t> </w:t>
      </w:r>
      <w:r>
        <w:rPr/>
        <w:t>de</w:t>
      </w:r>
      <w:r>
        <w:rPr>
          <w:spacing w:val="-7"/>
        </w:rPr>
        <w:t> </w:t>
      </w:r>
      <w:r>
        <w:rPr/>
        <w:t>una</w:t>
      </w:r>
      <w:r>
        <w:rPr>
          <w:spacing w:val="-7"/>
        </w:rPr>
        <w:t> </w:t>
      </w:r>
      <w:r>
        <w:rPr/>
        <w:t>preferencia</w:t>
      </w:r>
      <w:r>
        <w:rPr>
          <w:spacing w:val="-7"/>
        </w:rPr>
        <w:t> </w:t>
      </w:r>
      <w:r>
        <w:rPr/>
        <w:t>del</w:t>
      </w:r>
      <w:r>
        <w:rPr>
          <w:spacing w:val="-8"/>
        </w:rPr>
        <w:t> </w:t>
      </w:r>
      <w:r>
        <w:rPr/>
        <w:t>decisor.</w:t>
      </w:r>
      <w:r>
        <w:rPr>
          <w:spacing w:val="-7"/>
        </w:rPr>
        <w:t> </w:t>
      </w:r>
      <w:r>
        <w:rPr/>
        <w:t>En</w:t>
      </w:r>
      <w:r>
        <w:rPr>
          <w:spacing w:val="-7"/>
        </w:rPr>
        <w:t> </w:t>
      </w:r>
      <w:r>
        <w:rPr/>
        <w:t>la</w:t>
      </w:r>
      <w:r>
        <w:rPr>
          <w:spacing w:val="-12"/>
        </w:rPr>
        <w:t> </w:t>
      </w:r>
      <w:r>
        <w:rPr/>
        <w:t>determinación</w:t>
      </w:r>
      <w:r>
        <w:rPr>
          <w:spacing w:val="-7"/>
        </w:rPr>
        <w:t> </w:t>
      </w:r>
      <w:r>
        <w:rPr/>
        <w:t>cuantitativa indirecta se recurre a la construcción de una matriz de comparación entre pares de categorías temáticas para definir, en términos numéricos, la importancia relativa</w:t>
      </w:r>
      <w:r>
        <w:rPr>
          <w:spacing w:val="-36"/>
        </w:rPr>
        <w:t> </w:t>
      </w:r>
      <w:r>
        <w:rPr/>
        <w:t>de cada categoría con respecto a las demás (Franco-Maass,</w:t>
      </w:r>
      <w:r>
        <w:rPr>
          <w:spacing w:val="-19"/>
        </w:rPr>
        <w:t> </w:t>
      </w:r>
      <w:r>
        <w:rPr/>
        <w:t>2009).</w:t>
      </w:r>
    </w:p>
    <w:p>
      <w:pPr>
        <w:pStyle w:val="BodyText"/>
        <w:spacing w:before="10"/>
      </w:pPr>
    </w:p>
    <w:p>
      <w:pPr>
        <w:pStyle w:val="BodyText"/>
        <w:spacing w:line="360" w:lineRule="auto"/>
        <w:ind w:left="119" w:right="115"/>
        <w:jc w:val="both"/>
      </w:pPr>
      <w:r>
        <w:rPr/>
        <w:t>Eastman</w:t>
      </w:r>
      <w:r>
        <w:rPr>
          <w:spacing w:val="-12"/>
        </w:rPr>
        <w:t> </w:t>
      </w:r>
      <w:r>
        <w:rPr/>
        <w:t>(1993)</w:t>
      </w:r>
      <w:r>
        <w:rPr>
          <w:spacing w:val="-11"/>
        </w:rPr>
        <w:t> </w:t>
      </w:r>
      <w:r>
        <w:rPr/>
        <w:t>y</w:t>
      </w:r>
      <w:r>
        <w:rPr>
          <w:spacing w:val="-13"/>
        </w:rPr>
        <w:t> </w:t>
      </w:r>
      <w:r>
        <w:rPr/>
        <w:t>Barredo</w:t>
      </w:r>
      <w:r>
        <w:rPr>
          <w:spacing w:val="-17"/>
        </w:rPr>
        <w:t> </w:t>
      </w:r>
      <w:r>
        <w:rPr/>
        <w:t>(1996)</w:t>
      </w:r>
      <w:r>
        <w:rPr>
          <w:spacing w:val="-11"/>
        </w:rPr>
        <w:t> </w:t>
      </w:r>
      <w:r>
        <w:rPr/>
        <w:t>recomienda</w:t>
      </w:r>
      <w:r>
        <w:rPr>
          <w:spacing w:val="-17"/>
        </w:rPr>
        <w:t> </w:t>
      </w:r>
      <w:r>
        <w:rPr/>
        <w:t>el</w:t>
      </w:r>
      <w:r>
        <w:rPr>
          <w:spacing w:val="-9"/>
        </w:rPr>
        <w:t> </w:t>
      </w:r>
      <w:r>
        <w:rPr/>
        <w:t>método</w:t>
      </w:r>
      <w:r>
        <w:rPr>
          <w:spacing w:val="-12"/>
        </w:rPr>
        <w:t> </w:t>
      </w:r>
      <w:r>
        <w:rPr/>
        <w:t>de</w:t>
      </w:r>
      <w:r>
        <w:rPr>
          <w:spacing w:val="-17"/>
        </w:rPr>
        <w:t> </w:t>
      </w:r>
      <w:r>
        <w:rPr/>
        <w:t>las</w:t>
      </w:r>
      <w:r>
        <w:rPr>
          <w:spacing w:val="-13"/>
        </w:rPr>
        <w:t> </w:t>
      </w:r>
      <w:r>
        <w:rPr/>
        <w:t>jerarquías</w:t>
      </w:r>
      <w:r>
        <w:rPr>
          <w:spacing w:val="-13"/>
        </w:rPr>
        <w:t> </w:t>
      </w:r>
      <w:r>
        <w:rPr/>
        <w:t>analíticas (MJA) desarrollado por Saaty y descrito por Voogd (1983). El MJA permite la asignación de escalas cuantitativas a datos originalmente cualitativos, a partir de una matriz comparación entre pares de criterio determinados, se puede determinar </w:t>
      </w:r>
      <w:r>
        <w:rPr>
          <w:position w:val="2"/>
        </w:rPr>
        <w:t>un</w:t>
      </w:r>
      <w:r>
        <w:rPr>
          <w:spacing w:val="-7"/>
          <w:position w:val="2"/>
        </w:rPr>
        <w:t> </w:t>
      </w:r>
      <w:r>
        <w:rPr>
          <w:position w:val="2"/>
        </w:rPr>
        <w:t>conjunto</w:t>
      </w:r>
      <w:r>
        <w:rPr>
          <w:spacing w:val="-7"/>
          <w:position w:val="2"/>
        </w:rPr>
        <w:t> </w:t>
      </w:r>
      <w:r>
        <w:rPr>
          <w:position w:val="2"/>
        </w:rPr>
        <w:t>de</w:t>
      </w:r>
      <w:r>
        <w:rPr>
          <w:spacing w:val="-12"/>
          <w:position w:val="2"/>
        </w:rPr>
        <w:t> </w:t>
      </w:r>
      <w:r>
        <w:rPr>
          <w:position w:val="2"/>
        </w:rPr>
        <w:t>valores,</w:t>
      </w:r>
      <w:r>
        <w:rPr>
          <w:spacing w:val="-7"/>
          <w:position w:val="2"/>
        </w:rPr>
        <w:t> </w:t>
      </w:r>
      <w:r>
        <w:rPr>
          <w:position w:val="2"/>
        </w:rPr>
        <w:t>denotados</w:t>
      </w:r>
      <w:r>
        <w:rPr>
          <w:spacing w:val="-8"/>
          <w:position w:val="2"/>
        </w:rPr>
        <w:t> </w:t>
      </w:r>
      <w:r>
        <w:rPr>
          <w:position w:val="2"/>
        </w:rPr>
        <w:t>como</w:t>
      </w:r>
      <w:r>
        <w:rPr>
          <w:spacing w:val="-7"/>
          <w:position w:val="2"/>
        </w:rPr>
        <w:t> </w:t>
      </w:r>
      <w:r>
        <w:rPr>
          <w:spacing w:val="3"/>
          <w:position w:val="2"/>
        </w:rPr>
        <w:t>e</w:t>
      </w:r>
      <w:r>
        <w:rPr>
          <w:spacing w:val="3"/>
          <w:sz w:val="16"/>
        </w:rPr>
        <w:t>i </w:t>
      </w:r>
      <w:r>
        <w:rPr>
          <w:position w:val="2"/>
        </w:rPr>
        <w:t>(i,</w:t>
      </w:r>
      <w:r>
        <w:rPr>
          <w:spacing w:val="-12"/>
          <w:position w:val="2"/>
        </w:rPr>
        <w:t> </w:t>
      </w:r>
      <w:r>
        <w:rPr>
          <w:position w:val="2"/>
        </w:rPr>
        <w:t>i’=</w:t>
      </w:r>
      <w:r>
        <w:rPr>
          <w:spacing w:val="-9"/>
          <w:position w:val="2"/>
        </w:rPr>
        <w:t> </w:t>
      </w:r>
      <w:r>
        <w:rPr>
          <w:position w:val="2"/>
        </w:rPr>
        <w:t>1,2,…1,)</w:t>
      </w:r>
      <w:r>
        <w:rPr>
          <w:spacing w:val="-10"/>
          <w:position w:val="2"/>
        </w:rPr>
        <w:t> </w:t>
      </w:r>
      <w:r>
        <w:rPr>
          <w:position w:val="2"/>
        </w:rPr>
        <w:t>que</w:t>
      </w:r>
      <w:r>
        <w:rPr>
          <w:spacing w:val="-12"/>
          <w:position w:val="2"/>
        </w:rPr>
        <w:t> </w:t>
      </w:r>
      <w:r>
        <w:rPr>
          <w:position w:val="2"/>
        </w:rPr>
        <w:t>representen</w:t>
      </w:r>
      <w:r>
        <w:rPr>
          <w:spacing w:val="-7"/>
          <w:position w:val="2"/>
        </w:rPr>
        <w:t> </w:t>
      </w:r>
      <w:r>
        <w:rPr>
          <w:position w:val="2"/>
        </w:rPr>
        <w:t>el</w:t>
      </w:r>
      <w:r>
        <w:rPr>
          <w:spacing w:val="-8"/>
          <w:position w:val="2"/>
        </w:rPr>
        <w:t> </w:t>
      </w:r>
      <w:r>
        <w:rPr>
          <w:position w:val="2"/>
        </w:rPr>
        <w:t>grado </w:t>
      </w:r>
      <w:r>
        <w:rPr/>
        <w:t>en que dicho criterio satisface la alternativa i”  (Voogd, 1983). El método</w:t>
      </w:r>
      <w:r>
        <w:rPr>
          <w:spacing w:val="33"/>
        </w:rPr>
        <w:t> </w:t>
      </w:r>
      <w:r>
        <w:rPr/>
        <w:t>establece</w:t>
      </w:r>
    </w:p>
    <w:p>
      <w:pPr>
        <w:spacing w:after="0" w:line="360" w:lineRule="auto"/>
        <w:jc w:val="both"/>
        <w:sectPr>
          <w:pgSz w:w="12240" w:h="15840"/>
          <w:pgMar w:header="0" w:footer="1031" w:top="1500" w:bottom="1220" w:left="1580" w:right="1580"/>
        </w:sectPr>
      </w:pPr>
    </w:p>
    <w:p>
      <w:pPr>
        <w:pStyle w:val="BodyText"/>
        <w:spacing w:line="224" w:lineRule="exact" w:before="80"/>
        <w:ind w:right="58"/>
        <w:jc w:val="right"/>
        <w:rPr>
          <w:rFonts w:ascii="Cambria Math" w:hAnsi="Cambria Math"/>
        </w:rPr>
      </w:pPr>
      <w:r>
        <w:rPr>
          <w:w w:val="120"/>
        </w:rPr>
        <w:t>que </w:t>
      </w:r>
      <w:r>
        <w:rPr>
          <w:rFonts w:ascii="Cambria Math" w:hAnsi="Cambria Math"/>
          <w:w w:val="140"/>
        </w:rPr>
        <w:t>∑</w:t>
      </w:r>
    </w:p>
    <w:p>
      <w:pPr>
        <w:spacing w:line="142" w:lineRule="exact" w:before="0"/>
        <w:ind w:left="0" w:right="0" w:firstLine="0"/>
        <w:jc w:val="right"/>
        <w:rPr>
          <w:rFonts w:ascii="Cambria Math" w:eastAsia="Cambria Math"/>
          <w:sz w:val="17"/>
        </w:rPr>
      </w:pPr>
      <w:r>
        <w:rPr>
          <w:rFonts w:ascii="Cambria Math" w:eastAsia="Cambria Math"/>
          <w:w w:val="105"/>
          <w:sz w:val="17"/>
        </w:rPr>
        <w:t>𝑖</w:t>
      </w:r>
    </w:p>
    <w:p>
      <w:pPr>
        <w:spacing w:before="66"/>
        <w:ind w:left="119" w:right="0" w:firstLine="0"/>
        <w:jc w:val="left"/>
        <w:rPr>
          <w:rFonts w:ascii="Cambria Math" w:eastAsia="Cambria Math"/>
          <w:sz w:val="24"/>
        </w:rPr>
      </w:pPr>
      <w:r>
        <w:rPr/>
        <w:br w:type="column"/>
      </w:r>
      <w:r>
        <w:rPr>
          <w:rFonts w:ascii="Cambria Math" w:eastAsia="Cambria Math"/>
          <w:sz w:val="24"/>
        </w:rPr>
        <w:t>=  1</w:t>
      </w:r>
      <w:r>
        <w:rPr>
          <w:rFonts w:ascii="Cambria Math" w:eastAsia="Cambria Math"/>
          <w:position w:val="9"/>
          <w:sz w:val="16"/>
        </w:rPr>
        <w:t>𝐼 </w:t>
      </w:r>
      <w:r>
        <w:rPr>
          <w:rFonts w:ascii="Cambria Math" w:eastAsia="Cambria Math"/>
          <w:sz w:val="24"/>
        </w:rPr>
        <w:t>ei</w:t>
      </w:r>
    </w:p>
    <w:p>
      <w:pPr>
        <w:pStyle w:val="BodyText"/>
        <w:spacing w:before="82"/>
        <w:ind w:left="119"/>
      </w:pPr>
      <w:r>
        <w:rPr/>
        <w:br w:type="column"/>
      </w:r>
      <w:r>
        <w:rPr>
          <w:position w:val="2"/>
        </w:rPr>
        <w:t>que se requiere la construcción de </w:t>
      </w:r>
      <w:r>
        <w:rPr>
          <w:spacing w:val="-3"/>
          <w:position w:val="2"/>
        </w:rPr>
        <w:t>una </w:t>
      </w:r>
      <w:r>
        <w:rPr>
          <w:position w:val="2"/>
        </w:rPr>
        <w:t>matriz A del orden </w:t>
      </w:r>
      <w:r>
        <w:rPr>
          <w:spacing w:val="5"/>
          <w:position w:val="2"/>
        </w:rPr>
        <w:t>I</w:t>
      </w:r>
      <w:r>
        <w:rPr>
          <w:spacing w:val="5"/>
          <w:sz w:val="16"/>
        </w:rPr>
        <w:t>X        </w:t>
      </w:r>
      <w:r>
        <w:rPr>
          <w:position w:val="2"/>
        </w:rPr>
        <w:t>I</w:t>
      </w:r>
    </w:p>
    <w:p>
      <w:pPr>
        <w:spacing w:after="0"/>
        <w:sectPr>
          <w:pgSz w:w="12240" w:h="15840"/>
          <w:pgMar w:header="0" w:footer="1031" w:top="1420" w:bottom="1220" w:left="1580" w:right="1100"/>
          <w:cols w:num="3" w:equalWidth="0">
            <w:col w:w="948" w:space="42"/>
            <w:col w:w="853" w:space="74"/>
            <w:col w:w="7643"/>
          </w:cols>
        </w:sectPr>
      </w:pPr>
    </w:p>
    <w:p>
      <w:pPr>
        <w:pStyle w:val="BodyText"/>
        <w:spacing w:before="111"/>
        <w:ind w:left="119"/>
        <w:jc w:val="both"/>
      </w:pPr>
      <w:r>
        <w:rPr>
          <w:position w:val="2"/>
        </w:rPr>
        <w:t>definida por los elementos  a</w:t>
      </w:r>
      <w:r>
        <w:rPr>
          <w:sz w:val="16"/>
        </w:rPr>
        <w:t>ii</w:t>
      </w:r>
      <w:r>
        <w:rPr>
          <w:position w:val="2"/>
        </w:rPr>
        <w:t>, donde a</w:t>
      </w:r>
      <w:r>
        <w:rPr>
          <w:sz w:val="16"/>
        </w:rPr>
        <w:t>ii= </w:t>
      </w:r>
      <w:r>
        <w:rPr>
          <w:position w:val="2"/>
        </w:rPr>
        <w:t>e</w:t>
      </w:r>
      <w:r>
        <w:rPr>
          <w:sz w:val="16"/>
        </w:rPr>
        <w:t>i</w:t>
      </w:r>
      <w:r>
        <w:rPr>
          <w:position w:val="2"/>
        </w:rPr>
        <w:t>/e</w:t>
      </w:r>
      <w:r>
        <w:rPr>
          <w:sz w:val="16"/>
        </w:rPr>
        <w:t>i</w:t>
      </w:r>
      <w:r>
        <w:rPr>
          <w:position w:val="2"/>
        </w:rPr>
        <w:t>.</w:t>
      </w:r>
    </w:p>
    <w:p>
      <w:pPr>
        <w:pStyle w:val="BodyText"/>
        <w:spacing w:before="10"/>
        <w:rPr>
          <w:sz w:val="35"/>
        </w:rPr>
      </w:pPr>
    </w:p>
    <w:p>
      <w:pPr>
        <w:pStyle w:val="BodyText"/>
        <w:spacing w:line="362" w:lineRule="auto"/>
        <w:ind w:left="119" w:right="601"/>
        <w:jc w:val="both"/>
      </w:pPr>
      <w:r>
        <w:rPr/>
        <w:t>Dado</w:t>
      </w:r>
      <w:r>
        <w:rPr>
          <w:spacing w:val="-17"/>
        </w:rPr>
        <w:t> </w:t>
      </w:r>
      <w:r>
        <w:rPr/>
        <w:t>que</w:t>
      </w:r>
      <w:r>
        <w:rPr>
          <w:spacing w:val="-25"/>
        </w:rPr>
        <w:t> </w:t>
      </w:r>
      <w:r>
        <w:rPr/>
        <w:t>los</w:t>
      </w:r>
      <w:r>
        <w:rPr>
          <w:spacing w:val="-17"/>
        </w:rPr>
        <w:t> </w:t>
      </w:r>
      <w:r>
        <w:rPr/>
        <w:t>valores</w:t>
      </w:r>
      <w:r>
        <w:rPr>
          <w:spacing w:val="-21"/>
        </w:rPr>
        <w:t> </w:t>
      </w:r>
      <w:r>
        <w:rPr/>
        <w:t>de</w:t>
      </w:r>
      <w:r>
        <w:rPr>
          <w:spacing w:val="-20"/>
        </w:rPr>
        <w:t> </w:t>
      </w:r>
      <w:r>
        <w:rPr/>
        <w:t>dicha</w:t>
      </w:r>
      <w:r>
        <w:rPr>
          <w:spacing w:val="-17"/>
        </w:rPr>
        <w:t> </w:t>
      </w:r>
      <w:r>
        <w:rPr/>
        <w:t>matriz</w:t>
      </w:r>
      <w:r>
        <w:rPr>
          <w:spacing w:val="-21"/>
        </w:rPr>
        <w:t> </w:t>
      </w:r>
      <w:r>
        <w:rPr/>
        <w:t>pueden</w:t>
      </w:r>
      <w:r>
        <w:rPr>
          <w:spacing w:val="-17"/>
        </w:rPr>
        <w:t> </w:t>
      </w:r>
      <w:r>
        <w:rPr/>
        <w:t>ser</w:t>
      </w:r>
      <w:r>
        <w:rPr>
          <w:spacing w:val="-16"/>
        </w:rPr>
        <w:t> </w:t>
      </w:r>
      <w:r>
        <w:rPr/>
        <w:t>estimados</w:t>
      </w:r>
      <w:r>
        <w:rPr>
          <w:spacing w:val="-17"/>
        </w:rPr>
        <w:t> </w:t>
      </w:r>
      <w:r>
        <w:rPr/>
        <w:t>por</w:t>
      </w:r>
      <w:r>
        <w:rPr>
          <w:spacing w:val="-19"/>
        </w:rPr>
        <w:t> </w:t>
      </w:r>
      <w:r>
        <w:rPr/>
        <w:t>el</w:t>
      </w:r>
      <w:r>
        <w:rPr>
          <w:spacing w:val="-13"/>
        </w:rPr>
        <w:t> </w:t>
      </w:r>
      <w:r>
        <w:rPr/>
        <w:t>decisor</w:t>
      </w:r>
      <w:r>
        <w:rPr>
          <w:spacing w:val="-20"/>
        </w:rPr>
        <w:t> </w:t>
      </w:r>
      <w:r>
        <w:rPr/>
        <w:t>en</w:t>
      </w:r>
      <w:r>
        <w:rPr>
          <w:spacing w:val="-17"/>
        </w:rPr>
        <w:t> </w:t>
      </w:r>
      <w:r>
        <w:rPr/>
        <w:t>función de diversas unidades y escalas de medida, Saaty (1977) justificaba la elección de la siguiente escala de juicios (Tabla</w:t>
      </w:r>
      <w:r>
        <w:rPr>
          <w:spacing w:val="-16"/>
        </w:rPr>
        <w:t> </w:t>
      </w:r>
      <w:r>
        <w:rPr/>
        <w:t>4):</w:t>
      </w:r>
    </w:p>
    <w:p>
      <w:pPr>
        <w:pStyle w:val="BodyText"/>
        <w:spacing w:before="7"/>
      </w:pPr>
    </w:p>
    <w:p>
      <w:pPr>
        <w:pStyle w:val="BodyText"/>
        <w:spacing w:line="360" w:lineRule="auto"/>
        <w:ind w:left="119" w:right="594"/>
        <w:jc w:val="both"/>
      </w:pPr>
      <w:r>
        <w:rPr/>
        <w:t>De acuerdo con Barba-Romero y Pomerol (1977), existen diversas razones que justifican la utilización de la escala propuesta. Ellas son: el amplio abanico de posibilidades sin superar el número de valores que la mente humana pueden contemplar simultáneamente, el uso de valoraciones enteras con incrementos unitarios y el hecho de que el valor de equivalencia de la unidad (Franco-Maass, 2009).</w:t>
      </w:r>
    </w:p>
    <w:p>
      <w:pPr>
        <w:spacing w:before="2"/>
        <w:ind w:left="1468" w:right="0" w:firstLine="0"/>
        <w:jc w:val="left"/>
        <w:rPr>
          <w:sz w:val="22"/>
        </w:rPr>
      </w:pPr>
      <w:r>
        <w:rPr>
          <w:sz w:val="22"/>
        </w:rPr>
        <w:t>Tabla 4. Escala de juicios de valor propuesta por Saaty (1997).</w:t>
      </w:r>
    </w:p>
    <w:p>
      <w:pPr>
        <w:pStyle w:val="BodyText"/>
        <w:spacing w:before="2" w:after="1"/>
        <w:rPr>
          <w:sz w:val="22"/>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5"/>
        <w:gridCol w:w="3587"/>
        <w:gridCol w:w="3323"/>
      </w:tblGrid>
      <w:tr>
        <w:trPr>
          <w:trHeight w:val="264" w:hRule="exact"/>
        </w:trPr>
        <w:tc>
          <w:tcPr>
            <w:tcW w:w="2415" w:type="dxa"/>
          </w:tcPr>
          <w:p>
            <w:pPr>
              <w:pStyle w:val="TableParagraph"/>
              <w:spacing w:line="246" w:lineRule="exact"/>
              <w:ind w:left="105"/>
              <w:rPr>
                <w:rFonts w:ascii="Trebuchet MS" w:hAnsi="Trebuchet MS"/>
                <w:b/>
                <w:sz w:val="22"/>
              </w:rPr>
            </w:pPr>
            <w:r>
              <w:rPr>
                <w:rFonts w:ascii="Trebuchet MS" w:hAnsi="Trebuchet MS"/>
                <w:b/>
                <w:w w:val="85"/>
                <w:sz w:val="22"/>
              </w:rPr>
              <w:t>Escala numérica</w:t>
            </w:r>
          </w:p>
        </w:tc>
        <w:tc>
          <w:tcPr>
            <w:tcW w:w="3587" w:type="dxa"/>
          </w:tcPr>
          <w:p>
            <w:pPr>
              <w:pStyle w:val="TableParagraph"/>
              <w:spacing w:line="246" w:lineRule="exact"/>
              <w:ind w:left="100" w:right="895"/>
              <w:rPr>
                <w:rFonts w:ascii="Trebuchet MS"/>
                <w:b/>
                <w:sz w:val="22"/>
              </w:rPr>
            </w:pPr>
            <w:r>
              <w:rPr>
                <w:rFonts w:ascii="Trebuchet MS"/>
                <w:b/>
                <w:w w:val="85"/>
                <w:sz w:val="22"/>
              </w:rPr>
              <w:t>Escala verbal</w:t>
            </w:r>
          </w:p>
        </w:tc>
        <w:tc>
          <w:tcPr>
            <w:tcW w:w="3323" w:type="dxa"/>
          </w:tcPr>
          <w:p>
            <w:pPr>
              <w:pStyle w:val="TableParagraph"/>
              <w:spacing w:line="246" w:lineRule="exact"/>
              <w:ind w:left="100" w:right="33"/>
              <w:rPr>
                <w:rFonts w:ascii="Trebuchet MS" w:hAnsi="Trebuchet MS"/>
                <w:b/>
                <w:sz w:val="22"/>
              </w:rPr>
            </w:pPr>
            <w:r>
              <w:rPr>
                <w:rFonts w:ascii="Trebuchet MS" w:hAnsi="Trebuchet MS"/>
                <w:b/>
                <w:w w:val="95"/>
                <w:sz w:val="22"/>
              </w:rPr>
              <w:t>Explicación</w:t>
            </w:r>
          </w:p>
        </w:tc>
      </w:tr>
      <w:tr>
        <w:trPr>
          <w:trHeight w:val="514" w:hRule="exact"/>
        </w:trPr>
        <w:tc>
          <w:tcPr>
            <w:tcW w:w="2415" w:type="dxa"/>
          </w:tcPr>
          <w:p>
            <w:pPr>
              <w:pStyle w:val="TableParagraph"/>
              <w:spacing w:line="243" w:lineRule="exact"/>
              <w:jc w:val="center"/>
              <w:rPr>
                <w:sz w:val="22"/>
              </w:rPr>
            </w:pPr>
            <w:r>
              <w:rPr>
                <w:w w:val="82"/>
                <w:sz w:val="22"/>
              </w:rPr>
              <w:t>1</w:t>
            </w:r>
          </w:p>
        </w:tc>
        <w:tc>
          <w:tcPr>
            <w:tcW w:w="3587" w:type="dxa"/>
          </w:tcPr>
          <w:p>
            <w:pPr>
              <w:pStyle w:val="TableParagraph"/>
              <w:spacing w:line="243" w:lineRule="exact"/>
              <w:ind w:left="100" w:right="895"/>
              <w:rPr>
                <w:sz w:val="22"/>
              </w:rPr>
            </w:pPr>
            <w:r>
              <w:rPr>
                <w:w w:val="80"/>
                <w:sz w:val="22"/>
              </w:rPr>
              <w:t>Igual importancia</w:t>
            </w:r>
          </w:p>
        </w:tc>
        <w:tc>
          <w:tcPr>
            <w:tcW w:w="3323" w:type="dxa"/>
          </w:tcPr>
          <w:p>
            <w:pPr>
              <w:pStyle w:val="TableParagraph"/>
              <w:tabs>
                <w:tab w:pos="642" w:val="left" w:leader="none"/>
                <w:tab w:pos="1184" w:val="left" w:leader="none"/>
                <w:tab w:pos="2268" w:val="left" w:leader="none"/>
              </w:tabs>
              <w:spacing w:line="242" w:lineRule="auto"/>
              <w:ind w:left="100" w:right="108"/>
              <w:rPr>
                <w:sz w:val="22"/>
              </w:rPr>
            </w:pPr>
            <w:r>
              <w:rPr>
                <w:w w:val="90"/>
                <w:sz w:val="22"/>
              </w:rPr>
              <w:t>Los</w:t>
              <w:tab/>
              <w:t>dos</w:t>
              <w:tab/>
              <w:t>elementos</w:t>
              <w:tab/>
            </w:r>
            <w:r>
              <w:rPr>
                <w:spacing w:val="-1"/>
                <w:w w:val="80"/>
                <w:sz w:val="22"/>
              </w:rPr>
              <w:t>contribuyen </w:t>
            </w:r>
            <w:r>
              <w:rPr>
                <w:w w:val="85"/>
                <w:sz w:val="22"/>
              </w:rPr>
              <w:t>igualmente</w:t>
            </w:r>
            <w:r>
              <w:rPr>
                <w:spacing w:val="-24"/>
                <w:w w:val="85"/>
                <w:sz w:val="22"/>
              </w:rPr>
              <w:t> </w:t>
            </w:r>
            <w:r>
              <w:rPr>
                <w:w w:val="85"/>
                <w:sz w:val="22"/>
              </w:rPr>
              <w:t>a</w:t>
            </w:r>
            <w:r>
              <w:rPr>
                <w:spacing w:val="-22"/>
                <w:w w:val="85"/>
                <w:sz w:val="22"/>
              </w:rPr>
              <w:t> </w:t>
            </w:r>
            <w:r>
              <w:rPr>
                <w:w w:val="85"/>
                <w:sz w:val="22"/>
              </w:rPr>
              <w:t>la</w:t>
            </w:r>
            <w:r>
              <w:rPr>
                <w:spacing w:val="-24"/>
                <w:w w:val="85"/>
                <w:sz w:val="22"/>
              </w:rPr>
              <w:t> </w:t>
            </w:r>
            <w:r>
              <w:rPr>
                <w:w w:val="85"/>
                <w:sz w:val="22"/>
              </w:rPr>
              <w:t>propiedad</w:t>
            </w:r>
            <w:r>
              <w:rPr>
                <w:spacing w:val="-24"/>
                <w:w w:val="85"/>
                <w:sz w:val="22"/>
              </w:rPr>
              <w:t> </w:t>
            </w:r>
            <w:r>
              <w:rPr>
                <w:w w:val="85"/>
                <w:sz w:val="22"/>
              </w:rPr>
              <w:t>o</w:t>
            </w:r>
            <w:r>
              <w:rPr>
                <w:spacing w:val="-24"/>
                <w:w w:val="85"/>
                <w:sz w:val="22"/>
              </w:rPr>
              <w:t> </w:t>
            </w:r>
            <w:r>
              <w:rPr>
                <w:w w:val="85"/>
                <w:sz w:val="22"/>
              </w:rPr>
              <w:t>criterio</w:t>
            </w:r>
          </w:p>
        </w:tc>
      </w:tr>
      <w:tr>
        <w:trPr>
          <w:trHeight w:val="836" w:hRule="exact"/>
        </w:trPr>
        <w:tc>
          <w:tcPr>
            <w:tcW w:w="2415" w:type="dxa"/>
          </w:tcPr>
          <w:p>
            <w:pPr>
              <w:pStyle w:val="TableParagraph"/>
              <w:spacing w:line="243" w:lineRule="exact"/>
              <w:jc w:val="center"/>
              <w:rPr>
                <w:sz w:val="22"/>
              </w:rPr>
            </w:pPr>
            <w:r>
              <w:rPr>
                <w:w w:val="82"/>
                <w:sz w:val="22"/>
              </w:rPr>
              <w:t>3</w:t>
            </w:r>
          </w:p>
        </w:tc>
        <w:tc>
          <w:tcPr>
            <w:tcW w:w="3587" w:type="dxa"/>
          </w:tcPr>
          <w:p>
            <w:pPr>
              <w:pStyle w:val="TableParagraph"/>
              <w:tabs>
                <w:tab w:pos="1636" w:val="left" w:leader="none"/>
                <w:tab w:pos="2197" w:val="left" w:leader="none"/>
                <w:tab w:pos="3267" w:val="left" w:leader="none"/>
              </w:tabs>
              <w:spacing w:line="242" w:lineRule="auto"/>
              <w:ind w:left="100" w:right="106"/>
              <w:rPr>
                <w:sz w:val="22"/>
              </w:rPr>
            </w:pPr>
            <w:r>
              <w:rPr>
                <w:w w:val="85"/>
                <w:sz w:val="22"/>
              </w:rPr>
              <w:t>Moderadamente</w:t>
              <w:tab/>
            </w:r>
            <w:r>
              <w:rPr>
                <w:w w:val="90"/>
                <w:sz w:val="22"/>
              </w:rPr>
              <w:t>más</w:t>
              <w:tab/>
            </w:r>
            <w:r>
              <w:rPr>
                <w:w w:val="85"/>
                <w:sz w:val="22"/>
              </w:rPr>
              <w:t>importante</w:t>
              <w:tab/>
            </w:r>
            <w:r>
              <w:rPr>
                <w:w w:val="80"/>
                <w:sz w:val="22"/>
              </w:rPr>
              <w:t>un </w:t>
            </w:r>
            <w:r>
              <w:rPr>
                <w:w w:val="85"/>
                <w:sz w:val="22"/>
              </w:rPr>
              <w:t>elemento</w:t>
            </w:r>
            <w:r>
              <w:rPr>
                <w:spacing w:val="-24"/>
                <w:w w:val="85"/>
                <w:sz w:val="22"/>
              </w:rPr>
              <w:t> </w:t>
            </w:r>
            <w:r>
              <w:rPr>
                <w:w w:val="85"/>
                <w:sz w:val="22"/>
              </w:rPr>
              <w:t>que</w:t>
            </w:r>
            <w:r>
              <w:rPr>
                <w:spacing w:val="-24"/>
                <w:w w:val="85"/>
                <w:sz w:val="22"/>
              </w:rPr>
              <w:t> </w:t>
            </w:r>
            <w:r>
              <w:rPr>
                <w:w w:val="85"/>
                <w:sz w:val="22"/>
              </w:rPr>
              <w:t>el</w:t>
            </w:r>
            <w:r>
              <w:rPr>
                <w:spacing w:val="-23"/>
                <w:w w:val="85"/>
                <w:sz w:val="22"/>
              </w:rPr>
              <w:t> </w:t>
            </w:r>
            <w:r>
              <w:rPr>
                <w:w w:val="85"/>
                <w:sz w:val="22"/>
              </w:rPr>
              <w:t>otro</w:t>
            </w:r>
          </w:p>
        </w:tc>
        <w:tc>
          <w:tcPr>
            <w:tcW w:w="3323" w:type="dxa"/>
          </w:tcPr>
          <w:p>
            <w:pPr>
              <w:pStyle w:val="TableParagraph"/>
              <w:spacing w:line="242" w:lineRule="auto"/>
              <w:ind w:left="100" w:right="33"/>
              <w:rPr>
                <w:sz w:val="22"/>
              </w:rPr>
            </w:pPr>
            <w:r>
              <w:rPr>
                <w:w w:val="90"/>
                <w:sz w:val="22"/>
              </w:rPr>
              <w:t>El juicio y la experiencia previa </w:t>
            </w:r>
            <w:r>
              <w:rPr>
                <w:w w:val="85"/>
                <w:sz w:val="22"/>
              </w:rPr>
              <w:t>favorecen a un elemento frente al otro</w:t>
            </w:r>
          </w:p>
        </w:tc>
      </w:tr>
      <w:tr>
        <w:trPr>
          <w:trHeight w:val="835" w:hRule="exact"/>
        </w:trPr>
        <w:tc>
          <w:tcPr>
            <w:tcW w:w="2415" w:type="dxa"/>
          </w:tcPr>
          <w:p>
            <w:pPr>
              <w:pStyle w:val="TableParagraph"/>
              <w:spacing w:line="243" w:lineRule="exact"/>
              <w:jc w:val="center"/>
              <w:rPr>
                <w:sz w:val="22"/>
              </w:rPr>
            </w:pPr>
            <w:r>
              <w:rPr>
                <w:w w:val="82"/>
                <w:sz w:val="22"/>
              </w:rPr>
              <w:t>5</w:t>
            </w:r>
          </w:p>
        </w:tc>
        <w:tc>
          <w:tcPr>
            <w:tcW w:w="3587" w:type="dxa"/>
          </w:tcPr>
          <w:p>
            <w:pPr>
              <w:pStyle w:val="TableParagraph"/>
              <w:spacing w:line="242" w:lineRule="auto"/>
              <w:ind w:left="100" w:right="895"/>
              <w:rPr>
                <w:sz w:val="22"/>
              </w:rPr>
            </w:pPr>
            <w:r>
              <w:rPr>
                <w:w w:val="85"/>
                <w:sz w:val="22"/>
              </w:rPr>
              <w:t>Fuertemente</w:t>
            </w:r>
            <w:r>
              <w:rPr>
                <w:spacing w:val="-33"/>
                <w:w w:val="85"/>
                <w:sz w:val="22"/>
              </w:rPr>
              <w:t> </w:t>
            </w:r>
            <w:r>
              <w:rPr>
                <w:w w:val="85"/>
                <w:sz w:val="22"/>
              </w:rPr>
              <w:t>más</w:t>
            </w:r>
            <w:r>
              <w:rPr>
                <w:spacing w:val="-33"/>
                <w:w w:val="85"/>
                <w:sz w:val="22"/>
              </w:rPr>
              <w:t> </w:t>
            </w:r>
            <w:r>
              <w:rPr>
                <w:w w:val="85"/>
                <w:sz w:val="22"/>
              </w:rPr>
              <w:t>importante</w:t>
            </w:r>
            <w:r>
              <w:rPr>
                <w:spacing w:val="-33"/>
                <w:w w:val="85"/>
                <w:sz w:val="22"/>
              </w:rPr>
              <w:t> </w:t>
            </w:r>
            <w:r>
              <w:rPr>
                <w:w w:val="85"/>
                <w:sz w:val="22"/>
              </w:rPr>
              <w:t>un elemento</w:t>
            </w:r>
            <w:r>
              <w:rPr>
                <w:spacing w:val="-24"/>
                <w:w w:val="85"/>
                <w:sz w:val="22"/>
              </w:rPr>
              <w:t> </w:t>
            </w:r>
            <w:r>
              <w:rPr>
                <w:w w:val="85"/>
                <w:sz w:val="22"/>
              </w:rPr>
              <w:t>que</w:t>
            </w:r>
            <w:r>
              <w:rPr>
                <w:spacing w:val="-24"/>
                <w:w w:val="85"/>
                <w:sz w:val="22"/>
              </w:rPr>
              <w:t> </w:t>
            </w:r>
            <w:r>
              <w:rPr>
                <w:w w:val="85"/>
                <w:sz w:val="22"/>
              </w:rPr>
              <w:t>en</w:t>
            </w:r>
            <w:r>
              <w:rPr>
                <w:spacing w:val="-24"/>
                <w:w w:val="85"/>
                <w:sz w:val="22"/>
              </w:rPr>
              <w:t> </w:t>
            </w:r>
            <w:r>
              <w:rPr>
                <w:w w:val="85"/>
                <w:sz w:val="22"/>
              </w:rPr>
              <w:t>otro</w:t>
            </w:r>
          </w:p>
        </w:tc>
        <w:tc>
          <w:tcPr>
            <w:tcW w:w="3323" w:type="dxa"/>
          </w:tcPr>
          <w:p>
            <w:pPr>
              <w:pStyle w:val="TableParagraph"/>
              <w:spacing w:line="242" w:lineRule="auto"/>
              <w:ind w:left="100" w:right="103"/>
              <w:jc w:val="both"/>
              <w:rPr>
                <w:sz w:val="22"/>
              </w:rPr>
            </w:pPr>
            <w:r>
              <w:rPr>
                <w:w w:val="90"/>
                <w:sz w:val="22"/>
              </w:rPr>
              <w:t>El juicio y la experiencia previa </w:t>
            </w:r>
            <w:r>
              <w:rPr>
                <w:w w:val="85"/>
                <w:sz w:val="22"/>
              </w:rPr>
              <w:t>favorecen fuertemente a un elemento frente al otro</w:t>
            </w:r>
          </w:p>
        </w:tc>
      </w:tr>
      <w:tr>
        <w:trPr>
          <w:trHeight w:val="769" w:hRule="exact"/>
        </w:trPr>
        <w:tc>
          <w:tcPr>
            <w:tcW w:w="2415" w:type="dxa"/>
          </w:tcPr>
          <w:p>
            <w:pPr>
              <w:pStyle w:val="TableParagraph"/>
              <w:spacing w:line="244" w:lineRule="exact"/>
              <w:jc w:val="center"/>
              <w:rPr>
                <w:sz w:val="22"/>
              </w:rPr>
            </w:pPr>
            <w:r>
              <w:rPr>
                <w:w w:val="82"/>
                <w:sz w:val="22"/>
              </w:rPr>
              <w:t>7</w:t>
            </w:r>
          </w:p>
        </w:tc>
        <w:tc>
          <w:tcPr>
            <w:tcW w:w="3587" w:type="dxa"/>
          </w:tcPr>
          <w:p>
            <w:pPr>
              <w:pStyle w:val="TableParagraph"/>
              <w:spacing w:line="242" w:lineRule="auto"/>
              <w:ind w:left="100" w:right="34"/>
              <w:rPr>
                <w:sz w:val="22"/>
              </w:rPr>
            </w:pPr>
            <w:r>
              <w:rPr>
                <w:w w:val="90"/>
                <w:sz w:val="22"/>
              </w:rPr>
              <w:t>Mucho más fuerte la importancia de un </w:t>
            </w:r>
            <w:r>
              <w:rPr>
                <w:w w:val="80"/>
                <w:sz w:val="22"/>
              </w:rPr>
              <w:t>elemento que</w:t>
            </w:r>
          </w:p>
          <w:p>
            <w:pPr>
              <w:pStyle w:val="TableParagraph"/>
              <w:spacing w:line="247" w:lineRule="exact"/>
              <w:ind w:left="148" w:right="895"/>
              <w:rPr>
                <w:sz w:val="22"/>
              </w:rPr>
            </w:pPr>
            <w:r>
              <w:rPr>
                <w:w w:val="90"/>
                <w:sz w:val="22"/>
              </w:rPr>
              <w:t>a del otro</w:t>
            </w:r>
          </w:p>
        </w:tc>
        <w:tc>
          <w:tcPr>
            <w:tcW w:w="3323" w:type="dxa"/>
          </w:tcPr>
          <w:p>
            <w:pPr>
              <w:pStyle w:val="TableParagraph"/>
              <w:spacing w:line="242" w:lineRule="auto"/>
              <w:ind w:left="100" w:right="33"/>
              <w:rPr>
                <w:sz w:val="22"/>
              </w:rPr>
            </w:pPr>
            <w:r>
              <w:rPr>
                <w:w w:val="85"/>
                <w:sz w:val="22"/>
              </w:rPr>
              <w:t>Un elemento domina fuertemente. Su dominación está probada en práctica</w:t>
            </w:r>
          </w:p>
        </w:tc>
      </w:tr>
      <w:tr>
        <w:trPr>
          <w:trHeight w:val="605" w:hRule="exact"/>
        </w:trPr>
        <w:tc>
          <w:tcPr>
            <w:tcW w:w="2415" w:type="dxa"/>
          </w:tcPr>
          <w:p>
            <w:pPr>
              <w:pStyle w:val="TableParagraph"/>
              <w:spacing w:line="243" w:lineRule="exact"/>
              <w:jc w:val="center"/>
              <w:rPr>
                <w:sz w:val="22"/>
              </w:rPr>
            </w:pPr>
            <w:r>
              <w:rPr>
                <w:w w:val="82"/>
                <w:sz w:val="22"/>
              </w:rPr>
              <w:t>9</w:t>
            </w:r>
          </w:p>
        </w:tc>
        <w:tc>
          <w:tcPr>
            <w:tcW w:w="3587" w:type="dxa"/>
          </w:tcPr>
          <w:p>
            <w:pPr>
              <w:pStyle w:val="TableParagraph"/>
              <w:spacing w:line="237" w:lineRule="auto"/>
              <w:ind w:left="100" w:right="34"/>
              <w:rPr>
                <w:sz w:val="22"/>
              </w:rPr>
            </w:pPr>
            <w:r>
              <w:rPr>
                <w:w w:val="90"/>
                <w:sz w:val="22"/>
              </w:rPr>
              <w:t>Importancia extrema de un elemento </w:t>
            </w:r>
            <w:r>
              <w:rPr>
                <w:w w:val="85"/>
                <w:sz w:val="22"/>
              </w:rPr>
              <w:t>frente al otro</w:t>
            </w:r>
          </w:p>
        </w:tc>
        <w:tc>
          <w:tcPr>
            <w:tcW w:w="3323" w:type="dxa"/>
          </w:tcPr>
          <w:p>
            <w:pPr>
              <w:pStyle w:val="TableParagraph"/>
              <w:spacing w:line="237" w:lineRule="auto"/>
              <w:ind w:left="100" w:right="33"/>
              <w:rPr>
                <w:sz w:val="22"/>
              </w:rPr>
            </w:pPr>
            <w:r>
              <w:rPr>
                <w:w w:val="90"/>
                <w:sz w:val="22"/>
              </w:rPr>
              <w:t>Un elemento domina al otro con el </w:t>
            </w:r>
            <w:r>
              <w:rPr>
                <w:w w:val="85"/>
                <w:sz w:val="22"/>
              </w:rPr>
              <w:t>mayor orden de magnitud posible.</w:t>
            </w:r>
          </w:p>
        </w:tc>
      </w:tr>
    </w:tbl>
    <w:p>
      <w:pPr>
        <w:spacing w:line="225" w:lineRule="exact" w:before="0"/>
        <w:ind w:left="119" w:right="0" w:firstLine="0"/>
        <w:jc w:val="both"/>
        <w:rPr>
          <w:sz w:val="20"/>
        </w:rPr>
      </w:pPr>
      <w:r>
        <w:rPr>
          <w:sz w:val="20"/>
        </w:rPr>
        <w:t>Fuente: Elaboración propia basado en Saaty, 1977.</w:t>
      </w:r>
    </w:p>
    <w:p>
      <w:pPr>
        <w:pStyle w:val="BodyText"/>
        <w:rPr>
          <w:sz w:val="20"/>
        </w:rPr>
      </w:pPr>
    </w:p>
    <w:p>
      <w:pPr>
        <w:pStyle w:val="BodyText"/>
        <w:spacing w:before="4"/>
      </w:pPr>
    </w:p>
    <w:p>
      <w:pPr>
        <w:pStyle w:val="BodyText"/>
        <w:spacing w:line="360" w:lineRule="auto"/>
        <w:ind w:left="119" w:right="596"/>
        <w:jc w:val="both"/>
      </w:pPr>
      <w:r>
        <w:rPr/>
        <w:t>Una vez definidos los valores de la matriz de la comparación por pares, es posible calcular el eigenvector principal de dicha matriz que representa, en este caso, el orden de prioridad de los valores o categorías temáticas del criterio considerado. Para ello se aplica el siguiente procedimiento: en primer lugar, normalizar por </w:t>
      </w:r>
      <w:r>
        <w:rPr>
          <w:position w:val="2"/>
        </w:rPr>
        <w:t>columnas los valores de matriz en función de Na</w:t>
      </w:r>
      <w:r>
        <w:rPr>
          <w:sz w:val="16"/>
        </w:rPr>
        <w:t>11=</w:t>
      </w:r>
      <w:r>
        <w:rPr>
          <w:position w:val="2"/>
        </w:rPr>
        <w:t>a</w:t>
      </w:r>
      <w:r>
        <w:rPr>
          <w:sz w:val="16"/>
        </w:rPr>
        <w:t>11 </w:t>
      </w:r>
      <w:r>
        <w:rPr>
          <w:position w:val="2"/>
        </w:rPr>
        <w:t>/</w:t>
      </w:r>
      <w:r>
        <w:rPr>
          <w:rFonts w:ascii="Cambria Math" w:hAnsi="Cambria Math" w:eastAsia="Cambria Math"/>
          <w:position w:val="2"/>
        </w:rPr>
        <w:t>∑𝑎1𝑖, </w:t>
      </w:r>
      <w:r>
        <w:rPr>
          <w:position w:val="2"/>
        </w:rPr>
        <w:t>a continuación los</w:t>
      </w:r>
    </w:p>
    <w:p>
      <w:pPr>
        <w:spacing w:after="0" w:line="360" w:lineRule="auto"/>
        <w:jc w:val="both"/>
        <w:sectPr>
          <w:type w:val="continuous"/>
          <w:pgSz w:w="12240" w:h="15840"/>
          <w:pgMar w:top="1500" w:bottom="280" w:left="1580" w:right="1100"/>
        </w:sectPr>
      </w:pPr>
    </w:p>
    <w:p>
      <w:pPr>
        <w:pStyle w:val="BodyText"/>
        <w:spacing w:line="362" w:lineRule="auto" w:before="52"/>
        <w:ind w:left="119" w:right="102"/>
        <w:jc w:val="both"/>
      </w:pPr>
      <w:r>
        <w:rPr/>
        <w:t>valores</w:t>
      </w:r>
      <w:r>
        <w:rPr>
          <w:spacing w:val="-17"/>
        </w:rPr>
        <w:t> </w:t>
      </w:r>
      <w:r>
        <w:rPr/>
        <w:t>normalizados</w:t>
      </w:r>
      <w:r>
        <w:rPr>
          <w:spacing w:val="-17"/>
        </w:rPr>
        <w:t> </w:t>
      </w:r>
      <w:r>
        <w:rPr/>
        <w:t>se</w:t>
      </w:r>
      <w:r>
        <w:rPr>
          <w:spacing w:val="-17"/>
        </w:rPr>
        <w:t> </w:t>
      </w:r>
      <w:r>
        <w:rPr>
          <w:spacing w:val="-3"/>
        </w:rPr>
        <w:t>suman</w:t>
      </w:r>
      <w:r>
        <w:rPr>
          <w:spacing w:val="-17"/>
        </w:rPr>
        <w:t> </w:t>
      </w:r>
      <w:r>
        <w:rPr/>
        <w:t>por</w:t>
      </w:r>
      <w:r>
        <w:rPr>
          <w:spacing w:val="-10"/>
        </w:rPr>
        <w:t> </w:t>
      </w:r>
      <w:r>
        <w:rPr/>
        <w:t>filas</w:t>
      </w:r>
      <w:r>
        <w:rPr>
          <w:spacing w:val="-17"/>
        </w:rPr>
        <w:t> </w:t>
      </w:r>
      <w:r>
        <w:rPr/>
        <w:t>para</w:t>
      </w:r>
      <w:r>
        <w:rPr>
          <w:spacing w:val="-21"/>
        </w:rPr>
        <w:t> </w:t>
      </w:r>
      <w:r>
        <w:rPr/>
        <w:t>obtener</w:t>
      </w:r>
      <w:r>
        <w:rPr>
          <w:spacing w:val="-20"/>
        </w:rPr>
        <w:t> </w:t>
      </w:r>
      <w:r>
        <w:rPr/>
        <w:t>el</w:t>
      </w:r>
      <w:r>
        <w:rPr>
          <w:spacing w:val="-13"/>
        </w:rPr>
        <w:t> </w:t>
      </w:r>
      <w:r>
        <w:rPr/>
        <w:t>eigenvector</w:t>
      </w:r>
      <w:r>
        <w:rPr>
          <w:spacing w:val="-16"/>
        </w:rPr>
        <w:t> </w:t>
      </w:r>
      <w:r>
        <w:rPr/>
        <w:t>principal</w:t>
      </w:r>
      <w:r>
        <w:rPr>
          <w:spacing w:val="-13"/>
        </w:rPr>
        <w:t> </w:t>
      </w:r>
      <w:r>
        <w:rPr/>
        <w:t>o</w:t>
      </w:r>
      <w:r>
        <w:rPr>
          <w:spacing w:val="-17"/>
        </w:rPr>
        <w:t> </w:t>
      </w:r>
      <w:r>
        <w:rPr/>
        <w:t>valor del</w:t>
      </w:r>
      <w:r>
        <w:rPr>
          <w:spacing w:val="-5"/>
        </w:rPr>
        <w:t> </w:t>
      </w:r>
      <w:r>
        <w:rPr/>
        <w:t>criterio.</w:t>
      </w:r>
    </w:p>
    <w:p>
      <w:pPr>
        <w:pStyle w:val="BodyText"/>
        <w:spacing w:before="3"/>
      </w:pPr>
    </w:p>
    <w:p>
      <w:pPr>
        <w:pStyle w:val="BodyText"/>
        <w:spacing w:line="360" w:lineRule="auto"/>
        <w:ind w:left="119" w:right="101"/>
        <w:jc w:val="both"/>
      </w:pPr>
      <w:r>
        <w:rPr/>
        <w:t>Dado</w:t>
      </w:r>
      <w:r>
        <w:rPr>
          <w:spacing w:val="-11"/>
        </w:rPr>
        <w:t> </w:t>
      </w:r>
      <w:r>
        <w:rPr/>
        <w:t>que</w:t>
      </w:r>
      <w:r>
        <w:rPr>
          <w:spacing w:val="-16"/>
        </w:rPr>
        <w:t> </w:t>
      </w:r>
      <w:r>
        <w:rPr/>
        <w:t>los</w:t>
      </w:r>
      <w:r>
        <w:rPr>
          <w:spacing w:val="-12"/>
        </w:rPr>
        <w:t> </w:t>
      </w:r>
      <w:r>
        <w:rPr/>
        <w:t>valores</w:t>
      </w:r>
      <w:r>
        <w:rPr>
          <w:spacing w:val="-12"/>
        </w:rPr>
        <w:t> </w:t>
      </w:r>
      <w:r>
        <w:rPr/>
        <w:t>definidos</w:t>
      </w:r>
      <w:r>
        <w:rPr>
          <w:spacing w:val="-12"/>
        </w:rPr>
        <w:t> </w:t>
      </w:r>
      <w:r>
        <w:rPr/>
        <w:t>por</w:t>
      </w:r>
      <w:r>
        <w:rPr>
          <w:spacing w:val="-10"/>
        </w:rPr>
        <w:t> </w:t>
      </w:r>
      <w:r>
        <w:rPr/>
        <w:t>el</w:t>
      </w:r>
      <w:r>
        <w:rPr>
          <w:spacing w:val="-7"/>
        </w:rPr>
        <w:t> </w:t>
      </w:r>
      <w:r>
        <w:rPr/>
        <w:t>decisor</w:t>
      </w:r>
      <w:r>
        <w:rPr>
          <w:spacing w:val="-15"/>
        </w:rPr>
        <w:t> </w:t>
      </w:r>
      <w:r>
        <w:rPr/>
        <w:t>en</w:t>
      </w:r>
      <w:r>
        <w:rPr>
          <w:spacing w:val="-11"/>
        </w:rPr>
        <w:t> </w:t>
      </w:r>
      <w:r>
        <w:rPr/>
        <w:t>la</w:t>
      </w:r>
      <w:r>
        <w:rPr>
          <w:spacing w:val="-11"/>
        </w:rPr>
        <w:t> </w:t>
      </w:r>
      <w:r>
        <w:rPr/>
        <w:t>matriz</w:t>
      </w:r>
      <w:r>
        <w:rPr>
          <w:spacing w:val="-12"/>
        </w:rPr>
        <w:t> </w:t>
      </w:r>
      <w:r>
        <w:rPr/>
        <w:t>de</w:t>
      </w:r>
      <w:r>
        <w:rPr>
          <w:spacing w:val="-11"/>
        </w:rPr>
        <w:t> </w:t>
      </w:r>
      <w:r>
        <w:rPr/>
        <w:t>comparación</w:t>
      </w:r>
      <w:r>
        <w:rPr>
          <w:spacing w:val="-10"/>
        </w:rPr>
        <w:t> </w:t>
      </w:r>
      <w:r>
        <w:rPr/>
        <w:t>por</w:t>
      </w:r>
      <w:r>
        <w:rPr>
          <w:spacing w:val="-10"/>
        </w:rPr>
        <w:t> </w:t>
      </w:r>
      <w:r>
        <w:rPr/>
        <w:t>pares no siempre son consistentes, el MJA resulta especialmente interesante porque permite</w:t>
      </w:r>
      <w:r>
        <w:rPr>
          <w:spacing w:val="-6"/>
        </w:rPr>
        <w:t> </w:t>
      </w:r>
      <w:r>
        <w:rPr/>
        <w:t>la</w:t>
      </w:r>
      <w:r>
        <w:rPr>
          <w:spacing w:val="-6"/>
        </w:rPr>
        <w:t> </w:t>
      </w:r>
      <w:r>
        <w:rPr/>
        <w:t>obtención</w:t>
      </w:r>
      <w:r>
        <w:rPr>
          <w:spacing w:val="-6"/>
        </w:rPr>
        <w:t> </w:t>
      </w:r>
      <w:r>
        <w:rPr/>
        <w:t>de</w:t>
      </w:r>
      <w:r>
        <w:rPr>
          <w:spacing w:val="-6"/>
        </w:rPr>
        <w:t> </w:t>
      </w:r>
      <w:r>
        <w:rPr/>
        <w:t>una medida</w:t>
      </w:r>
      <w:r>
        <w:rPr>
          <w:spacing w:val="-6"/>
        </w:rPr>
        <w:t> </w:t>
      </w:r>
      <w:r>
        <w:rPr/>
        <w:t>cuantitativa</w:t>
      </w:r>
      <w:r>
        <w:rPr>
          <w:spacing w:val="-6"/>
        </w:rPr>
        <w:t> </w:t>
      </w:r>
      <w:r>
        <w:rPr/>
        <w:t>de</w:t>
      </w:r>
      <w:r>
        <w:rPr>
          <w:spacing w:val="-6"/>
        </w:rPr>
        <w:t> </w:t>
      </w:r>
      <w:r>
        <w:rPr/>
        <w:t>la</w:t>
      </w:r>
      <w:r>
        <w:rPr>
          <w:spacing w:val="-6"/>
        </w:rPr>
        <w:t> </w:t>
      </w:r>
      <w:r>
        <w:rPr/>
        <w:t>consistencia</w:t>
      </w:r>
      <w:r>
        <w:rPr>
          <w:spacing w:val="-6"/>
        </w:rPr>
        <w:t> </w:t>
      </w:r>
      <w:r>
        <w:rPr/>
        <w:t>en</w:t>
      </w:r>
      <w:r>
        <w:rPr>
          <w:spacing w:val="-6"/>
        </w:rPr>
        <w:t> </w:t>
      </w:r>
      <w:r>
        <w:rPr/>
        <w:t>la</w:t>
      </w:r>
      <w:r>
        <w:rPr>
          <w:spacing w:val="-6"/>
        </w:rPr>
        <w:t> </w:t>
      </w:r>
      <w:r>
        <w:rPr/>
        <w:t>asignación de juicios de valor. Esta medida se conoce </w:t>
      </w:r>
      <w:r>
        <w:rPr>
          <w:spacing w:val="-4"/>
        </w:rPr>
        <w:t>como </w:t>
      </w:r>
      <w:r>
        <w:rPr/>
        <w:t>razón de consistencia (c.r.) y no debe exceder 0.10 para considerar apropiados los juicios de valor asignados. Barredo</w:t>
      </w:r>
      <w:r>
        <w:rPr>
          <w:spacing w:val="-16"/>
        </w:rPr>
        <w:t> </w:t>
      </w:r>
      <w:r>
        <w:rPr/>
        <w:t>(1996)</w:t>
      </w:r>
      <w:r>
        <w:rPr>
          <w:spacing w:val="-10"/>
        </w:rPr>
        <w:t> </w:t>
      </w:r>
      <w:r>
        <w:rPr/>
        <w:t>describe,</w:t>
      </w:r>
      <w:r>
        <w:rPr>
          <w:spacing w:val="-11"/>
        </w:rPr>
        <w:t> </w:t>
      </w:r>
      <w:r>
        <w:rPr/>
        <w:t>en</w:t>
      </w:r>
      <w:r>
        <w:rPr>
          <w:spacing w:val="-11"/>
        </w:rPr>
        <w:t> </w:t>
      </w:r>
      <w:r>
        <w:rPr/>
        <w:t>términos</w:t>
      </w:r>
      <w:r>
        <w:rPr>
          <w:spacing w:val="-12"/>
        </w:rPr>
        <w:t> </w:t>
      </w:r>
      <w:r>
        <w:rPr/>
        <w:t>generales,</w:t>
      </w:r>
      <w:r>
        <w:rPr>
          <w:spacing w:val="-11"/>
        </w:rPr>
        <w:t> </w:t>
      </w:r>
      <w:r>
        <w:rPr/>
        <w:t>el</w:t>
      </w:r>
      <w:r>
        <w:rPr>
          <w:spacing w:val="-12"/>
        </w:rPr>
        <w:t> </w:t>
      </w:r>
      <w:r>
        <w:rPr/>
        <w:t>procedimiento</w:t>
      </w:r>
      <w:r>
        <w:rPr>
          <w:spacing w:val="-15"/>
        </w:rPr>
        <w:t> </w:t>
      </w:r>
      <w:r>
        <w:rPr/>
        <w:t>para</w:t>
      </w:r>
      <w:r>
        <w:rPr>
          <w:spacing w:val="-16"/>
        </w:rPr>
        <w:t> </w:t>
      </w:r>
      <w:r>
        <w:rPr/>
        <w:t>el</w:t>
      </w:r>
      <w:r>
        <w:rPr>
          <w:spacing w:val="-8"/>
        </w:rPr>
        <w:t> </w:t>
      </w:r>
      <w:r>
        <w:rPr/>
        <w:t>cálculo</w:t>
      </w:r>
      <w:r>
        <w:rPr>
          <w:spacing w:val="-11"/>
        </w:rPr>
        <w:t> </w:t>
      </w:r>
      <w:r>
        <w:rPr/>
        <w:t>de la razón de</w:t>
      </w:r>
      <w:r>
        <w:rPr>
          <w:spacing w:val="-10"/>
        </w:rPr>
        <w:t> </w:t>
      </w:r>
      <w:r>
        <w:rPr/>
        <w:t>inconsistencia.</w:t>
      </w:r>
    </w:p>
    <w:p>
      <w:pPr>
        <w:pStyle w:val="BodyText"/>
        <w:spacing w:before="7"/>
        <w:rPr>
          <w:sz w:val="23"/>
        </w:rPr>
      </w:pPr>
    </w:p>
    <w:p>
      <w:pPr>
        <w:pStyle w:val="Heading2"/>
      </w:pPr>
      <w:bookmarkStart w:name="_TOC_250035" w:id="19"/>
      <w:bookmarkEnd w:id="19"/>
      <w:r>
        <w:rPr/>
        <w:t>2.3.2. Etapas de análisis</w:t>
      </w:r>
    </w:p>
    <w:p>
      <w:pPr>
        <w:pStyle w:val="BodyText"/>
        <w:rPr>
          <w:b/>
        </w:rPr>
      </w:pPr>
    </w:p>
    <w:p>
      <w:pPr>
        <w:pStyle w:val="BodyText"/>
        <w:rPr>
          <w:b/>
        </w:rPr>
      </w:pPr>
    </w:p>
    <w:p>
      <w:pPr>
        <w:pStyle w:val="Heading2"/>
        <w:spacing w:before="209"/>
        <w:ind w:left="686"/>
        <w:jc w:val="left"/>
      </w:pPr>
      <w:bookmarkStart w:name="_TOC_250034" w:id="20"/>
      <w:bookmarkEnd w:id="20"/>
      <w:r>
        <w:rPr/>
        <w:t>2.3.2.1 Caracterización hidrográfica.</w:t>
      </w:r>
    </w:p>
    <w:p>
      <w:pPr>
        <w:pStyle w:val="BodyText"/>
        <w:spacing w:before="9"/>
        <w:rPr>
          <w:b/>
        </w:rPr>
      </w:pPr>
    </w:p>
    <w:p>
      <w:pPr>
        <w:pStyle w:val="BodyText"/>
        <w:spacing w:line="360" w:lineRule="auto"/>
        <w:ind w:left="119" w:right="99"/>
        <w:jc w:val="both"/>
      </w:pPr>
      <w:r>
        <w:rPr/>
        <w:t>Se dividirá la Zona Metropolitana de Toluca en unidades de escurrimiento, lo cual permitirá</w:t>
      </w:r>
      <w:r>
        <w:rPr>
          <w:spacing w:val="-6"/>
        </w:rPr>
        <w:t> </w:t>
      </w:r>
      <w:r>
        <w:rPr/>
        <w:t>mayor</w:t>
      </w:r>
      <w:r>
        <w:rPr>
          <w:spacing w:val="-5"/>
        </w:rPr>
        <w:t> </w:t>
      </w:r>
      <w:r>
        <w:rPr/>
        <w:t>detalle</w:t>
      </w:r>
      <w:r>
        <w:rPr>
          <w:spacing w:val="-11"/>
        </w:rPr>
        <w:t> </w:t>
      </w:r>
      <w:r>
        <w:rPr/>
        <w:t>de</w:t>
      </w:r>
      <w:r>
        <w:rPr>
          <w:spacing w:val="-6"/>
        </w:rPr>
        <w:t> </w:t>
      </w:r>
      <w:r>
        <w:rPr/>
        <w:t>análisis,</w:t>
      </w:r>
      <w:r>
        <w:rPr>
          <w:spacing w:val="-6"/>
        </w:rPr>
        <w:t> </w:t>
      </w:r>
      <w:r>
        <w:rPr/>
        <w:t>mediante</w:t>
      </w:r>
      <w:r>
        <w:rPr>
          <w:spacing w:val="-10"/>
        </w:rPr>
        <w:t> </w:t>
      </w:r>
      <w:r>
        <w:rPr/>
        <w:t>la</w:t>
      </w:r>
      <w:r>
        <w:rPr>
          <w:spacing w:val="-6"/>
        </w:rPr>
        <w:t> </w:t>
      </w:r>
      <w:r>
        <w:rPr/>
        <w:t>superposición</w:t>
      </w:r>
      <w:r>
        <w:rPr>
          <w:spacing w:val="-6"/>
        </w:rPr>
        <w:t> </w:t>
      </w:r>
      <w:r>
        <w:rPr/>
        <w:t>de</w:t>
      </w:r>
      <w:r>
        <w:rPr>
          <w:spacing w:val="-11"/>
        </w:rPr>
        <w:t> </w:t>
      </w:r>
      <w:r>
        <w:rPr/>
        <w:t>las</w:t>
      </w:r>
      <w:r>
        <w:rPr>
          <w:spacing w:val="-12"/>
        </w:rPr>
        <w:t> </w:t>
      </w:r>
      <w:r>
        <w:rPr/>
        <w:t>características morfométricas</w:t>
      </w:r>
      <w:r>
        <w:rPr>
          <w:spacing w:val="-16"/>
        </w:rPr>
        <w:t> </w:t>
      </w:r>
      <w:r>
        <w:rPr/>
        <w:t>e</w:t>
      </w:r>
      <w:r>
        <w:rPr>
          <w:spacing w:val="-20"/>
        </w:rPr>
        <w:t> </w:t>
      </w:r>
      <w:r>
        <w:rPr/>
        <w:t>hidráulicas,</w:t>
      </w:r>
      <w:r>
        <w:rPr>
          <w:spacing w:val="-16"/>
        </w:rPr>
        <w:t> </w:t>
      </w:r>
      <w:r>
        <w:rPr/>
        <w:t>se</w:t>
      </w:r>
      <w:r>
        <w:rPr>
          <w:spacing w:val="-20"/>
        </w:rPr>
        <w:t> </w:t>
      </w:r>
      <w:r>
        <w:rPr/>
        <w:t>pretende</w:t>
      </w:r>
      <w:r>
        <w:rPr>
          <w:spacing w:val="-20"/>
        </w:rPr>
        <w:t> </w:t>
      </w:r>
      <w:r>
        <w:rPr/>
        <w:t>identificar</w:t>
      </w:r>
      <w:r>
        <w:rPr>
          <w:spacing w:val="-20"/>
        </w:rPr>
        <w:t> </w:t>
      </w:r>
      <w:r>
        <w:rPr/>
        <w:t>las</w:t>
      </w:r>
      <w:r>
        <w:rPr>
          <w:spacing w:val="-21"/>
        </w:rPr>
        <w:t> </w:t>
      </w:r>
      <w:r>
        <w:rPr/>
        <w:t>zonas</w:t>
      </w:r>
      <w:r>
        <w:rPr>
          <w:spacing w:val="-21"/>
        </w:rPr>
        <w:t> </w:t>
      </w:r>
      <w:r>
        <w:rPr>
          <w:spacing w:val="-3"/>
        </w:rPr>
        <w:t>más</w:t>
      </w:r>
      <w:r>
        <w:rPr>
          <w:spacing w:val="-16"/>
        </w:rPr>
        <w:t> </w:t>
      </w:r>
      <w:r>
        <w:rPr/>
        <w:t>propensas</w:t>
      </w:r>
      <w:r>
        <w:rPr>
          <w:spacing w:val="-21"/>
        </w:rPr>
        <w:t> </w:t>
      </w:r>
      <w:r>
        <w:rPr/>
        <w:t>a</w:t>
      </w:r>
      <w:r>
        <w:rPr>
          <w:spacing w:val="-20"/>
        </w:rPr>
        <w:t> </w:t>
      </w:r>
      <w:r>
        <w:rPr/>
        <w:t>sufrir una alternación, y por consecuencia incidencia de eventos extremos como inundaciones. Dentro de las características hidrológicas se encuentran: superficie, perímetro,</w:t>
      </w:r>
      <w:r>
        <w:rPr>
          <w:spacing w:val="-9"/>
        </w:rPr>
        <w:t> </w:t>
      </w:r>
      <w:r>
        <w:rPr/>
        <w:t>orden,</w:t>
      </w:r>
      <w:r>
        <w:rPr>
          <w:spacing w:val="-9"/>
        </w:rPr>
        <w:t> </w:t>
      </w:r>
      <w:r>
        <w:rPr/>
        <w:t>forma,</w:t>
      </w:r>
      <w:r>
        <w:rPr>
          <w:spacing w:val="-9"/>
        </w:rPr>
        <w:t> </w:t>
      </w:r>
      <w:r>
        <w:rPr/>
        <w:t>elevación,</w:t>
      </w:r>
      <w:r>
        <w:rPr>
          <w:spacing w:val="-9"/>
        </w:rPr>
        <w:t> </w:t>
      </w:r>
      <w:r>
        <w:rPr/>
        <w:t>pendiente</w:t>
      </w:r>
      <w:r>
        <w:rPr>
          <w:spacing w:val="-17"/>
        </w:rPr>
        <w:t> </w:t>
      </w:r>
      <w:r>
        <w:rPr/>
        <w:t>y</w:t>
      </w:r>
      <w:r>
        <w:rPr>
          <w:spacing w:val="-10"/>
        </w:rPr>
        <w:t> </w:t>
      </w:r>
      <w:r>
        <w:rPr/>
        <w:t>densidad</w:t>
      </w:r>
      <w:r>
        <w:rPr>
          <w:spacing w:val="-9"/>
        </w:rPr>
        <w:t> </w:t>
      </w:r>
      <w:r>
        <w:rPr/>
        <w:t>de</w:t>
      </w:r>
      <w:r>
        <w:rPr>
          <w:spacing w:val="-9"/>
        </w:rPr>
        <w:t> </w:t>
      </w:r>
      <w:r>
        <w:rPr/>
        <w:t>drenaje</w:t>
      </w:r>
      <w:r>
        <w:rPr>
          <w:spacing w:val="-9"/>
        </w:rPr>
        <w:t> </w:t>
      </w:r>
      <w:r>
        <w:rPr/>
        <w:t>por</w:t>
      </w:r>
      <w:r>
        <w:rPr>
          <w:spacing w:val="-8"/>
        </w:rPr>
        <w:t> </w:t>
      </w:r>
      <w:r>
        <w:rPr/>
        <w:t>mencionar algunas y las relacionadas con el afluente principal: pendiente, longitud, y perfil longitudinal.</w:t>
      </w:r>
    </w:p>
    <w:p>
      <w:pPr>
        <w:pStyle w:val="BodyText"/>
      </w:pPr>
    </w:p>
    <w:p>
      <w:pPr>
        <w:pStyle w:val="Heading2"/>
        <w:ind w:left="1128"/>
        <w:jc w:val="left"/>
      </w:pPr>
      <w:bookmarkStart w:name="_TOC_250033" w:id="21"/>
      <w:bookmarkEnd w:id="21"/>
      <w:r>
        <w:rPr/>
        <w:t>2.3.2.1.1 Morfometría.</w:t>
      </w:r>
    </w:p>
    <w:p>
      <w:pPr>
        <w:pStyle w:val="BodyText"/>
        <w:spacing w:before="10"/>
        <w:rPr>
          <w:b/>
        </w:rPr>
      </w:pPr>
    </w:p>
    <w:p>
      <w:pPr>
        <w:pStyle w:val="BodyText"/>
        <w:spacing w:line="360" w:lineRule="auto"/>
        <w:ind w:left="119" w:right="98"/>
        <w:jc w:val="both"/>
      </w:pPr>
      <w:r>
        <w:rPr/>
        <w:t>Una de las herramientas </w:t>
      </w:r>
      <w:r>
        <w:rPr>
          <w:spacing w:val="-3"/>
        </w:rPr>
        <w:t>más </w:t>
      </w:r>
      <w:r>
        <w:rPr/>
        <w:t>importantes en el análisis hídrico, es la morfometría. Ésta, permite establecer parámetros de evaluación del comportamiento morfodinámico e hidrológico </w:t>
      </w:r>
      <w:r>
        <w:rPr>
          <w:spacing w:val="-3"/>
        </w:rPr>
        <w:t>del </w:t>
      </w:r>
      <w:r>
        <w:rPr/>
        <w:t>sistema, así como analizar y comprender los elementos</w:t>
      </w:r>
      <w:r>
        <w:rPr>
          <w:spacing w:val="-13"/>
        </w:rPr>
        <w:t> </w:t>
      </w:r>
      <w:r>
        <w:rPr/>
        <w:t>geométricos</w:t>
      </w:r>
      <w:r>
        <w:rPr>
          <w:spacing w:val="-13"/>
        </w:rPr>
        <w:t> </w:t>
      </w:r>
      <w:r>
        <w:rPr/>
        <w:t>básicos</w:t>
      </w:r>
      <w:r>
        <w:rPr>
          <w:spacing w:val="-13"/>
        </w:rPr>
        <w:t> </w:t>
      </w:r>
      <w:r>
        <w:rPr/>
        <w:t>del</w:t>
      </w:r>
      <w:r>
        <w:rPr>
          <w:spacing w:val="-8"/>
        </w:rPr>
        <w:t> </w:t>
      </w:r>
      <w:r>
        <w:rPr/>
        <w:t>mismo,</w:t>
      </w:r>
      <w:r>
        <w:rPr>
          <w:spacing w:val="-12"/>
        </w:rPr>
        <w:t> </w:t>
      </w:r>
      <w:r>
        <w:rPr/>
        <w:t>que</w:t>
      </w:r>
      <w:r>
        <w:rPr>
          <w:spacing w:val="-12"/>
        </w:rPr>
        <w:t> </w:t>
      </w:r>
      <w:r>
        <w:rPr>
          <w:spacing w:val="2"/>
        </w:rPr>
        <w:t>ante</w:t>
      </w:r>
      <w:r>
        <w:rPr>
          <w:spacing w:val="-11"/>
        </w:rPr>
        <w:t> </w:t>
      </w:r>
      <w:r>
        <w:rPr/>
        <w:t>la</w:t>
      </w:r>
      <w:r>
        <w:rPr>
          <w:spacing w:val="-12"/>
        </w:rPr>
        <w:t> </w:t>
      </w:r>
      <w:r>
        <w:rPr/>
        <w:t>presencia</w:t>
      </w:r>
      <w:r>
        <w:rPr>
          <w:spacing w:val="-12"/>
        </w:rPr>
        <w:t> </w:t>
      </w:r>
      <w:r>
        <w:rPr/>
        <w:t>de</w:t>
      </w:r>
      <w:r>
        <w:rPr>
          <w:spacing w:val="-12"/>
        </w:rPr>
        <w:t> </w:t>
      </w:r>
      <w:r>
        <w:rPr/>
        <w:t>externalidades como las precipitaciones extremas, interactúan para originar y/o activar procesos geomorfológicos</w:t>
      </w:r>
      <w:r>
        <w:rPr>
          <w:spacing w:val="-18"/>
        </w:rPr>
        <w:t> </w:t>
      </w:r>
      <w:r>
        <w:rPr/>
        <w:t>de</w:t>
      </w:r>
      <w:r>
        <w:rPr>
          <w:spacing w:val="-18"/>
        </w:rPr>
        <w:t> </w:t>
      </w:r>
      <w:r>
        <w:rPr/>
        <w:t>vertientes</w:t>
      </w:r>
      <w:r>
        <w:rPr>
          <w:spacing w:val="-18"/>
        </w:rPr>
        <w:t> </w:t>
      </w:r>
      <w:r>
        <w:rPr/>
        <w:t>y</w:t>
      </w:r>
      <w:r>
        <w:rPr>
          <w:spacing w:val="-18"/>
        </w:rPr>
        <w:t> </w:t>
      </w:r>
      <w:r>
        <w:rPr/>
        <w:t>avenidas</w:t>
      </w:r>
      <w:r>
        <w:rPr>
          <w:spacing w:val="-18"/>
        </w:rPr>
        <w:t> </w:t>
      </w:r>
      <w:r>
        <w:rPr/>
        <w:t>torrenciales</w:t>
      </w:r>
      <w:r>
        <w:rPr>
          <w:spacing w:val="-22"/>
        </w:rPr>
        <w:t> </w:t>
      </w:r>
      <w:r>
        <w:rPr/>
        <w:t>(Méndez</w:t>
      </w:r>
      <w:r>
        <w:rPr>
          <w:spacing w:val="-18"/>
        </w:rPr>
        <w:t> </w:t>
      </w:r>
      <w:r>
        <w:rPr/>
        <w:t>y</w:t>
      </w:r>
      <w:r>
        <w:rPr>
          <w:spacing w:val="-18"/>
        </w:rPr>
        <w:t> </w:t>
      </w:r>
      <w:r>
        <w:rPr/>
        <w:t>Marcucci</w:t>
      </w:r>
      <w:r>
        <w:rPr>
          <w:spacing w:val="-14"/>
        </w:rPr>
        <w:t> </w:t>
      </w:r>
      <w:r>
        <w:rPr/>
        <w:t>E.</w:t>
      </w:r>
      <w:r>
        <w:rPr>
          <w:spacing w:val="-18"/>
        </w:rPr>
        <w:t> </w:t>
      </w:r>
      <w:r>
        <w:rPr/>
        <w:t>2006).</w:t>
      </w:r>
    </w:p>
    <w:p>
      <w:pPr>
        <w:spacing w:after="0" w:line="360" w:lineRule="auto"/>
        <w:jc w:val="both"/>
        <w:sectPr>
          <w:pgSz w:w="12240" w:h="15840"/>
          <w:pgMar w:header="0" w:footer="1031" w:top="1360" w:bottom="1220" w:left="1580" w:right="1600"/>
        </w:sectPr>
      </w:pPr>
    </w:p>
    <w:p>
      <w:pPr>
        <w:spacing w:before="51"/>
        <w:ind w:left="1699" w:right="70" w:firstLine="0"/>
        <w:jc w:val="left"/>
        <w:rPr>
          <w:sz w:val="22"/>
        </w:rPr>
      </w:pPr>
      <w:r>
        <w:rPr>
          <w:sz w:val="22"/>
        </w:rPr>
        <w:t>Tabla 5. Parámetros morfométricos obtenidos por cuenca.</w:t>
      </w:r>
    </w:p>
    <w:p>
      <w:pPr>
        <w:pStyle w:val="BodyText"/>
        <w:spacing w:before="6"/>
        <w:rPr>
          <w:sz w:val="20"/>
        </w:rPr>
      </w:pPr>
    </w:p>
    <w:tbl>
      <w:tblPr>
        <w:tblW w:w="0" w:type="auto"/>
        <w:jc w:val="left"/>
        <w:tblInd w:w="6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21"/>
        <w:gridCol w:w="4749"/>
      </w:tblGrid>
      <w:tr>
        <w:trPr>
          <w:trHeight w:val="264" w:hRule="exact"/>
        </w:trPr>
        <w:tc>
          <w:tcPr>
            <w:tcW w:w="3121" w:type="dxa"/>
          </w:tcPr>
          <w:p>
            <w:pPr>
              <w:pStyle w:val="TableParagraph"/>
              <w:spacing w:line="243" w:lineRule="exact"/>
              <w:ind w:left="105"/>
              <w:rPr>
                <w:sz w:val="22"/>
              </w:rPr>
            </w:pPr>
            <w:r>
              <w:rPr>
                <w:w w:val="90"/>
                <w:sz w:val="22"/>
              </w:rPr>
              <w:t>Parámetro</w:t>
            </w:r>
          </w:p>
        </w:tc>
        <w:tc>
          <w:tcPr>
            <w:tcW w:w="4749" w:type="dxa"/>
          </w:tcPr>
          <w:p>
            <w:pPr>
              <w:pStyle w:val="TableParagraph"/>
              <w:spacing w:line="243" w:lineRule="exact"/>
              <w:ind w:left="100" w:right="877"/>
              <w:rPr>
                <w:sz w:val="22"/>
              </w:rPr>
            </w:pPr>
            <w:r>
              <w:rPr>
                <w:w w:val="90"/>
                <w:sz w:val="22"/>
              </w:rPr>
              <w:t>Descripción</w:t>
            </w:r>
          </w:p>
        </w:tc>
      </w:tr>
      <w:tr>
        <w:trPr>
          <w:trHeight w:val="514" w:hRule="exact"/>
        </w:trPr>
        <w:tc>
          <w:tcPr>
            <w:tcW w:w="3121" w:type="dxa"/>
          </w:tcPr>
          <w:p>
            <w:pPr>
              <w:pStyle w:val="TableParagraph"/>
              <w:spacing w:line="244" w:lineRule="exact"/>
              <w:ind w:left="105"/>
              <w:rPr>
                <w:sz w:val="22"/>
              </w:rPr>
            </w:pPr>
            <w:r>
              <w:rPr>
                <w:w w:val="90"/>
                <w:sz w:val="22"/>
              </w:rPr>
              <w:t>Tamaño</w:t>
            </w:r>
          </w:p>
        </w:tc>
        <w:tc>
          <w:tcPr>
            <w:tcW w:w="4749" w:type="dxa"/>
          </w:tcPr>
          <w:p>
            <w:pPr>
              <w:pStyle w:val="TableParagraph"/>
              <w:spacing w:line="237" w:lineRule="auto"/>
              <w:ind w:left="100" w:right="877"/>
              <w:rPr>
                <w:sz w:val="22"/>
              </w:rPr>
            </w:pPr>
            <w:r>
              <w:rPr>
                <w:w w:val="85"/>
                <w:sz w:val="22"/>
              </w:rPr>
              <w:t>Rangos</w:t>
            </w:r>
            <w:r>
              <w:rPr>
                <w:spacing w:val="-29"/>
                <w:w w:val="85"/>
                <w:sz w:val="22"/>
              </w:rPr>
              <w:t> </w:t>
            </w:r>
            <w:r>
              <w:rPr>
                <w:w w:val="85"/>
                <w:sz w:val="22"/>
              </w:rPr>
              <w:t>característicos</w:t>
            </w:r>
            <w:r>
              <w:rPr>
                <w:spacing w:val="-29"/>
                <w:w w:val="85"/>
                <w:sz w:val="22"/>
              </w:rPr>
              <w:t> </w:t>
            </w:r>
            <w:r>
              <w:rPr>
                <w:w w:val="85"/>
                <w:sz w:val="22"/>
              </w:rPr>
              <w:t>del</w:t>
            </w:r>
            <w:r>
              <w:rPr>
                <w:spacing w:val="-30"/>
                <w:w w:val="85"/>
                <w:sz w:val="22"/>
              </w:rPr>
              <w:t> </w:t>
            </w:r>
            <w:r>
              <w:rPr>
                <w:w w:val="85"/>
                <w:sz w:val="22"/>
              </w:rPr>
              <w:t>tamaño</w:t>
            </w:r>
            <w:r>
              <w:rPr>
                <w:spacing w:val="-29"/>
                <w:w w:val="85"/>
                <w:sz w:val="22"/>
              </w:rPr>
              <w:t> </w:t>
            </w:r>
            <w:r>
              <w:rPr>
                <w:w w:val="85"/>
                <w:sz w:val="22"/>
              </w:rPr>
              <w:t>de</w:t>
            </w:r>
            <w:r>
              <w:rPr>
                <w:spacing w:val="-29"/>
                <w:w w:val="85"/>
                <w:sz w:val="22"/>
              </w:rPr>
              <w:t> </w:t>
            </w:r>
            <w:r>
              <w:rPr>
                <w:w w:val="85"/>
                <w:sz w:val="22"/>
              </w:rPr>
              <w:t>cuencas </w:t>
            </w:r>
            <w:r>
              <w:rPr>
                <w:w w:val="90"/>
                <w:sz w:val="22"/>
              </w:rPr>
              <w:t>hidrográficas.</w:t>
            </w:r>
          </w:p>
        </w:tc>
      </w:tr>
      <w:tr>
        <w:trPr>
          <w:trHeight w:val="1018" w:hRule="exact"/>
        </w:trPr>
        <w:tc>
          <w:tcPr>
            <w:tcW w:w="3121" w:type="dxa"/>
          </w:tcPr>
          <w:p>
            <w:pPr>
              <w:pStyle w:val="TableParagraph"/>
              <w:spacing w:line="243" w:lineRule="exact"/>
              <w:ind w:left="105"/>
              <w:rPr>
                <w:sz w:val="22"/>
              </w:rPr>
            </w:pPr>
            <w:r>
              <w:rPr>
                <w:w w:val="80"/>
                <w:sz w:val="22"/>
              </w:rPr>
              <w:t>Índice de Compacidad</w:t>
            </w:r>
          </w:p>
        </w:tc>
        <w:tc>
          <w:tcPr>
            <w:tcW w:w="4749" w:type="dxa"/>
          </w:tcPr>
          <w:p>
            <w:pPr>
              <w:pStyle w:val="TableParagraph"/>
              <w:ind w:left="100" w:right="409"/>
              <w:rPr>
                <w:sz w:val="22"/>
              </w:rPr>
            </w:pPr>
            <w:r>
              <w:rPr>
                <w:w w:val="90"/>
                <w:sz w:val="22"/>
              </w:rPr>
              <w:t>Valores</w:t>
            </w:r>
            <w:r>
              <w:rPr>
                <w:spacing w:val="-29"/>
                <w:w w:val="90"/>
                <w:sz w:val="22"/>
              </w:rPr>
              <w:t> </w:t>
            </w:r>
            <w:r>
              <w:rPr>
                <w:w w:val="90"/>
                <w:sz w:val="22"/>
              </w:rPr>
              <w:t>más</w:t>
            </w:r>
            <w:r>
              <w:rPr>
                <w:spacing w:val="-29"/>
                <w:w w:val="90"/>
                <w:sz w:val="22"/>
              </w:rPr>
              <w:t> </w:t>
            </w:r>
            <w:r>
              <w:rPr>
                <w:w w:val="90"/>
                <w:sz w:val="22"/>
              </w:rPr>
              <w:t>cercanos</w:t>
            </w:r>
            <w:r>
              <w:rPr>
                <w:spacing w:val="-29"/>
                <w:w w:val="90"/>
                <w:sz w:val="22"/>
              </w:rPr>
              <w:t> </w:t>
            </w:r>
            <w:r>
              <w:rPr>
                <w:w w:val="90"/>
                <w:sz w:val="22"/>
              </w:rPr>
              <w:t>a</w:t>
            </w:r>
            <w:r>
              <w:rPr>
                <w:spacing w:val="-29"/>
                <w:w w:val="90"/>
                <w:sz w:val="22"/>
              </w:rPr>
              <w:t> </w:t>
            </w:r>
            <w:r>
              <w:rPr>
                <w:w w:val="90"/>
                <w:sz w:val="22"/>
              </w:rPr>
              <w:t>la</w:t>
            </w:r>
            <w:r>
              <w:rPr>
                <w:spacing w:val="-29"/>
                <w:w w:val="90"/>
                <w:sz w:val="22"/>
              </w:rPr>
              <w:t> </w:t>
            </w:r>
            <w:r>
              <w:rPr>
                <w:w w:val="90"/>
                <w:sz w:val="22"/>
              </w:rPr>
              <w:t>unidad</w:t>
            </w:r>
            <w:r>
              <w:rPr>
                <w:spacing w:val="-29"/>
                <w:w w:val="90"/>
                <w:sz w:val="22"/>
              </w:rPr>
              <w:t> </w:t>
            </w:r>
            <w:r>
              <w:rPr>
                <w:w w:val="90"/>
                <w:sz w:val="22"/>
              </w:rPr>
              <w:t>de</w:t>
            </w:r>
            <w:r>
              <w:rPr>
                <w:spacing w:val="-29"/>
                <w:w w:val="90"/>
                <w:sz w:val="22"/>
              </w:rPr>
              <w:t> </w:t>
            </w:r>
            <w:r>
              <w:rPr>
                <w:w w:val="90"/>
                <w:sz w:val="22"/>
              </w:rPr>
              <w:t>forma</w:t>
            </w:r>
            <w:r>
              <w:rPr>
                <w:spacing w:val="-29"/>
                <w:w w:val="90"/>
                <w:sz w:val="22"/>
              </w:rPr>
              <w:t> </w:t>
            </w:r>
            <w:r>
              <w:rPr>
                <w:w w:val="90"/>
                <w:sz w:val="22"/>
              </w:rPr>
              <w:t>de</w:t>
            </w:r>
            <w:r>
              <w:rPr>
                <w:spacing w:val="-27"/>
                <w:w w:val="90"/>
                <w:sz w:val="22"/>
              </w:rPr>
              <w:t> </w:t>
            </w:r>
            <w:r>
              <w:rPr>
                <w:w w:val="90"/>
                <w:sz w:val="22"/>
              </w:rPr>
              <w:t>la cuenca</w:t>
            </w:r>
            <w:r>
              <w:rPr>
                <w:spacing w:val="-32"/>
                <w:w w:val="90"/>
                <w:sz w:val="22"/>
              </w:rPr>
              <w:t> </w:t>
            </w:r>
            <w:r>
              <w:rPr>
                <w:w w:val="90"/>
                <w:sz w:val="22"/>
              </w:rPr>
              <w:t>se</w:t>
            </w:r>
            <w:r>
              <w:rPr>
                <w:spacing w:val="-32"/>
                <w:w w:val="90"/>
                <w:sz w:val="22"/>
              </w:rPr>
              <w:t> </w:t>
            </w:r>
            <w:r>
              <w:rPr>
                <w:w w:val="90"/>
                <w:sz w:val="22"/>
              </w:rPr>
              <w:t>aproximará</w:t>
            </w:r>
            <w:r>
              <w:rPr>
                <w:spacing w:val="-32"/>
                <w:w w:val="90"/>
                <w:sz w:val="22"/>
              </w:rPr>
              <w:t> </w:t>
            </w:r>
            <w:r>
              <w:rPr>
                <w:w w:val="90"/>
                <w:sz w:val="22"/>
              </w:rPr>
              <w:t>más</w:t>
            </w:r>
            <w:r>
              <w:rPr>
                <w:spacing w:val="-32"/>
                <w:w w:val="90"/>
                <w:sz w:val="22"/>
              </w:rPr>
              <w:t> </w:t>
            </w:r>
            <w:r>
              <w:rPr>
                <w:w w:val="90"/>
                <w:sz w:val="22"/>
              </w:rPr>
              <w:t>a</w:t>
            </w:r>
            <w:r>
              <w:rPr>
                <w:spacing w:val="-32"/>
                <w:w w:val="90"/>
                <w:sz w:val="22"/>
              </w:rPr>
              <w:t> </w:t>
            </w:r>
            <w:r>
              <w:rPr>
                <w:w w:val="90"/>
                <w:sz w:val="22"/>
              </w:rPr>
              <w:t>la</w:t>
            </w:r>
            <w:r>
              <w:rPr>
                <w:spacing w:val="-32"/>
                <w:w w:val="90"/>
                <w:sz w:val="22"/>
              </w:rPr>
              <w:t> </w:t>
            </w:r>
            <w:r>
              <w:rPr>
                <w:w w:val="90"/>
                <w:sz w:val="22"/>
              </w:rPr>
              <w:t>de</w:t>
            </w:r>
            <w:r>
              <w:rPr>
                <w:spacing w:val="-32"/>
                <w:w w:val="90"/>
                <w:sz w:val="22"/>
              </w:rPr>
              <w:t> </w:t>
            </w:r>
            <w:r>
              <w:rPr>
                <w:w w:val="90"/>
                <w:sz w:val="22"/>
              </w:rPr>
              <w:t>un</w:t>
            </w:r>
            <w:r>
              <w:rPr>
                <w:spacing w:val="-32"/>
                <w:w w:val="90"/>
                <w:sz w:val="22"/>
              </w:rPr>
              <w:t> </w:t>
            </w:r>
            <w:r>
              <w:rPr>
                <w:w w:val="90"/>
                <w:sz w:val="22"/>
              </w:rPr>
              <w:t>círculo</w:t>
            </w:r>
            <w:r>
              <w:rPr>
                <w:spacing w:val="-32"/>
                <w:w w:val="90"/>
                <w:sz w:val="22"/>
              </w:rPr>
              <w:t> </w:t>
            </w:r>
            <w:r>
              <w:rPr>
                <w:w w:val="90"/>
                <w:sz w:val="22"/>
              </w:rPr>
              <w:t>y</w:t>
            </w:r>
            <w:r>
              <w:rPr>
                <w:spacing w:val="-30"/>
                <w:w w:val="90"/>
                <w:sz w:val="22"/>
              </w:rPr>
              <w:t> </w:t>
            </w:r>
            <w:r>
              <w:rPr>
                <w:w w:val="90"/>
                <w:sz w:val="22"/>
              </w:rPr>
              <w:t>si</w:t>
            </w:r>
            <w:r>
              <w:rPr>
                <w:spacing w:val="-33"/>
                <w:w w:val="90"/>
                <w:sz w:val="22"/>
              </w:rPr>
              <w:t> </w:t>
            </w:r>
            <w:r>
              <w:rPr>
                <w:w w:val="90"/>
                <w:sz w:val="22"/>
              </w:rPr>
              <w:t>el </w:t>
            </w:r>
            <w:r>
              <w:rPr>
                <w:w w:val="85"/>
                <w:sz w:val="22"/>
              </w:rPr>
              <w:t>índice</w:t>
            </w:r>
            <w:r>
              <w:rPr>
                <w:spacing w:val="-24"/>
                <w:w w:val="85"/>
                <w:sz w:val="22"/>
              </w:rPr>
              <w:t> </w:t>
            </w:r>
            <w:r>
              <w:rPr>
                <w:w w:val="85"/>
                <w:sz w:val="22"/>
              </w:rPr>
              <w:t>de</w:t>
            </w:r>
            <w:r>
              <w:rPr>
                <w:spacing w:val="-24"/>
                <w:w w:val="85"/>
                <w:sz w:val="22"/>
              </w:rPr>
              <w:t> </w:t>
            </w:r>
            <w:r>
              <w:rPr>
                <w:w w:val="85"/>
                <w:sz w:val="22"/>
              </w:rPr>
              <w:t>compacidad</w:t>
            </w:r>
            <w:r>
              <w:rPr>
                <w:spacing w:val="-24"/>
                <w:w w:val="85"/>
                <w:sz w:val="22"/>
              </w:rPr>
              <w:t> </w:t>
            </w:r>
            <w:r>
              <w:rPr>
                <w:w w:val="85"/>
                <w:sz w:val="22"/>
              </w:rPr>
              <w:t>presenta</w:t>
            </w:r>
            <w:r>
              <w:rPr>
                <w:spacing w:val="-24"/>
                <w:w w:val="85"/>
                <w:sz w:val="22"/>
              </w:rPr>
              <w:t> </w:t>
            </w:r>
            <w:r>
              <w:rPr>
                <w:w w:val="85"/>
                <w:sz w:val="22"/>
              </w:rPr>
              <w:t>valores</w:t>
            </w:r>
            <w:r>
              <w:rPr>
                <w:spacing w:val="-22"/>
                <w:w w:val="85"/>
                <w:sz w:val="22"/>
              </w:rPr>
              <w:t> </w:t>
            </w:r>
            <w:r>
              <w:rPr>
                <w:w w:val="85"/>
                <w:sz w:val="22"/>
              </w:rPr>
              <w:t>mayores</w:t>
            </w:r>
            <w:r>
              <w:rPr>
                <w:spacing w:val="-24"/>
                <w:w w:val="85"/>
                <w:sz w:val="22"/>
              </w:rPr>
              <w:t> </w:t>
            </w:r>
            <w:r>
              <w:rPr>
                <w:w w:val="85"/>
                <w:sz w:val="22"/>
              </w:rPr>
              <w:t>a</w:t>
            </w:r>
            <w:r>
              <w:rPr>
                <w:spacing w:val="-24"/>
                <w:w w:val="85"/>
                <w:sz w:val="22"/>
              </w:rPr>
              <w:t> </w:t>
            </w:r>
            <w:r>
              <w:rPr>
                <w:w w:val="85"/>
                <w:sz w:val="22"/>
              </w:rPr>
              <w:t>la unidad,</w:t>
            </w:r>
            <w:r>
              <w:rPr>
                <w:spacing w:val="-27"/>
                <w:w w:val="85"/>
                <w:sz w:val="22"/>
              </w:rPr>
              <w:t> </w:t>
            </w:r>
            <w:r>
              <w:rPr>
                <w:w w:val="85"/>
                <w:sz w:val="22"/>
              </w:rPr>
              <w:t>la</w:t>
            </w:r>
            <w:r>
              <w:rPr>
                <w:spacing w:val="-25"/>
                <w:w w:val="85"/>
                <w:sz w:val="22"/>
              </w:rPr>
              <w:t> </w:t>
            </w:r>
            <w:r>
              <w:rPr>
                <w:w w:val="85"/>
                <w:sz w:val="22"/>
              </w:rPr>
              <w:t>cuenca</w:t>
            </w:r>
            <w:r>
              <w:rPr>
                <w:spacing w:val="-25"/>
                <w:w w:val="85"/>
                <w:sz w:val="22"/>
              </w:rPr>
              <w:t> </w:t>
            </w:r>
            <w:r>
              <w:rPr>
                <w:w w:val="85"/>
                <w:sz w:val="22"/>
              </w:rPr>
              <w:t>será</w:t>
            </w:r>
            <w:r>
              <w:rPr>
                <w:spacing w:val="-25"/>
                <w:w w:val="85"/>
                <w:sz w:val="22"/>
              </w:rPr>
              <w:t> </w:t>
            </w:r>
            <w:r>
              <w:rPr>
                <w:w w:val="85"/>
                <w:sz w:val="22"/>
              </w:rPr>
              <w:t>alargada.</w:t>
            </w:r>
          </w:p>
        </w:tc>
      </w:tr>
      <w:tr>
        <w:trPr>
          <w:trHeight w:val="768" w:hRule="exact"/>
        </w:trPr>
        <w:tc>
          <w:tcPr>
            <w:tcW w:w="3121" w:type="dxa"/>
          </w:tcPr>
          <w:p>
            <w:pPr>
              <w:pStyle w:val="TableParagraph"/>
              <w:spacing w:line="249" w:lineRule="exact"/>
              <w:ind w:left="105"/>
              <w:rPr>
                <w:sz w:val="22"/>
              </w:rPr>
            </w:pPr>
            <w:r>
              <w:rPr>
                <w:w w:val="90"/>
                <w:sz w:val="22"/>
              </w:rPr>
              <w:t>Forma</w:t>
            </w:r>
          </w:p>
        </w:tc>
        <w:tc>
          <w:tcPr>
            <w:tcW w:w="4749" w:type="dxa"/>
          </w:tcPr>
          <w:p>
            <w:pPr>
              <w:pStyle w:val="TableParagraph"/>
              <w:ind w:left="100" w:right="126"/>
              <w:rPr>
                <w:sz w:val="22"/>
              </w:rPr>
            </w:pPr>
            <w:r>
              <w:rPr>
                <w:w w:val="85"/>
                <w:sz w:val="22"/>
              </w:rPr>
              <w:t>Clases</w:t>
            </w:r>
            <w:r>
              <w:rPr>
                <w:spacing w:val="-21"/>
                <w:w w:val="85"/>
                <w:sz w:val="22"/>
              </w:rPr>
              <w:t> </w:t>
            </w:r>
            <w:r>
              <w:rPr>
                <w:w w:val="85"/>
                <w:sz w:val="22"/>
              </w:rPr>
              <w:t>de</w:t>
            </w:r>
            <w:r>
              <w:rPr>
                <w:spacing w:val="-21"/>
                <w:w w:val="85"/>
                <w:sz w:val="22"/>
              </w:rPr>
              <w:t> </w:t>
            </w:r>
            <w:r>
              <w:rPr>
                <w:w w:val="85"/>
                <w:sz w:val="22"/>
              </w:rPr>
              <w:t>formas</w:t>
            </w:r>
            <w:r>
              <w:rPr>
                <w:spacing w:val="-21"/>
                <w:w w:val="85"/>
                <w:sz w:val="22"/>
              </w:rPr>
              <w:t> </w:t>
            </w:r>
            <w:r>
              <w:rPr>
                <w:w w:val="85"/>
                <w:sz w:val="22"/>
              </w:rPr>
              <w:t>de</w:t>
            </w:r>
            <w:r>
              <w:rPr>
                <w:spacing w:val="-21"/>
                <w:w w:val="85"/>
                <w:sz w:val="22"/>
              </w:rPr>
              <w:t> </w:t>
            </w:r>
            <w:r>
              <w:rPr>
                <w:w w:val="85"/>
                <w:sz w:val="22"/>
              </w:rPr>
              <w:t>la</w:t>
            </w:r>
            <w:r>
              <w:rPr>
                <w:spacing w:val="-18"/>
                <w:w w:val="85"/>
                <w:sz w:val="22"/>
              </w:rPr>
              <w:t> </w:t>
            </w:r>
            <w:r>
              <w:rPr>
                <w:w w:val="85"/>
                <w:sz w:val="22"/>
              </w:rPr>
              <w:t>cuenca,</w:t>
            </w:r>
            <w:r>
              <w:rPr>
                <w:spacing w:val="-23"/>
                <w:w w:val="85"/>
                <w:sz w:val="22"/>
              </w:rPr>
              <w:t> </w:t>
            </w:r>
            <w:r>
              <w:rPr>
                <w:w w:val="85"/>
                <w:sz w:val="22"/>
              </w:rPr>
              <w:t>indica</w:t>
            </w:r>
            <w:r>
              <w:rPr>
                <w:spacing w:val="-18"/>
                <w:w w:val="85"/>
                <w:sz w:val="22"/>
              </w:rPr>
              <w:t> </w:t>
            </w:r>
            <w:r>
              <w:rPr>
                <w:w w:val="85"/>
                <w:sz w:val="22"/>
              </w:rPr>
              <w:t>la</w:t>
            </w:r>
            <w:r>
              <w:rPr>
                <w:spacing w:val="-21"/>
                <w:w w:val="85"/>
                <w:sz w:val="22"/>
              </w:rPr>
              <w:t> </w:t>
            </w:r>
            <w:r>
              <w:rPr>
                <w:w w:val="85"/>
                <w:sz w:val="22"/>
              </w:rPr>
              <w:t>peligrosidad</w:t>
            </w:r>
            <w:r>
              <w:rPr>
                <w:spacing w:val="-21"/>
                <w:w w:val="85"/>
                <w:sz w:val="22"/>
              </w:rPr>
              <w:t> </w:t>
            </w:r>
            <w:r>
              <w:rPr>
                <w:w w:val="85"/>
                <w:sz w:val="22"/>
              </w:rPr>
              <w:t>de </w:t>
            </w:r>
            <w:r>
              <w:rPr>
                <w:w w:val="90"/>
                <w:sz w:val="22"/>
              </w:rPr>
              <w:t>crecidas por la lluvia de la cuenca y aumenta </w:t>
            </w:r>
            <w:r>
              <w:rPr>
                <w:w w:val="85"/>
                <w:sz w:val="22"/>
              </w:rPr>
              <w:t>dependiendo</w:t>
            </w:r>
            <w:r>
              <w:rPr>
                <w:spacing w:val="-25"/>
                <w:w w:val="85"/>
                <w:sz w:val="22"/>
              </w:rPr>
              <w:t> </w:t>
            </w:r>
            <w:r>
              <w:rPr>
                <w:w w:val="85"/>
                <w:sz w:val="22"/>
              </w:rPr>
              <w:t>de</w:t>
            </w:r>
            <w:r>
              <w:rPr>
                <w:spacing w:val="-25"/>
                <w:w w:val="85"/>
                <w:sz w:val="22"/>
              </w:rPr>
              <w:t> </w:t>
            </w:r>
            <w:r>
              <w:rPr>
                <w:w w:val="85"/>
                <w:sz w:val="22"/>
              </w:rPr>
              <w:t>los</w:t>
            </w:r>
            <w:r>
              <w:rPr>
                <w:spacing w:val="-25"/>
                <w:w w:val="85"/>
                <w:sz w:val="22"/>
              </w:rPr>
              <w:t> </w:t>
            </w:r>
            <w:r>
              <w:rPr>
                <w:w w:val="85"/>
                <w:sz w:val="22"/>
              </w:rPr>
              <w:t>tipos</w:t>
            </w:r>
            <w:r>
              <w:rPr>
                <w:spacing w:val="-25"/>
                <w:w w:val="85"/>
                <w:sz w:val="22"/>
              </w:rPr>
              <w:t> </w:t>
            </w:r>
            <w:r>
              <w:rPr>
                <w:w w:val="85"/>
                <w:sz w:val="22"/>
              </w:rPr>
              <w:t>de</w:t>
            </w:r>
            <w:r>
              <w:rPr>
                <w:spacing w:val="-22"/>
                <w:w w:val="85"/>
                <w:sz w:val="22"/>
              </w:rPr>
              <w:t> </w:t>
            </w:r>
            <w:r>
              <w:rPr>
                <w:w w:val="85"/>
                <w:sz w:val="22"/>
              </w:rPr>
              <w:t>formas.</w:t>
            </w:r>
          </w:p>
        </w:tc>
      </w:tr>
      <w:tr>
        <w:trPr>
          <w:trHeight w:val="768" w:hRule="exact"/>
        </w:trPr>
        <w:tc>
          <w:tcPr>
            <w:tcW w:w="3121" w:type="dxa"/>
            <w:tcBorders>
              <w:bottom w:val="single" w:sz="4" w:space="0" w:color="000000"/>
            </w:tcBorders>
          </w:tcPr>
          <w:p>
            <w:pPr>
              <w:pStyle w:val="TableParagraph"/>
              <w:spacing w:line="243" w:lineRule="exact"/>
              <w:ind w:left="105"/>
              <w:rPr>
                <w:sz w:val="22"/>
              </w:rPr>
            </w:pPr>
            <w:r>
              <w:rPr>
                <w:w w:val="80"/>
                <w:sz w:val="22"/>
              </w:rPr>
              <w:t>Tiempo de concentración</w:t>
            </w:r>
          </w:p>
        </w:tc>
        <w:tc>
          <w:tcPr>
            <w:tcW w:w="4749" w:type="dxa"/>
            <w:tcBorders>
              <w:bottom w:val="single" w:sz="4" w:space="0" w:color="000000"/>
            </w:tcBorders>
          </w:tcPr>
          <w:p>
            <w:pPr>
              <w:pStyle w:val="TableParagraph"/>
              <w:spacing w:line="242" w:lineRule="auto"/>
              <w:ind w:left="100" w:right="295"/>
              <w:rPr>
                <w:sz w:val="22"/>
              </w:rPr>
            </w:pPr>
            <w:r>
              <w:rPr>
                <w:w w:val="85"/>
                <w:sz w:val="22"/>
              </w:rPr>
              <w:t>Es</w:t>
            </w:r>
            <w:r>
              <w:rPr>
                <w:spacing w:val="-19"/>
                <w:w w:val="85"/>
                <w:sz w:val="22"/>
              </w:rPr>
              <w:t> </w:t>
            </w:r>
            <w:r>
              <w:rPr>
                <w:w w:val="85"/>
                <w:sz w:val="22"/>
              </w:rPr>
              <w:t>el</w:t>
            </w:r>
            <w:r>
              <w:rPr>
                <w:spacing w:val="-20"/>
                <w:w w:val="85"/>
                <w:sz w:val="22"/>
              </w:rPr>
              <w:t> </w:t>
            </w:r>
            <w:r>
              <w:rPr>
                <w:w w:val="85"/>
                <w:sz w:val="22"/>
              </w:rPr>
              <w:t>tiempo</w:t>
            </w:r>
            <w:r>
              <w:rPr>
                <w:spacing w:val="-19"/>
                <w:w w:val="85"/>
                <w:sz w:val="22"/>
              </w:rPr>
              <w:t> </w:t>
            </w:r>
            <w:r>
              <w:rPr>
                <w:w w:val="85"/>
                <w:sz w:val="22"/>
              </w:rPr>
              <w:t>(min)</w:t>
            </w:r>
            <w:r>
              <w:rPr>
                <w:spacing w:val="-18"/>
                <w:w w:val="85"/>
                <w:sz w:val="22"/>
              </w:rPr>
              <w:t> </w:t>
            </w:r>
            <w:r>
              <w:rPr>
                <w:w w:val="85"/>
                <w:sz w:val="22"/>
              </w:rPr>
              <w:t>que</w:t>
            </w:r>
            <w:r>
              <w:rPr>
                <w:spacing w:val="-16"/>
                <w:w w:val="85"/>
                <w:sz w:val="22"/>
              </w:rPr>
              <w:t> </w:t>
            </w:r>
            <w:r>
              <w:rPr>
                <w:w w:val="85"/>
                <w:sz w:val="22"/>
              </w:rPr>
              <w:t>tardaría</w:t>
            </w:r>
            <w:r>
              <w:rPr>
                <w:spacing w:val="-19"/>
                <w:w w:val="85"/>
                <w:sz w:val="22"/>
              </w:rPr>
              <w:t> </w:t>
            </w:r>
            <w:r>
              <w:rPr>
                <w:w w:val="85"/>
                <w:sz w:val="22"/>
              </w:rPr>
              <w:t>una</w:t>
            </w:r>
            <w:r>
              <w:rPr>
                <w:spacing w:val="-19"/>
                <w:w w:val="85"/>
                <w:sz w:val="22"/>
              </w:rPr>
              <w:t> </w:t>
            </w:r>
            <w:r>
              <w:rPr>
                <w:w w:val="85"/>
                <w:sz w:val="22"/>
              </w:rPr>
              <w:t>gota</w:t>
            </w:r>
            <w:r>
              <w:rPr>
                <w:spacing w:val="-19"/>
                <w:w w:val="85"/>
                <w:sz w:val="22"/>
              </w:rPr>
              <w:t> </w:t>
            </w:r>
            <w:r>
              <w:rPr>
                <w:w w:val="85"/>
                <w:sz w:val="22"/>
              </w:rPr>
              <w:t>para</w:t>
            </w:r>
            <w:r>
              <w:rPr>
                <w:spacing w:val="-19"/>
                <w:w w:val="85"/>
                <w:sz w:val="22"/>
              </w:rPr>
              <w:t> </w:t>
            </w:r>
            <w:r>
              <w:rPr>
                <w:w w:val="85"/>
                <w:sz w:val="22"/>
              </w:rPr>
              <w:t>recorrer una distancia existente entre el sitio más alejado del área</w:t>
            </w:r>
            <w:r>
              <w:rPr>
                <w:spacing w:val="-17"/>
                <w:w w:val="85"/>
                <w:sz w:val="22"/>
              </w:rPr>
              <w:t> </w:t>
            </w:r>
            <w:r>
              <w:rPr>
                <w:w w:val="85"/>
                <w:sz w:val="22"/>
              </w:rPr>
              <w:t>de</w:t>
            </w:r>
            <w:r>
              <w:rPr>
                <w:spacing w:val="-17"/>
                <w:w w:val="85"/>
                <w:sz w:val="22"/>
              </w:rPr>
              <w:t> </w:t>
            </w:r>
            <w:r>
              <w:rPr>
                <w:w w:val="85"/>
                <w:sz w:val="22"/>
              </w:rPr>
              <w:t>drenaje</w:t>
            </w:r>
            <w:r>
              <w:rPr>
                <w:spacing w:val="-17"/>
                <w:w w:val="85"/>
                <w:sz w:val="22"/>
              </w:rPr>
              <w:t> </w:t>
            </w:r>
            <w:r>
              <w:rPr>
                <w:w w:val="85"/>
                <w:sz w:val="22"/>
              </w:rPr>
              <w:t>y</w:t>
            </w:r>
            <w:r>
              <w:rPr>
                <w:spacing w:val="-17"/>
                <w:w w:val="85"/>
                <w:sz w:val="22"/>
              </w:rPr>
              <w:t> </w:t>
            </w:r>
            <w:r>
              <w:rPr>
                <w:w w:val="85"/>
                <w:sz w:val="22"/>
              </w:rPr>
              <w:t>el</w:t>
            </w:r>
            <w:r>
              <w:rPr>
                <w:spacing w:val="-18"/>
                <w:w w:val="85"/>
                <w:sz w:val="22"/>
              </w:rPr>
              <w:t> </w:t>
            </w:r>
            <w:r>
              <w:rPr>
                <w:w w:val="85"/>
                <w:sz w:val="22"/>
              </w:rPr>
              <w:t>lugar</w:t>
            </w:r>
            <w:r>
              <w:rPr>
                <w:spacing w:val="-15"/>
                <w:w w:val="85"/>
                <w:sz w:val="22"/>
              </w:rPr>
              <w:t> </w:t>
            </w:r>
            <w:r>
              <w:rPr>
                <w:w w:val="85"/>
                <w:sz w:val="22"/>
              </w:rPr>
              <w:t>de</w:t>
            </w:r>
            <w:r>
              <w:rPr>
                <w:spacing w:val="-17"/>
                <w:w w:val="85"/>
                <w:sz w:val="22"/>
              </w:rPr>
              <w:t> </w:t>
            </w:r>
            <w:r>
              <w:rPr>
                <w:w w:val="85"/>
                <w:sz w:val="22"/>
              </w:rPr>
              <w:t>salida.</w:t>
            </w:r>
          </w:p>
        </w:tc>
      </w:tr>
      <w:tr>
        <w:trPr>
          <w:trHeight w:val="1023" w:hRule="exact"/>
        </w:trPr>
        <w:tc>
          <w:tcPr>
            <w:tcW w:w="3121" w:type="dxa"/>
            <w:tcBorders>
              <w:top w:val="single" w:sz="4" w:space="0" w:color="000000"/>
            </w:tcBorders>
          </w:tcPr>
          <w:p>
            <w:pPr>
              <w:pStyle w:val="TableParagraph"/>
              <w:spacing w:line="243" w:lineRule="exact"/>
              <w:ind w:left="105"/>
              <w:rPr>
                <w:sz w:val="22"/>
              </w:rPr>
            </w:pPr>
            <w:r>
              <w:rPr>
                <w:w w:val="85"/>
                <w:sz w:val="22"/>
              </w:rPr>
              <w:t>Densidad de drenaje</w:t>
            </w:r>
          </w:p>
        </w:tc>
        <w:tc>
          <w:tcPr>
            <w:tcW w:w="4749" w:type="dxa"/>
            <w:tcBorders>
              <w:top w:val="single" w:sz="4" w:space="0" w:color="000000"/>
            </w:tcBorders>
          </w:tcPr>
          <w:p>
            <w:pPr>
              <w:pStyle w:val="TableParagraph"/>
              <w:ind w:left="100" w:right="599"/>
              <w:rPr>
                <w:sz w:val="22"/>
              </w:rPr>
            </w:pPr>
            <w:r>
              <w:rPr>
                <w:w w:val="90"/>
                <w:sz w:val="22"/>
              </w:rPr>
              <w:t>Se</w:t>
            </w:r>
            <w:r>
              <w:rPr>
                <w:spacing w:val="-36"/>
                <w:w w:val="90"/>
                <w:sz w:val="22"/>
              </w:rPr>
              <w:t> </w:t>
            </w:r>
            <w:r>
              <w:rPr>
                <w:w w:val="90"/>
                <w:sz w:val="22"/>
              </w:rPr>
              <w:t>define</w:t>
            </w:r>
            <w:r>
              <w:rPr>
                <w:spacing w:val="-36"/>
                <w:w w:val="90"/>
                <w:sz w:val="22"/>
              </w:rPr>
              <w:t> </w:t>
            </w:r>
            <w:r>
              <w:rPr>
                <w:w w:val="90"/>
                <w:sz w:val="22"/>
              </w:rPr>
              <w:t>como</w:t>
            </w:r>
            <w:r>
              <w:rPr>
                <w:spacing w:val="-35"/>
                <w:w w:val="90"/>
                <w:sz w:val="22"/>
              </w:rPr>
              <w:t> </w:t>
            </w:r>
            <w:r>
              <w:rPr>
                <w:w w:val="90"/>
                <w:sz w:val="22"/>
              </w:rPr>
              <w:t>la</w:t>
            </w:r>
            <w:r>
              <w:rPr>
                <w:spacing w:val="-36"/>
                <w:w w:val="90"/>
                <w:sz w:val="22"/>
              </w:rPr>
              <w:t> </w:t>
            </w:r>
            <w:r>
              <w:rPr>
                <w:w w:val="90"/>
                <w:sz w:val="22"/>
              </w:rPr>
              <w:t>división</w:t>
            </w:r>
            <w:r>
              <w:rPr>
                <w:spacing w:val="-36"/>
                <w:w w:val="90"/>
                <w:sz w:val="22"/>
              </w:rPr>
              <w:t> </w:t>
            </w:r>
            <w:r>
              <w:rPr>
                <w:w w:val="90"/>
                <w:sz w:val="22"/>
              </w:rPr>
              <w:t>del</w:t>
            </w:r>
            <w:r>
              <w:rPr>
                <w:spacing w:val="-36"/>
                <w:w w:val="90"/>
                <w:sz w:val="22"/>
              </w:rPr>
              <w:t> </w:t>
            </w:r>
            <w:r>
              <w:rPr>
                <w:w w:val="90"/>
                <w:sz w:val="22"/>
              </w:rPr>
              <w:t>total</w:t>
            </w:r>
            <w:r>
              <w:rPr>
                <w:spacing w:val="-37"/>
                <w:w w:val="90"/>
                <w:sz w:val="22"/>
              </w:rPr>
              <w:t> </w:t>
            </w:r>
            <w:r>
              <w:rPr>
                <w:w w:val="90"/>
                <w:sz w:val="22"/>
              </w:rPr>
              <w:t>de</w:t>
            </w:r>
            <w:r>
              <w:rPr>
                <w:spacing w:val="-36"/>
                <w:w w:val="90"/>
                <w:sz w:val="22"/>
              </w:rPr>
              <w:t> </w:t>
            </w:r>
            <w:r>
              <w:rPr>
                <w:w w:val="90"/>
                <w:sz w:val="22"/>
              </w:rPr>
              <w:t>corrientes </w:t>
            </w:r>
            <w:r>
              <w:rPr>
                <w:w w:val="85"/>
                <w:sz w:val="22"/>
              </w:rPr>
              <w:t>presente sobre el área en kilómetros cuadrados. Determina</w:t>
            </w:r>
            <w:r>
              <w:rPr>
                <w:spacing w:val="-23"/>
                <w:w w:val="85"/>
                <w:sz w:val="22"/>
              </w:rPr>
              <w:t> </w:t>
            </w:r>
            <w:r>
              <w:rPr>
                <w:w w:val="85"/>
                <w:sz w:val="22"/>
              </w:rPr>
              <w:t>el</w:t>
            </w:r>
            <w:r>
              <w:rPr>
                <w:spacing w:val="-24"/>
                <w:w w:val="85"/>
                <w:sz w:val="22"/>
              </w:rPr>
              <w:t> </w:t>
            </w:r>
            <w:r>
              <w:rPr>
                <w:w w:val="85"/>
                <w:sz w:val="22"/>
              </w:rPr>
              <w:t>grado</w:t>
            </w:r>
            <w:r>
              <w:rPr>
                <w:spacing w:val="-23"/>
                <w:w w:val="85"/>
                <w:sz w:val="22"/>
              </w:rPr>
              <w:t> </w:t>
            </w:r>
            <w:r>
              <w:rPr>
                <w:w w:val="85"/>
                <w:sz w:val="22"/>
              </w:rPr>
              <w:t>de</w:t>
            </w:r>
            <w:r>
              <w:rPr>
                <w:spacing w:val="-23"/>
                <w:w w:val="85"/>
                <w:sz w:val="22"/>
              </w:rPr>
              <w:t> </w:t>
            </w:r>
            <w:r>
              <w:rPr>
                <w:w w:val="85"/>
                <w:sz w:val="22"/>
              </w:rPr>
              <w:t>ramificación</w:t>
            </w:r>
            <w:r>
              <w:rPr>
                <w:spacing w:val="-23"/>
                <w:w w:val="85"/>
                <w:sz w:val="22"/>
              </w:rPr>
              <w:t> </w:t>
            </w:r>
            <w:r>
              <w:rPr>
                <w:w w:val="85"/>
                <w:sz w:val="22"/>
              </w:rPr>
              <w:t>de</w:t>
            </w:r>
            <w:r>
              <w:rPr>
                <w:spacing w:val="-23"/>
                <w:w w:val="85"/>
                <w:sz w:val="22"/>
              </w:rPr>
              <w:t> </w:t>
            </w:r>
            <w:r>
              <w:rPr>
                <w:w w:val="85"/>
                <w:sz w:val="22"/>
              </w:rPr>
              <w:t>una</w:t>
            </w:r>
            <w:r>
              <w:rPr>
                <w:spacing w:val="-20"/>
                <w:w w:val="85"/>
                <w:sz w:val="22"/>
              </w:rPr>
              <w:t> </w:t>
            </w:r>
            <w:r>
              <w:rPr>
                <w:w w:val="85"/>
                <w:sz w:val="22"/>
              </w:rPr>
              <w:t>cuenca (longitud</w:t>
            </w:r>
            <w:r>
              <w:rPr>
                <w:spacing w:val="-26"/>
                <w:w w:val="85"/>
                <w:sz w:val="22"/>
              </w:rPr>
              <w:t> </w:t>
            </w:r>
            <w:r>
              <w:rPr>
                <w:w w:val="85"/>
                <w:sz w:val="22"/>
              </w:rPr>
              <w:t>de</w:t>
            </w:r>
            <w:r>
              <w:rPr>
                <w:spacing w:val="-26"/>
                <w:w w:val="85"/>
                <w:sz w:val="22"/>
              </w:rPr>
              <w:t> </w:t>
            </w:r>
            <w:r>
              <w:rPr>
                <w:w w:val="85"/>
                <w:sz w:val="22"/>
              </w:rPr>
              <w:t>corrientes</w:t>
            </w:r>
            <w:r>
              <w:rPr>
                <w:spacing w:val="-26"/>
                <w:w w:val="85"/>
                <w:sz w:val="22"/>
              </w:rPr>
              <w:t> </w:t>
            </w:r>
            <w:r>
              <w:rPr>
                <w:w w:val="85"/>
                <w:sz w:val="22"/>
              </w:rPr>
              <w:t>sobre</w:t>
            </w:r>
            <w:r>
              <w:rPr>
                <w:spacing w:val="-26"/>
                <w:w w:val="85"/>
                <w:sz w:val="22"/>
              </w:rPr>
              <w:t> </w:t>
            </w:r>
            <w:r>
              <w:rPr>
                <w:w w:val="85"/>
                <w:sz w:val="22"/>
              </w:rPr>
              <w:t>km</w:t>
            </w:r>
            <w:r>
              <w:rPr>
                <w:w w:val="85"/>
                <w:position w:val="6"/>
                <w:sz w:val="14"/>
              </w:rPr>
              <w:t>2</w:t>
            </w:r>
            <w:r>
              <w:rPr>
                <w:w w:val="85"/>
                <w:sz w:val="22"/>
              </w:rPr>
              <w:t>).</w:t>
            </w:r>
          </w:p>
        </w:tc>
      </w:tr>
      <w:tr>
        <w:trPr>
          <w:trHeight w:val="768" w:hRule="exact"/>
        </w:trPr>
        <w:tc>
          <w:tcPr>
            <w:tcW w:w="3121" w:type="dxa"/>
          </w:tcPr>
          <w:p>
            <w:pPr>
              <w:pStyle w:val="TableParagraph"/>
              <w:spacing w:line="243" w:lineRule="exact"/>
              <w:ind w:left="105"/>
              <w:rPr>
                <w:sz w:val="22"/>
              </w:rPr>
            </w:pPr>
            <w:r>
              <w:rPr>
                <w:w w:val="80"/>
                <w:sz w:val="22"/>
              </w:rPr>
              <w:t>Relación de elongación</w:t>
            </w:r>
          </w:p>
        </w:tc>
        <w:tc>
          <w:tcPr>
            <w:tcW w:w="4749" w:type="dxa"/>
          </w:tcPr>
          <w:p>
            <w:pPr>
              <w:pStyle w:val="TableParagraph"/>
              <w:ind w:left="100" w:right="209"/>
              <w:jc w:val="both"/>
              <w:rPr>
                <w:sz w:val="22"/>
              </w:rPr>
            </w:pPr>
            <w:r>
              <w:rPr>
                <w:w w:val="85"/>
                <w:sz w:val="22"/>
              </w:rPr>
              <w:t>Define</w:t>
            </w:r>
            <w:r>
              <w:rPr>
                <w:spacing w:val="-17"/>
                <w:w w:val="85"/>
                <w:sz w:val="22"/>
              </w:rPr>
              <w:t> </w:t>
            </w:r>
            <w:r>
              <w:rPr>
                <w:w w:val="85"/>
                <w:sz w:val="22"/>
              </w:rPr>
              <w:t>el</w:t>
            </w:r>
            <w:r>
              <w:rPr>
                <w:spacing w:val="-16"/>
                <w:w w:val="85"/>
                <w:sz w:val="22"/>
              </w:rPr>
              <w:t> </w:t>
            </w:r>
            <w:r>
              <w:rPr>
                <w:w w:val="85"/>
                <w:sz w:val="22"/>
              </w:rPr>
              <w:t>relieve</w:t>
            </w:r>
            <w:r>
              <w:rPr>
                <w:spacing w:val="-17"/>
                <w:w w:val="85"/>
                <w:sz w:val="22"/>
              </w:rPr>
              <w:t> </w:t>
            </w:r>
            <w:r>
              <w:rPr>
                <w:w w:val="85"/>
                <w:sz w:val="22"/>
              </w:rPr>
              <w:t>de</w:t>
            </w:r>
            <w:r>
              <w:rPr>
                <w:spacing w:val="-17"/>
                <w:w w:val="85"/>
                <w:sz w:val="22"/>
              </w:rPr>
              <w:t> </w:t>
            </w:r>
            <w:r>
              <w:rPr>
                <w:w w:val="85"/>
                <w:sz w:val="22"/>
              </w:rPr>
              <w:t>la</w:t>
            </w:r>
            <w:r>
              <w:rPr>
                <w:spacing w:val="-14"/>
                <w:w w:val="85"/>
                <w:sz w:val="22"/>
              </w:rPr>
              <w:t> </w:t>
            </w:r>
            <w:r>
              <w:rPr>
                <w:w w:val="85"/>
                <w:sz w:val="22"/>
              </w:rPr>
              <w:t>cuenca</w:t>
            </w:r>
            <w:r>
              <w:rPr>
                <w:spacing w:val="-17"/>
                <w:w w:val="85"/>
                <w:sz w:val="22"/>
              </w:rPr>
              <w:t> </w:t>
            </w:r>
            <w:r>
              <w:rPr>
                <w:w w:val="85"/>
                <w:sz w:val="22"/>
              </w:rPr>
              <w:t>en</w:t>
            </w:r>
            <w:r>
              <w:rPr>
                <w:spacing w:val="-17"/>
                <w:w w:val="85"/>
                <w:sz w:val="22"/>
              </w:rPr>
              <w:t> </w:t>
            </w:r>
            <w:r>
              <w:rPr>
                <w:w w:val="85"/>
                <w:sz w:val="22"/>
              </w:rPr>
              <w:t>función</w:t>
            </w:r>
            <w:r>
              <w:rPr>
                <w:spacing w:val="-17"/>
                <w:w w:val="85"/>
                <w:sz w:val="22"/>
              </w:rPr>
              <w:t> </w:t>
            </w:r>
            <w:r>
              <w:rPr>
                <w:w w:val="85"/>
                <w:sz w:val="22"/>
              </w:rPr>
              <w:t>de</w:t>
            </w:r>
            <w:r>
              <w:rPr>
                <w:spacing w:val="-14"/>
                <w:w w:val="85"/>
                <w:sz w:val="22"/>
              </w:rPr>
              <w:t> </w:t>
            </w:r>
            <w:r>
              <w:rPr>
                <w:w w:val="85"/>
                <w:sz w:val="22"/>
              </w:rPr>
              <w:t>un</w:t>
            </w:r>
            <w:r>
              <w:rPr>
                <w:spacing w:val="-17"/>
                <w:w w:val="85"/>
                <w:sz w:val="22"/>
              </w:rPr>
              <w:t> </w:t>
            </w:r>
            <w:r>
              <w:rPr>
                <w:w w:val="85"/>
                <w:sz w:val="22"/>
              </w:rPr>
              <w:t>círculo. Presenta</w:t>
            </w:r>
            <w:r>
              <w:rPr>
                <w:spacing w:val="-20"/>
                <w:w w:val="85"/>
                <w:sz w:val="22"/>
              </w:rPr>
              <w:t> </w:t>
            </w:r>
            <w:r>
              <w:rPr>
                <w:w w:val="85"/>
                <w:sz w:val="22"/>
              </w:rPr>
              <w:t>relieve</w:t>
            </w:r>
            <w:r>
              <w:rPr>
                <w:spacing w:val="-20"/>
                <w:w w:val="85"/>
                <w:sz w:val="22"/>
              </w:rPr>
              <w:t> </w:t>
            </w:r>
            <w:r>
              <w:rPr>
                <w:w w:val="85"/>
                <w:sz w:val="22"/>
              </w:rPr>
              <w:t>bajo</w:t>
            </w:r>
            <w:r>
              <w:rPr>
                <w:spacing w:val="-20"/>
                <w:w w:val="85"/>
                <w:sz w:val="22"/>
              </w:rPr>
              <w:t> </w:t>
            </w:r>
            <w:r>
              <w:rPr>
                <w:w w:val="85"/>
                <w:sz w:val="22"/>
              </w:rPr>
              <w:t>en</w:t>
            </w:r>
            <w:r>
              <w:rPr>
                <w:spacing w:val="-20"/>
                <w:w w:val="85"/>
                <w:sz w:val="22"/>
              </w:rPr>
              <w:t> </w:t>
            </w:r>
            <w:r>
              <w:rPr>
                <w:w w:val="85"/>
                <w:sz w:val="22"/>
              </w:rPr>
              <w:t>valores</w:t>
            </w:r>
            <w:r>
              <w:rPr>
                <w:spacing w:val="-20"/>
                <w:w w:val="85"/>
                <w:sz w:val="22"/>
              </w:rPr>
              <w:t> </w:t>
            </w:r>
            <w:r>
              <w:rPr>
                <w:w w:val="85"/>
                <w:sz w:val="22"/>
              </w:rPr>
              <w:t>cercanos</w:t>
            </w:r>
            <w:r>
              <w:rPr>
                <w:spacing w:val="-20"/>
                <w:w w:val="85"/>
                <w:sz w:val="22"/>
              </w:rPr>
              <w:t> </w:t>
            </w:r>
            <w:r>
              <w:rPr>
                <w:w w:val="85"/>
                <w:sz w:val="22"/>
              </w:rPr>
              <w:t>a</w:t>
            </w:r>
            <w:r>
              <w:rPr>
                <w:spacing w:val="-20"/>
                <w:w w:val="85"/>
                <w:sz w:val="22"/>
              </w:rPr>
              <w:t> </w:t>
            </w:r>
            <w:r>
              <w:rPr>
                <w:w w:val="85"/>
                <w:sz w:val="22"/>
              </w:rPr>
              <w:t>la</w:t>
            </w:r>
            <w:r>
              <w:rPr>
                <w:spacing w:val="-20"/>
                <w:w w:val="85"/>
                <w:sz w:val="22"/>
              </w:rPr>
              <w:t> </w:t>
            </w:r>
            <w:r>
              <w:rPr>
                <w:w w:val="85"/>
                <w:sz w:val="22"/>
              </w:rPr>
              <w:t>unidad</w:t>
            </w:r>
            <w:r>
              <w:rPr>
                <w:spacing w:val="-20"/>
                <w:w w:val="85"/>
                <w:sz w:val="22"/>
              </w:rPr>
              <w:t> </w:t>
            </w:r>
            <w:r>
              <w:rPr>
                <w:w w:val="85"/>
                <w:sz w:val="22"/>
              </w:rPr>
              <w:t>y relieves</w:t>
            </w:r>
            <w:r>
              <w:rPr>
                <w:spacing w:val="-19"/>
                <w:w w:val="85"/>
                <w:sz w:val="22"/>
              </w:rPr>
              <w:t> </w:t>
            </w:r>
            <w:r>
              <w:rPr>
                <w:w w:val="85"/>
                <w:sz w:val="22"/>
              </w:rPr>
              <w:t>fuertes</w:t>
            </w:r>
            <w:r>
              <w:rPr>
                <w:spacing w:val="-19"/>
                <w:w w:val="85"/>
                <w:sz w:val="22"/>
              </w:rPr>
              <w:t> </w:t>
            </w:r>
            <w:r>
              <w:rPr>
                <w:w w:val="85"/>
                <w:sz w:val="22"/>
              </w:rPr>
              <w:t>en</w:t>
            </w:r>
            <w:r>
              <w:rPr>
                <w:spacing w:val="-19"/>
                <w:w w:val="85"/>
                <w:sz w:val="22"/>
              </w:rPr>
              <w:t> </w:t>
            </w:r>
            <w:r>
              <w:rPr>
                <w:w w:val="85"/>
                <w:sz w:val="22"/>
              </w:rPr>
              <w:t>valores</w:t>
            </w:r>
            <w:r>
              <w:rPr>
                <w:spacing w:val="-19"/>
                <w:w w:val="85"/>
                <w:sz w:val="22"/>
              </w:rPr>
              <w:t> </w:t>
            </w:r>
            <w:r>
              <w:rPr>
                <w:w w:val="85"/>
                <w:sz w:val="22"/>
              </w:rPr>
              <w:t>de</w:t>
            </w:r>
            <w:r>
              <w:rPr>
                <w:spacing w:val="-19"/>
                <w:w w:val="85"/>
                <w:sz w:val="22"/>
              </w:rPr>
              <w:t> </w:t>
            </w:r>
            <w:r>
              <w:rPr>
                <w:w w:val="85"/>
                <w:sz w:val="22"/>
              </w:rPr>
              <w:t>0.6</w:t>
            </w:r>
            <w:r>
              <w:rPr>
                <w:spacing w:val="-19"/>
                <w:w w:val="85"/>
                <w:sz w:val="22"/>
              </w:rPr>
              <w:t> </w:t>
            </w:r>
            <w:r>
              <w:rPr>
                <w:w w:val="85"/>
                <w:sz w:val="22"/>
              </w:rPr>
              <w:t>a</w:t>
            </w:r>
            <w:r>
              <w:rPr>
                <w:spacing w:val="-19"/>
                <w:w w:val="85"/>
                <w:sz w:val="22"/>
              </w:rPr>
              <w:t> </w:t>
            </w:r>
            <w:r>
              <w:rPr>
                <w:w w:val="85"/>
                <w:sz w:val="22"/>
              </w:rPr>
              <w:t>0.80.</w:t>
            </w:r>
          </w:p>
        </w:tc>
      </w:tr>
    </w:tbl>
    <w:p>
      <w:pPr>
        <w:spacing w:line="225" w:lineRule="exact" w:before="0"/>
        <w:ind w:left="119" w:right="0" w:firstLine="0"/>
        <w:jc w:val="both"/>
        <w:rPr>
          <w:sz w:val="20"/>
        </w:rPr>
      </w:pPr>
      <w:r>
        <w:rPr>
          <w:sz w:val="20"/>
        </w:rPr>
        <w:t>Fuente: Campos, 1987.</w:t>
      </w:r>
    </w:p>
    <w:p>
      <w:pPr>
        <w:pStyle w:val="BodyText"/>
        <w:spacing w:before="10"/>
        <w:rPr>
          <w:sz w:val="23"/>
        </w:rPr>
      </w:pPr>
    </w:p>
    <w:p>
      <w:pPr>
        <w:pStyle w:val="BodyText"/>
        <w:ind w:left="119"/>
        <w:jc w:val="both"/>
      </w:pPr>
      <w:r>
        <w:rPr/>
        <w:t>Para</w:t>
      </w:r>
      <w:r>
        <w:rPr>
          <w:spacing w:val="-20"/>
        </w:rPr>
        <w:t> </w:t>
      </w:r>
      <w:r>
        <w:rPr/>
        <w:t>la</w:t>
      </w:r>
      <w:r>
        <w:rPr>
          <w:spacing w:val="-20"/>
        </w:rPr>
        <w:t> </w:t>
      </w:r>
      <w:r>
        <w:rPr/>
        <w:t>determinación</w:t>
      </w:r>
      <w:r>
        <w:rPr>
          <w:spacing w:val="-20"/>
        </w:rPr>
        <w:t> </w:t>
      </w:r>
      <w:r>
        <w:rPr/>
        <w:t>de</w:t>
      </w:r>
      <w:r>
        <w:rPr>
          <w:spacing w:val="-25"/>
        </w:rPr>
        <w:t> </w:t>
      </w:r>
      <w:r>
        <w:rPr/>
        <w:t>los</w:t>
      </w:r>
      <w:r>
        <w:rPr>
          <w:spacing w:val="-21"/>
        </w:rPr>
        <w:t> </w:t>
      </w:r>
      <w:r>
        <w:rPr/>
        <w:t>parámetros</w:t>
      </w:r>
      <w:r>
        <w:rPr>
          <w:spacing w:val="-16"/>
        </w:rPr>
        <w:t> </w:t>
      </w:r>
      <w:r>
        <w:rPr/>
        <w:t>morfométricos</w:t>
      </w:r>
      <w:r>
        <w:rPr>
          <w:spacing w:val="-16"/>
        </w:rPr>
        <w:t> </w:t>
      </w:r>
      <w:r>
        <w:rPr/>
        <w:t>se</w:t>
      </w:r>
      <w:r>
        <w:rPr>
          <w:spacing w:val="-20"/>
        </w:rPr>
        <w:t> </w:t>
      </w:r>
      <w:r>
        <w:rPr/>
        <w:t>utilizaró</w:t>
      </w:r>
      <w:r>
        <w:rPr>
          <w:spacing w:val="-20"/>
        </w:rPr>
        <w:t> </w:t>
      </w:r>
      <w:r>
        <w:rPr/>
        <w:t>el</w:t>
      </w:r>
      <w:r>
        <w:rPr>
          <w:spacing w:val="-12"/>
        </w:rPr>
        <w:t> </w:t>
      </w:r>
      <w:r>
        <w:rPr/>
        <w:t>software</w:t>
      </w:r>
      <w:r>
        <w:rPr>
          <w:spacing w:val="-16"/>
        </w:rPr>
        <w:t> </w:t>
      </w:r>
      <w:r>
        <w:rPr/>
        <w:t>ArGis</w:t>
      </w:r>
    </w:p>
    <w:p>
      <w:pPr>
        <w:pStyle w:val="BodyText"/>
        <w:spacing w:line="360" w:lineRule="auto" w:before="141"/>
        <w:ind w:left="119" w:right="114"/>
        <w:jc w:val="both"/>
      </w:pPr>
      <w:r>
        <w:rPr/>
        <w:t>9.2 y la extensión DetermHidro (Valtierra, 2007). Como base topográfica las curvas de nivel con cotas de 10 m, obtenidas de las cartas topográficas digitales que proporciona el INEGI. En función de estas capas se realizó un Modelo Digital de Elevación (MDE), el cual servió como base para modelar los flujos de agua y determinar la red de drenaje de la Zona Metropolitana de Toluca.</w:t>
      </w:r>
    </w:p>
    <w:p>
      <w:pPr>
        <w:pStyle w:val="BodyText"/>
        <w:spacing w:before="4"/>
        <w:rPr>
          <w:sz w:val="25"/>
        </w:rPr>
      </w:pPr>
    </w:p>
    <w:p>
      <w:pPr>
        <w:pStyle w:val="Heading2"/>
        <w:spacing w:line="268" w:lineRule="exact"/>
        <w:ind w:left="984" w:right="70"/>
        <w:jc w:val="left"/>
      </w:pPr>
      <w:bookmarkStart w:name="_TOC_250032" w:id="22"/>
      <w:bookmarkEnd w:id="22"/>
      <w:r>
        <w:rPr/>
        <w:t>2.3.2.2 Caracterización de la estructura socioeconómica y los factores físico-naturales</w:t>
      </w:r>
    </w:p>
    <w:p>
      <w:pPr>
        <w:pStyle w:val="BodyText"/>
        <w:rPr>
          <w:b/>
          <w:sz w:val="25"/>
        </w:rPr>
      </w:pPr>
    </w:p>
    <w:p>
      <w:pPr>
        <w:pStyle w:val="BodyText"/>
        <w:spacing w:line="360" w:lineRule="auto"/>
        <w:ind w:left="119" w:right="115"/>
        <w:jc w:val="both"/>
      </w:pPr>
      <w:r>
        <w:rPr/>
        <w:t>Para</w:t>
      </w:r>
      <w:r>
        <w:rPr>
          <w:spacing w:val="-6"/>
        </w:rPr>
        <w:t> </w:t>
      </w:r>
      <w:r>
        <w:rPr/>
        <w:t>el</w:t>
      </w:r>
      <w:r>
        <w:rPr>
          <w:spacing w:val="-7"/>
        </w:rPr>
        <w:t> </w:t>
      </w:r>
      <w:r>
        <w:rPr/>
        <w:t>análisis</w:t>
      </w:r>
      <w:r>
        <w:rPr>
          <w:spacing w:val="-7"/>
        </w:rPr>
        <w:t> </w:t>
      </w:r>
      <w:r>
        <w:rPr/>
        <w:t>de</w:t>
      </w:r>
      <w:r>
        <w:rPr>
          <w:spacing w:val="-8"/>
        </w:rPr>
        <w:t> </w:t>
      </w:r>
      <w:r>
        <w:rPr/>
        <w:t>la</w:t>
      </w:r>
      <w:r>
        <w:rPr>
          <w:spacing w:val="-11"/>
        </w:rPr>
        <w:t> </w:t>
      </w:r>
      <w:r>
        <w:rPr/>
        <w:t>zona</w:t>
      </w:r>
      <w:r>
        <w:rPr>
          <w:spacing w:val="-11"/>
        </w:rPr>
        <w:t> </w:t>
      </w:r>
      <w:r>
        <w:rPr/>
        <w:t>de</w:t>
      </w:r>
      <w:r>
        <w:rPr>
          <w:spacing w:val="-11"/>
        </w:rPr>
        <w:t> </w:t>
      </w:r>
      <w:r>
        <w:rPr/>
        <w:t>estudio</w:t>
      </w:r>
      <w:r>
        <w:rPr>
          <w:spacing w:val="-6"/>
        </w:rPr>
        <w:t> </w:t>
      </w:r>
      <w:r>
        <w:rPr/>
        <w:t>se</w:t>
      </w:r>
      <w:r>
        <w:rPr>
          <w:spacing w:val="-8"/>
        </w:rPr>
        <w:t> </w:t>
      </w:r>
      <w:r>
        <w:rPr/>
        <w:t>utilizó</w:t>
      </w:r>
      <w:r>
        <w:rPr>
          <w:spacing w:val="-10"/>
        </w:rPr>
        <w:t> </w:t>
      </w:r>
      <w:r>
        <w:rPr/>
        <w:t>la</w:t>
      </w:r>
      <w:r>
        <w:rPr>
          <w:spacing w:val="-11"/>
        </w:rPr>
        <w:t> </w:t>
      </w:r>
      <w:r>
        <w:rPr/>
        <w:t>información</w:t>
      </w:r>
      <w:r>
        <w:rPr>
          <w:spacing w:val="-11"/>
        </w:rPr>
        <w:t> </w:t>
      </w:r>
      <w:r>
        <w:rPr/>
        <w:t>de</w:t>
      </w:r>
      <w:r>
        <w:rPr>
          <w:spacing w:val="-11"/>
        </w:rPr>
        <w:t> </w:t>
      </w:r>
      <w:r>
        <w:rPr/>
        <w:t>las</w:t>
      </w:r>
      <w:r>
        <w:rPr>
          <w:spacing w:val="-12"/>
        </w:rPr>
        <w:t> </w:t>
      </w:r>
      <w:r>
        <w:rPr/>
        <w:t>cartas</w:t>
      </w:r>
      <w:r>
        <w:rPr>
          <w:spacing w:val="-7"/>
        </w:rPr>
        <w:t> </w:t>
      </w:r>
      <w:r>
        <w:rPr/>
        <w:t>temática escala 1: 50,000 que proporciona el INEGI e imagen del satélite Landsat Thematic Mapper, a través de este material se delimitaron las unidades de escurrimiento pertenecientes a la Zona Metropolitana de Toluca y se actualizaron con las salidas de campo, en donde </w:t>
      </w:r>
      <w:r>
        <w:rPr>
          <w:spacing w:val="-3"/>
        </w:rPr>
        <w:t>se </w:t>
      </w:r>
      <w:r>
        <w:rPr/>
        <w:t>analizaron las condiciones climáticas de la región, el uso del</w:t>
      </w:r>
      <w:r>
        <w:rPr>
          <w:spacing w:val="-7"/>
        </w:rPr>
        <w:t> </w:t>
      </w:r>
      <w:r>
        <w:rPr/>
        <w:t>suelo</w:t>
      </w:r>
      <w:r>
        <w:rPr>
          <w:spacing w:val="-6"/>
        </w:rPr>
        <w:t> </w:t>
      </w:r>
      <w:r>
        <w:rPr/>
        <w:t>y</w:t>
      </w:r>
      <w:r>
        <w:rPr>
          <w:spacing w:val="-12"/>
        </w:rPr>
        <w:t> </w:t>
      </w:r>
      <w:r>
        <w:rPr/>
        <w:t>vegetación,</w:t>
      </w:r>
      <w:r>
        <w:rPr>
          <w:spacing w:val="-11"/>
        </w:rPr>
        <w:t> </w:t>
      </w:r>
      <w:r>
        <w:rPr/>
        <w:t>edafología,</w:t>
      </w:r>
      <w:r>
        <w:rPr>
          <w:spacing w:val="-6"/>
        </w:rPr>
        <w:t> </w:t>
      </w:r>
      <w:r>
        <w:rPr/>
        <w:t>geología,</w:t>
      </w:r>
      <w:r>
        <w:rPr>
          <w:spacing w:val="-11"/>
        </w:rPr>
        <w:t> </w:t>
      </w:r>
      <w:r>
        <w:rPr/>
        <w:t>pendiente</w:t>
      </w:r>
      <w:r>
        <w:rPr>
          <w:spacing w:val="-10"/>
        </w:rPr>
        <w:t> </w:t>
      </w:r>
      <w:r>
        <w:rPr/>
        <w:t>del</w:t>
      </w:r>
      <w:r>
        <w:rPr>
          <w:spacing w:val="-3"/>
        </w:rPr>
        <w:t> </w:t>
      </w:r>
      <w:r>
        <w:rPr/>
        <w:t>terreno</w:t>
      </w:r>
      <w:r>
        <w:rPr>
          <w:spacing w:val="-6"/>
        </w:rPr>
        <w:t> </w:t>
      </w:r>
      <w:r>
        <w:rPr/>
        <w:t>y</w:t>
      </w:r>
      <w:r>
        <w:rPr>
          <w:spacing w:val="-12"/>
        </w:rPr>
        <w:t> </w:t>
      </w:r>
      <w:r>
        <w:rPr/>
        <w:t>de</w:t>
      </w:r>
      <w:r>
        <w:rPr>
          <w:spacing w:val="-11"/>
        </w:rPr>
        <w:t> </w:t>
      </w:r>
      <w:r>
        <w:rPr/>
        <w:t>los</w:t>
      </w:r>
      <w:r>
        <w:rPr>
          <w:spacing w:val="-12"/>
        </w:rPr>
        <w:t> </w:t>
      </w:r>
      <w:r>
        <w:rPr/>
        <w:t>ríos</w:t>
      </w:r>
      <w:r>
        <w:rPr>
          <w:spacing w:val="-12"/>
        </w:rPr>
        <w:t> </w:t>
      </w:r>
      <w:r>
        <w:rPr/>
        <w:t>que tienen</w:t>
      </w:r>
      <w:r>
        <w:rPr>
          <w:spacing w:val="-12"/>
        </w:rPr>
        <w:t> </w:t>
      </w:r>
      <w:r>
        <w:rPr/>
        <w:t>un</w:t>
      </w:r>
      <w:r>
        <w:rPr>
          <w:spacing w:val="-12"/>
        </w:rPr>
        <w:t> </w:t>
      </w:r>
      <w:r>
        <w:rPr/>
        <w:t>efecto</w:t>
      </w:r>
      <w:r>
        <w:rPr>
          <w:spacing w:val="-11"/>
        </w:rPr>
        <w:t> </w:t>
      </w:r>
      <w:r>
        <w:rPr/>
        <w:t>importante</w:t>
      </w:r>
      <w:r>
        <w:rPr>
          <w:spacing w:val="-11"/>
        </w:rPr>
        <w:t> </w:t>
      </w:r>
      <w:r>
        <w:rPr/>
        <w:t>sobre</w:t>
      </w:r>
      <w:r>
        <w:rPr>
          <w:spacing w:val="-12"/>
        </w:rPr>
        <w:t> </w:t>
      </w:r>
      <w:r>
        <w:rPr/>
        <w:t>el</w:t>
      </w:r>
      <w:r>
        <w:rPr>
          <w:spacing w:val="-8"/>
        </w:rPr>
        <w:t> </w:t>
      </w:r>
      <w:r>
        <w:rPr/>
        <w:t>tiempo</w:t>
      </w:r>
      <w:r>
        <w:rPr>
          <w:spacing w:val="-12"/>
        </w:rPr>
        <w:t> </w:t>
      </w:r>
      <w:r>
        <w:rPr/>
        <w:t>de</w:t>
      </w:r>
      <w:r>
        <w:rPr>
          <w:spacing w:val="-12"/>
        </w:rPr>
        <w:t> </w:t>
      </w:r>
      <w:r>
        <w:rPr/>
        <w:t>respuesta</w:t>
      </w:r>
      <w:r>
        <w:rPr>
          <w:spacing w:val="-11"/>
        </w:rPr>
        <w:t> </w:t>
      </w:r>
      <w:r>
        <w:rPr/>
        <w:t>de</w:t>
      </w:r>
      <w:r>
        <w:rPr>
          <w:spacing w:val="-12"/>
        </w:rPr>
        <w:t> </w:t>
      </w:r>
      <w:r>
        <w:rPr/>
        <w:t>las</w:t>
      </w:r>
      <w:r>
        <w:rPr>
          <w:spacing w:val="-12"/>
        </w:rPr>
        <w:t> </w:t>
      </w:r>
      <w:r>
        <w:rPr/>
        <w:t>diferentes</w:t>
      </w:r>
      <w:r>
        <w:rPr>
          <w:spacing w:val="-13"/>
        </w:rPr>
        <w:t> </w:t>
      </w:r>
      <w:r>
        <w:rPr/>
        <w:t>unidades</w:t>
      </w:r>
    </w:p>
    <w:p>
      <w:pPr>
        <w:spacing w:after="0" w:line="360" w:lineRule="auto"/>
        <w:jc w:val="both"/>
        <w:sectPr>
          <w:pgSz w:w="12240" w:h="15840"/>
          <w:pgMar w:header="0" w:footer="1031" w:top="1360" w:bottom="1220" w:left="1580" w:right="1580"/>
        </w:sectPr>
      </w:pPr>
    </w:p>
    <w:p>
      <w:pPr>
        <w:pStyle w:val="BodyText"/>
        <w:spacing w:line="362" w:lineRule="auto" w:before="52"/>
        <w:ind w:left="119" w:right="100"/>
        <w:jc w:val="both"/>
      </w:pPr>
      <w:r>
        <w:rPr/>
        <w:t>de escurrimiento; variables por demás importantes dentro de un análisis de estas características.</w:t>
      </w:r>
    </w:p>
    <w:p>
      <w:pPr>
        <w:pStyle w:val="BodyText"/>
        <w:spacing w:before="3"/>
      </w:pPr>
    </w:p>
    <w:p>
      <w:pPr>
        <w:pStyle w:val="BodyText"/>
        <w:spacing w:line="360" w:lineRule="auto"/>
        <w:ind w:left="119" w:right="101"/>
        <w:jc w:val="both"/>
      </w:pPr>
      <w:r>
        <w:rPr/>
        <w:t>En esta etapa utilizaron los datos del Conteo de Población y Vivienda 2010 que proporciona INEGI, para analizar las variables de Población total, Población económicamente activa e inactiva, tipos de vivienda, entre otras.</w:t>
      </w:r>
    </w:p>
    <w:p>
      <w:pPr>
        <w:pStyle w:val="BodyText"/>
        <w:spacing w:before="5"/>
      </w:pPr>
    </w:p>
    <w:p>
      <w:pPr>
        <w:pStyle w:val="BodyText"/>
        <w:spacing w:line="360" w:lineRule="auto"/>
        <w:ind w:left="119" w:right="102"/>
        <w:jc w:val="both"/>
      </w:pPr>
      <w:r>
        <w:rPr/>
        <w:t>Para conocer en qué forma fueron afectados los pobladores de la Zona Metropolitana de Toluca por las inundaciones en el año 2006 y conocer su disposición</w:t>
      </w:r>
      <w:r>
        <w:rPr>
          <w:spacing w:val="-17"/>
        </w:rPr>
        <w:t> </w:t>
      </w:r>
      <w:r>
        <w:rPr/>
        <w:t>para</w:t>
      </w:r>
      <w:r>
        <w:rPr>
          <w:spacing w:val="-21"/>
        </w:rPr>
        <w:t> </w:t>
      </w:r>
      <w:r>
        <w:rPr/>
        <w:t>participar</w:t>
      </w:r>
      <w:r>
        <w:rPr>
          <w:spacing w:val="-16"/>
        </w:rPr>
        <w:t> </w:t>
      </w:r>
      <w:r>
        <w:rPr/>
        <w:t>en</w:t>
      </w:r>
      <w:r>
        <w:rPr>
          <w:spacing w:val="-17"/>
        </w:rPr>
        <w:t> </w:t>
      </w:r>
      <w:r>
        <w:rPr/>
        <w:t>obras</w:t>
      </w:r>
      <w:r>
        <w:rPr>
          <w:spacing w:val="-22"/>
        </w:rPr>
        <w:t> </w:t>
      </w:r>
      <w:r>
        <w:rPr/>
        <w:t>que</w:t>
      </w:r>
      <w:r>
        <w:rPr>
          <w:spacing w:val="-21"/>
        </w:rPr>
        <w:t> </w:t>
      </w:r>
      <w:r>
        <w:rPr/>
        <w:t>ayuden</w:t>
      </w:r>
      <w:r>
        <w:rPr>
          <w:spacing w:val="-17"/>
        </w:rPr>
        <w:t> </w:t>
      </w:r>
      <w:r>
        <w:rPr/>
        <w:t>a</w:t>
      </w:r>
      <w:r>
        <w:rPr>
          <w:spacing w:val="-17"/>
        </w:rPr>
        <w:t> </w:t>
      </w:r>
      <w:r>
        <w:rPr/>
        <w:t>aminorar</w:t>
      </w:r>
      <w:r>
        <w:rPr>
          <w:spacing w:val="-21"/>
        </w:rPr>
        <w:t> </w:t>
      </w:r>
      <w:r>
        <w:rPr/>
        <w:t>los</w:t>
      </w:r>
      <w:r>
        <w:rPr>
          <w:spacing w:val="-17"/>
        </w:rPr>
        <w:t> </w:t>
      </w:r>
      <w:r>
        <w:rPr/>
        <w:t>efectos</w:t>
      </w:r>
      <w:r>
        <w:rPr>
          <w:spacing w:val="-17"/>
        </w:rPr>
        <w:t> </w:t>
      </w:r>
      <w:r>
        <w:rPr/>
        <w:t>de</w:t>
      </w:r>
      <w:r>
        <w:rPr>
          <w:spacing w:val="-21"/>
        </w:rPr>
        <w:t> </w:t>
      </w:r>
      <w:r>
        <w:rPr/>
        <w:t>las</w:t>
      </w:r>
      <w:r>
        <w:rPr>
          <w:spacing w:val="-22"/>
        </w:rPr>
        <w:t> </w:t>
      </w:r>
      <w:r>
        <w:rPr/>
        <w:t>lluvias, se aplicaron </w:t>
      </w:r>
      <w:r>
        <w:rPr>
          <w:i/>
        </w:rPr>
        <w:t>entrevistas </w:t>
      </w:r>
      <w:r>
        <w:rPr/>
        <w:t>personales que utiliza la indagación exhaustiva para lograr que un solo encuestado hable libremente y exprese en detalle su </w:t>
      </w:r>
      <w:r>
        <w:rPr>
          <w:spacing w:val="-3"/>
        </w:rPr>
        <w:t>forma </w:t>
      </w:r>
      <w:r>
        <w:rPr/>
        <w:t>de pensar sobre el tema de investigación a tratar, de una manera </w:t>
      </w:r>
      <w:r>
        <w:rPr>
          <w:spacing w:val="-3"/>
        </w:rPr>
        <w:t>más </w:t>
      </w:r>
      <w:r>
        <w:rPr/>
        <w:t>profunda que una encuesta.</w:t>
      </w:r>
    </w:p>
    <w:p>
      <w:pPr>
        <w:pStyle w:val="BodyText"/>
        <w:spacing w:before="5"/>
      </w:pPr>
    </w:p>
    <w:p>
      <w:pPr>
        <w:pStyle w:val="BodyText"/>
        <w:spacing w:line="360" w:lineRule="auto"/>
        <w:ind w:left="119" w:right="105"/>
        <w:jc w:val="both"/>
      </w:pPr>
      <w:r>
        <w:rPr/>
        <w:t>El propósito es obtener información muy específica y detallada (individualizada) sobre algún o algunos temas determinados. Esta herramienta forma parte de la Investigación cualitativa, es un tipo de investigación formativa que ofrece técnicas especializadas para obtener respuestas de fondo acerca de lo que las personas piensan y cuáles son sus sentimientos. Esto permite a los investigadores comprender mejor las actitudes, creencias, motivos y comportamientos de una población determinada (Blanchet, A. </w:t>
      </w:r>
      <w:r>
        <w:rPr>
          <w:i/>
        </w:rPr>
        <w:t>et al.</w:t>
      </w:r>
      <w:r>
        <w:rPr/>
        <w:t>, 1989).</w:t>
      </w:r>
    </w:p>
    <w:p>
      <w:pPr>
        <w:pStyle w:val="BodyText"/>
        <w:spacing w:before="5"/>
      </w:pPr>
    </w:p>
    <w:p>
      <w:pPr>
        <w:pStyle w:val="BodyText"/>
        <w:spacing w:line="360" w:lineRule="auto"/>
        <w:ind w:left="119" w:right="109"/>
        <w:jc w:val="both"/>
      </w:pPr>
      <w:r>
        <w:rPr/>
        <w:t>Los datos de Infraestructura se obtendrán de la Carta Topográfica 1:50 000, los cuales se clasificarán según su grado de importancia dándole un peso especifico a cada uno (Puentes, Autopista, Carretera federal, Carretera estatal, Terracería, Brecha y Veredas).</w:t>
      </w:r>
    </w:p>
    <w:p>
      <w:pPr>
        <w:pStyle w:val="BodyText"/>
        <w:spacing w:before="10"/>
      </w:pPr>
    </w:p>
    <w:p>
      <w:pPr>
        <w:pStyle w:val="BodyText"/>
        <w:spacing w:line="360" w:lineRule="auto"/>
        <w:ind w:left="119" w:right="107"/>
        <w:jc w:val="both"/>
      </w:pPr>
      <w:r>
        <w:rPr/>
        <w:t>Esta</w:t>
      </w:r>
      <w:r>
        <w:rPr>
          <w:spacing w:val="-10"/>
        </w:rPr>
        <w:t> </w:t>
      </w:r>
      <w:r>
        <w:rPr/>
        <w:t>clasificación</w:t>
      </w:r>
      <w:r>
        <w:rPr>
          <w:spacing w:val="-11"/>
        </w:rPr>
        <w:t> </w:t>
      </w:r>
      <w:r>
        <w:rPr/>
        <w:t>se</w:t>
      </w:r>
      <w:r>
        <w:rPr>
          <w:spacing w:val="-11"/>
        </w:rPr>
        <w:t> </w:t>
      </w:r>
      <w:r>
        <w:rPr/>
        <w:t>realizara</w:t>
      </w:r>
      <w:r>
        <w:rPr>
          <w:spacing w:val="-11"/>
        </w:rPr>
        <w:t> </w:t>
      </w:r>
      <w:r>
        <w:rPr/>
        <w:t>con</w:t>
      </w:r>
      <w:r>
        <w:rPr>
          <w:spacing w:val="-11"/>
        </w:rPr>
        <w:t> </w:t>
      </w:r>
      <w:r>
        <w:rPr/>
        <w:t>base</w:t>
      </w:r>
      <w:r>
        <w:rPr>
          <w:spacing w:val="-11"/>
        </w:rPr>
        <w:t> </w:t>
      </w:r>
      <w:r>
        <w:rPr/>
        <w:t>a</w:t>
      </w:r>
      <w:r>
        <w:rPr>
          <w:spacing w:val="-11"/>
        </w:rPr>
        <w:t> </w:t>
      </w:r>
      <w:r>
        <w:rPr/>
        <w:t>la</w:t>
      </w:r>
      <w:r>
        <w:rPr>
          <w:spacing w:val="-11"/>
        </w:rPr>
        <w:t> </w:t>
      </w:r>
      <w:r>
        <w:rPr/>
        <w:t>vulnerabilidad</w:t>
      </w:r>
      <w:r>
        <w:rPr>
          <w:spacing w:val="-11"/>
        </w:rPr>
        <w:t> </w:t>
      </w:r>
      <w:r>
        <w:rPr/>
        <w:t>que</w:t>
      </w:r>
      <w:r>
        <w:rPr>
          <w:spacing w:val="-11"/>
        </w:rPr>
        <w:t> </w:t>
      </w:r>
      <w:r>
        <w:rPr/>
        <w:t>se</w:t>
      </w:r>
      <w:r>
        <w:rPr>
          <w:spacing w:val="-11"/>
        </w:rPr>
        <w:t> </w:t>
      </w:r>
      <w:r>
        <w:rPr/>
        <w:t>pudiera</w:t>
      </w:r>
      <w:r>
        <w:rPr>
          <w:spacing w:val="-11"/>
        </w:rPr>
        <w:t> </w:t>
      </w:r>
      <w:r>
        <w:rPr/>
        <w:t>presentar en caso de tener daños por la presencia de una inundación. Estos indicadores representan la infraestructura de la zona de</w:t>
      </w:r>
      <w:r>
        <w:rPr>
          <w:spacing w:val="-21"/>
        </w:rPr>
        <w:t> </w:t>
      </w:r>
      <w:r>
        <w:rPr/>
        <w:t>estudio.</w:t>
      </w:r>
    </w:p>
    <w:p>
      <w:pPr>
        <w:spacing w:after="0" w:line="360" w:lineRule="auto"/>
        <w:jc w:val="both"/>
        <w:sectPr>
          <w:pgSz w:w="12240" w:h="15840"/>
          <w:pgMar w:header="0" w:footer="1031" w:top="1360" w:bottom="1220" w:left="1580" w:right="1600"/>
        </w:sectPr>
      </w:pPr>
    </w:p>
    <w:p>
      <w:pPr>
        <w:pStyle w:val="Heading2"/>
        <w:numPr>
          <w:ilvl w:val="3"/>
          <w:numId w:val="16"/>
        </w:numPr>
        <w:tabs>
          <w:tab w:pos="1790" w:val="left" w:leader="none"/>
        </w:tabs>
        <w:spacing w:line="240" w:lineRule="auto" w:before="42" w:after="0"/>
        <w:ind w:left="984" w:right="0" w:firstLine="0"/>
        <w:jc w:val="left"/>
      </w:pPr>
      <w:bookmarkStart w:name="_TOC_250031" w:id="23"/>
      <w:r>
        <w:rPr/>
        <w:t>Diagnóstico de la zona de</w:t>
      </w:r>
      <w:r>
        <w:rPr>
          <w:spacing w:val="-21"/>
        </w:rPr>
        <w:t> </w:t>
      </w:r>
      <w:bookmarkEnd w:id="23"/>
      <w:r>
        <w:rPr/>
        <w:t>estudio</w:t>
      </w:r>
    </w:p>
    <w:p>
      <w:pPr>
        <w:pStyle w:val="BodyText"/>
        <w:spacing w:before="2"/>
        <w:rPr>
          <w:b/>
          <w:sz w:val="25"/>
        </w:rPr>
      </w:pPr>
    </w:p>
    <w:p>
      <w:pPr>
        <w:pStyle w:val="BodyText"/>
        <w:spacing w:line="360" w:lineRule="auto" w:before="1"/>
        <w:ind w:left="119" w:right="116"/>
        <w:jc w:val="both"/>
      </w:pPr>
      <w:r>
        <w:rPr/>
        <w:t>A partir de la caracterización de la zona, se realiza el diagnóstico con base en los indicadores</w:t>
      </w:r>
      <w:r>
        <w:rPr>
          <w:spacing w:val="-22"/>
        </w:rPr>
        <w:t> </w:t>
      </w:r>
      <w:r>
        <w:rPr/>
        <w:t>de:</w:t>
      </w:r>
      <w:r>
        <w:rPr>
          <w:spacing w:val="-22"/>
        </w:rPr>
        <w:t> </w:t>
      </w:r>
      <w:r>
        <w:rPr/>
        <w:t>pendiente</w:t>
      </w:r>
      <w:r>
        <w:rPr>
          <w:spacing w:val="-22"/>
        </w:rPr>
        <w:t> </w:t>
      </w:r>
      <w:r>
        <w:rPr/>
        <w:t>media,</w:t>
      </w:r>
      <w:r>
        <w:rPr>
          <w:spacing w:val="-18"/>
        </w:rPr>
        <w:t> </w:t>
      </w:r>
      <w:r>
        <w:rPr/>
        <w:t>tiempo</w:t>
      </w:r>
      <w:r>
        <w:rPr>
          <w:spacing w:val="-18"/>
        </w:rPr>
        <w:t> </w:t>
      </w:r>
      <w:r>
        <w:rPr/>
        <w:t>de</w:t>
      </w:r>
      <w:r>
        <w:rPr>
          <w:spacing w:val="-22"/>
        </w:rPr>
        <w:t> </w:t>
      </w:r>
      <w:r>
        <w:rPr/>
        <w:t>concentración,</w:t>
      </w:r>
      <w:r>
        <w:rPr>
          <w:spacing w:val="-18"/>
        </w:rPr>
        <w:t> </w:t>
      </w:r>
      <w:r>
        <w:rPr/>
        <w:t>factor</w:t>
      </w:r>
      <w:r>
        <w:rPr>
          <w:spacing w:val="-21"/>
        </w:rPr>
        <w:t> </w:t>
      </w:r>
      <w:r>
        <w:rPr/>
        <w:t>de</w:t>
      </w:r>
      <w:r>
        <w:rPr>
          <w:spacing w:val="-22"/>
        </w:rPr>
        <w:t> </w:t>
      </w:r>
      <w:r>
        <w:rPr/>
        <w:t>forma</w:t>
      </w:r>
      <w:r>
        <w:rPr>
          <w:spacing w:val="-18"/>
        </w:rPr>
        <w:t> </w:t>
      </w:r>
      <w:r>
        <w:rPr/>
        <w:t>y</w:t>
      </w:r>
      <w:r>
        <w:rPr>
          <w:spacing w:val="-18"/>
        </w:rPr>
        <w:t> </w:t>
      </w:r>
      <w:r>
        <w:rPr/>
        <w:t>pérdida de</w:t>
      </w:r>
      <w:r>
        <w:rPr>
          <w:spacing w:val="-5"/>
        </w:rPr>
        <w:t> </w:t>
      </w:r>
      <w:r>
        <w:rPr/>
        <w:t>suelo.</w:t>
      </w:r>
      <w:r>
        <w:rPr>
          <w:spacing w:val="-10"/>
        </w:rPr>
        <w:t> </w:t>
      </w:r>
      <w:r>
        <w:rPr/>
        <w:t>Posteriormente</w:t>
      </w:r>
      <w:r>
        <w:rPr>
          <w:spacing w:val="-5"/>
        </w:rPr>
        <w:t> </w:t>
      </w:r>
      <w:r>
        <w:rPr/>
        <w:t>se</w:t>
      </w:r>
      <w:r>
        <w:rPr>
          <w:spacing w:val="-5"/>
        </w:rPr>
        <w:t> </w:t>
      </w:r>
      <w:r>
        <w:rPr/>
        <w:t>aplicó</w:t>
      </w:r>
      <w:r>
        <w:rPr>
          <w:spacing w:val="-10"/>
        </w:rPr>
        <w:t> </w:t>
      </w:r>
      <w:r>
        <w:rPr/>
        <w:t>el</w:t>
      </w:r>
      <w:r>
        <w:rPr>
          <w:spacing w:val="-1"/>
        </w:rPr>
        <w:t> </w:t>
      </w:r>
      <w:r>
        <w:rPr>
          <w:spacing w:val="-2"/>
        </w:rPr>
        <w:t>EMC</w:t>
      </w:r>
      <w:r>
        <w:rPr>
          <w:spacing w:val="-6"/>
        </w:rPr>
        <w:t> </w:t>
      </w:r>
      <w:r>
        <w:rPr/>
        <w:t>y</w:t>
      </w:r>
      <w:r>
        <w:rPr>
          <w:spacing w:val="-6"/>
        </w:rPr>
        <w:t> </w:t>
      </w:r>
      <w:r>
        <w:rPr>
          <w:spacing w:val="-3"/>
        </w:rPr>
        <w:t>se</w:t>
      </w:r>
      <w:r>
        <w:rPr>
          <w:spacing w:val="-5"/>
        </w:rPr>
        <w:t> </w:t>
      </w:r>
      <w:r>
        <w:rPr/>
        <w:t>analizaron</w:t>
      </w:r>
      <w:r>
        <w:rPr>
          <w:spacing w:val="-10"/>
        </w:rPr>
        <w:t> </w:t>
      </w:r>
      <w:r>
        <w:rPr/>
        <w:t>los</w:t>
      </w:r>
      <w:r>
        <w:rPr>
          <w:spacing w:val="-15"/>
        </w:rPr>
        <w:t> </w:t>
      </w:r>
      <w:r>
        <w:rPr/>
        <w:t>indicadores</w:t>
      </w:r>
      <w:r>
        <w:rPr>
          <w:spacing w:val="-11"/>
        </w:rPr>
        <w:t> </w:t>
      </w:r>
      <w:r>
        <w:rPr/>
        <w:t>descritos en</w:t>
      </w:r>
      <w:r>
        <w:rPr>
          <w:spacing w:val="-13"/>
        </w:rPr>
        <w:t> </w:t>
      </w:r>
      <w:r>
        <w:rPr/>
        <w:t>el</w:t>
      </w:r>
      <w:r>
        <w:rPr>
          <w:spacing w:val="-9"/>
        </w:rPr>
        <w:t> </w:t>
      </w:r>
      <w:r>
        <w:rPr/>
        <w:t>párrafo</w:t>
      </w:r>
      <w:r>
        <w:rPr>
          <w:spacing w:val="-12"/>
        </w:rPr>
        <w:t> </w:t>
      </w:r>
      <w:r>
        <w:rPr/>
        <w:t>anterior,</w:t>
      </w:r>
      <w:r>
        <w:rPr>
          <w:spacing w:val="-13"/>
        </w:rPr>
        <w:t> </w:t>
      </w:r>
      <w:r>
        <w:rPr/>
        <w:t>para</w:t>
      </w:r>
      <w:r>
        <w:rPr>
          <w:spacing w:val="-18"/>
        </w:rPr>
        <w:t> </w:t>
      </w:r>
      <w:r>
        <w:rPr/>
        <w:t>tener</w:t>
      </w:r>
      <w:r>
        <w:rPr>
          <w:spacing w:val="-17"/>
        </w:rPr>
        <w:t> </w:t>
      </w:r>
      <w:r>
        <w:rPr/>
        <w:t>en</w:t>
      </w:r>
      <w:r>
        <w:rPr>
          <w:spacing w:val="-17"/>
        </w:rPr>
        <w:t> </w:t>
      </w:r>
      <w:r>
        <w:rPr/>
        <w:t>forma</w:t>
      </w:r>
      <w:r>
        <w:rPr>
          <w:spacing w:val="-13"/>
        </w:rPr>
        <w:t> </w:t>
      </w:r>
      <w:r>
        <w:rPr/>
        <w:t>cuantitativa,</w:t>
      </w:r>
      <w:r>
        <w:rPr>
          <w:spacing w:val="-13"/>
        </w:rPr>
        <w:t> </w:t>
      </w:r>
      <w:r>
        <w:rPr/>
        <w:t>una</w:t>
      </w:r>
      <w:r>
        <w:rPr>
          <w:spacing w:val="-13"/>
        </w:rPr>
        <w:t> </w:t>
      </w:r>
      <w:r>
        <w:rPr/>
        <w:t>visión</w:t>
      </w:r>
      <w:r>
        <w:rPr>
          <w:spacing w:val="-17"/>
        </w:rPr>
        <w:t> </w:t>
      </w:r>
      <w:r>
        <w:rPr/>
        <w:t>precisa</w:t>
      </w:r>
      <w:r>
        <w:rPr>
          <w:spacing w:val="-13"/>
        </w:rPr>
        <w:t> </w:t>
      </w:r>
      <w:r>
        <w:rPr/>
        <w:t>del</w:t>
      </w:r>
      <w:r>
        <w:rPr>
          <w:spacing w:val="-14"/>
        </w:rPr>
        <w:t> </w:t>
      </w:r>
      <w:r>
        <w:rPr/>
        <w:t>estado actual de la</w:t>
      </w:r>
      <w:r>
        <w:rPr>
          <w:spacing w:val="-4"/>
        </w:rPr>
        <w:t> </w:t>
      </w:r>
      <w:r>
        <w:rPr/>
        <w:t>zona.</w:t>
      </w:r>
    </w:p>
    <w:p>
      <w:pPr>
        <w:pStyle w:val="BodyText"/>
        <w:spacing w:before="10"/>
      </w:pPr>
    </w:p>
    <w:p>
      <w:pPr>
        <w:pStyle w:val="BodyText"/>
        <w:spacing w:line="360" w:lineRule="auto"/>
        <w:ind w:left="119" w:right="114"/>
        <w:jc w:val="both"/>
      </w:pPr>
      <w:r>
        <w:rPr/>
        <w:t>Los estudios antes mencionados han demostrado claramente la relación estrecha entre los fenómenos hidrológicos e hidráulicos que se presentan en una zona y los elementos morfométricos que la caracterizan: en efecto la formación de un caudal de salida puede ligarse a la estructura morfométrica de la retícula. Los parámetros o coeficientes más significativos de una cuenca relativos a sus características morfométricas, incluyendo el factor geológico (Méndez y Marcucci E. 2006).</w:t>
      </w:r>
    </w:p>
    <w:p>
      <w:pPr>
        <w:pStyle w:val="BodyText"/>
        <w:spacing w:before="4"/>
        <w:rPr>
          <w:sz w:val="25"/>
        </w:rPr>
      </w:pPr>
    </w:p>
    <w:p>
      <w:pPr>
        <w:pStyle w:val="Heading2"/>
        <w:numPr>
          <w:ilvl w:val="3"/>
          <w:numId w:val="16"/>
        </w:numPr>
        <w:tabs>
          <w:tab w:pos="1824" w:val="left" w:leader="none"/>
        </w:tabs>
        <w:spacing w:line="268" w:lineRule="exact" w:before="1" w:after="0"/>
        <w:ind w:left="984" w:right="126" w:firstLine="0"/>
        <w:jc w:val="left"/>
      </w:pPr>
      <w:bookmarkStart w:name="_TOC_250030" w:id="24"/>
      <w:bookmarkEnd w:id="24"/>
      <w:r>
        <w:rPr/>
        <w:t>Integración de los indicadores para determinar los riesgos a inundaciones.</w:t>
      </w:r>
    </w:p>
    <w:p>
      <w:pPr>
        <w:pStyle w:val="BodyText"/>
        <w:rPr>
          <w:b/>
          <w:sz w:val="25"/>
        </w:rPr>
      </w:pPr>
    </w:p>
    <w:p>
      <w:pPr>
        <w:pStyle w:val="BodyText"/>
        <w:spacing w:line="360" w:lineRule="auto"/>
        <w:ind w:left="119" w:right="114"/>
        <w:jc w:val="both"/>
      </w:pPr>
      <w:r>
        <w:rPr/>
        <w:t>Los</w:t>
      </w:r>
      <w:r>
        <w:rPr>
          <w:spacing w:val="-6"/>
        </w:rPr>
        <w:t> </w:t>
      </w:r>
      <w:r>
        <w:rPr/>
        <w:t>indicadores</w:t>
      </w:r>
      <w:r>
        <w:rPr>
          <w:spacing w:val="-6"/>
        </w:rPr>
        <w:t> </w:t>
      </w:r>
      <w:r>
        <w:rPr/>
        <w:t>pendiente</w:t>
      </w:r>
      <w:r>
        <w:rPr>
          <w:spacing w:val="-9"/>
        </w:rPr>
        <w:t> </w:t>
      </w:r>
      <w:r>
        <w:rPr/>
        <w:t>media,</w:t>
      </w:r>
      <w:r>
        <w:rPr>
          <w:spacing w:val="-5"/>
        </w:rPr>
        <w:t> </w:t>
      </w:r>
      <w:r>
        <w:rPr/>
        <w:t>factor</w:t>
      </w:r>
      <w:r>
        <w:rPr>
          <w:spacing w:val="-4"/>
        </w:rPr>
        <w:t> </w:t>
      </w:r>
      <w:r>
        <w:rPr/>
        <w:t>de</w:t>
      </w:r>
      <w:r>
        <w:rPr>
          <w:spacing w:val="-5"/>
        </w:rPr>
        <w:t> </w:t>
      </w:r>
      <w:r>
        <w:rPr>
          <w:spacing w:val="-4"/>
        </w:rPr>
        <w:t>forma</w:t>
      </w:r>
      <w:r>
        <w:rPr>
          <w:spacing w:val="-5"/>
        </w:rPr>
        <w:t> </w:t>
      </w:r>
      <w:r>
        <w:rPr/>
        <w:t>y</w:t>
      </w:r>
      <w:r>
        <w:rPr>
          <w:spacing w:val="-6"/>
        </w:rPr>
        <w:t> </w:t>
      </w:r>
      <w:r>
        <w:rPr/>
        <w:t>factor</w:t>
      </w:r>
      <w:r>
        <w:rPr>
          <w:spacing w:val="-4"/>
        </w:rPr>
        <w:t> </w:t>
      </w:r>
      <w:r>
        <w:rPr/>
        <w:t>de</w:t>
      </w:r>
      <w:r>
        <w:rPr>
          <w:spacing w:val="-5"/>
        </w:rPr>
        <w:t> </w:t>
      </w:r>
      <w:r>
        <w:rPr/>
        <w:t>erosión</w:t>
      </w:r>
      <w:r>
        <w:rPr>
          <w:spacing w:val="-5"/>
        </w:rPr>
        <w:t> </w:t>
      </w:r>
      <w:r>
        <w:rPr/>
        <w:t>se</w:t>
      </w:r>
      <w:r>
        <w:rPr>
          <w:spacing w:val="-5"/>
        </w:rPr>
        <w:t> </w:t>
      </w:r>
      <w:r>
        <w:rPr/>
        <w:t>clasificaran por el método Natural Breaks o Cortes Naturales </w:t>
      </w:r>
      <w:r>
        <w:rPr>
          <w:spacing w:val="-3"/>
        </w:rPr>
        <w:t>del </w:t>
      </w:r>
      <w:r>
        <w:rPr/>
        <w:t>Software Arc-Gis 9.2, donde las clases se basan en las agrupaciones naturales de los valores de los</w:t>
      </w:r>
      <w:r>
        <w:rPr>
          <w:spacing w:val="-33"/>
        </w:rPr>
        <w:t> </w:t>
      </w:r>
      <w:r>
        <w:rPr/>
        <w:t>datos.</w:t>
      </w:r>
    </w:p>
    <w:p>
      <w:pPr>
        <w:pStyle w:val="BodyText"/>
        <w:spacing w:before="10"/>
      </w:pPr>
    </w:p>
    <w:p>
      <w:pPr>
        <w:pStyle w:val="BodyText"/>
        <w:spacing w:line="360" w:lineRule="auto"/>
        <w:ind w:left="119" w:right="125"/>
        <w:jc w:val="both"/>
      </w:pPr>
      <w:r>
        <w:rPr/>
        <w:t>En este método, los valores de los datos se arreglan en orden descendente, los rangos de cada clase son determinadas estadísticamente, encontrando los pares adyacentes de la característica, entre los cuales hay una diferencia relativamente grande en valor de los datos.</w:t>
      </w:r>
    </w:p>
    <w:p>
      <w:pPr>
        <w:pStyle w:val="BodyText"/>
        <w:spacing w:before="5"/>
      </w:pPr>
    </w:p>
    <w:p>
      <w:pPr>
        <w:pStyle w:val="BodyText"/>
        <w:spacing w:line="360" w:lineRule="auto"/>
        <w:ind w:left="119" w:right="126"/>
        <w:jc w:val="both"/>
      </w:pPr>
      <w:r>
        <w:rPr/>
        <w:t>Los resultados obtenidos por el sistema de información geográfica, a partir del análisis de los resultados de los indicadores, permitirán realizar un mapa, que es</w:t>
      </w:r>
      <w:r>
        <w:rPr>
          <w:spacing w:val="-47"/>
        </w:rPr>
        <w:t> </w:t>
      </w:r>
      <w:r>
        <w:rPr/>
        <w:t>la integración</w:t>
      </w:r>
      <w:r>
        <w:rPr>
          <w:spacing w:val="-20"/>
        </w:rPr>
        <w:t> </w:t>
      </w:r>
      <w:r>
        <w:rPr/>
        <w:t>de</w:t>
      </w:r>
      <w:r>
        <w:rPr>
          <w:spacing w:val="-20"/>
        </w:rPr>
        <w:t> </w:t>
      </w:r>
      <w:r>
        <w:rPr/>
        <w:t>los</w:t>
      </w:r>
      <w:r>
        <w:rPr>
          <w:spacing w:val="-16"/>
        </w:rPr>
        <w:t> </w:t>
      </w:r>
      <w:r>
        <w:rPr/>
        <w:t>mapas</w:t>
      </w:r>
      <w:r>
        <w:rPr>
          <w:spacing w:val="-16"/>
        </w:rPr>
        <w:t> </w:t>
      </w:r>
      <w:r>
        <w:rPr/>
        <w:t>antes</w:t>
      </w:r>
      <w:r>
        <w:rPr>
          <w:spacing w:val="-16"/>
        </w:rPr>
        <w:t> </w:t>
      </w:r>
      <w:r>
        <w:rPr/>
        <w:t>obtenidos</w:t>
      </w:r>
      <w:r>
        <w:rPr>
          <w:spacing w:val="-16"/>
        </w:rPr>
        <w:t> </w:t>
      </w:r>
      <w:r>
        <w:rPr/>
        <w:t>y</w:t>
      </w:r>
      <w:r>
        <w:rPr>
          <w:spacing w:val="-16"/>
        </w:rPr>
        <w:t> </w:t>
      </w:r>
      <w:r>
        <w:rPr/>
        <w:t>que</w:t>
      </w:r>
      <w:r>
        <w:rPr>
          <w:spacing w:val="-16"/>
        </w:rPr>
        <w:t> </w:t>
      </w:r>
      <w:r>
        <w:rPr/>
        <w:t>con</w:t>
      </w:r>
      <w:r>
        <w:rPr>
          <w:spacing w:val="-16"/>
        </w:rPr>
        <w:t> </w:t>
      </w:r>
      <w:r>
        <w:rPr/>
        <w:t>base</w:t>
      </w:r>
      <w:r>
        <w:rPr>
          <w:spacing w:val="-16"/>
        </w:rPr>
        <w:t> </w:t>
      </w:r>
      <w:r>
        <w:rPr/>
        <w:t>a</w:t>
      </w:r>
      <w:r>
        <w:rPr>
          <w:spacing w:val="-20"/>
        </w:rPr>
        <w:t> </w:t>
      </w:r>
      <w:r>
        <w:rPr/>
        <w:t>los</w:t>
      </w:r>
      <w:r>
        <w:rPr>
          <w:spacing w:val="-16"/>
        </w:rPr>
        <w:t> </w:t>
      </w:r>
      <w:r>
        <w:rPr/>
        <w:t>rangos</w:t>
      </w:r>
      <w:r>
        <w:rPr>
          <w:spacing w:val="-16"/>
        </w:rPr>
        <w:t> </w:t>
      </w:r>
      <w:r>
        <w:rPr/>
        <w:t>determinados establecerá un nuevo parámetro a partir de la suma de valores determinados para cada unidad de escurrimiento, que dará como resultado un nuevo valor para unidades de  escurrimiento, a  partir  del  </w:t>
      </w:r>
      <w:r>
        <w:rPr>
          <w:spacing w:val="-3"/>
        </w:rPr>
        <w:t>cual  </w:t>
      </w:r>
      <w:r>
        <w:rPr/>
        <w:t>se  representara  una incidencia </w:t>
      </w:r>
      <w:r>
        <w:rPr>
          <w:spacing w:val="12"/>
        </w:rPr>
        <w:t> </w:t>
      </w:r>
      <w:r>
        <w:rPr/>
        <w:t>de</w:t>
      </w:r>
    </w:p>
    <w:p>
      <w:pPr>
        <w:spacing w:after="0" w:line="360" w:lineRule="auto"/>
        <w:jc w:val="both"/>
        <w:sectPr>
          <w:pgSz w:w="12240" w:h="15840"/>
          <w:pgMar w:header="0" w:footer="1031" w:top="1360" w:bottom="1220" w:left="1580" w:right="1580"/>
        </w:sectPr>
      </w:pPr>
    </w:p>
    <w:p>
      <w:pPr>
        <w:pStyle w:val="BodyText"/>
        <w:spacing w:line="362" w:lineRule="auto" w:before="52"/>
        <w:ind w:left="119" w:right="131"/>
        <w:jc w:val="both"/>
      </w:pPr>
      <w:r>
        <w:rPr/>
        <w:t>efectos de alto riesgo y podrá saber si existe una probabilidad de que en ellas se inicie un evento de barrancadas y/o avenidas extraordinarias.</w:t>
      </w:r>
    </w:p>
    <w:p>
      <w:pPr>
        <w:pStyle w:val="BodyText"/>
        <w:spacing w:before="5"/>
        <w:rPr>
          <w:sz w:val="23"/>
        </w:rPr>
      </w:pPr>
    </w:p>
    <w:p>
      <w:pPr>
        <w:pStyle w:val="Heading2"/>
        <w:numPr>
          <w:ilvl w:val="3"/>
          <w:numId w:val="16"/>
        </w:numPr>
        <w:tabs>
          <w:tab w:pos="1790" w:val="left" w:leader="none"/>
        </w:tabs>
        <w:spacing w:line="240" w:lineRule="auto" w:before="0" w:after="0"/>
        <w:ind w:left="1789" w:right="0" w:hanging="805"/>
        <w:jc w:val="left"/>
      </w:pPr>
      <w:bookmarkStart w:name="_TOC_250029" w:id="25"/>
      <w:r>
        <w:rPr/>
        <w:t>Ubicación de las zonas de</w:t>
      </w:r>
      <w:r>
        <w:rPr>
          <w:spacing w:val="-19"/>
        </w:rPr>
        <w:t> </w:t>
      </w:r>
      <w:bookmarkEnd w:id="25"/>
      <w:r>
        <w:rPr/>
        <w:t>riesgo.</w:t>
      </w:r>
    </w:p>
    <w:p>
      <w:pPr>
        <w:pStyle w:val="BodyText"/>
        <w:rPr>
          <w:b/>
        </w:rPr>
      </w:pPr>
    </w:p>
    <w:p>
      <w:pPr>
        <w:pStyle w:val="BodyText"/>
        <w:spacing w:before="11"/>
        <w:rPr>
          <w:b/>
          <w:sz w:val="32"/>
        </w:rPr>
      </w:pPr>
    </w:p>
    <w:p>
      <w:pPr>
        <w:pStyle w:val="BodyText"/>
        <w:spacing w:line="360" w:lineRule="auto"/>
        <w:ind w:left="119" w:right="114"/>
        <w:jc w:val="both"/>
      </w:pPr>
      <w:r>
        <w:rPr/>
        <w:t>La superposición de los mapas de los factores físico-naturales y sociales permitieron obtener un mapa final o mapa de riesgos. En él se indica con un valor mayor, las zonas con un riesgo alto y que pueden llegar a tener una afectación mayor a partir de las inundaciones. Estas zonas se corroboran por medio de la herramienta conocida como Buffer, el cual es un polígono que encierra el área de influencia resultante de dar una determinada distancia en torno a un punto, línea o polígono.</w:t>
      </w:r>
    </w:p>
    <w:p>
      <w:pPr>
        <w:pStyle w:val="BodyText"/>
        <w:spacing w:before="10"/>
      </w:pPr>
    </w:p>
    <w:p>
      <w:pPr>
        <w:pStyle w:val="BodyText"/>
        <w:spacing w:line="360" w:lineRule="auto"/>
        <w:ind w:left="119" w:right="120"/>
        <w:jc w:val="both"/>
      </w:pPr>
      <w:r>
        <w:rPr/>
        <w:t>Se utilizaron técnicas, cartográficas, técnicas de diagnóstico cualitativo FODA (fortalezas, oportunidades, debilidades y adversidades) para definir los escenarios para el diseño de las estrategias de prevención y gestión del riesgo en áreas vulnerables.</w:t>
      </w:r>
    </w:p>
    <w:p>
      <w:pPr>
        <w:pStyle w:val="BodyText"/>
      </w:pPr>
    </w:p>
    <w:p>
      <w:pPr>
        <w:pStyle w:val="BodyText"/>
      </w:pPr>
    </w:p>
    <w:p>
      <w:pPr>
        <w:pStyle w:val="BodyText"/>
        <w:spacing w:before="142"/>
        <w:ind w:left="119"/>
        <w:jc w:val="both"/>
      </w:pPr>
      <w:r>
        <w:rPr/>
        <w:t>2. 4. Trabajo de campo</w:t>
      </w:r>
    </w:p>
    <w:p>
      <w:pPr>
        <w:pStyle w:val="BodyText"/>
      </w:pPr>
    </w:p>
    <w:p>
      <w:pPr>
        <w:pStyle w:val="BodyText"/>
        <w:spacing w:line="360" w:lineRule="auto" w:before="144"/>
        <w:ind w:left="119" w:right="114"/>
        <w:jc w:val="both"/>
      </w:pPr>
      <w:r>
        <w:rPr/>
        <w:t>Se realizó trabajo de campo en áreas críticas seleccionadas, con la finalidad de entrevistar a una muestra de habitantes, cuya información alimentó y dio consistencia al diseño de estrategias y acciones para la prevención y gestión urbana en los asentamientos humanos expuestos a las inundaciones.</w:t>
      </w:r>
    </w:p>
    <w:p>
      <w:pPr>
        <w:pStyle w:val="BodyText"/>
        <w:spacing w:before="5"/>
      </w:pPr>
    </w:p>
    <w:p>
      <w:pPr>
        <w:pStyle w:val="BodyText"/>
        <w:spacing w:line="360" w:lineRule="auto"/>
        <w:ind w:left="119" w:right="122"/>
        <w:jc w:val="both"/>
      </w:pPr>
      <w:r>
        <w:rPr/>
        <w:t>En esta etapa se aplicó el método inductivo, consiste en la observación de los fenómenos o hechos de la realidad. Bajo este método Mill (1973) precisa que las investigaciones</w:t>
      </w:r>
      <w:r>
        <w:rPr>
          <w:spacing w:val="-13"/>
        </w:rPr>
        <w:t> </w:t>
      </w:r>
      <w:r>
        <w:rPr/>
        <w:t>científicas</w:t>
      </w:r>
      <w:r>
        <w:rPr>
          <w:spacing w:val="-13"/>
        </w:rPr>
        <w:t> </w:t>
      </w:r>
      <w:r>
        <w:rPr/>
        <w:t>comenzarían</w:t>
      </w:r>
      <w:r>
        <w:rPr>
          <w:spacing w:val="-12"/>
        </w:rPr>
        <w:t> </w:t>
      </w:r>
      <w:r>
        <w:rPr/>
        <w:t>con</w:t>
      </w:r>
      <w:r>
        <w:rPr>
          <w:spacing w:val="-17"/>
        </w:rPr>
        <w:t> </w:t>
      </w:r>
      <w:r>
        <w:rPr/>
        <w:t>la</w:t>
      </w:r>
      <w:r>
        <w:rPr>
          <w:spacing w:val="-16"/>
        </w:rPr>
        <w:t> </w:t>
      </w:r>
      <w:r>
        <w:rPr/>
        <w:t>observación</w:t>
      </w:r>
      <w:r>
        <w:rPr>
          <w:spacing w:val="-12"/>
        </w:rPr>
        <w:t> </w:t>
      </w:r>
      <w:r>
        <w:rPr/>
        <w:t>de</w:t>
      </w:r>
      <w:r>
        <w:rPr>
          <w:spacing w:val="-12"/>
        </w:rPr>
        <w:t> </w:t>
      </w:r>
      <w:r>
        <w:rPr/>
        <w:t>los</w:t>
      </w:r>
      <w:r>
        <w:rPr>
          <w:spacing w:val="-12"/>
        </w:rPr>
        <w:t> </w:t>
      </w:r>
      <w:r>
        <w:rPr/>
        <w:t>hechos,</w:t>
      </w:r>
      <w:r>
        <w:rPr>
          <w:spacing w:val="-12"/>
        </w:rPr>
        <w:t> </w:t>
      </w:r>
      <w:r>
        <w:rPr/>
        <w:t>de</w:t>
      </w:r>
      <w:r>
        <w:rPr>
          <w:spacing w:val="-12"/>
        </w:rPr>
        <w:t> </w:t>
      </w:r>
      <w:r>
        <w:rPr/>
        <w:t>forma libre y carente de prejuicios. Haciendo hincapié en el carácter empirista de esta metodología, la secuencia seguida en el proceso de investigación puede</w:t>
      </w:r>
      <w:r>
        <w:rPr>
          <w:spacing w:val="-45"/>
        </w:rPr>
        <w:t> </w:t>
      </w:r>
      <w:r>
        <w:rPr/>
        <w:t>resumirse en los siguientes puntos (Wolfe, 1924, pág.</w:t>
      </w:r>
      <w:r>
        <w:rPr>
          <w:spacing w:val="-25"/>
        </w:rPr>
        <w:t> </w:t>
      </w:r>
      <w:r>
        <w:rPr/>
        <w:t>450):</w:t>
      </w:r>
    </w:p>
    <w:p>
      <w:pPr>
        <w:spacing w:after="0" w:line="360" w:lineRule="auto"/>
        <w:jc w:val="both"/>
        <w:sectPr>
          <w:pgSz w:w="12240" w:h="15840"/>
          <w:pgMar w:header="0" w:footer="1031" w:top="1360" w:bottom="1220" w:left="1580" w:right="1580"/>
        </w:sectPr>
      </w:pPr>
    </w:p>
    <w:p>
      <w:pPr>
        <w:pStyle w:val="ListParagraph"/>
        <w:numPr>
          <w:ilvl w:val="0"/>
          <w:numId w:val="17"/>
        </w:numPr>
        <w:tabs>
          <w:tab w:pos="388" w:val="left" w:leader="none"/>
        </w:tabs>
        <w:spacing w:line="240" w:lineRule="auto" w:before="52" w:after="0"/>
        <w:ind w:left="119" w:right="0" w:firstLine="0"/>
        <w:jc w:val="both"/>
        <w:rPr>
          <w:sz w:val="24"/>
        </w:rPr>
      </w:pPr>
      <w:r>
        <w:rPr>
          <w:sz w:val="24"/>
        </w:rPr>
        <w:t>Etapa de observación y registro de los</w:t>
      </w:r>
      <w:r>
        <w:rPr>
          <w:spacing w:val="-24"/>
          <w:sz w:val="24"/>
        </w:rPr>
        <w:t> </w:t>
      </w:r>
      <w:r>
        <w:rPr>
          <w:sz w:val="24"/>
        </w:rPr>
        <w:t>hechos.</w:t>
      </w:r>
    </w:p>
    <w:p>
      <w:pPr>
        <w:pStyle w:val="ListParagraph"/>
        <w:numPr>
          <w:ilvl w:val="0"/>
          <w:numId w:val="17"/>
        </w:numPr>
        <w:tabs>
          <w:tab w:pos="388" w:val="left" w:leader="none"/>
        </w:tabs>
        <w:spacing w:line="240" w:lineRule="auto" w:before="141" w:after="0"/>
        <w:ind w:left="388" w:right="0" w:hanging="269"/>
        <w:jc w:val="both"/>
        <w:rPr>
          <w:sz w:val="24"/>
        </w:rPr>
      </w:pPr>
      <w:r>
        <w:rPr>
          <w:sz w:val="24"/>
        </w:rPr>
        <w:t>Analizar la información recopilada sobre el hecho</w:t>
      </w:r>
      <w:r>
        <w:rPr>
          <w:spacing w:val="-25"/>
          <w:sz w:val="24"/>
        </w:rPr>
        <w:t> </w:t>
      </w:r>
      <w:r>
        <w:rPr>
          <w:sz w:val="24"/>
        </w:rPr>
        <w:t>observado</w:t>
      </w:r>
    </w:p>
    <w:p>
      <w:pPr>
        <w:pStyle w:val="ListParagraph"/>
        <w:numPr>
          <w:ilvl w:val="0"/>
          <w:numId w:val="17"/>
        </w:numPr>
        <w:tabs>
          <w:tab w:pos="388" w:val="left" w:leader="none"/>
        </w:tabs>
        <w:spacing w:line="240" w:lineRule="auto" w:before="137" w:after="0"/>
        <w:ind w:left="388" w:right="0" w:hanging="269"/>
        <w:jc w:val="both"/>
        <w:rPr>
          <w:sz w:val="24"/>
        </w:rPr>
      </w:pPr>
      <w:r>
        <w:rPr>
          <w:sz w:val="24"/>
        </w:rPr>
        <w:t>Clasificar los elementos</w:t>
      </w:r>
      <w:r>
        <w:rPr>
          <w:spacing w:val="53"/>
          <w:sz w:val="24"/>
        </w:rPr>
        <w:t> </w:t>
      </w:r>
      <w:r>
        <w:rPr>
          <w:sz w:val="24"/>
        </w:rPr>
        <w:t>observados.</w:t>
      </w:r>
    </w:p>
    <w:p>
      <w:pPr>
        <w:pStyle w:val="ListParagraph"/>
        <w:numPr>
          <w:ilvl w:val="0"/>
          <w:numId w:val="17"/>
        </w:numPr>
        <w:tabs>
          <w:tab w:pos="398" w:val="left" w:leader="none"/>
        </w:tabs>
        <w:spacing w:line="360" w:lineRule="auto" w:before="137" w:after="0"/>
        <w:ind w:left="119" w:right="131" w:firstLine="0"/>
        <w:jc w:val="both"/>
        <w:rPr>
          <w:sz w:val="24"/>
        </w:rPr>
      </w:pPr>
      <w:r>
        <w:rPr>
          <w:sz w:val="24"/>
        </w:rPr>
        <w:t>Formulación de proposiciones, inferidos </w:t>
      </w:r>
      <w:r>
        <w:rPr>
          <w:spacing w:val="-3"/>
          <w:sz w:val="24"/>
        </w:rPr>
        <w:t>del </w:t>
      </w:r>
      <w:r>
        <w:rPr>
          <w:sz w:val="24"/>
        </w:rPr>
        <w:t>proceso de investigación que se ha llevado a</w:t>
      </w:r>
      <w:r>
        <w:rPr>
          <w:spacing w:val="-4"/>
          <w:sz w:val="24"/>
        </w:rPr>
        <w:t> </w:t>
      </w:r>
      <w:r>
        <w:rPr>
          <w:sz w:val="24"/>
        </w:rPr>
        <w:t>cabo.</w:t>
      </w:r>
    </w:p>
    <w:p>
      <w:pPr>
        <w:pStyle w:val="BodyText"/>
        <w:spacing w:before="10"/>
      </w:pPr>
    </w:p>
    <w:p>
      <w:pPr>
        <w:pStyle w:val="BodyText"/>
        <w:spacing w:line="360" w:lineRule="auto"/>
        <w:ind w:left="119" w:right="127"/>
        <w:jc w:val="both"/>
      </w:pPr>
      <w:r>
        <w:rPr/>
        <w:t>Estimación de los daños físicos y sociales, producidos directa o indirectamente por las inundaciones en asentamientos humanos seleccionados. Para este efecto se realizará</w:t>
      </w:r>
      <w:r>
        <w:rPr>
          <w:spacing w:val="-12"/>
        </w:rPr>
        <w:t> </w:t>
      </w:r>
      <w:r>
        <w:rPr/>
        <w:t>observación</w:t>
      </w:r>
      <w:r>
        <w:rPr>
          <w:spacing w:val="-12"/>
        </w:rPr>
        <w:t> </w:t>
      </w:r>
      <w:r>
        <w:rPr/>
        <w:t>de</w:t>
      </w:r>
      <w:r>
        <w:rPr>
          <w:spacing w:val="-12"/>
        </w:rPr>
        <w:t> </w:t>
      </w:r>
      <w:r>
        <w:rPr/>
        <w:t>campo</w:t>
      </w:r>
      <w:r>
        <w:rPr>
          <w:spacing w:val="-7"/>
        </w:rPr>
        <w:t> </w:t>
      </w:r>
      <w:r>
        <w:rPr/>
        <w:t>y</w:t>
      </w:r>
      <w:r>
        <w:rPr>
          <w:spacing w:val="-8"/>
        </w:rPr>
        <w:t> </w:t>
      </w:r>
      <w:r>
        <w:rPr/>
        <w:t>se</w:t>
      </w:r>
      <w:r>
        <w:rPr>
          <w:spacing w:val="-7"/>
        </w:rPr>
        <w:t> </w:t>
      </w:r>
      <w:r>
        <w:rPr/>
        <w:t>diseñará</w:t>
      </w:r>
      <w:r>
        <w:rPr>
          <w:spacing w:val="-12"/>
        </w:rPr>
        <w:t> </w:t>
      </w:r>
      <w:r>
        <w:rPr/>
        <w:t>un</w:t>
      </w:r>
      <w:r>
        <w:rPr>
          <w:spacing w:val="47"/>
        </w:rPr>
        <w:t> </w:t>
      </w:r>
      <w:r>
        <w:rPr/>
        <w:t>formato</w:t>
      </w:r>
      <w:r>
        <w:rPr>
          <w:spacing w:val="-7"/>
        </w:rPr>
        <w:t> </w:t>
      </w:r>
      <w:r>
        <w:rPr/>
        <w:t>de</w:t>
      </w:r>
      <w:r>
        <w:rPr>
          <w:spacing w:val="-7"/>
        </w:rPr>
        <w:t> </w:t>
      </w:r>
      <w:r>
        <w:rPr/>
        <w:t>entrevista,</w:t>
      </w:r>
      <w:r>
        <w:rPr>
          <w:spacing w:val="-12"/>
        </w:rPr>
        <w:t> </w:t>
      </w:r>
      <w:r>
        <w:rPr/>
        <w:t>misma</w:t>
      </w:r>
      <w:r>
        <w:rPr>
          <w:spacing w:val="-7"/>
        </w:rPr>
        <w:t> </w:t>
      </w:r>
      <w:r>
        <w:rPr/>
        <w:t>que será aplicada a una muestra representativa de viviendas o residentes. Después de la aplicación de la encuesta, se hará la captura y el análisis de la</w:t>
      </w:r>
      <w:r>
        <w:rPr>
          <w:spacing w:val="-27"/>
        </w:rPr>
        <w:t> </w:t>
      </w:r>
      <w:r>
        <w:rPr/>
        <w:t>información.</w:t>
      </w:r>
    </w:p>
    <w:p>
      <w:pPr>
        <w:pStyle w:val="BodyText"/>
        <w:spacing w:before="4"/>
        <w:rPr>
          <w:sz w:val="25"/>
        </w:rPr>
      </w:pPr>
    </w:p>
    <w:p>
      <w:pPr>
        <w:pStyle w:val="Heading2"/>
        <w:spacing w:line="268" w:lineRule="exact"/>
        <w:ind w:left="696" w:right="70"/>
        <w:jc w:val="left"/>
      </w:pPr>
      <w:bookmarkStart w:name="_TOC_250028" w:id="26"/>
      <w:bookmarkEnd w:id="26"/>
      <w:r>
        <w:rPr/>
        <w:t>2.5 Análisis de los resultados y diseño de estrategias de prevención y gestión en los asentamientos humanos expuestos a las inundaciones.</w:t>
      </w:r>
    </w:p>
    <w:p>
      <w:pPr>
        <w:pStyle w:val="BodyText"/>
        <w:rPr>
          <w:b/>
          <w:sz w:val="25"/>
        </w:rPr>
      </w:pPr>
    </w:p>
    <w:p>
      <w:pPr>
        <w:pStyle w:val="BodyText"/>
        <w:spacing w:line="360" w:lineRule="auto"/>
        <w:ind w:left="119" w:right="116"/>
        <w:jc w:val="both"/>
      </w:pPr>
      <w:r>
        <w:rPr/>
        <w:t>El tratamiento de la información implicó utilizar técnicas de procesamiento analógicas y automatizadas, estás últimas permitieron correlacionar variables naturales, sociales y económicas para determinar la exposición de los asentamientos humanos a los riesgos por inundación.</w:t>
      </w:r>
    </w:p>
    <w:p>
      <w:pPr>
        <w:pStyle w:val="BodyText"/>
        <w:spacing w:before="5"/>
      </w:pPr>
    </w:p>
    <w:p>
      <w:pPr>
        <w:pStyle w:val="BodyText"/>
        <w:spacing w:line="360" w:lineRule="auto"/>
        <w:ind w:left="119" w:right="116"/>
        <w:jc w:val="both"/>
      </w:pPr>
      <w:r>
        <w:rPr/>
        <w:t>Se usaron los programas Arc View y Arc Gis para el tratamiento del material cartográfico y aéreo fotográfico digital, y técnicas estadísticas, cartográficas, diagnóstico cualitativo FODA (fortalezas, oportunidades, debilidades y adversidades) para definir los escenarios para el diseño de las estrategias de prevención y gestión del riesgo urbano.</w:t>
      </w:r>
    </w:p>
    <w:p>
      <w:pPr>
        <w:spacing w:after="0" w:line="360" w:lineRule="auto"/>
        <w:jc w:val="both"/>
        <w:sectPr>
          <w:pgSz w:w="12240" w:h="15840"/>
          <w:pgMar w:header="0" w:footer="1031" w:top="1360" w:bottom="1220" w:left="1580" w:right="1580"/>
        </w:sectPr>
      </w:pPr>
    </w:p>
    <w:p>
      <w:pPr>
        <w:pStyle w:val="Heading2"/>
        <w:spacing w:line="276" w:lineRule="auto" w:before="47"/>
        <w:ind w:left="153" w:right="150" w:hanging="2"/>
        <w:jc w:val="center"/>
      </w:pPr>
      <w:bookmarkStart w:name="_TOC_250027" w:id="27"/>
      <w:bookmarkEnd w:id="27"/>
      <w:r>
        <w:rPr/>
        <w:t>CAPÍTULO 3. ANÁLISIS DE LOS FACTORES FÍSICO-NATURALES Y LA ESTRUCTURA POBLACIONAL QUE PROVOCAN LAS INUNDACIONES EN LA ZMT.</w:t>
      </w:r>
    </w:p>
    <w:p>
      <w:pPr>
        <w:pStyle w:val="BodyText"/>
        <w:spacing w:before="10"/>
        <w:rPr>
          <w:b/>
          <w:sz w:val="20"/>
        </w:rPr>
      </w:pPr>
    </w:p>
    <w:p>
      <w:pPr>
        <w:pStyle w:val="Heading2"/>
        <w:numPr>
          <w:ilvl w:val="1"/>
          <w:numId w:val="18"/>
        </w:numPr>
        <w:tabs>
          <w:tab w:pos="523" w:val="left" w:leader="none"/>
        </w:tabs>
        <w:spacing w:line="240" w:lineRule="auto" w:before="0" w:after="0"/>
        <w:ind w:left="522" w:right="0" w:hanging="403"/>
        <w:jc w:val="both"/>
      </w:pPr>
      <w:bookmarkStart w:name="_TOC_250026" w:id="28"/>
      <w:r>
        <w:rPr/>
        <w:t>Análisis de los factores</w:t>
      </w:r>
      <w:r>
        <w:rPr>
          <w:spacing w:val="-22"/>
        </w:rPr>
        <w:t> </w:t>
      </w:r>
      <w:bookmarkEnd w:id="28"/>
      <w:r>
        <w:rPr/>
        <w:t>físico-naturales</w:t>
      </w:r>
    </w:p>
    <w:p>
      <w:pPr>
        <w:pStyle w:val="BodyText"/>
        <w:rPr>
          <w:b/>
        </w:rPr>
      </w:pPr>
    </w:p>
    <w:p>
      <w:pPr>
        <w:pStyle w:val="BodyText"/>
        <w:spacing w:line="360" w:lineRule="auto" w:before="206"/>
        <w:ind w:left="119" w:right="124"/>
        <w:jc w:val="both"/>
      </w:pPr>
      <w:r>
        <w:rPr/>
        <w:t>El subsistema físico-natural o medio físico está constituido por el territorio propiamente dicho y sus recursos. Su relación con los asentamientos humanos de la ZMT, se han establecido a partir del análisis del medio ambiente natural a partir de los aspectos como el clima, geología, edafología, hidrología, vegetación y topoformas o relieves, como determinantes de esta relación. Su problemática, se establece a partir de las características del medio natural y su utilización por el hombre para definir aptitudes territoriales.</w:t>
      </w:r>
    </w:p>
    <w:p>
      <w:pPr>
        <w:pStyle w:val="BodyText"/>
      </w:pPr>
    </w:p>
    <w:p>
      <w:pPr>
        <w:pStyle w:val="BodyText"/>
        <w:spacing w:line="360" w:lineRule="auto" w:before="144"/>
        <w:ind w:left="119" w:right="115"/>
        <w:jc w:val="both"/>
        <w:rPr>
          <w:i/>
        </w:rPr>
      </w:pPr>
      <w:r>
        <w:rPr/>
        <w:t>Como</w:t>
      </w:r>
      <w:r>
        <w:rPr>
          <w:spacing w:val="-17"/>
        </w:rPr>
        <w:t> </w:t>
      </w:r>
      <w:r>
        <w:rPr/>
        <w:t>señala</w:t>
      </w:r>
      <w:r>
        <w:rPr>
          <w:spacing w:val="-17"/>
        </w:rPr>
        <w:t> </w:t>
      </w:r>
      <w:r>
        <w:rPr/>
        <w:t>Gómez</w:t>
      </w:r>
      <w:r>
        <w:rPr>
          <w:spacing w:val="-17"/>
        </w:rPr>
        <w:t> </w:t>
      </w:r>
      <w:r>
        <w:rPr/>
        <w:t>Orea</w:t>
      </w:r>
      <w:r>
        <w:rPr>
          <w:spacing w:val="-17"/>
        </w:rPr>
        <w:t> </w:t>
      </w:r>
      <w:r>
        <w:rPr/>
        <w:t>(2002),</w:t>
      </w:r>
      <w:r>
        <w:rPr>
          <w:spacing w:val="-22"/>
        </w:rPr>
        <w:t> </w:t>
      </w:r>
      <w:r>
        <w:rPr/>
        <w:t>“el</w:t>
      </w:r>
      <w:r>
        <w:rPr>
          <w:spacing w:val="-18"/>
        </w:rPr>
        <w:t> </w:t>
      </w:r>
      <w:r>
        <w:rPr/>
        <w:t>papel</w:t>
      </w:r>
      <w:r>
        <w:rPr>
          <w:spacing w:val="-13"/>
        </w:rPr>
        <w:t> </w:t>
      </w:r>
      <w:r>
        <w:rPr>
          <w:spacing w:val="-3"/>
        </w:rPr>
        <w:t>del</w:t>
      </w:r>
      <w:r>
        <w:rPr>
          <w:spacing w:val="-13"/>
        </w:rPr>
        <w:t> </w:t>
      </w:r>
      <w:r>
        <w:rPr/>
        <w:t>medio</w:t>
      </w:r>
      <w:r>
        <w:rPr>
          <w:spacing w:val="-17"/>
        </w:rPr>
        <w:t> </w:t>
      </w:r>
      <w:r>
        <w:rPr/>
        <w:t>físico</w:t>
      </w:r>
      <w:r>
        <w:rPr>
          <w:spacing w:val="-21"/>
        </w:rPr>
        <w:t> </w:t>
      </w:r>
      <w:r>
        <w:rPr/>
        <w:t>se</w:t>
      </w:r>
      <w:r>
        <w:rPr>
          <w:spacing w:val="-17"/>
        </w:rPr>
        <w:t> </w:t>
      </w:r>
      <w:r>
        <w:rPr/>
        <w:t>entiende</w:t>
      </w:r>
      <w:r>
        <w:rPr>
          <w:spacing w:val="-21"/>
        </w:rPr>
        <w:t> </w:t>
      </w:r>
      <w:r>
        <w:rPr/>
        <w:t>en</w:t>
      </w:r>
      <w:r>
        <w:rPr>
          <w:spacing w:val="-17"/>
        </w:rPr>
        <w:t> </w:t>
      </w:r>
      <w:r>
        <w:rPr/>
        <w:t>términos de</w:t>
      </w:r>
      <w:r>
        <w:rPr>
          <w:spacing w:val="-3"/>
        </w:rPr>
        <w:t> </w:t>
      </w:r>
      <w:r>
        <w:rPr/>
        <w:t>relación</w:t>
      </w:r>
      <w:r>
        <w:rPr>
          <w:spacing w:val="-2"/>
        </w:rPr>
        <w:t> </w:t>
      </w:r>
      <w:r>
        <w:rPr/>
        <w:t>con</w:t>
      </w:r>
      <w:r>
        <w:rPr>
          <w:spacing w:val="-7"/>
        </w:rPr>
        <w:t> </w:t>
      </w:r>
      <w:r>
        <w:rPr/>
        <w:t>las</w:t>
      </w:r>
      <w:r>
        <w:rPr>
          <w:spacing w:val="-8"/>
        </w:rPr>
        <w:t> </w:t>
      </w:r>
      <w:r>
        <w:rPr/>
        <w:t>actividades</w:t>
      </w:r>
      <w:r>
        <w:rPr>
          <w:spacing w:val="-8"/>
        </w:rPr>
        <w:t> </w:t>
      </w:r>
      <w:r>
        <w:rPr/>
        <w:t>humanas”,</w:t>
      </w:r>
      <w:r>
        <w:rPr>
          <w:spacing w:val="-3"/>
        </w:rPr>
        <w:t> </w:t>
      </w:r>
      <w:r>
        <w:rPr/>
        <w:t>en</w:t>
      </w:r>
      <w:r>
        <w:rPr>
          <w:spacing w:val="-7"/>
        </w:rPr>
        <w:t> </w:t>
      </w:r>
      <w:r>
        <w:rPr/>
        <w:t>virtud</w:t>
      </w:r>
      <w:r>
        <w:rPr>
          <w:spacing w:val="-3"/>
        </w:rPr>
        <w:t> </w:t>
      </w:r>
      <w:r>
        <w:rPr/>
        <w:t>de</w:t>
      </w:r>
      <w:r>
        <w:rPr>
          <w:spacing w:val="-3"/>
        </w:rPr>
        <w:t> </w:t>
      </w:r>
      <w:r>
        <w:rPr/>
        <w:t>que</w:t>
      </w:r>
      <w:r>
        <w:rPr>
          <w:spacing w:val="-3"/>
        </w:rPr>
        <w:t> </w:t>
      </w:r>
      <w:r>
        <w:rPr/>
        <w:t>tanto</w:t>
      </w:r>
      <w:r>
        <w:rPr>
          <w:spacing w:val="-7"/>
        </w:rPr>
        <w:t> </w:t>
      </w:r>
      <w:r>
        <w:rPr/>
        <w:t>la</w:t>
      </w:r>
      <w:r>
        <w:rPr>
          <w:spacing w:val="-7"/>
        </w:rPr>
        <w:t> </w:t>
      </w:r>
      <w:r>
        <w:rPr/>
        <w:t>población</w:t>
      </w:r>
      <w:r>
        <w:rPr>
          <w:spacing w:val="-3"/>
        </w:rPr>
        <w:t> </w:t>
      </w:r>
      <w:r>
        <w:rPr/>
        <w:t>como las actividades económicas que ésta desarrolla se asientan sobre un entorno físico natural, con el cual tienen interacciones a través de los insumos que consumen o utilizan y los efluentes o salidas. Los tres subsistemas, medio natural, población y economía, deberán constituir un sistema armónico y funcional que garantice un desarrollo sustentable</w:t>
      </w:r>
      <w:r>
        <w:rPr>
          <w:spacing w:val="-11"/>
        </w:rPr>
        <w:t> </w:t>
      </w:r>
      <w:r>
        <w:rPr/>
        <w:t>(</w:t>
      </w:r>
      <w:r>
        <w:rPr>
          <w:i/>
        </w:rPr>
        <w:t>Ibid.).</w:t>
      </w:r>
    </w:p>
    <w:p>
      <w:pPr>
        <w:pStyle w:val="BodyText"/>
        <w:rPr>
          <w:i/>
        </w:rPr>
      </w:pPr>
    </w:p>
    <w:p>
      <w:pPr>
        <w:pStyle w:val="BodyText"/>
        <w:spacing w:line="360" w:lineRule="auto" w:before="145"/>
        <w:ind w:left="119" w:right="118"/>
        <w:jc w:val="both"/>
      </w:pPr>
      <w:r>
        <w:rPr/>
        <w:t>El objetivo de analizar el subsistema natural o medio físico es conocer cómo es y cómo funciona, qué problemas le afectan y de qué potencialidades dispone. Específicamente, el diagnóstico del medio físico debe contener aspectos descriptivos</w:t>
      </w:r>
      <w:r>
        <w:rPr>
          <w:spacing w:val="-11"/>
        </w:rPr>
        <w:t> </w:t>
      </w:r>
      <w:r>
        <w:rPr/>
        <w:t>e</w:t>
      </w:r>
      <w:r>
        <w:rPr>
          <w:spacing w:val="-15"/>
        </w:rPr>
        <w:t> </w:t>
      </w:r>
      <w:r>
        <w:rPr/>
        <w:t>interpretativos</w:t>
      </w:r>
      <w:r>
        <w:rPr>
          <w:spacing w:val="-11"/>
        </w:rPr>
        <w:t> </w:t>
      </w:r>
      <w:r>
        <w:rPr/>
        <w:t>del</w:t>
      </w:r>
      <w:r>
        <w:rPr>
          <w:spacing w:val="-6"/>
        </w:rPr>
        <w:t> </w:t>
      </w:r>
      <w:r>
        <w:rPr/>
        <w:t>mismo,</w:t>
      </w:r>
      <w:r>
        <w:rPr>
          <w:spacing w:val="-10"/>
        </w:rPr>
        <w:t> </w:t>
      </w:r>
      <w:r>
        <w:rPr/>
        <w:t>con</w:t>
      </w:r>
      <w:r>
        <w:rPr>
          <w:spacing w:val="-10"/>
        </w:rPr>
        <w:t> </w:t>
      </w:r>
      <w:r>
        <w:rPr/>
        <w:t>base</w:t>
      </w:r>
      <w:r>
        <w:rPr>
          <w:spacing w:val="-10"/>
        </w:rPr>
        <w:t> </w:t>
      </w:r>
      <w:r>
        <w:rPr/>
        <w:t>en</w:t>
      </w:r>
      <w:r>
        <w:rPr>
          <w:spacing w:val="-10"/>
        </w:rPr>
        <w:t> </w:t>
      </w:r>
      <w:r>
        <w:rPr/>
        <w:t>los</w:t>
      </w:r>
      <w:r>
        <w:rPr>
          <w:spacing w:val="-11"/>
        </w:rPr>
        <w:t> </w:t>
      </w:r>
      <w:r>
        <w:rPr/>
        <w:t>siguientes</w:t>
      </w:r>
      <w:r>
        <w:rPr>
          <w:spacing w:val="-11"/>
        </w:rPr>
        <w:t> </w:t>
      </w:r>
      <w:r>
        <w:rPr/>
        <w:t>objetivos</w:t>
      </w:r>
      <w:r>
        <w:rPr>
          <w:spacing w:val="-15"/>
        </w:rPr>
        <w:t> </w:t>
      </w:r>
      <w:r>
        <w:rPr/>
        <w:t>(</w:t>
      </w:r>
      <w:r>
        <w:rPr>
          <w:i/>
        </w:rPr>
        <w:t>Ibid</w:t>
      </w:r>
      <w:r>
        <w:rPr/>
        <w:t>.):</w:t>
      </w:r>
    </w:p>
    <w:p>
      <w:pPr>
        <w:pStyle w:val="BodyText"/>
      </w:pPr>
    </w:p>
    <w:p>
      <w:pPr>
        <w:pStyle w:val="ListParagraph"/>
        <w:numPr>
          <w:ilvl w:val="0"/>
          <w:numId w:val="19"/>
        </w:numPr>
        <w:tabs>
          <w:tab w:pos="292" w:val="left" w:leader="none"/>
        </w:tabs>
        <w:spacing w:line="362" w:lineRule="auto" w:before="139" w:after="0"/>
        <w:ind w:left="119" w:right="129" w:firstLine="0"/>
        <w:jc w:val="both"/>
        <w:rPr>
          <w:sz w:val="24"/>
        </w:rPr>
      </w:pPr>
      <w:r>
        <w:rPr>
          <w:sz w:val="24"/>
        </w:rPr>
        <w:t>Conocer las características naturales del territorio, estructurales, organizativas y funcionales, mediante un inventario de las </w:t>
      </w:r>
      <w:r>
        <w:rPr>
          <w:spacing w:val="-2"/>
          <w:sz w:val="24"/>
        </w:rPr>
        <w:t>mismas </w:t>
      </w:r>
      <w:r>
        <w:rPr>
          <w:sz w:val="24"/>
        </w:rPr>
        <w:t>y la interpretación de su funcionamiento.</w:t>
      </w:r>
    </w:p>
    <w:p>
      <w:pPr>
        <w:pStyle w:val="ListParagraph"/>
        <w:numPr>
          <w:ilvl w:val="0"/>
          <w:numId w:val="19"/>
        </w:numPr>
        <w:tabs>
          <w:tab w:pos="331" w:val="left" w:leader="none"/>
        </w:tabs>
        <w:spacing w:line="360" w:lineRule="auto" w:before="0" w:after="0"/>
        <w:ind w:left="119" w:right="128" w:firstLine="0"/>
        <w:jc w:val="both"/>
        <w:rPr>
          <w:sz w:val="24"/>
        </w:rPr>
      </w:pPr>
      <w:r>
        <w:rPr>
          <w:sz w:val="24"/>
        </w:rPr>
        <w:t>Comprender las formas de utilización del territorio y sus recursos naturales, incluyendo las degradaciones y amenazas (peligros) que actúan sobre el</w:t>
      </w:r>
      <w:r>
        <w:rPr>
          <w:spacing w:val="-34"/>
          <w:sz w:val="24"/>
        </w:rPr>
        <w:t> </w:t>
      </w:r>
      <w:r>
        <w:rPr>
          <w:spacing w:val="-2"/>
          <w:sz w:val="24"/>
        </w:rPr>
        <w:t>mismo.</w:t>
      </w:r>
    </w:p>
    <w:p>
      <w:pPr>
        <w:spacing w:after="0" w:line="360" w:lineRule="auto"/>
        <w:jc w:val="both"/>
        <w:rPr>
          <w:sz w:val="24"/>
        </w:rPr>
        <w:sectPr>
          <w:pgSz w:w="12240" w:h="15840"/>
          <w:pgMar w:header="0" w:footer="1031" w:top="1360" w:bottom="1220" w:left="1580" w:right="1580"/>
        </w:sectPr>
      </w:pPr>
    </w:p>
    <w:p>
      <w:pPr>
        <w:pStyle w:val="ListParagraph"/>
        <w:numPr>
          <w:ilvl w:val="0"/>
          <w:numId w:val="19"/>
        </w:numPr>
        <w:tabs>
          <w:tab w:pos="292" w:val="left" w:leader="none"/>
        </w:tabs>
        <w:spacing w:line="362" w:lineRule="auto" w:before="52" w:after="0"/>
        <w:ind w:left="119" w:right="113" w:firstLine="0"/>
        <w:jc w:val="left"/>
        <w:rPr>
          <w:sz w:val="24"/>
        </w:rPr>
      </w:pPr>
      <w:r>
        <w:rPr>
          <w:sz w:val="24"/>
        </w:rPr>
        <w:t>Valorar el territorio en términos de sus méritos de conservación, con base en el estado y la calidad de su patrimonio</w:t>
      </w:r>
      <w:r>
        <w:rPr>
          <w:spacing w:val="-18"/>
          <w:sz w:val="24"/>
        </w:rPr>
        <w:t> </w:t>
      </w:r>
      <w:r>
        <w:rPr>
          <w:sz w:val="24"/>
        </w:rPr>
        <w:t>natural.</w:t>
      </w:r>
    </w:p>
    <w:p>
      <w:pPr>
        <w:pStyle w:val="ListParagraph"/>
        <w:numPr>
          <w:ilvl w:val="0"/>
          <w:numId w:val="19"/>
        </w:numPr>
        <w:tabs>
          <w:tab w:pos="269" w:val="left" w:leader="none"/>
        </w:tabs>
        <w:spacing w:line="360" w:lineRule="auto" w:before="0" w:after="0"/>
        <w:ind w:left="119" w:right="107" w:firstLine="0"/>
        <w:jc w:val="left"/>
        <w:rPr>
          <w:sz w:val="24"/>
        </w:rPr>
      </w:pPr>
      <w:r>
        <w:rPr>
          <w:sz w:val="24"/>
        </w:rPr>
        <w:t>Estimar</w:t>
      </w:r>
      <w:r>
        <w:rPr>
          <w:spacing w:val="-8"/>
          <w:sz w:val="24"/>
        </w:rPr>
        <w:t> </w:t>
      </w:r>
      <w:r>
        <w:rPr>
          <w:sz w:val="24"/>
        </w:rPr>
        <w:t>la</w:t>
      </w:r>
      <w:r>
        <w:rPr>
          <w:spacing w:val="-13"/>
          <w:sz w:val="24"/>
        </w:rPr>
        <w:t> </w:t>
      </w:r>
      <w:r>
        <w:rPr>
          <w:sz w:val="24"/>
        </w:rPr>
        <w:t>potencialidad</w:t>
      </w:r>
      <w:r>
        <w:rPr>
          <w:spacing w:val="-13"/>
          <w:sz w:val="24"/>
        </w:rPr>
        <w:t> </w:t>
      </w:r>
      <w:r>
        <w:rPr>
          <w:sz w:val="24"/>
        </w:rPr>
        <w:t>del</w:t>
      </w:r>
      <w:r>
        <w:rPr>
          <w:spacing w:val="-6"/>
          <w:sz w:val="24"/>
        </w:rPr>
        <w:t> </w:t>
      </w:r>
      <w:r>
        <w:rPr>
          <w:sz w:val="24"/>
        </w:rPr>
        <w:t>territorio,</w:t>
      </w:r>
      <w:r>
        <w:rPr>
          <w:spacing w:val="-13"/>
          <w:sz w:val="24"/>
        </w:rPr>
        <w:t> </w:t>
      </w:r>
      <w:r>
        <w:rPr>
          <w:sz w:val="24"/>
        </w:rPr>
        <w:t>en</w:t>
      </w:r>
      <w:r>
        <w:rPr>
          <w:spacing w:val="-9"/>
          <w:sz w:val="24"/>
        </w:rPr>
        <w:t> </w:t>
      </w:r>
      <w:r>
        <w:rPr>
          <w:sz w:val="24"/>
        </w:rPr>
        <w:t>términos</w:t>
      </w:r>
      <w:r>
        <w:rPr>
          <w:spacing w:val="-9"/>
          <w:sz w:val="24"/>
        </w:rPr>
        <w:t> </w:t>
      </w:r>
      <w:r>
        <w:rPr>
          <w:sz w:val="24"/>
        </w:rPr>
        <w:t>de</w:t>
      </w:r>
      <w:r>
        <w:rPr>
          <w:spacing w:val="-13"/>
          <w:sz w:val="24"/>
        </w:rPr>
        <w:t> </w:t>
      </w:r>
      <w:r>
        <w:rPr>
          <w:sz w:val="24"/>
        </w:rPr>
        <w:t>las</w:t>
      </w:r>
      <w:r>
        <w:rPr>
          <w:spacing w:val="-14"/>
          <w:sz w:val="24"/>
        </w:rPr>
        <w:t> </w:t>
      </w:r>
      <w:r>
        <w:rPr>
          <w:sz w:val="24"/>
        </w:rPr>
        <w:t>oportunidades</w:t>
      </w:r>
      <w:r>
        <w:rPr>
          <w:spacing w:val="-9"/>
          <w:sz w:val="24"/>
        </w:rPr>
        <w:t> </w:t>
      </w:r>
      <w:r>
        <w:rPr>
          <w:sz w:val="24"/>
        </w:rPr>
        <w:t>que</w:t>
      </w:r>
      <w:r>
        <w:rPr>
          <w:spacing w:val="-9"/>
          <w:sz w:val="24"/>
        </w:rPr>
        <w:t> </w:t>
      </w:r>
      <w:r>
        <w:rPr>
          <w:sz w:val="24"/>
        </w:rPr>
        <w:t>ofrece en cuanto a recursos para las actividades</w:t>
      </w:r>
      <w:r>
        <w:rPr>
          <w:spacing w:val="-32"/>
          <w:sz w:val="24"/>
        </w:rPr>
        <w:t> </w:t>
      </w:r>
      <w:r>
        <w:rPr>
          <w:sz w:val="24"/>
        </w:rPr>
        <w:t>humanas.</w:t>
      </w:r>
    </w:p>
    <w:p>
      <w:pPr>
        <w:pStyle w:val="ListParagraph"/>
        <w:numPr>
          <w:ilvl w:val="0"/>
          <w:numId w:val="19"/>
        </w:numPr>
        <w:tabs>
          <w:tab w:pos="273" w:val="left" w:leader="none"/>
        </w:tabs>
        <w:spacing w:line="240" w:lineRule="auto" w:before="2" w:after="0"/>
        <w:ind w:left="272" w:right="0" w:hanging="153"/>
        <w:jc w:val="left"/>
        <w:rPr>
          <w:sz w:val="24"/>
        </w:rPr>
      </w:pPr>
      <w:r>
        <w:rPr>
          <w:sz w:val="24"/>
        </w:rPr>
        <w:t>Conocer la fragilidad o vulnerabilidad del territorio para dichas</w:t>
      </w:r>
      <w:r>
        <w:rPr>
          <w:spacing w:val="-27"/>
          <w:sz w:val="24"/>
        </w:rPr>
        <w:t> </w:t>
      </w:r>
      <w:r>
        <w:rPr>
          <w:sz w:val="24"/>
        </w:rPr>
        <w:t>actividades.</w:t>
      </w:r>
    </w:p>
    <w:p>
      <w:pPr>
        <w:pStyle w:val="ListParagraph"/>
        <w:numPr>
          <w:ilvl w:val="0"/>
          <w:numId w:val="19"/>
        </w:numPr>
        <w:tabs>
          <w:tab w:pos="278" w:val="left" w:leader="none"/>
        </w:tabs>
        <w:spacing w:line="360" w:lineRule="auto" w:before="141" w:after="0"/>
        <w:ind w:left="119" w:right="109" w:firstLine="0"/>
        <w:jc w:val="left"/>
        <w:rPr>
          <w:sz w:val="24"/>
        </w:rPr>
      </w:pPr>
      <w:r>
        <w:rPr>
          <w:sz w:val="24"/>
        </w:rPr>
        <w:t>Conocer los riesgos naturales que se dan en el territorio y sus implicaciones para los asentamientos y las actividades</w:t>
      </w:r>
      <w:r>
        <w:rPr>
          <w:spacing w:val="-23"/>
          <w:sz w:val="24"/>
        </w:rPr>
        <w:t> </w:t>
      </w:r>
      <w:r>
        <w:rPr>
          <w:sz w:val="24"/>
        </w:rPr>
        <w:t>humanas.</w:t>
      </w:r>
    </w:p>
    <w:p>
      <w:pPr>
        <w:pStyle w:val="ListParagraph"/>
        <w:numPr>
          <w:ilvl w:val="0"/>
          <w:numId w:val="19"/>
        </w:numPr>
        <w:tabs>
          <w:tab w:pos="384" w:val="left" w:leader="none"/>
        </w:tabs>
        <w:spacing w:line="360" w:lineRule="auto" w:before="2" w:after="0"/>
        <w:ind w:left="119" w:right="108" w:firstLine="0"/>
        <w:jc w:val="left"/>
        <w:rPr>
          <w:sz w:val="24"/>
        </w:rPr>
      </w:pPr>
      <w:r>
        <w:rPr>
          <w:sz w:val="24"/>
        </w:rPr>
        <w:t>Determinar el estado legal </w:t>
      </w:r>
      <w:r>
        <w:rPr>
          <w:spacing w:val="-3"/>
          <w:sz w:val="24"/>
        </w:rPr>
        <w:t>del </w:t>
      </w:r>
      <w:r>
        <w:rPr>
          <w:sz w:val="24"/>
        </w:rPr>
        <w:t>suelo, que puede condicionar su uso y aprovechamiento.</w:t>
      </w:r>
    </w:p>
    <w:p>
      <w:pPr>
        <w:pStyle w:val="ListParagraph"/>
        <w:numPr>
          <w:ilvl w:val="0"/>
          <w:numId w:val="19"/>
        </w:numPr>
        <w:tabs>
          <w:tab w:pos="331" w:val="left" w:leader="none"/>
        </w:tabs>
        <w:spacing w:line="360" w:lineRule="auto" w:before="8" w:after="0"/>
        <w:ind w:left="119" w:right="103" w:firstLine="0"/>
        <w:jc w:val="left"/>
        <w:rPr>
          <w:sz w:val="24"/>
        </w:rPr>
      </w:pPr>
      <w:r>
        <w:rPr>
          <w:sz w:val="24"/>
        </w:rPr>
        <w:t>Determinar la aptitud de uso del territorio a fin de conformar los escenarios alternativos para elaborar su modelo de uso, aprovechamiento y</w:t>
      </w:r>
      <w:r>
        <w:rPr>
          <w:spacing w:val="-36"/>
          <w:sz w:val="24"/>
        </w:rPr>
        <w:t> </w:t>
      </w:r>
      <w:r>
        <w:rPr>
          <w:sz w:val="24"/>
        </w:rPr>
        <w:t>ocupación.</w:t>
      </w:r>
    </w:p>
    <w:p>
      <w:pPr>
        <w:pStyle w:val="BodyText"/>
        <w:spacing w:before="3"/>
        <w:rPr>
          <w:sz w:val="20"/>
        </w:rPr>
      </w:pPr>
    </w:p>
    <w:p>
      <w:pPr>
        <w:pStyle w:val="Heading1"/>
        <w:numPr>
          <w:ilvl w:val="2"/>
          <w:numId w:val="18"/>
        </w:numPr>
        <w:tabs>
          <w:tab w:pos="1561" w:val="left" w:leader="none"/>
        </w:tabs>
        <w:spacing w:line="240" w:lineRule="auto" w:before="0" w:after="0"/>
        <w:ind w:left="840" w:right="0" w:firstLine="0"/>
        <w:jc w:val="left"/>
      </w:pPr>
      <w:bookmarkStart w:name="_TOC_250025" w:id="29"/>
      <w:r>
        <w:rPr/>
        <w:t>Ubicación de la zona de</w:t>
      </w:r>
      <w:r>
        <w:rPr>
          <w:spacing w:val="-27"/>
        </w:rPr>
        <w:t> </w:t>
      </w:r>
      <w:bookmarkEnd w:id="29"/>
      <w:r>
        <w:rPr/>
        <w:t>estudio</w:t>
      </w:r>
    </w:p>
    <w:p>
      <w:pPr>
        <w:pStyle w:val="BodyText"/>
        <w:rPr>
          <w:b/>
          <w:sz w:val="26"/>
        </w:rPr>
      </w:pPr>
    </w:p>
    <w:p>
      <w:pPr>
        <w:pStyle w:val="BodyText"/>
        <w:spacing w:line="360" w:lineRule="auto" w:before="184"/>
        <w:ind w:left="119" w:right="98" w:firstLine="710"/>
        <w:jc w:val="both"/>
      </w:pPr>
      <w:r>
        <w:rPr/>
        <w:t>La</w:t>
      </w:r>
      <w:r>
        <w:rPr>
          <w:spacing w:val="-4"/>
        </w:rPr>
        <w:t> </w:t>
      </w:r>
      <w:r>
        <w:rPr/>
        <w:t>unidad</w:t>
      </w:r>
      <w:r>
        <w:rPr>
          <w:spacing w:val="-4"/>
        </w:rPr>
        <w:t> </w:t>
      </w:r>
      <w:r>
        <w:rPr/>
        <w:t>espacial</w:t>
      </w:r>
      <w:r>
        <w:rPr>
          <w:spacing w:val="-1"/>
        </w:rPr>
        <w:t> </w:t>
      </w:r>
      <w:r>
        <w:rPr/>
        <w:t>en</w:t>
      </w:r>
      <w:r>
        <w:rPr>
          <w:spacing w:val="-9"/>
        </w:rPr>
        <w:t> </w:t>
      </w:r>
      <w:r>
        <w:rPr/>
        <w:t>la</w:t>
      </w:r>
      <w:r>
        <w:rPr>
          <w:spacing w:val="-4"/>
        </w:rPr>
        <w:t> </w:t>
      </w:r>
      <w:r>
        <w:rPr/>
        <w:t>que</w:t>
      </w:r>
      <w:r>
        <w:rPr>
          <w:spacing w:val="-4"/>
        </w:rPr>
        <w:t> </w:t>
      </w:r>
      <w:r>
        <w:rPr/>
        <w:t>se</w:t>
      </w:r>
      <w:r>
        <w:rPr>
          <w:spacing w:val="-4"/>
        </w:rPr>
        <w:t> </w:t>
      </w:r>
      <w:r>
        <w:rPr/>
        <w:t>realizó</w:t>
      </w:r>
      <w:r>
        <w:rPr>
          <w:spacing w:val="-4"/>
        </w:rPr>
        <w:t> </w:t>
      </w:r>
      <w:r>
        <w:rPr/>
        <w:t>la</w:t>
      </w:r>
      <w:r>
        <w:rPr>
          <w:spacing w:val="-9"/>
        </w:rPr>
        <w:t> </w:t>
      </w:r>
      <w:r>
        <w:rPr/>
        <w:t>investigación,</w:t>
      </w:r>
      <w:r>
        <w:rPr>
          <w:spacing w:val="-4"/>
        </w:rPr>
        <w:t> </w:t>
      </w:r>
      <w:r>
        <w:rPr/>
        <w:t>está</w:t>
      </w:r>
      <w:r>
        <w:rPr>
          <w:spacing w:val="-8"/>
        </w:rPr>
        <w:t> </w:t>
      </w:r>
      <w:r>
        <w:rPr/>
        <w:t>localizada</w:t>
      </w:r>
      <w:r>
        <w:rPr>
          <w:spacing w:val="-4"/>
        </w:rPr>
        <w:t> </w:t>
      </w:r>
      <w:r>
        <w:rPr/>
        <w:t>en</w:t>
      </w:r>
      <w:r>
        <w:rPr>
          <w:spacing w:val="-9"/>
        </w:rPr>
        <w:t> </w:t>
      </w:r>
      <w:r>
        <w:rPr/>
        <w:t>el centro-oeste del Estado de México. Se constituye en el altiplano </w:t>
      </w:r>
      <w:r>
        <w:rPr>
          <w:spacing w:val="-3"/>
        </w:rPr>
        <w:t>más </w:t>
      </w:r>
      <w:r>
        <w:rPr/>
        <w:t>meridional de la cuenca del río Lerma hasta la presa Antonio Alzate. </w:t>
      </w:r>
      <w:r>
        <w:rPr>
          <w:spacing w:val="2"/>
        </w:rPr>
        <w:t>La ZMT </w:t>
      </w:r>
      <w:r>
        <w:rPr/>
        <w:t>se </w:t>
      </w:r>
      <w:r>
        <w:rPr>
          <w:spacing w:val="2"/>
        </w:rPr>
        <w:t>ubica en </w:t>
      </w:r>
      <w:r>
        <w:rPr/>
        <w:t>la </w:t>
      </w:r>
      <w:r>
        <w:rPr>
          <w:spacing w:val="4"/>
        </w:rPr>
        <w:t>porción </w:t>
      </w:r>
      <w:r>
        <w:rPr>
          <w:spacing w:val="3"/>
        </w:rPr>
        <w:t>central </w:t>
      </w:r>
      <w:r>
        <w:rPr/>
        <w:t>del </w:t>
      </w:r>
      <w:r>
        <w:rPr>
          <w:spacing w:val="3"/>
        </w:rPr>
        <w:t>territorio estatal, entre </w:t>
      </w:r>
      <w:r>
        <w:rPr>
          <w:spacing w:val="2"/>
        </w:rPr>
        <w:t>los </w:t>
      </w:r>
      <w:r>
        <w:rPr>
          <w:spacing w:val="3"/>
        </w:rPr>
        <w:t>19° 02’ </w:t>
      </w:r>
      <w:r>
        <w:rPr/>
        <w:t>y </w:t>
      </w:r>
      <w:r>
        <w:rPr>
          <w:spacing w:val="3"/>
        </w:rPr>
        <w:t>19° </w:t>
      </w:r>
      <w:r>
        <w:rPr/>
        <w:t>32’ </w:t>
      </w:r>
      <w:r>
        <w:rPr>
          <w:spacing w:val="4"/>
        </w:rPr>
        <w:t>latitud </w:t>
      </w:r>
      <w:r>
        <w:rPr>
          <w:spacing w:val="7"/>
        </w:rPr>
        <w:t>norte </w:t>
      </w:r>
      <w:r>
        <w:rPr/>
        <w:t>y </w:t>
      </w:r>
      <w:r>
        <w:rPr>
          <w:spacing w:val="3"/>
        </w:rPr>
        <w:t>99° 19’ </w:t>
      </w:r>
      <w:r>
        <w:rPr/>
        <w:t>y </w:t>
      </w:r>
      <w:r>
        <w:rPr>
          <w:spacing w:val="3"/>
        </w:rPr>
        <w:t>99° 56’ </w:t>
      </w:r>
      <w:r>
        <w:rPr>
          <w:spacing w:val="4"/>
        </w:rPr>
        <w:t>longitud</w:t>
      </w:r>
      <w:r>
        <w:rPr>
          <w:spacing w:val="35"/>
        </w:rPr>
        <w:t> </w:t>
      </w:r>
      <w:r>
        <w:rPr>
          <w:spacing w:val="4"/>
        </w:rPr>
        <w:t>oeste.</w:t>
      </w:r>
    </w:p>
    <w:p>
      <w:pPr>
        <w:pStyle w:val="BodyText"/>
        <w:spacing w:line="360" w:lineRule="auto" w:before="2"/>
        <w:ind w:left="119" w:right="99" w:firstLine="710"/>
        <w:jc w:val="both"/>
      </w:pPr>
      <w:r>
        <w:rPr/>
        <w:t>Las porciones montañosas se ubican entre los 2 600 y 4 680 msnm, factor geográfico que ha influido en el crecimiento y desarrollo de los bosques de coníferas, y desde luego, ha condicionado las características ambientales, ecológicas, demográficas y socioculturales de las comunidades adyacentes a sus estribaciones</w:t>
      </w:r>
    </w:p>
    <w:p>
      <w:pPr>
        <w:pStyle w:val="BodyText"/>
        <w:spacing w:before="10"/>
      </w:pPr>
    </w:p>
    <w:p>
      <w:pPr>
        <w:pStyle w:val="BodyText"/>
        <w:spacing w:line="355" w:lineRule="auto"/>
        <w:ind w:left="119"/>
      </w:pPr>
      <w:r>
        <w:rPr/>
        <w:t>Esta porción territorial comprende los catorce municipios que conforman la Zona Metropolitana</w:t>
      </w:r>
      <w:r>
        <w:rPr>
          <w:position w:val="8"/>
          <w:sz w:val="16"/>
        </w:rPr>
        <w:t>1   </w:t>
      </w:r>
      <w:r>
        <w:rPr/>
        <w:t>de  Toluca  (ZMT):  Almoloya  de  Juárez,  Calimaya, Chapultepec,</w:t>
      </w:r>
    </w:p>
    <w:p>
      <w:pPr>
        <w:pStyle w:val="BodyText"/>
        <w:spacing w:before="6"/>
        <w:rPr>
          <w:sz w:val="21"/>
        </w:rPr>
      </w:pPr>
      <w:r>
        <w:rPr/>
        <w:pict>
          <v:line style="position:absolute;mso-position-horizontal-relative:page;mso-position-vertical-relative:paragraph;z-index:1408;mso-wrap-distance-left:0;mso-wrap-distance-right:0" from="84.984001pt,14.720171pt" to="229.054001pt,14.720171pt" stroked="true" strokeweight=".71997pt" strokecolor="#000000">
            <w10:wrap type="topAndBottom"/>
          </v:line>
        </w:pict>
      </w:r>
    </w:p>
    <w:p>
      <w:pPr>
        <w:spacing w:line="240" w:lineRule="auto" w:before="67"/>
        <w:ind w:left="119" w:right="103" w:firstLine="0"/>
        <w:jc w:val="both"/>
        <w:rPr>
          <w:sz w:val="22"/>
        </w:rPr>
      </w:pPr>
      <w:r>
        <w:rPr>
          <w:position w:val="8"/>
          <w:sz w:val="16"/>
        </w:rPr>
        <w:t>1</w:t>
      </w:r>
      <w:r>
        <w:rPr>
          <w:sz w:val="22"/>
        </w:rPr>
        <w:t>Zona</w:t>
      </w:r>
      <w:r>
        <w:rPr>
          <w:spacing w:val="-6"/>
          <w:sz w:val="22"/>
        </w:rPr>
        <w:t> </w:t>
      </w:r>
      <w:r>
        <w:rPr>
          <w:sz w:val="22"/>
        </w:rPr>
        <w:t>metropolitana,</w:t>
      </w:r>
      <w:r>
        <w:rPr>
          <w:spacing w:val="-11"/>
          <w:sz w:val="22"/>
        </w:rPr>
        <w:t> </w:t>
      </w:r>
      <w:r>
        <w:rPr>
          <w:sz w:val="22"/>
        </w:rPr>
        <w:t>conjunto</w:t>
      </w:r>
      <w:r>
        <w:rPr>
          <w:spacing w:val="-10"/>
          <w:sz w:val="22"/>
        </w:rPr>
        <w:t> </w:t>
      </w:r>
      <w:r>
        <w:rPr>
          <w:sz w:val="22"/>
        </w:rPr>
        <w:t>de</w:t>
      </w:r>
      <w:r>
        <w:rPr>
          <w:spacing w:val="-10"/>
          <w:sz w:val="22"/>
        </w:rPr>
        <w:t> </w:t>
      </w:r>
      <w:r>
        <w:rPr>
          <w:sz w:val="22"/>
        </w:rPr>
        <w:t>dos</w:t>
      </w:r>
      <w:r>
        <w:rPr>
          <w:spacing w:val="-12"/>
          <w:sz w:val="22"/>
        </w:rPr>
        <w:t> </w:t>
      </w:r>
      <w:r>
        <w:rPr>
          <w:sz w:val="22"/>
        </w:rPr>
        <w:t>o</w:t>
      </w:r>
      <w:r>
        <w:rPr>
          <w:spacing w:val="-6"/>
          <w:sz w:val="22"/>
        </w:rPr>
        <w:t> </w:t>
      </w:r>
      <w:r>
        <w:rPr>
          <w:sz w:val="22"/>
        </w:rPr>
        <w:t>más</w:t>
      </w:r>
      <w:r>
        <w:rPr>
          <w:spacing w:val="-12"/>
          <w:sz w:val="22"/>
        </w:rPr>
        <w:t> </w:t>
      </w:r>
      <w:r>
        <w:rPr>
          <w:sz w:val="22"/>
        </w:rPr>
        <w:t>municipios</w:t>
      </w:r>
      <w:r>
        <w:rPr>
          <w:spacing w:val="-12"/>
          <w:sz w:val="22"/>
        </w:rPr>
        <w:t> </w:t>
      </w:r>
      <w:r>
        <w:rPr>
          <w:sz w:val="22"/>
        </w:rPr>
        <w:t>donde</w:t>
      </w:r>
      <w:r>
        <w:rPr>
          <w:spacing w:val="-10"/>
          <w:sz w:val="22"/>
        </w:rPr>
        <w:t> </w:t>
      </w:r>
      <w:r>
        <w:rPr>
          <w:sz w:val="22"/>
        </w:rPr>
        <w:t>se</w:t>
      </w:r>
      <w:r>
        <w:rPr>
          <w:spacing w:val="-10"/>
          <w:sz w:val="22"/>
        </w:rPr>
        <w:t> </w:t>
      </w:r>
      <w:r>
        <w:rPr>
          <w:sz w:val="22"/>
        </w:rPr>
        <w:t>localiza</w:t>
      </w:r>
      <w:r>
        <w:rPr>
          <w:spacing w:val="-10"/>
          <w:sz w:val="22"/>
        </w:rPr>
        <w:t> </w:t>
      </w:r>
      <w:r>
        <w:rPr>
          <w:sz w:val="22"/>
        </w:rPr>
        <w:t>una</w:t>
      </w:r>
      <w:r>
        <w:rPr>
          <w:spacing w:val="-10"/>
          <w:sz w:val="22"/>
        </w:rPr>
        <w:t> </w:t>
      </w:r>
      <w:r>
        <w:rPr>
          <w:sz w:val="22"/>
        </w:rPr>
        <w:t>ciudad</w:t>
      </w:r>
      <w:r>
        <w:rPr>
          <w:spacing w:val="-10"/>
          <w:sz w:val="22"/>
        </w:rPr>
        <w:t> </w:t>
      </w:r>
      <w:r>
        <w:rPr>
          <w:sz w:val="22"/>
        </w:rPr>
        <w:t>de</w:t>
      </w:r>
      <w:r>
        <w:rPr>
          <w:spacing w:val="-10"/>
          <w:sz w:val="22"/>
        </w:rPr>
        <w:t> </w:t>
      </w:r>
      <w:r>
        <w:rPr>
          <w:sz w:val="22"/>
        </w:rPr>
        <w:t>50 mil o más habitantes, cuya área urbana, funciones y actividades rebasan el límite del municipio</w:t>
      </w:r>
      <w:r>
        <w:rPr>
          <w:spacing w:val="-15"/>
          <w:sz w:val="22"/>
        </w:rPr>
        <w:t> </w:t>
      </w:r>
      <w:r>
        <w:rPr>
          <w:sz w:val="22"/>
        </w:rPr>
        <w:t>que</w:t>
      </w:r>
      <w:r>
        <w:rPr>
          <w:spacing w:val="-15"/>
          <w:sz w:val="22"/>
        </w:rPr>
        <w:t> </w:t>
      </w:r>
      <w:r>
        <w:rPr>
          <w:sz w:val="22"/>
        </w:rPr>
        <w:t>originalmente</w:t>
      </w:r>
      <w:r>
        <w:rPr>
          <w:spacing w:val="-15"/>
          <w:sz w:val="22"/>
        </w:rPr>
        <w:t> </w:t>
      </w:r>
      <w:r>
        <w:rPr>
          <w:sz w:val="22"/>
        </w:rPr>
        <w:t>la</w:t>
      </w:r>
      <w:r>
        <w:rPr>
          <w:spacing w:val="-15"/>
          <w:sz w:val="22"/>
        </w:rPr>
        <w:t> </w:t>
      </w:r>
      <w:r>
        <w:rPr>
          <w:sz w:val="22"/>
        </w:rPr>
        <w:t>contenía,</w:t>
      </w:r>
      <w:r>
        <w:rPr>
          <w:spacing w:val="-11"/>
          <w:sz w:val="22"/>
        </w:rPr>
        <w:t> </w:t>
      </w:r>
      <w:r>
        <w:rPr>
          <w:sz w:val="22"/>
        </w:rPr>
        <w:t>incorporando</w:t>
      </w:r>
      <w:r>
        <w:rPr>
          <w:spacing w:val="-10"/>
          <w:sz w:val="22"/>
        </w:rPr>
        <w:t> </w:t>
      </w:r>
      <w:r>
        <w:rPr>
          <w:sz w:val="22"/>
        </w:rPr>
        <w:t>como</w:t>
      </w:r>
      <w:r>
        <w:rPr>
          <w:spacing w:val="-15"/>
          <w:sz w:val="22"/>
        </w:rPr>
        <w:t> </w:t>
      </w:r>
      <w:r>
        <w:rPr>
          <w:sz w:val="22"/>
        </w:rPr>
        <w:t>parte</w:t>
      </w:r>
      <w:r>
        <w:rPr>
          <w:spacing w:val="-15"/>
          <w:sz w:val="22"/>
        </w:rPr>
        <w:t> </w:t>
      </w:r>
      <w:r>
        <w:rPr>
          <w:sz w:val="22"/>
        </w:rPr>
        <w:t>de</w:t>
      </w:r>
      <w:r>
        <w:rPr>
          <w:spacing w:val="-10"/>
          <w:sz w:val="22"/>
        </w:rPr>
        <w:t> </w:t>
      </w:r>
      <w:r>
        <w:rPr>
          <w:sz w:val="22"/>
        </w:rPr>
        <w:t>sí</w:t>
      </w:r>
      <w:r>
        <w:rPr>
          <w:spacing w:val="-16"/>
          <w:sz w:val="22"/>
        </w:rPr>
        <w:t> </w:t>
      </w:r>
      <w:r>
        <w:rPr>
          <w:sz w:val="22"/>
        </w:rPr>
        <w:t>misma</w:t>
      </w:r>
      <w:r>
        <w:rPr>
          <w:spacing w:val="-15"/>
          <w:sz w:val="22"/>
        </w:rPr>
        <w:t> </w:t>
      </w:r>
      <w:r>
        <w:rPr>
          <w:sz w:val="22"/>
        </w:rPr>
        <w:t>o</w:t>
      </w:r>
      <w:r>
        <w:rPr>
          <w:spacing w:val="-15"/>
          <w:sz w:val="22"/>
        </w:rPr>
        <w:t> </w:t>
      </w:r>
      <w:r>
        <w:rPr>
          <w:sz w:val="22"/>
        </w:rPr>
        <w:t>de</w:t>
      </w:r>
      <w:r>
        <w:rPr>
          <w:spacing w:val="-15"/>
          <w:sz w:val="22"/>
        </w:rPr>
        <w:t> </w:t>
      </w:r>
      <w:r>
        <w:rPr>
          <w:sz w:val="22"/>
        </w:rPr>
        <w:t>su</w:t>
      </w:r>
      <w:r>
        <w:rPr>
          <w:spacing w:val="-15"/>
          <w:sz w:val="22"/>
        </w:rPr>
        <w:t> </w:t>
      </w:r>
      <w:r>
        <w:rPr>
          <w:sz w:val="22"/>
        </w:rPr>
        <w:t>área de influencia directa a municipios vecinos, predominantemente urbanos, con los que mantiene un alto grado de integración socioeconómica; en esta definición </w:t>
      </w:r>
      <w:r>
        <w:rPr>
          <w:spacing w:val="-3"/>
          <w:sz w:val="22"/>
        </w:rPr>
        <w:t>se </w:t>
      </w:r>
      <w:r>
        <w:rPr>
          <w:sz w:val="22"/>
        </w:rPr>
        <w:t>incluye además a aquellos municipios que por sus características particulares son relevantes para la planeación y política urbanas (CONAPO,</w:t>
      </w:r>
      <w:r>
        <w:rPr>
          <w:spacing w:val="-30"/>
          <w:sz w:val="22"/>
        </w:rPr>
        <w:t> </w:t>
      </w:r>
      <w:r>
        <w:rPr>
          <w:sz w:val="22"/>
        </w:rPr>
        <w:t>2005).</w:t>
      </w:r>
    </w:p>
    <w:p>
      <w:pPr>
        <w:spacing w:after="0" w:line="240" w:lineRule="auto"/>
        <w:jc w:val="both"/>
        <w:rPr>
          <w:sz w:val="22"/>
        </w:rPr>
        <w:sectPr>
          <w:pgSz w:w="12240" w:h="15840"/>
          <w:pgMar w:header="0" w:footer="1031" w:top="1360" w:bottom="1220" w:left="1580" w:right="1600"/>
        </w:sectPr>
      </w:pPr>
    </w:p>
    <w:p>
      <w:pPr>
        <w:pStyle w:val="BodyText"/>
        <w:spacing w:line="360" w:lineRule="auto" w:before="52"/>
        <w:ind w:left="119" w:right="114"/>
        <w:jc w:val="both"/>
      </w:pPr>
      <w:r>
        <w:rPr/>
        <w:t>Lerma, Metepec, Mexicalcingo, Ocoyoacac, Otzolotepec, Rayón, San Antonio la Isla, San Mateo Atenco, Toluca, Xonacatlán y Zinacantepec. Las prioridades estatales y federales en materia de ordenación urbana ubican como municipios centrales, los siguientes: Almoloya de Juárez, Lerma, Metepec, San Mateo Atenco, Toluca, Zinacantepec- conurbación física con el área urbana principal - Ocoyoacac y</w:t>
      </w:r>
      <w:r>
        <w:rPr>
          <w:spacing w:val="-4"/>
        </w:rPr>
        <w:t> </w:t>
      </w:r>
      <w:r>
        <w:rPr/>
        <w:t>Xonacatlán</w:t>
      </w:r>
      <w:r>
        <w:rPr>
          <w:spacing w:val="-5"/>
        </w:rPr>
        <w:t> </w:t>
      </w:r>
      <w:r>
        <w:rPr/>
        <w:t>–sin</w:t>
      </w:r>
      <w:r>
        <w:rPr>
          <w:spacing w:val="-7"/>
        </w:rPr>
        <w:t> </w:t>
      </w:r>
      <w:r>
        <w:rPr/>
        <w:t>contacto</w:t>
      </w:r>
      <w:r>
        <w:rPr>
          <w:spacing w:val="-4"/>
        </w:rPr>
        <w:t> </w:t>
      </w:r>
      <w:r>
        <w:rPr/>
        <w:t>físico-,</w:t>
      </w:r>
      <w:r>
        <w:rPr>
          <w:spacing w:val="-7"/>
        </w:rPr>
        <w:t> </w:t>
      </w:r>
      <w:r>
        <w:rPr/>
        <w:t>el contorno</w:t>
      </w:r>
      <w:r>
        <w:rPr>
          <w:spacing w:val="-7"/>
        </w:rPr>
        <w:t> </w:t>
      </w:r>
      <w:r>
        <w:rPr/>
        <w:t>metropolitano,</w:t>
      </w:r>
      <w:r>
        <w:rPr>
          <w:spacing w:val="-4"/>
        </w:rPr>
        <w:t> </w:t>
      </w:r>
      <w:r>
        <w:rPr/>
        <w:t>está</w:t>
      </w:r>
      <w:r>
        <w:rPr>
          <w:spacing w:val="-7"/>
        </w:rPr>
        <w:t> </w:t>
      </w:r>
      <w:r>
        <w:rPr/>
        <w:t>integrado</w:t>
      </w:r>
      <w:r>
        <w:rPr>
          <w:spacing w:val="-4"/>
        </w:rPr>
        <w:t> </w:t>
      </w:r>
      <w:r>
        <w:rPr/>
        <w:t>por</w:t>
      </w:r>
      <w:r>
        <w:rPr>
          <w:spacing w:val="-6"/>
        </w:rPr>
        <w:t> </w:t>
      </w:r>
      <w:r>
        <w:rPr/>
        <w:t>los municipios</w:t>
      </w:r>
      <w:r>
        <w:rPr>
          <w:spacing w:val="-7"/>
        </w:rPr>
        <w:t> </w:t>
      </w:r>
      <w:r>
        <w:rPr/>
        <w:t>de</w:t>
      </w:r>
      <w:r>
        <w:rPr>
          <w:spacing w:val="-6"/>
        </w:rPr>
        <w:t> </w:t>
      </w:r>
      <w:r>
        <w:rPr/>
        <w:t>Calimaya</w:t>
      </w:r>
      <w:r>
        <w:rPr>
          <w:spacing w:val="-6"/>
        </w:rPr>
        <w:t> </w:t>
      </w:r>
      <w:r>
        <w:rPr/>
        <w:t>(contacto</w:t>
      </w:r>
      <w:r>
        <w:rPr>
          <w:spacing w:val="-6"/>
        </w:rPr>
        <w:t> </w:t>
      </w:r>
      <w:r>
        <w:rPr/>
        <w:t>físico</w:t>
      </w:r>
      <w:r>
        <w:rPr>
          <w:spacing w:val="-6"/>
        </w:rPr>
        <w:t> </w:t>
      </w:r>
      <w:r>
        <w:rPr/>
        <w:t>con</w:t>
      </w:r>
      <w:r>
        <w:rPr>
          <w:spacing w:val="-6"/>
        </w:rPr>
        <w:t> </w:t>
      </w:r>
      <w:r>
        <w:rPr/>
        <w:t>el</w:t>
      </w:r>
      <w:r>
        <w:rPr>
          <w:spacing w:val="-7"/>
        </w:rPr>
        <w:t> </w:t>
      </w:r>
      <w:r>
        <w:rPr/>
        <w:t>área</w:t>
      </w:r>
      <w:r>
        <w:rPr>
          <w:spacing w:val="-6"/>
        </w:rPr>
        <w:t> </w:t>
      </w:r>
      <w:r>
        <w:rPr/>
        <w:t>urbana</w:t>
      </w:r>
      <w:r>
        <w:rPr>
          <w:spacing w:val="-6"/>
        </w:rPr>
        <w:t> </w:t>
      </w:r>
      <w:r>
        <w:rPr/>
        <w:t>principal),</w:t>
      </w:r>
      <w:r>
        <w:rPr>
          <w:spacing w:val="-6"/>
        </w:rPr>
        <w:t> </w:t>
      </w:r>
      <w:r>
        <w:rPr/>
        <w:t>Chapultepec, Mexicaltzingo, Otzolotepec. (SEDESOL, CONAPO, INEGI,</w:t>
      </w:r>
      <w:r>
        <w:rPr>
          <w:spacing w:val="-24"/>
        </w:rPr>
        <w:t> </w:t>
      </w:r>
      <w:r>
        <w:rPr/>
        <w:t>2004:3).</w:t>
      </w:r>
    </w:p>
    <w:p>
      <w:pPr>
        <w:pStyle w:val="BodyText"/>
        <w:spacing w:before="5"/>
      </w:pPr>
    </w:p>
    <w:p>
      <w:pPr>
        <w:pStyle w:val="BodyText"/>
        <w:spacing w:line="360" w:lineRule="auto"/>
        <w:ind w:left="119" w:right="114"/>
        <w:jc w:val="both"/>
      </w:pPr>
      <w:r>
        <w:rPr/>
        <w:t>La</w:t>
      </w:r>
      <w:r>
        <w:rPr>
          <w:spacing w:val="-12"/>
        </w:rPr>
        <w:t> </w:t>
      </w:r>
      <w:r>
        <w:rPr/>
        <w:t>ZMT</w:t>
      </w:r>
      <w:r>
        <w:rPr>
          <w:spacing w:val="-11"/>
        </w:rPr>
        <w:t> </w:t>
      </w:r>
      <w:r>
        <w:rPr/>
        <w:t>tiene</w:t>
      </w:r>
      <w:r>
        <w:rPr>
          <w:spacing w:val="-12"/>
        </w:rPr>
        <w:t> </w:t>
      </w:r>
      <w:r>
        <w:rPr/>
        <w:t>una</w:t>
      </w:r>
      <w:r>
        <w:rPr>
          <w:spacing w:val="-9"/>
        </w:rPr>
        <w:t> </w:t>
      </w:r>
      <w:r>
        <w:rPr/>
        <w:t>superficie</w:t>
      </w:r>
      <w:r>
        <w:rPr>
          <w:spacing w:val="-16"/>
        </w:rPr>
        <w:t> </w:t>
      </w:r>
      <w:r>
        <w:rPr/>
        <w:t>de</w:t>
      </w:r>
      <w:r>
        <w:rPr>
          <w:spacing w:val="-12"/>
        </w:rPr>
        <w:t> </w:t>
      </w:r>
      <w:r>
        <w:rPr/>
        <w:t>1943</w:t>
      </w:r>
      <w:r>
        <w:rPr>
          <w:spacing w:val="-12"/>
        </w:rPr>
        <w:t> </w:t>
      </w:r>
      <w:r>
        <w:rPr/>
        <w:t>km</w:t>
      </w:r>
      <w:r>
        <w:rPr>
          <w:position w:val="8"/>
          <w:sz w:val="16"/>
        </w:rPr>
        <w:t>2</w:t>
      </w:r>
      <w:r>
        <w:rPr>
          <w:spacing w:val="8"/>
          <w:position w:val="8"/>
          <w:sz w:val="16"/>
        </w:rPr>
        <w:t> </w:t>
      </w:r>
      <w:r>
        <w:rPr/>
        <w:t>ó</w:t>
      </w:r>
      <w:r>
        <w:rPr>
          <w:spacing w:val="-12"/>
        </w:rPr>
        <w:t> </w:t>
      </w:r>
      <w:r>
        <w:rPr/>
        <w:t>194300</w:t>
      </w:r>
      <w:r>
        <w:rPr>
          <w:spacing w:val="-12"/>
        </w:rPr>
        <w:t> </w:t>
      </w:r>
      <w:r>
        <w:rPr/>
        <w:t>hectáreas,</w:t>
      </w:r>
      <w:r>
        <w:rPr>
          <w:spacing w:val="-17"/>
        </w:rPr>
        <w:t> </w:t>
      </w:r>
      <w:r>
        <w:rPr/>
        <w:t>el</w:t>
      </w:r>
      <w:r>
        <w:rPr>
          <w:spacing w:val="-8"/>
        </w:rPr>
        <w:t> </w:t>
      </w:r>
      <w:r>
        <w:rPr/>
        <w:t>área</w:t>
      </w:r>
      <w:r>
        <w:rPr>
          <w:spacing w:val="-12"/>
        </w:rPr>
        <w:t> </w:t>
      </w:r>
      <w:r>
        <w:rPr/>
        <w:t>urbana</w:t>
      </w:r>
      <w:r>
        <w:rPr>
          <w:spacing w:val="-17"/>
        </w:rPr>
        <w:t> </w:t>
      </w:r>
      <w:r>
        <w:rPr/>
        <w:t>ocupa el 2.5 % de la superficie total. Alberga 3,692, 232 habitantes en 407 localidades (INEGI, 2010). </w:t>
      </w:r>
      <w:r>
        <w:rPr>
          <w:spacing w:val="-4"/>
        </w:rPr>
        <w:t>El </w:t>
      </w:r>
      <w:r>
        <w:rPr/>
        <w:t>81% de las localidades tiene menos de 2500 habitantes, el 19% (78 localidades) 2500 habitantes y aportan el 82% de la población total. </w:t>
      </w:r>
      <w:r>
        <w:rPr>
          <w:spacing w:val="2"/>
        </w:rPr>
        <w:t>Once </w:t>
      </w:r>
      <w:r>
        <w:rPr/>
        <w:t>localidades registran una población mayor a los 15, 000</w:t>
      </w:r>
      <w:r>
        <w:rPr>
          <w:spacing w:val="-30"/>
        </w:rPr>
        <w:t> </w:t>
      </w:r>
      <w:r>
        <w:rPr/>
        <w:t>habitantes.</w:t>
      </w:r>
    </w:p>
    <w:p>
      <w:pPr>
        <w:pStyle w:val="BodyText"/>
        <w:spacing w:before="5"/>
      </w:pPr>
    </w:p>
    <w:p>
      <w:pPr>
        <w:pStyle w:val="BodyText"/>
        <w:spacing w:line="360" w:lineRule="auto"/>
        <w:ind w:left="119" w:right="128"/>
        <w:jc w:val="both"/>
      </w:pPr>
      <w:r>
        <w:rPr>
          <w:spacing w:val="3"/>
        </w:rPr>
        <w:t>Desde </w:t>
      </w:r>
      <w:r>
        <w:rPr/>
        <w:t>el </w:t>
      </w:r>
      <w:r>
        <w:rPr>
          <w:spacing w:val="3"/>
        </w:rPr>
        <w:t>punto </w:t>
      </w:r>
      <w:r>
        <w:rPr>
          <w:spacing w:val="2"/>
        </w:rPr>
        <w:t>de </w:t>
      </w:r>
      <w:r>
        <w:rPr>
          <w:spacing w:val="3"/>
        </w:rPr>
        <w:t>vista </w:t>
      </w:r>
      <w:r>
        <w:rPr>
          <w:spacing w:val="4"/>
        </w:rPr>
        <w:t>geográfico, </w:t>
      </w:r>
      <w:r>
        <w:rPr>
          <w:spacing w:val="3"/>
        </w:rPr>
        <w:t>ambiental </w:t>
      </w:r>
      <w:r>
        <w:rPr/>
        <w:t>y </w:t>
      </w:r>
      <w:r>
        <w:rPr>
          <w:spacing w:val="3"/>
        </w:rPr>
        <w:t>sociocultural, </w:t>
      </w:r>
      <w:r>
        <w:rPr>
          <w:spacing w:val="4"/>
        </w:rPr>
        <w:t>la </w:t>
      </w:r>
      <w:r>
        <w:rPr>
          <w:spacing w:val="2"/>
        </w:rPr>
        <w:t>ZMT </w:t>
      </w:r>
      <w:r>
        <w:rPr/>
        <w:t>se </w:t>
      </w:r>
      <w:r>
        <w:rPr>
          <w:spacing w:val="3"/>
        </w:rPr>
        <w:t>ubica </w:t>
      </w:r>
      <w:r>
        <w:rPr>
          <w:spacing w:val="2"/>
        </w:rPr>
        <w:t>en el </w:t>
      </w:r>
      <w:r>
        <w:rPr>
          <w:spacing w:val="4"/>
        </w:rPr>
        <w:t>Altiplano </w:t>
      </w:r>
      <w:r>
        <w:rPr>
          <w:spacing w:val="3"/>
        </w:rPr>
        <w:t>mexicano </w:t>
      </w:r>
      <w:r>
        <w:rPr/>
        <w:t>y </w:t>
      </w:r>
      <w:r>
        <w:rPr>
          <w:spacing w:val="4"/>
        </w:rPr>
        <w:t>presenta </w:t>
      </w:r>
      <w:r>
        <w:rPr>
          <w:spacing w:val="3"/>
        </w:rPr>
        <w:t>una heterogeneidad </w:t>
      </w:r>
      <w:r>
        <w:rPr>
          <w:spacing w:val="2"/>
        </w:rPr>
        <w:t>de </w:t>
      </w:r>
      <w:r>
        <w:rPr>
          <w:spacing w:val="4"/>
        </w:rPr>
        <w:t>condiciones </w:t>
      </w:r>
      <w:r>
        <w:rPr>
          <w:spacing w:val="3"/>
        </w:rPr>
        <w:t>que </w:t>
      </w:r>
      <w:r>
        <w:rPr>
          <w:spacing w:val="4"/>
        </w:rPr>
        <w:t>le diferencian </w:t>
      </w:r>
      <w:r>
        <w:rPr/>
        <w:t>del </w:t>
      </w:r>
      <w:r>
        <w:rPr>
          <w:spacing w:val="4"/>
        </w:rPr>
        <w:t>resto </w:t>
      </w:r>
      <w:r>
        <w:rPr/>
        <w:t>del </w:t>
      </w:r>
      <w:r>
        <w:rPr>
          <w:spacing w:val="4"/>
        </w:rPr>
        <w:t>territorio estatal, </w:t>
      </w:r>
      <w:r>
        <w:rPr/>
        <w:t>ya </w:t>
      </w:r>
      <w:r>
        <w:rPr>
          <w:spacing w:val="3"/>
        </w:rPr>
        <w:t>que </w:t>
      </w:r>
      <w:r>
        <w:rPr>
          <w:spacing w:val="2"/>
        </w:rPr>
        <w:t>es un </w:t>
      </w:r>
      <w:r>
        <w:rPr>
          <w:spacing w:val="3"/>
        </w:rPr>
        <w:t>espacio profusamente </w:t>
      </w:r>
      <w:r>
        <w:rPr>
          <w:spacing w:val="4"/>
        </w:rPr>
        <w:t>construido –sociocultural– </w:t>
      </w:r>
      <w:r>
        <w:rPr>
          <w:spacing w:val="3"/>
        </w:rPr>
        <w:t>con </w:t>
      </w:r>
      <w:r>
        <w:rPr>
          <w:spacing w:val="4"/>
        </w:rPr>
        <w:t>asentamientos </w:t>
      </w:r>
      <w:r>
        <w:rPr>
          <w:spacing w:val="3"/>
        </w:rPr>
        <w:t>humanos </w:t>
      </w:r>
      <w:r>
        <w:rPr>
          <w:spacing w:val="4"/>
        </w:rPr>
        <w:t>urbanos </w:t>
      </w:r>
      <w:r>
        <w:rPr>
          <w:spacing w:val="2"/>
        </w:rPr>
        <w:t>en </w:t>
      </w:r>
      <w:r>
        <w:rPr>
          <w:spacing w:val="4"/>
        </w:rPr>
        <w:t>las cabeceras </w:t>
      </w:r>
      <w:r>
        <w:rPr>
          <w:spacing w:val="3"/>
        </w:rPr>
        <w:t>municipales </w:t>
      </w:r>
      <w:r>
        <w:rPr>
          <w:spacing w:val="4"/>
        </w:rPr>
        <w:t>adyacentes </w:t>
      </w:r>
      <w:r>
        <w:rPr/>
        <w:t>a </w:t>
      </w:r>
      <w:r>
        <w:rPr>
          <w:spacing w:val="4"/>
        </w:rPr>
        <w:t>la </w:t>
      </w:r>
      <w:r>
        <w:rPr>
          <w:spacing w:val="3"/>
        </w:rPr>
        <w:t>ciudad </w:t>
      </w:r>
      <w:r>
        <w:rPr>
          <w:spacing w:val="2"/>
        </w:rPr>
        <w:t>de </w:t>
      </w:r>
      <w:r>
        <w:rPr>
          <w:spacing w:val="3"/>
        </w:rPr>
        <w:t>Toluca </w:t>
      </w:r>
      <w:r>
        <w:rPr/>
        <w:t>y </w:t>
      </w:r>
      <w:r>
        <w:rPr>
          <w:spacing w:val="3"/>
        </w:rPr>
        <w:t>asentamientos </w:t>
      </w:r>
      <w:r>
        <w:rPr>
          <w:spacing w:val="4"/>
        </w:rPr>
        <w:t>rurales </w:t>
      </w:r>
      <w:r>
        <w:rPr>
          <w:spacing w:val="2"/>
        </w:rPr>
        <w:t>en </w:t>
      </w:r>
      <w:r>
        <w:rPr>
          <w:spacing w:val="4"/>
        </w:rPr>
        <w:t>las áreas </w:t>
      </w:r>
      <w:r>
        <w:rPr/>
        <w:t>más </w:t>
      </w:r>
      <w:r>
        <w:rPr>
          <w:spacing w:val="4"/>
        </w:rPr>
        <w:t>alejadas </w:t>
      </w:r>
      <w:r>
        <w:rPr>
          <w:spacing w:val="2"/>
        </w:rPr>
        <w:t>de </w:t>
      </w:r>
      <w:r>
        <w:rPr/>
        <w:t>la </w:t>
      </w:r>
      <w:r>
        <w:rPr>
          <w:spacing w:val="3"/>
        </w:rPr>
        <w:t>ciudad (Figura </w:t>
      </w:r>
      <w:r>
        <w:rPr>
          <w:spacing w:val="17"/>
        </w:rPr>
        <w:t> </w:t>
      </w:r>
      <w:r>
        <w:rPr>
          <w:spacing w:val="8"/>
        </w:rPr>
        <w:t>4).</w:t>
      </w:r>
    </w:p>
    <w:p>
      <w:pPr>
        <w:spacing w:after="0" w:line="360" w:lineRule="auto"/>
        <w:jc w:val="both"/>
        <w:sectPr>
          <w:pgSz w:w="12240" w:h="15840"/>
          <w:pgMar w:header="0" w:footer="1031" w:top="1360" w:bottom="1220" w:left="1580" w:right="1580"/>
        </w:sectPr>
      </w:pPr>
    </w:p>
    <w:p>
      <w:pPr>
        <w:pStyle w:val="BodyText"/>
        <w:rPr>
          <w:sz w:val="20"/>
        </w:rPr>
      </w:pPr>
    </w:p>
    <w:p>
      <w:pPr>
        <w:pStyle w:val="BodyText"/>
        <w:rPr>
          <w:sz w:val="20"/>
        </w:rPr>
      </w:pPr>
    </w:p>
    <w:p>
      <w:pPr>
        <w:pStyle w:val="BodyText"/>
        <w:spacing w:before="3"/>
        <w:rPr>
          <w:sz w:val="19"/>
        </w:rPr>
      </w:pPr>
    </w:p>
    <w:p>
      <w:pPr>
        <w:pStyle w:val="BodyText"/>
        <w:ind w:left="853"/>
        <w:rPr>
          <w:sz w:val="20"/>
        </w:rPr>
      </w:pPr>
      <w:r>
        <w:rPr>
          <w:sz w:val="20"/>
        </w:rPr>
        <w:pict>
          <v:group style="width:393.7pt;height:279.25pt;mso-position-horizontal-relative:char;mso-position-vertical-relative:line" coordorigin="0,0" coordsize="7874,5585">
            <v:shape style="position:absolute;left:45;top:48;width:7763;height:5492" type="#_x0000_t75" stroked="false">
              <v:imagedata r:id="rId37" o:title=""/>
            </v:shape>
            <v:rect style="position:absolute;left:23;top:23;width:7829;height:5540" filled="false" stroked="true" strokeweight="2.25pt" strokecolor="#001f5f"/>
          </v:group>
        </w:pict>
      </w:r>
      <w:r>
        <w:rPr>
          <w:sz w:val="20"/>
        </w:rPr>
      </w:r>
    </w:p>
    <w:p>
      <w:pPr>
        <w:pStyle w:val="BodyText"/>
        <w:spacing w:before="9"/>
        <w:rPr>
          <w:sz w:val="13"/>
        </w:rPr>
      </w:pPr>
    </w:p>
    <w:p>
      <w:pPr>
        <w:spacing w:before="72"/>
        <w:ind w:left="576" w:right="0" w:firstLine="0"/>
        <w:jc w:val="left"/>
        <w:rPr>
          <w:sz w:val="22"/>
        </w:rPr>
      </w:pPr>
      <w:r>
        <w:rPr>
          <w:sz w:val="22"/>
        </w:rPr>
        <w:t>Figura 4. Zona Metropolitana de Toluca en el contexto de la República Mexicana.</w:t>
      </w:r>
    </w:p>
    <w:p>
      <w:pPr>
        <w:pStyle w:val="BodyText"/>
        <w:rPr>
          <w:sz w:val="22"/>
        </w:rPr>
      </w:pPr>
    </w:p>
    <w:p>
      <w:pPr>
        <w:pStyle w:val="BodyText"/>
        <w:spacing w:before="1"/>
      </w:pPr>
    </w:p>
    <w:p>
      <w:pPr>
        <w:pStyle w:val="BodyText"/>
        <w:spacing w:line="360" w:lineRule="auto"/>
        <w:ind w:left="119" w:right="104"/>
        <w:jc w:val="both"/>
      </w:pPr>
      <w:r>
        <w:rPr/>
        <w:t>La zona en estudio tiene como principal característica, una incipiente pendiente de terreno que va desde la laguna de Almoloya del Río hasta las presas Ignacio Ramírez y Antonio Alzate, en los municipios de Almoloya de Juárez y Temoaya. Esta característica del terreno dificulta el desplazamiento natural de los caudales. Asimismo, en la zona sur de la Ciudad de Toluca se localiza el volcán Nevado de Toluca, cuyas faldas están constituidas principalmente por terrenos arenosos. Con las precipitaciones y escurrimientos pluviales, estos terrenos acarrean materiales diversos, azolvando cauces de ríos y sistemas de drenaje, provocando problemas de mayores como las inundaciones (CAEM, 2007).</w:t>
      </w:r>
    </w:p>
    <w:p>
      <w:pPr>
        <w:spacing w:after="0" w:line="360" w:lineRule="auto"/>
        <w:jc w:val="both"/>
        <w:sectPr>
          <w:pgSz w:w="12240" w:h="15840"/>
          <w:pgMar w:header="0" w:footer="1031" w:top="1500" w:bottom="1220" w:left="1580" w:right="1600"/>
        </w:sectPr>
      </w:pPr>
    </w:p>
    <w:p>
      <w:pPr>
        <w:pStyle w:val="Heading1"/>
        <w:numPr>
          <w:ilvl w:val="2"/>
          <w:numId w:val="18"/>
        </w:numPr>
        <w:tabs>
          <w:tab w:pos="1489" w:val="left" w:leader="none"/>
        </w:tabs>
        <w:spacing w:line="240" w:lineRule="auto" w:before="47" w:after="0"/>
        <w:ind w:left="1488" w:right="0" w:hanging="648"/>
        <w:jc w:val="left"/>
      </w:pPr>
      <w:bookmarkStart w:name="_TOC_250024" w:id="30"/>
      <w:r>
        <w:rPr/>
        <w:t>Clasificación de la vulnerabilidad</w:t>
      </w:r>
      <w:r>
        <w:rPr>
          <w:spacing w:val="-43"/>
        </w:rPr>
        <w:t> </w:t>
      </w:r>
      <w:bookmarkEnd w:id="30"/>
      <w:r>
        <w:rPr/>
        <w:t>edafológica</w:t>
      </w:r>
    </w:p>
    <w:p>
      <w:pPr>
        <w:pStyle w:val="BodyText"/>
        <w:rPr>
          <w:b/>
          <w:sz w:val="26"/>
        </w:rPr>
      </w:pPr>
    </w:p>
    <w:p>
      <w:pPr>
        <w:pStyle w:val="BodyText"/>
        <w:spacing w:line="360" w:lineRule="auto" w:before="180"/>
        <w:ind w:left="119" w:right="105"/>
        <w:jc w:val="both"/>
      </w:pPr>
      <w:r>
        <w:rPr/>
        <w:t>La</w:t>
      </w:r>
      <w:r>
        <w:rPr>
          <w:spacing w:val="-5"/>
        </w:rPr>
        <w:t> </w:t>
      </w:r>
      <w:r>
        <w:rPr/>
        <w:t>relación</w:t>
      </w:r>
      <w:r>
        <w:rPr>
          <w:spacing w:val="-5"/>
        </w:rPr>
        <w:t> </w:t>
      </w:r>
      <w:r>
        <w:rPr/>
        <w:t>suelo-roca</w:t>
      </w:r>
      <w:r>
        <w:rPr>
          <w:spacing w:val="-5"/>
        </w:rPr>
        <w:t> </w:t>
      </w:r>
      <w:r>
        <w:rPr/>
        <w:t>es</w:t>
      </w:r>
      <w:r>
        <w:rPr>
          <w:spacing w:val="-11"/>
        </w:rPr>
        <w:t> </w:t>
      </w:r>
      <w:r>
        <w:rPr/>
        <w:t>importante</w:t>
      </w:r>
      <w:r>
        <w:rPr>
          <w:spacing w:val="-5"/>
        </w:rPr>
        <w:t> </w:t>
      </w:r>
      <w:r>
        <w:rPr/>
        <w:t>para</w:t>
      </w:r>
      <w:r>
        <w:rPr>
          <w:spacing w:val="-10"/>
        </w:rPr>
        <w:t> </w:t>
      </w:r>
      <w:r>
        <w:rPr/>
        <w:t>la</w:t>
      </w:r>
      <w:r>
        <w:rPr>
          <w:spacing w:val="-5"/>
        </w:rPr>
        <w:t> </w:t>
      </w:r>
      <w:r>
        <w:rPr/>
        <w:t>formación</w:t>
      </w:r>
      <w:r>
        <w:rPr>
          <w:spacing w:val="-5"/>
        </w:rPr>
        <w:t> </w:t>
      </w:r>
      <w:r>
        <w:rPr/>
        <w:t>de</w:t>
      </w:r>
      <w:r>
        <w:rPr>
          <w:spacing w:val="-5"/>
        </w:rPr>
        <w:t> </w:t>
      </w:r>
      <w:r>
        <w:rPr/>
        <w:t>suelos,</w:t>
      </w:r>
      <w:r>
        <w:rPr>
          <w:spacing w:val="-5"/>
        </w:rPr>
        <w:t> </w:t>
      </w:r>
      <w:r>
        <w:rPr/>
        <w:t>para</w:t>
      </w:r>
      <w:r>
        <w:rPr>
          <w:spacing w:val="-5"/>
        </w:rPr>
        <w:t> </w:t>
      </w:r>
      <w:r>
        <w:rPr/>
        <w:t>el</w:t>
      </w:r>
      <w:r>
        <w:rPr>
          <w:spacing w:val="-2"/>
        </w:rPr>
        <w:t> </w:t>
      </w:r>
      <w:r>
        <w:rPr/>
        <w:t>sostén</w:t>
      </w:r>
      <w:r>
        <w:rPr>
          <w:spacing w:val="-5"/>
        </w:rPr>
        <w:t> </w:t>
      </w:r>
      <w:r>
        <w:rPr/>
        <w:t>de construcciones humanas y para la obtención del recurso agua, procesos que guardan estrecha relación con los de asentamiento</w:t>
      </w:r>
      <w:r>
        <w:rPr>
          <w:spacing w:val="-26"/>
        </w:rPr>
        <w:t> </w:t>
      </w:r>
      <w:r>
        <w:rPr/>
        <w:t>humano.</w:t>
      </w:r>
    </w:p>
    <w:p>
      <w:pPr>
        <w:pStyle w:val="BodyText"/>
      </w:pPr>
    </w:p>
    <w:p>
      <w:pPr>
        <w:pStyle w:val="BodyText"/>
        <w:spacing w:line="360" w:lineRule="auto" w:before="140"/>
        <w:ind w:left="119" w:right="98"/>
        <w:jc w:val="both"/>
      </w:pPr>
      <w:r>
        <w:rPr/>
        <w:t>Uno</w:t>
      </w:r>
      <w:r>
        <w:rPr>
          <w:spacing w:val="-5"/>
        </w:rPr>
        <w:t> </w:t>
      </w:r>
      <w:r>
        <w:rPr/>
        <w:t>de</w:t>
      </w:r>
      <w:r>
        <w:rPr>
          <w:spacing w:val="-10"/>
        </w:rPr>
        <w:t> </w:t>
      </w:r>
      <w:r>
        <w:rPr/>
        <w:t>los</w:t>
      </w:r>
      <w:r>
        <w:rPr>
          <w:spacing w:val="-11"/>
        </w:rPr>
        <w:t> </w:t>
      </w:r>
      <w:r>
        <w:rPr/>
        <w:t>elementos</w:t>
      </w:r>
      <w:r>
        <w:rPr>
          <w:spacing w:val="-1"/>
        </w:rPr>
        <w:t> </w:t>
      </w:r>
      <w:r>
        <w:rPr>
          <w:spacing w:val="-3"/>
        </w:rPr>
        <w:t>más</w:t>
      </w:r>
      <w:r>
        <w:rPr>
          <w:spacing w:val="-6"/>
        </w:rPr>
        <w:t> </w:t>
      </w:r>
      <w:r>
        <w:rPr/>
        <w:t>importantes</w:t>
      </w:r>
      <w:r>
        <w:rPr>
          <w:spacing w:val="-6"/>
        </w:rPr>
        <w:t> </w:t>
      </w:r>
      <w:r>
        <w:rPr/>
        <w:t>que</w:t>
      </w:r>
      <w:r>
        <w:rPr>
          <w:spacing w:val="-10"/>
        </w:rPr>
        <w:t> </w:t>
      </w:r>
      <w:r>
        <w:rPr/>
        <w:t>dan</w:t>
      </w:r>
      <w:r>
        <w:rPr>
          <w:spacing w:val="-5"/>
        </w:rPr>
        <w:t> </w:t>
      </w:r>
      <w:r>
        <w:rPr/>
        <w:t>origen</w:t>
      </w:r>
      <w:r>
        <w:rPr>
          <w:spacing w:val="-5"/>
        </w:rPr>
        <w:t> </w:t>
      </w:r>
      <w:r>
        <w:rPr/>
        <w:t>a</w:t>
      </w:r>
      <w:r>
        <w:rPr>
          <w:spacing w:val="-10"/>
        </w:rPr>
        <w:t> </w:t>
      </w:r>
      <w:r>
        <w:rPr/>
        <w:t>los</w:t>
      </w:r>
      <w:r>
        <w:rPr>
          <w:spacing w:val="-11"/>
        </w:rPr>
        <w:t> </w:t>
      </w:r>
      <w:r>
        <w:rPr/>
        <w:t>diversos</w:t>
      </w:r>
      <w:r>
        <w:rPr>
          <w:spacing w:val="-11"/>
        </w:rPr>
        <w:t> </w:t>
      </w:r>
      <w:r>
        <w:rPr/>
        <w:t>tipos</w:t>
      </w:r>
      <w:r>
        <w:rPr>
          <w:spacing w:val="-6"/>
        </w:rPr>
        <w:t> </w:t>
      </w:r>
      <w:r>
        <w:rPr/>
        <w:t>de</w:t>
      </w:r>
      <w:r>
        <w:rPr>
          <w:spacing w:val="-5"/>
        </w:rPr>
        <w:t> </w:t>
      </w:r>
      <w:r>
        <w:rPr/>
        <w:t>suelo es la actuación de los diferentes factores climáticos, el material parental original y los</w:t>
      </w:r>
      <w:r>
        <w:rPr>
          <w:spacing w:val="-10"/>
        </w:rPr>
        <w:t> </w:t>
      </w:r>
      <w:r>
        <w:rPr/>
        <w:t>procesos</w:t>
      </w:r>
      <w:r>
        <w:rPr>
          <w:spacing w:val="-14"/>
        </w:rPr>
        <w:t> </w:t>
      </w:r>
      <w:r>
        <w:rPr/>
        <w:t>litológicos</w:t>
      </w:r>
      <w:r>
        <w:rPr>
          <w:spacing w:val="-10"/>
        </w:rPr>
        <w:t> </w:t>
      </w:r>
      <w:r>
        <w:rPr/>
        <w:t>y</w:t>
      </w:r>
      <w:r>
        <w:rPr>
          <w:spacing w:val="-10"/>
        </w:rPr>
        <w:t> </w:t>
      </w:r>
      <w:r>
        <w:rPr/>
        <w:t>orogénicos</w:t>
      </w:r>
      <w:r>
        <w:rPr>
          <w:spacing w:val="-10"/>
        </w:rPr>
        <w:t> </w:t>
      </w:r>
      <w:r>
        <w:rPr>
          <w:spacing w:val="-3"/>
        </w:rPr>
        <w:t>más</w:t>
      </w:r>
      <w:r>
        <w:rPr>
          <w:spacing w:val="-10"/>
        </w:rPr>
        <w:t> </w:t>
      </w:r>
      <w:r>
        <w:rPr/>
        <w:t>importantes</w:t>
      </w:r>
      <w:r>
        <w:rPr>
          <w:spacing w:val="-1"/>
        </w:rPr>
        <w:t> </w:t>
      </w:r>
      <w:r>
        <w:rPr/>
        <w:t>que</w:t>
      </w:r>
      <w:r>
        <w:rPr>
          <w:spacing w:val="-9"/>
        </w:rPr>
        <w:t> </w:t>
      </w:r>
      <w:r>
        <w:rPr/>
        <w:t>se</w:t>
      </w:r>
      <w:r>
        <w:rPr>
          <w:spacing w:val="-9"/>
        </w:rPr>
        <w:t> </w:t>
      </w:r>
      <w:r>
        <w:rPr/>
        <w:t>han</w:t>
      </w:r>
      <w:r>
        <w:rPr>
          <w:spacing w:val="-14"/>
        </w:rPr>
        <w:t> </w:t>
      </w:r>
      <w:r>
        <w:rPr/>
        <w:t>llevado</w:t>
      </w:r>
      <w:r>
        <w:rPr>
          <w:spacing w:val="-9"/>
        </w:rPr>
        <w:t> </w:t>
      </w:r>
      <w:r>
        <w:rPr/>
        <w:t>a</w:t>
      </w:r>
      <w:r>
        <w:rPr>
          <w:spacing w:val="-9"/>
        </w:rPr>
        <w:t> </w:t>
      </w:r>
      <w:r>
        <w:rPr/>
        <w:t>cabo</w:t>
      </w:r>
      <w:r>
        <w:rPr>
          <w:spacing w:val="-9"/>
        </w:rPr>
        <w:t> </w:t>
      </w:r>
      <w:r>
        <w:rPr/>
        <w:t>en términos de tiempo</w:t>
      </w:r>
      <w:r>
        <w:rPr>
          <w:spacing w:val="-9"/>
        </w:rPr>
        <w:t> </w:t>
      </w:r>
      <w:r>
        <w:rPr/>
        <w:t>geológico.</w:t>
      </w:r>
    </w:p>
    <w:p>
      <w:pPr>
        <w:pStyle w:val="BodyText"/>
      </w:pPr>
    </w:p>
    <w:p>
      <w:pPr>
        <w:spacing w:before="144"/>
        <w:ind w:left="2838" w:right="0" w:firstLine="0"/>
        <w:jc w:val="left"/>
        <w:rPr>
          <w:sz w:val="22"/>
        </w:rPr>
      </w:pPr>
      <w:r>
        <w:rPr>
          <w:sz w:val="22"/>
        </w:rPr>
        <w:t>Mapa 1. Tipos de suelo en la ZMT.</w:t>
      </w:r>
    </w:p>
    <w:p>
      <w:pPr>
        <w:pStyle w:val="BodyText"/>
        <w:spacing w:before="6"/>
        <w:rPr>
          <w:sz w:val="21"/>
        </w:rPr>
      </w:pPr>
      <w:r>
        <w:rPr/>
        <w:pict>
          <v:group style="position:absolute;margin-left:89pt;margin-top:14.343939pt;width:435.15pt;height:336.95pt;mso-position-horizontal-relative:page;mso-position-vertical-relative:paragraph;z-index:1456;mso-wrap-distance-left:0;mso-wrap-distance-right:0" coordorigin="1780,287" coordsize="8703,6739">
            <v:shape style="position:absolute;left:1795;top:302;width:8673;height:6709" type="#_x0000_t75" stroked="false">
              <v:imagedata r:id="rId38" o:title=""/>
            </v:shape>
            <v:rect style="position:absolute;left:1788;top:294;width:8688;height:6724" filled="false" stroked="true" strokeweight=".75pt" strokecolor="#000000"/>
            <w10:wrap type="topAndBottom"/>
          </v:group>
        </w:pict>
      </w:r>
    </w:p>
    <w:p>
      <w:pPr>
        <w:spacing w:before="52"/>
        <w:ind w:left="825" w:right="0" w:firstLine="0"/>
        <w:jc w:val="left"/>
        <w:rPr>
          <w:sz w:val="20"/>
        </w:rPr>
      </w:pPr>
      <w:r>
        <w:rPr>
          <w:sz w:val="20"/>
        </w:rPr>
        <w:t>Fuente: Elaboración propia con base en INEGI (2005).</w:t>
      </w:r>
    </w:p>
    <w:p>
      <w:pPr>
        <w:spacing w:after="0"/>
        <w:jc w:val="left"/>
        <w:rPr>
          <w:sz w:val="20"/>
        </w:rPr>
        <w:sectPr>
          <w:pgSz w:w="12240" w:h="15840"/>
          <w:pgMar w:header="0" w:footer="1031" w:top="1360" w:bottom="1220" w:left="1580" w:right="1600"/>
        </w:sectPr>
      </w:pPr>
    </w:p>
    <w:p>
      <w:pPr>
        <w:pStyle w:val="BodyText"/>
        <w:spacing w:line="360" w:lineRule="auto" w:before="52"/>
        <w:ind w:left="119" w:right="126"/>
        <w:jc w:val="both"/>
        <w:rPr>
          <w:sz w:val="22"/>
        </w:rPr>
      </w:pPr>
      <w:r>
        <w:rPr/>
        <w:t>En la ZMT se localizan 10 grupos edáficos de los 38 establecidos en el mapa mundial de suelos de la FAO/UNESCO 1988. En el territorio nacional, cada grupo se subdivide en unidades de suelo, sobre la base de interacciones de génesis, características físico-químicas, distribución geográfica y su participación dentro de la dinámica ambiental. (Mapa </w:t>
      </w:r>
      <w:r>
        <w:rPr>
          <w:sz w:val="22"/>
        </w:rPr>
        <w:t>1).</w:t>
      </w:r>
    </w:p>
    <w:p>
      <w:pPr>
        <w:pStyle w:val="BodyText"/>
        <w:spacing w:line="360" w:lineRule="auto" w:before="7"/>
        <w:ind w:left="119" w:right="115"/>
        <w:jc w:val="both"/>
      </w:pPr>
      <w:r>
        <w:rPr/>
        <w:t>En la ZMT, es posible identificar algunos de los procesos litológicos que se han llevado</w:t>
      </w:r>
      <w:r>
        <w:rPr>
          <w:spacing w:val="-16"/>
        </w:rPr>
        <w:t> </w:t>
      </w:r>
      <w:r>
        <w:rPr/>
        <w:t>a</w:t>
      </w:r>
      <w:r>
        <w:rPr>
          <w:spacing w:val="-19"/>
        </w:rPr>
        <w:t> </w:t>
      </w:r>
      <w:r>
        <w:rPr/>
        <w:t>cabo</w:t>
      </w:r>
      <w:r>
        <w:rPr>
          <w:spacing w:val="-19"/>
        </w:rPr>
        <w:t> </w:t>
      </w:r>
      <w:r>
        <w:rPr/>
        <w:t>para</w:t>
      </w:r>
      <w:r>
        <w:rPr>
          <w:spacing w:val="-19"/>
        </w:rPr>
        <w:t> </w:t>
      </w:r>
      <w:r>
        <w:rPr/>
        <w:t>originar</w:t>
      </w:r>
      <w:r>
        <w:rPr>
          <w:spacing w:val="-18"/>
        </w:rPr>
        <w:t> </w:t>
      </w:r>
      <w:r>
        <w:rPr/>
        <w:t>los</w:t>
      </w:r>
      <w:r>
        <w:rPr>
          <w:spacing w:val="-16"/>
        </w:rPr>
        <w:t> </w:t>
      </w:r>
      <w:r>
        <w:rPr/>
        <w:t>diversos</w:t>
      </w:r>
      <w:r>
        <w:rPr>
          <w:spacing w:val="-16"/>
        </w:rPr>
        <w:t> </w:t>
      </w:r>
      <w:r>
        <w:rPr/>
        <w:t>tipos</w:t>
      </w:r>
      <w:r>
        <w:rPr>
          <w:spacing w:val="-20"/>
        </w:rPr>
        <w:t> </w:t>
      </w:r>
      <w:r>
        <w:rPr/>
        <w:t>de</w:t>
      </w:r>
      <w:r>
        <w:rPr>
          <w:spacing w:val="-16"/>
        </w:rPr>
        <w:t> </w:t>
      </w:r>
      <w:r>
        <w:rPr/>
        <w:t>suelo.</w:t>
      </w:r>
      <w:r>
        <w:rPr>
          <w:spacing w:val="-20"/>
        </w:rPr>
        <w:t> </w:t>
      </w:r>
      <w:r>
        <w:rPr/>
        <w:t>En</w:t>
      </w:r>
      <w:r>
        <w:rPr>
          <w:spacing w:val="-16"/>
        </w:rPr>
        <w:t> </w:t>
      </w:r>
      <w:r>
        <w:rPr/>
        <w:t>este</w:t>
      </w:r>
      <w:r>
        <w:rPr>
          <w:spacing w:val="-16"/>
        </w:rPr>
        <w:t> </w:t>
      </w:r>
      <w:r>
        <w:rPr/>
        <w:t>sentido,</w:t>
      </w:r>
      <w:r>
        <w:rPr>
          <w:spacing w:val="-20"/>
        </w:rPr>
        <w:t> </w:t>
      </w:r>
      <w:r>
        <w:rPr/>
        <w:t>la</w:t>
      </w:r>
      <w:r>
        <w:rPr>
          <w:spacing w:val="-19"/>
        </w:rPr>
        <w:t> </w:t>
      </w:r>
      <w:r>
        <w:rPr/>
        <w:t>presencia de acrisoles y andosoles, está condicionada por el tipo de material parental, principalmente materiales volcánicos intemperizados o </w:t>
      </w:r>
      <w:r>
        <w:rPr>
          <w:spacing w:val="-3"/>
        </w:rPr>
        <w:t>muy </w:t>
      </w:r>
      <w:r>
        <w:rPr/>
        <w:t>intemperizados y materiales orgánicos, con alto contenido de arcillas. De ahí la localización de los andosoles y acrisoles en las zonas de sierra volcánica del centro y oriente del estado.</w:t>
      </w:r>
    </w:p>
    <w:p>
      <w:pPr>
        <w:pStyle w:val="BodyText"/>
      </w:pPr>
    </w:p>
    <w:p>
      <w:pPr>
        <w:pStyle w:val="BodyText"/>
        <w:spacing w:line="360" w:lineRule="auto" w:before="144"/>
        <w:ind w:left="119" w:right="128"/>
        <w:jc w:val="both"/>
      </w:pPr>
      <w:r>
        <w:rPr/>
        <w:t>El Feozem es el suelo con mayor distribución en el estado (42%). Esta unidad de suelo en condiciones normales mantiene casi cualquier tipo de vegetación, se desarrolla tanto en los terrenos planos como en los montañosos; su</w:t>
      </w:r>
      <w:r>
        <w:rPr>
          <w:spacing w:val="-44"/>
        </w:rPr>
        <w:t> </w:t>
      </w:r>
      <w:r>
        <w:rPr/>
        <w:t>susceptibilidad a la erosión está relacionada con el terreno donde se encuentra. Su potencialidad para usos agrícolas y pecuarios es </w:t>
      </w:r>
      <w:r>
        <w:rPr>
          <w:spacing w:val="-3"/>
        </w:rPr>
        <w:t>muy </w:t>
      </w:r>
      <w:r>
        <w:rPr/>
        <w:t>alta, debido a sus altos contenidos de materia orgánica y su buen drenaje y profundidad (Ortiz,</w:t>
      </w:r>
      <w:r>
        <w:rPr>
          <w:spacing w:val="-27"/>
        </w:rPr>
        <w:t> </w:t>
      </w:r>
      <w:r>
        <w:rPr/>
        <w:t>1994).</w:t>
      </w:r>
    </w:p>
    <w:p>
      <w:pPr>
        <w:pStyle w:val="BodyText"/>
      </w:pPr>
    </w:p>
    <w:p>
      <w:pPr>
        <w:pStyle w:val="BodyText"/>
        <w:spacing w:line="360" w:lineRule="auto" w:before="140"/>
        <w:ind w:left="119" w:right="114"/>
        <w:jc w:val="both"/>
      </w:pPr>
      <w:r>
        <w:rPr/>
        <w:t>Una</w:t>
      </w:r>
      <w:r>
        <w:rPr>
          <w:spacing w:val="-14"/>
        </w:rPr>
        <w:t> </w:t>
      </w:r>
      <w:r>
        <w:rPr/>
        <w:t>vez</w:t>
      </w:r>
      <w:r>
        <w:rPr>
          <w:spacing w:val="-15"/>
        </w:rPr>
        <w:t> </w:t>
      </w:r>
      <w:r>
        <w:rPr/>
        <w:t>analizada</w:t>
      </w:r>
      <w:r>
        <w:rPr>
          <w:spacing w:val="-19"/>
        </w:rPr>
        <w:t> </w:t>
      </w:r>
      <w:r>
        <w:rPr/>
        <w:t>la</w:t>
      </w:r>
      <w:r>
        <w:rPr>
          <w:spacing w:val="-15"/>
        </w:rPr>
        <w:t> </w:t>
      </w:r>
      <w:r>
        <w:rPr/>
        <w:t>clasificación</w:t>
      </w:r>
      <w:r>
        <w:rPr>
          <w:spacing w:val="-15"/>
        </w:rPr>
        <w:t> </w:t>
      </w:r>
      <w:r>
        <w:rPr/>
        <w:t>de</w:t>
      </w:r>
      <w:r>
        <w:rPr>
          <w:spacing w:val="-19"/>
        </w:rPr>
        <w:t> </w:t>
      </w:r>
      <w:r>
        <w:rPr/>
        <w:t>la</w:t>
      </w:r>
      <w:r>
        <w:rPr>
          <w:spacing w:val="-15"/>
        </w:rPr>
        <w:t> </w:t>
      </w:r>
      <w:r>
        <w:rPr/>
        <w:t>edafología</w:t>
      </w:r>
      <w:r>
        <w:rPr>
          <w:spacing w:val="-14"/>
        </w:rPr>
        <w:t> </w:t>
      </w:r>
      <w:r>
        <w:rPr/>
        <w:t>en</w:t>
      </w:r>
      <w:r>
        <w:rPr>
          <w:spacing w:val="-19"/>
        </w:rPr>
        <w:t> </w:t>
      </w:r>
      <w:r>
        <w:rPr/>
        <w:t>las</w:t>
      </w:r>
      <w:r>
        <w:rPr>
          <w:spacing w:val="-15"/>
        </w:rPr>
        <w:t> </w:t>
      </w:r>
      <w:r>
        <w:rPr/>
        <w:t>figuras</w:t>
      </w:r>
      <w:r>
        <w:rPr>
          <w:spacing w:val="-15"/>
        </w:rPr>
        <w:t> </w:t>
      </w:r>
      <w:r>
        <w:rPr/>
        <w:t>anteriores</w:t>
      </w:r>
      <w:r>
        <w:rPr>
          <w:spacing w:val="-15"/>
        </w:rPr>
        <w:t> </w:t>
      </w:r>
      <w:r>
        <w:rPr/>
        <w:t>se</w:t>
      </w:r>
      <w:r>
        <w:rPr>
          <w:spacing w:val="-1"/>
        </w:rPr>
        <w:t> </w:t>
      </w:r>
      <w:r>
        <w:rPr/>
        <w:t>aplicó el método </w:t>
      </w:r>
      <w:r>
        <w:rPr>
          <w:spacing w:val="-2"/>
        </w:rPr>
        <w:t>EMC </w:t>
      </w:r>
      <w:r>
        <w:rPr/>
        <w:t>al factor mencionado y </w:t>
      </w:r>
      <w:r>
        <w:rPr>
          <w:spacing w:val="-3"/>
        </w:rPr>
        <w:t>se </w:t>
      </w:r>
      <w:r>
        <w:rPr/>
        <w:t>obtuvo la vulnerabilidad edafológica, los resultados </w:t>
      </w:r>
      <w:r>
        <w:rPr>
          <w:spacing w:val="-3"/>
        </w:rPr>
        <w:t>se </w:t>
      </w:r>
      <w:r>
        <w:rPr/>
        <w:t>observan en el siguiente</w:t>
      </w:r>
      <w:r>
        <w:rPr>
          <w:spacing w:val="-13"/>
        </w:rPr>
        <w:t> </w:t>
      </w:r>
      <w:r>
        <w:rPr/>
        <w:t>mapa.</w:t>
      </w:r>
    </w:p>
    <w:p>
      <w:pPr>
        <w:spacing w:after="0" w:line="360" w:lineRule="auto"/>
        <w:jc w:val="both"/>
        <w:sectPr>
          <w:pgSz w:w="12240" w:h="15840"/>
          <w:pgMar w:header="0" w:footer="1031" w:top="1360" w:bottom="1220" w:left="1580" w:right="1580"/>
        </w:sectPr>
      </w:pPr>
    </w:p>
    <w:p>
      <w:pPr>
        <w:spacing w:before="51"/>
        <w:ind w:left="2242" w:right="70" w:firstLine="0"/>
        <w:jc w:val="left"/>
        <w:rPr>
          <w:sz w:val="22"/>
        </w:rPr>
      </w:pPr>
      <w:r>
        <w:rPr/>
        <w:drawing>
          <wp:anchor distT="0" distB="0" distL="0" distR="0" allowOverlap="1" layoutInCell="1" locked="0" behindDoc="1" simplePos="0" relativeHeight="268315343">
            <wp:simplePos x="0" y="0"/>
            <wp:positionH relativeFrom="page">
              <wp:posOffset>1196339</wp:posOffset>
            </wp:positionH>
            <wp:positionV relativeFrom="paragraph">
              <wp:posOffset>362176</wp:posOffset>
            </wp:positionV>
            <wp:extent cx="5507609" cy="4231005"/>
            <wp:effectExtent l="0" t="0" r="0" b="0"/>
            <wp:wrapNone/>
            <wp:docPr id="15" name="image26.jpeg" descr=""/>
            <wp:cNvGraphicFramePr>
              <a:graphicFrameLocks noChangeAspect="1"/>
            </wp:cNvGraphicFramePr>
            <a:graphic>
              <a:graphicData uri="http://schemas.openxmlformats.org/drawingml/2006/picture">
                <pic:pic>
                  <pic:nvPicPr>
                    <pic:cNvPr id="16" name="image26.jpeg"/>
                    <pic:cNvPicPr/>
                  </pic:nvPicPr>
                  <pic:blipFill>
                    <a:blip r:embed="rId39" cstate="print"/>
                    <a:stretch>
                      <a:fillRect/>
                    </a:stretch>
                  </pic:blipFill>
                  <pic:spPr>
                    <a:xfrm>
                      <a:off x="0" y="0"/>
                      <a:ext cx="5507609" cy="4231005"/>
                    </a:xfrm>
                    <a:prstGeom prst="rect">
                      <a:avLst/>
                    </a:prstGeom>
                  </pic:spPr>
                </pic:pic>
              </a:graphicData>
            </a:graphic>
          </wp:anchor>
        </w:drawing>
      </w:r>
      <w:r>
        <w:rPr>
          <w:sz w:val="22"/>
        </w:rPr>
        <w:t>Mapa 2. Clasificación de la vulnerabilidad edafológica.</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5"/>
        <w:rPr>
          <w:sz w:val="26"/>
        </w:rPr>
      </w:pPr>
    </w:p>
    <w:p>
      <w:pPr>
        <w:spacing w:before="0"/>
        <w:ind w:left="825" w:right="70" w:firstLine="0"/>
        <w:jc w:val="left"/>
        <w:rPr>
          <w:sz w:val="20"/>
        </w:rPr>
      </w:pPr>
      <w:r>
        <w:rPr>
          <w:sz w:val="20"/>
        </w:rPr>
        <w:t>Fuente: Elaboración propia con base en INEGI (2005).</w:t>
      </w:r>
    </w:p>
    <w:p>
      <w:pPr>
        <w:pStyle w:val="BodyText"/>
        <w:spacing w:before="1"/>
        <w:rPr>
          <w:sz w:val="20"/>
        </w:rPr>
      </w:pPr>
    </w:p>
    <w:p>
      <w:pPr>
        <w:pStyle w:val="BodyText"/>
        <w:spacing w:line="360" w:lineRule="auto"/>
        <w:ind w:left="119" w:right="114"/>
        <w:jc w:val="both"/>
      </w:pPr>
      <w:r>
        <w:rPr/>
        <w:t>La clasificación </w:t>
      </w:r>
      <w:r>
        <w:rPr>
          <w:spacing w:val="-3"/>
        </w:rPr>
        <w:t>se </w:t>
      </w:r>
      <w:r>
        <w:rPr/>
        <w:t>basa en que la vulnerabilidad es valorada de acuerdo a los colores</w:t>
      </w:r>
      <w:r>
        <w:rPr>
          <w:spacing w:val="-17"/>
        </w:rPr>
        <w:t> </w:t>
      </w:r>
      <w:r>
        <w:rPr/>
        <w:t>del</w:t>
      </w:r>
      <w:r>
        <w:rPr>
          <w:spacing w:val="-13"/>
        </w:rPr>
        <w:t> </w:t>
      </w:r>
      <w:r>
        <w:rPr/>
        <w:t>semáforo</w:t>
      </w:r>
      <w:r>
        <w:rPr>
          <w:spacing w:val="-17"/>
        </w:rPr>
        <w:t> </w:t>
      </w:r>
      <w:r>
        <w:rPr/>
        <w:t>en</w:t>
      </w:r>
      <w:r>
        <w:rPr>
          <w:spacing w:val="-17"/>
        </w:rPr>
        <w:t> </w:t>
      </w:r>
      <w:r>
        <w:rPr/>
        <w:t>donde</w:t>
      </w:r>
      <w:r>
        <w:rPr>
          <w:spacing w:val="-17"/>
        </w:rPr>
        <w:t> </w:t>
      </w:r>
      <w:r>
        <w:rPr/>
        <w:t>el</w:t>
      </w:r>
      <w:r>
        <w:rPr>
          <w:spacing w:val="-18"/>
        </w:rPr>
        <w:t> </w:t>
      </w:r>
      <w:r>
        <w:rPr/>
        <w:t>indica</w:t>
      </w:r>
      <w:r>
        <w:rPr>
          <w:spacing w:val="-17"/>
        </w:rPr>
        <w:t> </w:t>
      </w:r>
      <w:r>
        <w:rPr/>
        <w:t>una</w:t>
      </w:r>
      <w:r>
        <w:rPr>
          <w:spacing w:val="-17"/>
        </w:rPr>
        <w:t> </w:t>
      </w:r>
      <w:r>
        <w:rPr/>
        <w:t>alta</w:t>
      </w:r>
      <w:r>
        <w:rPr>
          <w:spacing w:val="-17"/>
        </w:rPr>
        <w:t> </w:t>
      </w:r>
      <w:r>
        <w:rPr/>
        <w:t>vulnerabilidad,</w:t>
      </w:r>
      <w:r>
        <w:rPr>
          <w:spacing w:val="34"/>
        </w:rPr>
        <w:t> </w:t>
      </w:r>
      <w:r>
        <w:rPr/>
        <w:t>rojo,</w:t>
      </w:r>
      <w:r>
        <w:rPr>
          <w:spacing w:val="-17"/>
        </w:rPr>
        <w:t> </w:t>
      </w:r>
      <w:r>
        <w:rPr/>
        <w:t>amarillo</w:t>
      </w:r>
      <w:r>
        <w:rPr>
          <w:spacing w:val="-17"/>
        </w:rPr>
        <w:t> </w:t>
      </w:r>
      <w:r>
        <w:rPr/>
        <w:t>media y verde una baja</w:t>
      </w:r>
      <w:r>
        <w:rPr>
          <w:spacing w:val="-13"/>
        </w:rPr>
        <w:t> </w:t>
      </w:r>
      <w:r>
        <w:rPr/>
        <w:t>vulnerabilidad.</w:t>
      </w:r>
    </w:p>
    <w:p>
      <w:pPr>
        <w:pStyle w:val="BodyText"/>
      </w:pPr>
    </w:p>
    <w:p>
      <w:pPr>
        <w:pStyle w:val="BodyText"/>
        <w:spacing w:line="357" w:lineRule="auto" w:before="144"/>
        <w:ind w:left="119" w:right="114"/>
        <w:jc w:val="both"/>
      </w:pPr>
      <w:r>
        <w:rPr/>
        <w:t>En el mapa 2 se observa que los municipios Lerma, Otzolotepec, Xonacatlan </w:t>
      </w:r>
      <w:r>
        <w:rPr>
          <w:spacing w:val="-3"/>
        </w:rPr>
        <w:t>se </w:t>
      </w:r>
      <w:r>
        <w:rPr/>
        <w:t>clasificaron</w:t>
      </w:r>
      <w:r>
        <w:rPr>
          <w:spacing w:val="-7"/>
        </w:rPr>
        <w:t> </w:t>
      </w:r>
      <w:r>
        <w:rPr/>
        <w:t>con</w:t>
      </w:r>
      <w:r>
        <w:rPr>
          <w:spacing w:val="-7"/>
        </w:rPr>
        <w:t> </w:t>
      </w:r>
      <w:r>
        <w:rPr/>
        <w:t>una</w:t>
      </w:r>
      <w:r>
        <w:rPr>
          <w:spacing w:val="-3"/>
        </w:rPr>
        <w:t> </w:t>
      </w:r>
      <w:r>
        <w:rPr/>
        <w:t>vulnerabilidad</w:t>
      </w:r>
      <w:r>
        <w:rPr>
          <w:spacing w:val="-7"/>
        </w:rPr>
        <w:t> </w:t>
      </w:r>
      <w:r>
        <w:rPr/>
        <w:t>alta</w:t>
      </w:r>
      <w:r>
        <w:rPr>
          <w:spacing w:val="-8"/>
        </w:rPr>
        <w:t> </w:t>
      </w:r>
      <w:r>
        <w:rPr/>
        <w:t>(20%),</w:t>
      </w:r>
      <w:r>
        <w:rPr>
          <w:spacing w:val="-12"/>
        </w:rPr>
        <w:t> </w:t>
      </w:r>
      <w:r>
        <w:rPr/>
        <w:t>ya</w:t>
      </w:r>
      <w:r>
        <w:rPr>
          <w:spacing w:val="-6"/>
        </w:rPr>
        <w:t> </w:t>
      </w:r>
      <w:r>
        <w:rPr/>
        <w:t>que</w:t>
      </w:r>
      <w:r>
        <w:rPr>
          <w:spacing w:val="-12"/>
        </w:rPr>
        <w:t> </w:t>
      </w:r>
      <w:r>
        <w:rPr/>
        <w:t>los</w:t>
      </w:r>
      <w:r>
        <w:rPr>
          <w:spacing w:val="-8"/>
        </w:rPr>
        <w:t> </w:t>
      </w:r>
      <w:r>
        <w:rPr/>
        <w:t>suelos</w:t>
      </w:r>
      <w:r>
        <w:rPr>
          <w:spacing w:val="-13"/>
        </w:rPr>
        <w:t> </w:t>
      </w:r>
      <w:r>
        <w:rPr/>
        <w:t>presentes</w:t>
      </w:r>
      <w:r>
        <w:rPr>
          <w:spacing w:val="-8"/>
        </w:rPr>
        <w:t> </w:t>
      </w:r>
      <w:r>
        <w:rPr/>
        <w:t>en</w:t>
      </w:r>
      <w:r>
        <w:rPr>
          <w:spacing w:val="-7"/>
        </w:rPr>
        <w:t> </w:t>
      </w:r>
      <w:r>
        <w:rPr/>
        <w:t>estas zonas poseen una capa impermeable cercana a la superficie del suelo y cuentan con</w:t>
      </w:r>
      <w:r>
        <w:rPr>
          <w:spacing w:val="-17"/>
        </w:rPr>
        <w:t> </w:t>
      </w:r>
      <w:r>
        <w:rPr/>
        <w:t>un</w:t>
      </w:r>
      <w:r>
        <w:rPr>
          <w:spacing w:val="-17"/>
        </w:rPr>
        <w:t> </w:t>
      </w:r>
      <w:r>
        <w:rPr/>
        <w:t>drenaje</w:t>
      </w:r>
      <w:r>
        <w:rPr>
          <w:spacing w:val="-17"/>
        </w:rPr>
        <w:t> </w:t>
      </w:r>
      <w:r>
        <w:rPr/>
        <w:t>deficiente</w:t>
      </w:r>
      <w:r>
        <w:rPr>
          <w:spacing w:val="-21"/>
        </w:rPr>
        <w:t> </w:t>
      </w:r>
      <w:r>
        <w:rPr/>
        <w:t>lo</w:t>
      </w:r>
      <w:r>
        <w:rPr>
          <w:spacing w:val="-17"/>
        </w:rPr>
        <w:t> </w:t>
      </w:r>
      <w:r>
        <w:rPr/>
        <w:t>que</w:t>
      </w:r>
      <w:r>
        <w:rPr>
          <w:spacing w:val="-17"/>
        </w:rPr>
        <w:t> </w:t>
      </w:r>
      <w:r>
        <w:rPr/>
        <w:t>genera</w:t>
      </w:r>
      <w:r>
        <w:rPr>
          <w:spacing w:val="-17"/>
        </w:rPr>
        <w:t> </w:t>
      </w:r>
      <w:r>
        <w:rPr/>
        <w:t>estancamientos</w:t>
      </w:r>
      <w:r>
        <w:rPr>
          <w:spacing w:val="-8"/>
        </w:rPr>
        <w:t> </w:t>
      </w:r>
      <w:r>
        <w:rPr/>
        <w:t>durante</w:t>
      </w:r>
      <w:r>
        <w:rPr>
          <w:spacing w:val="-21"/>
        </w:rPr>
        <w:t> </w:t>
      </w:r>
      <w:r>
        <w:rPr/>
        <w:t>la</w:t>
      </w:r>
      <w:r>
        <w:rPr>
          <w:spacing w:val="-17"/>
        </w:rPr>
        <w:t> </w:t>
      </w:r>
      <w:r>
        <w:rPr/>
        <w:t>estación</w:t>
      </w:r>
      <w:r>
        <w:rPr>
          <w:spacing w:val="-21"/>
        </w:rPr>
        <w:t> </w:t>
      </w:r>
      <w:r>
        <w:rPr/>
        <w:t>lluviosa. El</w:t>
      </w:r>
      <w:r>
        <w:rPr>
          <w:spacing w:val="-6"/>
        </w:rPr>
        <w:t> </w:t>
      </w:r>
      <w:r>
        <w:rPr/>
        <w:t>45%</w:t>
      </w:r>
      <w:r>
        <w:rPr>
          <w:spacing w:val="-11"/>
        </w:rPr>
        <w:t> </w:t>
      </w:r>
      <w:r>
        <w:rPr/>
        <w:t>de</w:t>
      </w:r>
      <w:r>
        <w:rPr>
          <w:spacing w:val="-10"/>
        </w:rPr>
        <w:t> </w:t>
      </w:r>
      <w:r>
        <w:rPr/>
        <w:t>la</w:t>
      </w:r>
      <w:r>
        <w:rPr>
          <w:spacing w:val="-10"/>
        </w:rPr>
        <w:t> </w:t>
      </w:r>
      <w:r>
        <w:rPr/>
        <w:t>ZMT</w:t>
      </w:r>
      <w:r>
        <w:rPr>
          <w:spacing w:val="-9"/>
        </w:rPr>
        <w:t> </w:t>
      </w:r>
      <w:r>
        <w:rPr/>
        <w:t>presenta</w:t>
      </w:r>
      <w:r>
        <w:rPr>
          <w:spacing w:val="-9"/>
        </w:rPr>
        <w:t> </w:t>
      </w:r>
      <w:r>
        <w:rPr/>
        <w:t>una</w:t>
      </w:r>
      <w:r>
        <w:rPr>
          <w:spacing w:val="-5"/>
        </w:rPr>
        <w:t> </w:t>
      </w:r>
      <w:r>
        <w:rPr/>
        <w:t>vulnerabilidad</w:t>
      </w:r>
      <w:r>
        <w:rPr>
          <w:spacing w:val="-10"/>
        </w:rPr>
        <w:t> </w:t>
      </w:r>
      <w:r>
        <w:rPr/>
        <w:t>media</w:t>
      </w:r>
      <w:r>
        <w:rPr>
          <w:spacing w:val="-10"/>
        </w:rPr>
        <w:t> </w:t>
      </w:r>
      <w:r>
        <w:rPr/>
        <w:t>y</w:t>
      </w:r>
      <w:r>
        <w:rPr>
          <w:spacing w:val="-11"/>
        </w:rPr>
        <w:t> </w:t>
      </w:r>
      <w:r>
        <w:rPr/>
        <w:t>cubre</w:t>
      </w:r>
      <w:r>
        <w:rPr>
          <w:spacing w:val="-10"/>
        </w:rPr>
        <w:t> </w:t>
      </w:r>
      <w:r>
        <w:rPr/>
        <w:t>807.27</w:t>
      </w:r>
      <w:r>
        <w:rPr>
          <w:spacing w:val="-10"/>
        </w:rPr>
        <w:t> </w:t>
      </w:r>
      <w:r>
        <w:rPr/>
        <w:t>km</w:t>
      </w:r>
      <w:r>
        <w:rPr>
          <w:position w:val="8"/>
          <w:sz w:val="16"/>
        </w:rPr>
        <w:t>2</w:t>
      </w:r>
      <w:r>
        <w:rPr>
          <w:spacing w:val="15"/>
          <w:position w:val="8"/>
          <w:sz w:val="16"/>
        </w:rPr>
        <w:t> </w:t>
      </w:r>
      <w:r>
        <w:rPr/>
        <w:t>de</w:t>
      </w:r>
      <w:r>
        <w:rPr>
          <w:spacing w:val="-10"/>
        </w:rPr>
        <w:t> </w:t>
      </w:r>
      <w:r>
        <w:rPr/>
        <w:t>la</w:t>
      </w:r>
      <w:r>
        <w:rPr>
          <w:spacing w:val="-10"/>
        </w:rPr>
        <w:t> </w:t>
      </w:r>
      <w:r>
        <w:rPr/>
        <w:t>zona de</w:t>
      </w:r>
      <w:r>
        <w:rPr>
          <w:spacing w:val="-12"/>
        </w:rPr>
        <w:t> </w:t>
      </w:r>
      <w:r>
        <w:rPr/>
        <w:t>estudio.</w:t>
      </w:r>
      <w:r>
        <w:rPr>
          <w:spacing w:val="-17"/>
        </w:rPr>
        <w:t> </w:t>
      </w:r>
      <w:r>
        <w:rPr/>
        <w:t>Mientas</w:t>
      </w:r>
      <w:r>
        <w:rPr>
          <w:spacing w:val="-17"/>
        </w:rPr>
        <w:t> </w:t>
      </w:r>
      <w:r>
        <w:rPr/>
        <w:t>que</w:t>
      </w:r>
      <w:r>
        <w:rPr>
          <w:spacing w:val="-17"/>
        </w:rPr>
        <w:t> </w:t>
      </w:r>
      <w:r>
        <w:rPr/>
        <w:t>la</w:t>
      </w:r>
      <w:r>
        <w:rPr>
          <w:spacing w:val="-12"/>
        </w:rPr>
        <w:t> </w:t>
      </w:r>
      <w:r>
        <w:rPr/>
        <w:t>vulnerabilidad</w:t>
      </w:r>
      <w:r>
        <w:rPr>
          <w:spacing w:val="-12"/>
        </w:rPr>
        <w:t> </w:t>
      </w:r>
      <w:r>
        <w:rPr/>
        <w:t>edafológica</w:t>
      </w:r>
      <w:r>
        <w:rPr>
          <w:spacing w:val="-12"/>
        </w:rPr>
        <w:t> </w:t>
      </w:r>
      <w:r>
        <w:rPr/>
        <w:t>baja</w:t>
      </w:r>
      <w:r>
        <w:rPr>
          <w:spacing w:val="-12"/>
        </w:rPr>
        <w:t> </w:t>
      </w:r>
      <w:r>
        <w:rPr/>
        <w:t>le</w:t>
      </w:r>
      <w:r>
        <w:rPr>
          <w:spacing w:val="-12"/>
        </w:rPr>
        <w:t> </w:t>
      </w:r>
      <w:r>
        <w:rPr/>
        <w:t>corresponde</w:t>
      </w:r>
      <w:r>
        <w:rPr>
          <w:spacing w:val="-12"/>
        </w:rPr>
        <w:t> </w:t>
      </w:r>
      <w:r>
        <w:rPr/>
        <w:t>el</w:t>
      </w:r>
      <w:r>
        <w:rPr>
          <w:spacing w:val="-8"/>
        </w:rPr>
        <w:t> </w:t>
      </w:r>
      <w:r>
        <w:rPr>
          <w:spacing w:val="4"/>
        </w:rPr>
        <w:t>35%</w:t>
      </w:r>
      <w:r>
        <w:rPr>
          <w:spacing w:val="-15"/>
        </w:rPr>
        <w:t> </w:t>
      </w:r>
      <w:r>
        <w:rPr/>
        <w:t>de la ZMT cuyos municipios son: de Metepec, San Antonio la Isla, Chapultepec, Mexicalzingo y Calimaya  y cubre una superficie de 540.82</w:t>
      </w:r>
      <w:r>
        <w:rPr>
          <w:spacing w:val="-26"/>
        </w:rPr>
        <w:t> </w:t>
      </w:r>
      <w:r>
        <w:rPr/>
        <w:t>km</w:t>
      </w:r>
      <w:r>
        <w:rPr>
          <w:position w:val="8"/>
          <w:sz w:val="16"/>
        </w:rPr>
        <w:t>2</w:t>
      </w:r>
      <w:r>
        <w:rPr/>
        <w:t>.</w:t>
      </w:r>
    </w:p>
    <w:p>
      <w:pPr>
        <w:spacing w:after="0" w:line="357" w:lineRule="auto"/>
        <w:jc w:val="both"/>
        <w:sectPr>
          <w:pgSz w:w="12240" w:h="15840"/>
          <w:pgMar w:header="0" w:footer="1031" w:top="1360" w:bottom="1220" w:left="1580" w:right="1580"/>
        </w:sectPr>
      </w:pPr>
    </w:p>
    <w:p>
      <w:pPr>
        <w:pStyle w:val="Heading1"/>
        <w:numPr>
          <w:ilvl w:val="2"/>
          <w:numId w:val="18"/>
        </w:numPr>
        <w:tabs>
          <w:tab w:pos="1604" w:val="left" w:leader="none"/>
        </w:tabs>
        <w:spacing w:line="240" w:lineRule="auto" w:before="47" w:after="0"/>
        <w:ind w:left="840" w:right="124" w:firstLine="0"/>
        <w:jc w:val="left"/>
      </w:pPr>
      <w:bookmarkStart w:name="_TOC_250023" w:id="31"/>
      <w:bookmarkEnd w:id="31"/>
      <w:r>
        <w:rPr/>
        <w:t>Clasificación de la vulnerabilidad del uso de suelo y vegetación.</w:t>
      </w:r>
    </w:p>
    <w:p>
      <w:pPr>
        <w:pStyle w:val="BodyText"/>
        <w:rPr>
          <w:b/>
          <w:sz w:val="26"/>
        </w:rPr>
      </w:pPr>
    </w:p>
    <w:p>
      <w:pPr>
        <w:pStyle w:val="BodyText"/>
        <w:spacing w:line="360" w:lineRule="auto" w:before="184"/>
        <w:ind w:left="119" w:right="114"/>
        <w:jc w:val="both"/>
      </w:pPr>
      <w:r>
        <w:rPr/>
        <w:t>La cobertura vegetal y los usos del suelo </w:t>
      </w:r>
      <w:r>
        <w:rPr>
          <w:spacing w:val="-3"/>
        </w:rPr>
        <w:t>más </w:t>
      </w:r>
      <w:r>
        <w:rPr/>
        <w:t>actualizados para el estado de México, son los determinados en el Inventario Nacional Forestal (INF) 2000-2001, elaborado por el Instituto de Geografía de la UNAM, para la SEMARNAP y del cual se</w:t>
      </w:r>
      <w:r>
        <w:rPr>
          <w:spacing w:val="-11"/>
        </w:rPr>
        <w:t> </w:t>
      </w:r>
      <w:r>
        <w:rPr/>
        <w:t>obtiene</w:t>
      </w:r>
      <w:r>
        <w:rPr>
          <w:spacing w:val="-11"/>
        </w:rPr>
        <w:t> </w:t>
      </w:r>
      <w:r>
        <w:rPr/>
        <w:t>el</w:t>
      </w:r>
      <w:r>
        <w:rPr>
          <w:spacing w:val="-12"/>
        </w:rPr>
        <w:t> </w:t>
      </w:r>
      <w:r>
        <w:rPr/>
        <w:t>tipo</w:t>
      </w:r>
      <w:r>
        <w:rPr>
          <w:spacing w:val="-16"/>
        </w:rPr>
        <w:t> </w:t>
      </w:r>
      <w:r>
        <w:rPr/>
        <w:t>de</w:t>
      </w:r>
      <w:r>
        <w:rPr>
          <w:spacing w:val="-11"/>
        </w:rPr>
        <w:t> </w:t>
      </w:r>
      <w:r>
        <w:rPr/>
        <w:t>vegetación</w:t>
      </w:r>
      <w:r>
        <w:rPr>
          <w:spacing w:val="-15"/>
        </w:rPr>
        <w:t> </w:t>
      </w:r>
      <w:r>
        <w:rPr/>
        <w:t>y</w:t>
      </w:r>
      <w:r>
        <w:rPr>
          <w:spacing w:val="-16"/>
        </w:rPr>
        <w:t> </w:t>
      </w:r>
      <w:r>
        <w:rPr/>
        <w:t>los</w:t>
      </w:r>
      <w:r>
        <w:rPr>
          <w:spacing w:val="-16"/>
        </w:rPr>
        <w:t> </w:t>
      </w:r>
      <w:r>
        <w:rPr/>
        <w:t>usos</w:t>
      </w:r>
      <w:r>
        <w:rPr>
          <w:spacing w:val="-16"/>
        </w:rPr>
        <w:t> </w:t>
      </w:r>
      <w:r>
        <w:rPr/>
        <w:t>del</w:t>
      </w:r>
      <w:r>
        <w:rPr>
          <w:spacing w:val="-12"/>
        </w:rPr>
        <w:t> </w:t>
      </w:r>
      <w:r>
        <w:rPr/>
        <w:t>suelo,</w:t>
      </w:r>
      <w:r>
        <w:rPr>
          <w:spacing w:val="-11"/>
        </w:rPr>
        <w:t> </w:t>
      </w:r>
      <w:r>
        <w:rPr>
          <w:spacing w:val="-2"/>
        </w:rPr>
        <w:t>mismos</w:t>
      </w:r>
      <w:r>
        <w:rPr>
          <w:spacing w:val="-12"/>
        </w:rPr>
        <w:t> </w:t>
      </w:r>
      <w:r>
        <w:rPr/>
        <w:t>que</w:t>
      </w:r>
      <w:r>
        <w:rPr>
          <w:spacing w:val="-11"/>
        </w:rPr>
        <w:t> </w:t>
      </w:r>
      <w:r>
        <w:rPr/>
        <w:t>han</w:t>
      </w:r>
      <w:r>
        <w:rPr>
          <w:spacing w:val="-11"/>
        </w:rPr>
        <w:t> </w:t>
      </w:r>
      <w:r>
        <w:rPr/>
        <w:t>sido</w:t>
      </w:r>
      <w:r>
        <w:rPr>
          <w:spacing w:val="-11"/>
        </w:rPr>
        <w:t> </w:t>
      </w:r>
      <w:r>
        <w:rPr/>
        <w:t>utilizados en el presente estudio. La cobertura de uso de suelo y vegetación incluye las aplicaciones (tipo de ocupación y uso existente), ya sea agropecuarias-forestales</w:t>
      </w:r>
      <w:r>
        <w:rPr>
          <w:spacing w:val="-30"/>
        </w:rPr>
        <w:t> </w:t>
      </w:r>
      <w:r>
        <w:rPr/>
        <w:t>o los espacios urbanos. (Mapa</w:t>
      </w:r>
      <w:r>
        <w:rPr>
          <w:spacing w:val="-16"/>
        </w:rPr>
        <w:t> </w:t>
      </w:r>
      <w:r>
        <w:rPr/>
        <w:t>3).</w:t>
      </w:r>
    </w:p>
    <w:p>
      <w:pPr>
        <w:pStyle w:val="BodyText"/>
      </w:pPr>
    </w:p>
    <w:p>
      <w:pPr>
        <w:spacing w:before="144"/>
        <w:ind w:left="2261" w:right="70" w:firstLine="0"/>
        <w:jc w:val="left"/>
        <w:rPr>
          <w:sz w:val="22"/>
        </w:rPr>
      </w:pPr>
      <w:r>
        <w:rPr>
          <w:sz w:val="22"/>
        </w:rPr>
        <w:t>Mapa 3. Uso de suelo y vegetación de la ZMT.</w:t>
      </w:r>
    </w:p>
    <w:p>
      <w:pPr>
        <w:pStyle w:val="BodyText"/>
        <w:spacing w:before="4"/>
        <w:rPr>
          <w:sz w:val="19"/>
        </w:rPr>
      </w:pPr>
      <w:r>
        <w:rPr/>
        <w:pict>
          <v:group style="position:absolute;margin-left:95.25pt;margin-top:13.103949pt;width:429.2pt;height:312.05pt;mso-position-horizontal-relative:page;mso-position-vertical-relative:paragraph;z-index:1504;mso-wrap-distance-left:0;mso-wrap-distance-right:0" coordorigin="1905,262" coordsize="8584,6241">
            <v:shape style="position:absolute;left:1920;top:277;width:8554;height:6211" type="#_x0000_t75" stroked="false">
              <v:imagedata r:id="rId40" o:title=""/>
            </v:shape>
            <v:rect style="position:absolute;left:1913;top:270;width:8569;height:6226" filled="false" stroked="true" strokeweight=".75pt" strokecolor="#000000"/>
            <w10:wrap type="topAndBottom"/>
          </v:group>
        </w:pict>
      </w:r>
    </w:p>
    <w:p>
      <w:pPr>
        <w:pStyle w:val="BodyText"/>
        <w:spacing w:before="11"/>
        <w:rPr>
          <w:sz w:val="29"/>
        </w:rPr>
      </w:pPr>
    </w:p>
    <w:p>
      <w:pPr>
        <w:spacing w:before="0"/>
        <w:ind w:left="825" w:right="70" w:firstLine="0"/>
        <w:jc w:val="left"/>
        <w:rPr>
          <w:sz w:val="20"/>
        </w:rPr>
      </w:pPr>
      <w:r>
        <w:rPr>
          <w:sz w:val="20"/>
        </w:rPr>
        <w:t>Fuente: Elaboración propia con base en INEGI (2005).</w:t>
      </w:r>
    </w:p>
    <w:p>
      <w:pPr>
        <w:spacing w:after="0"/>
        <w:jc w:val="left"/>
        <w:rPr>
          <w:sz w:val="20"/>
        </w:rPr>
        <w:sectPr>
          <w:pgSz w:w="12240" w:h="15840"/>
          <w:pgMar w:header="0" w:footer="1031" w:top="1360" w:bottom="1220" w:left="1580" w:right="1580"/>
        </w:sectPr>
      </w:pPr>
    </w:p>
    <w:p>
      <w:pPr>
        <w:pStyle w:val="BodyText"/>
        <w:spacing w:line="360" w:lineRule="auto" w:before="52"/>
        <w:ind w:left="119" w:right="104"/>
        <w:jc w:val="both"/>
      </w:pPr>
      <w:r>
        <w:rPr/>
        <w:t>En la ZMT el tipo de ocupación y uso existente del suelo ha sufrido cambios radicales</w:t>
      </w:r>
      <w:r>
        <w:rPr>
          <w:spacing w:val="-17"/>
        </w:rPr>
        <w:t> </w:t>
      </w:r>
      <w:r>
        <w:rPr/>
        <w:t>en</w:t>
      </w:r>
      <w:r>
        <w:rPr>
          <w:spacing w:val="-17"/>
        </w:rPr>
        <w:t> </w:t>
      </w:r>
      <w:r>
        <w:rPr>
          <w:spacing w:val="-3"/>
        </w:rPr>
        <w:t>su</w:t>
      </w:r>
      <w:r>
        <w:rPr>
          <w:spacing w:val="-17"/>
        </w:rPr>
        <w:t> </w:t>
      </w:r>
      <w:r>
        <w:rPr/>
        <w:t>estructura</w:t>
      </w:r>
      <w:r>
        <w:rPr>
          <w:spacing w:val="-17"/>
        </w:rPr>
        <w:t> </w:t>
      </w:r>
      <w:r>
        <w:rPr/>
        <w:t>por</w:t>
      </w:r>
      <w:r>
        <w:rPr>
          <w:spacing w:val="-16"/>
        </w:rPr>
        <w:t> </w:t>
      </w:r>
      <w:r>
        <w:rPr/>
        <w:t>el</w:t>
      </w:r>
      <w:r>
        <w:rPr>
          <w:spacing w:val="-18"/>
        </w:rPr>
        <w:t> </w:t>
      </w:r>
      <w:r>
        <w:rPr/>
        <w:t>incremento</w:t>
      </w:r>
      <w:r>
        <w:rPr>
          <w:spacing w:val="-16"/>
        </w:rPr>
        <w:t> </w:t>
      </w:r>
      <w:r>
        <w:rPr/>
        <w:t>de</w:t>
      </w:r>
      <w:r>
        <w:rPr>
          <w:spacing w:val="-17"/>
        </w:rPr>
        <w:t> </w:t>
      </w:r>
      <w:r>
        <w:rPr/>
        <w:t>la</w:t>
      </w:r>
      <w:r>
        <w:rPr>
          <w:spacing w:val="-17"/>
        </w:rPr>
        <w:t> </w:t>
      </w:r>
      <w:r>
        <w:rPr/>
        <w:t>población</w:t>
      </w:r>
      <w:r>
        <w:rPr>
          <w:spacing w:val="-17"/>
        </w:rPr>
        <w:t> </w:t>
      </w:r>
      <w:r>
        <w:rPr/>
        <w:t>registrado</w:t>
      </w:r>
      <w:r>
        <w:rPr>
          <w:spacing w:val="-17"/>
        </w:rPr>
        <w:t> </w:t>
      </w:r>
      <w:r>
        <w:rPr/>
        <w:t>en</w:t>
      </w:r>
      <w:r>
        <w:rPr>
          <w:spacing w:val="-21"/>
        </w:rPr>
        <w:t> </w:t>
      </w:r>
      <w:r>
        <w:rPr/>
        <w:t>los</w:t>
      </w:r>
      <w:r>
        <w:rPr>
          <w:spacing w:val="-17"/>
        </w:rPr>
        <w:t> </w:t>
      </w:r>
      <w:r>
        <w:rPr/>
        <w:t>últimos 30 años, y la ausencia de técnicas apropiadas en el </w:t>
      </w:r>
      <w:r>
        <w:rPr>
          <w:spacing w:val="-3"/>
        </w:rPr>
        <w:t>manejo </w:t>
      </w:r>
      <w:r>
        <w:rPr/>
        <w:t>del agua, suelo y vegetación.</w:t>
      </w:r>
    </w:p>
    <w:p>
      <w:pPr>
        <w:pStyle w:val="BodyText"/>
      </w:pPr>
    </w:p>
    <w:p>
      <w:pPr>
        <w:pStyle w:val="BodyText"/>
        <w:spacing w:line="360" w:lineRule="auto" w:before="144"/>
        <w:ind w:left="119" w:right="99"/>
        <w:jc w:val="both"/>
      </w:pPr>
      <w:r>
        <w:rPr/>
        <w:t>En las zonas montañosas de la región, el tipo de ocupación y uso </w:t>
      </w:r>
      <w:r>
        <w:rPr>
          <w:spacing w:val="-3"/>
        </w:rPr>
        <w:t>del </w:t>
      </w:r>
      <w:r>
        <w:rPr/>
        <w:t>suelo es forestal combinado con pastizales; en las laderas de la montaña y en la planicie en su</w:t>
      </w:r>
      <w:r>
        <w:rPr>
          <w:spacing w:val="-3"/>
        </w:rPr>
        <w:t> </w:t>
      </w:r>
      <w:r>
        <w:rPr/>
        <w:t>mayoría</w:t>
      </w:r>
      <w:r>
        <w:rPr>
          <w:spacing w:val="-2"/>
        </w:rPr>
        <w:t> </w:t>
      </w:r>
      <w:r>
        <w:rPr/>
        <w:t>es</w:t>
      </w:r>
      <w:r>
        <w:rPr>
          <w:spacing w:val="-8"/>
        </w:rPr>
        <w:t> </w:t>
      </w:r>
      <w:r>
        <w:rPr/>
        <w:t>agrícola</w:t>
      </w:r>
      <w:r>
        <w:rPr>
          <w:spacing w:val="-7"/>
        </w:rPr>
        <w:t> </w:t>
      </w:r>
      <w:r>
        <w:rPr/>
        <w:t>de</w:t>
      </w:r>
      <w:r>
        <w:rPr>
          <w:spacing w:val="-3"/>
        </w:rPr>
        <w:t> </w:t>
      </w:r>
      <w:r>
        <w:rPr/>
        <w:t>temporal</w:t>
      </w:r>
      <w:r>
        <w:rPr>
          <w:spacing w:val="1"/>
        </w:rPr>
        <w:t> </w:t>
      </w:r>
      <w:r>
        <w:rPr/>
        <w:t>y</w:t>
      </w:r>
      <w:r>
        <w:rPr>
          <w:spacing w:val="-8"/>
        </w:rPr>
        <w:t> </w:t>
      </w:r>
      <w:r>
        <w:rPr/>
        <w:t>en</w:t>
      </w:r>
      <w:r>
        <w:rPr>
          <w:spacing w:val="-7"/>
        </w:rPr>
        <w:t> </w:t>
      </w:r>
      <w:r>
        <w:rPr/>
        <w:t>menor</w:t>
      </w:r>
      <w:r>
        <w:rPr>
          <w:spacing w:val="-2"/>
        </w:rPr>
        <w:t> </w:t>
      </w:r>
      <w:r>
        <w:rPr/>
        <w:t>proporción</w:t>
      </w:r>
      <w:r>
        <w:rPr>
          <w:spacing w:val="-7"/>
        </w:rPr>
        <w:t> </w:t>
      </w:r>
      <w:r>
        <w:rPr/>
        <w:t>de</w:t>
      </w:r>
      <w:r>
        <w:rPr>
          <w:spacing w:val="-7"/>
        </w:rPr>
        <w:t> </w:t>
      </w:r>
      <w:r>
        <w:rPr/>
        <w:t>agricultura</w:t>
      </w:r>
      <w:r>
        <w:rPr>
          <w:spacing w:val="-7"/>
        </w:rPr>
        <w:t> </w:t>
      </w:r>
      <w:r>
        <w:rPr/>
        <w:t>de</w:t>
      </w:r>
      <w:r>
        <w:rPr>
          <w:spacing w:val="-7"/>
        </w:rPr>
        <w:t> </w:t>
      </w:r>
      <w:r>
        <w:rPr/>
        <w:t>riego</w:t>
      </w:r>
      <w:r>
        <w:rPr>
          <w:spacing w:val="-3"/>
        </w:rPr>
        <w:t> </w:t>
      </w:r>
      <w:r>
        <w:rPr/>
        <w:t>y humedad</w:t>
      </w:r>
      <w:r>
        <w:rPr>
          <w:spacing w:val="-8"/>
        </w:rPr>
        <w:t> </w:t>
      </w:r>
      <w:r>
        <w:rPr/>
        <w:t>residual.</w:t>
      </w:r>
    </w:p>
    <w:p>
      <w:pPr>
        <w:pStyle w:val="BodyText"/>
      </w:pPr>
    </w:p>
    <w:p>
      <w:pPr>
        <w:pStyle w:val="BodyText"/>
        <w:spacing w:line="360" w:lineRule="auto" w:before="145"/>
        <w:ind w:left="119" w:right="101"/>
        <w:jc w:val="both"/>
      </w:pPr>
      <w:r>
        <w:rPr/>
        <w:t>El</w:t>
      </w:r>
      <w:r>
        <w:rPr>
          <w:spacing w:val="-12"/>
        </w:rPr>
        <w:t> </w:t>
      </w:r>
      <w:r>
        <w:rPr/>
        <w:t>uso</w:t>
      </w:r>
      <w:r>
        <w:rPr>
          <w:spacing w:val="-20"/>
        </w:rPr>
        <w:t> </w:t>
      </w:r>
      <w:r>
        <w:rPr/>
        <w:t>y</w:t>
      </w:r>
      <w:r>
        <w:rPr>
          <w:spacing w:val="-16"/>
        </w:rPr>
        <w:t> </w:t>
      </w:r>
      <w:r>
        <w:rPr/>
        <w:t>cobertura</w:t>
      </w:r>
      <w:r>
        <w:rPr>
          <w:spacing w:val="-16"/>
        </w:rPr>
        <w:t> </w:t>
      </w:r>
      <w:r>
        <w:rPr/>
        <w:t>actual</w:t>
      </w:r>
      <w:r>
        <w:rPr>
          <w:spacing w:val="-12"/>
        </w:rPr>
        <w:t> </w:t>
      </w:r>
      <w:r>
        <w:rPr/>
        <w:t>del</w:t>
      </w:r>
      <w:r>
        <w:rPr>
          <w:spacing w:val="-17"/>
        </w:rPr>
        <w:t> </w:t>
      </w:r>
      <w:r>
        <w:rPr/>
        <w:t>suelo</w:t>
      </w:r>
      <w:r>
        <w:rPr>
          <w:spacing w:val="-20"/>
        </w:rPr>
        <w:t> </w:t>
      </w:r>
      <w:r>
        <w:rPr/>
        <w:t>en</w:t>
      </w:r>
      <w:r>
        <w:rPr>
          <w:spacing w:val="-20"/>
        </w:rPr>
        <w:t> </w:t>
      </w:r>
      <w:r>
        <w:rPr/>
        <w:t>las</w:t>
      </w:r>
      <w:r>
        <w:rPr>
          <w:spacing w:val="-21"/>
        </w:rPr>
        <w:t> </w:t>
      </w:r>
      <w:r>
        <w:rPr/>
        <w:t>zonas</w:t>
      </w:r>
      <w:r>
        <w:rPr>
          <w:spacing w:val="-16"/>
        </w:rPr>
        <w:t> </w:t>
      </w:r>
      <w:r>
        <w:rPr/>
        <w:t>montañosas</w:t>
      </w:r>
      <w:r>
        <w:rPr>
          <w:spacing w:val="-16"/>
        </w:rPr>
        <w:t> </w:t>
      </w:r>
      <w:r>
        <w:rPr/>
        <w:t>y</w:t>
      </w:r>
      <w:r>
        <w:rPr>
          <w:spacing w:val="-16"/>
        </w:rPr>
        <w:t> </w:t>
      </w:r>
      <w:r>
        <w:rPr/>
        <w:t>forestales</w:t>
      </w:r>
      <w:r>
        <w:rPr>
          <w:spacing w:val="-21"/>
        </w:rPr>
        <w:t> </w:t>
      </w:r>
      <w:r>
        <w:rPr/>
        <w:t>de</w:t>
      </w:r>
      <w:r>
        <w:rPr>
          <w:spacing w:val="-20"/>
        </w:rPr>
        <w:t> </w:t>
      </w:r>
      <w:r>
        <w:rPr/>
        <w:t>la</w:t>
      </w:r>
      <w:r>
        <w:rPr>
          <w:spacing w:val="-20"/>
        </w:rPr>
        <w:t> </w:t>
      </w:r>
      <w:r>
        <w:rPr/>
        <w:t>región presenta cuerpos de especies forestales combinadas con agricultura de temporal, agricultura de riego, agricultura de humedad, agricultura de temporal en áreas erosionadas y algunos cuerpos de</w:t>
      </w:r>
      <w:r>
        <w:rPr>
          <w:spacing w:val="-17"/>
        </w:rPr>
        <w:t> </w:t>
      </w:r>
      <w:r>
        <w:rPr/>
        <w:t>agua.</w:t>
      </w:r>
    </w:p>
    <w:p>
      <w:pPr>
        <w:pStyle w:val="BodyText"/>
        <w:spacing w:before="2"/>
        <w:ind w:left="119"/>
        <w:jc w:val="both"/>
      </w:pPr>
      <w:r>
        <w:rPr/>
        <w:t>En la planicie:</w:t>
      </w:r>
    </w:p>
    <w:p>
      <w:pPr>
        <w:pStyle w:val="ListParagraph"/>
        <w:numPr>
          <w:ilvl w:val="0"/>
          <w:numId w:val="19"/>
        </w:numPr>
        <w:tabs>
          <w:tab w:pos="308" w:val="left" w:leader="none"/>
        </w:tabs>
        <w:spacing w:line="362" w:lineRule="auto" w:before="137" w:after="0"/>
        <w:ind w:left="119" w:right="110" w:firstLine="0"/>
        <w:jc w:val="both"/>
        <w:rPr>
          <w:sz w:val="24"/>
        </w:rPr>
      </w:pPr>
      <w:r>
        <w:rPr>
          <w:spacing w:val="-4"/>
          <w:sz w:val="24"/>
        </w:rPr>
        <w:t>Al </w:t>
      </w:r>
      <w:r>
        <w:rPr>
          <w:sz w:val="24"/>
        </w:rPr>
        <w:t>sur, se presenta la agricultura de temporal como el uso y cobertura vegetal actual predominante, mientras al norte, predomina la agricultura de riego con superficies aisladas de agricultura de</w:t>
      </w:r>
      <w:r>
        <w:rPr>
          <w:spacing w:val="-19"/>
          <w:sz w:val="24"/>
        </w:rPr>
        <w:t> </w:t>
      </w:r>
      <w:r>
        <w:rPr>
          <w:sz w:val="24"/>
        </w:rPr>
        <w:t>temporal.</w:t>
      </w:r>
    </w:p>
    <w:p>
      <w:pPr>
        <w:pStyle w:val="BodyText"/>
        <w:spacing w:before="10"/>
        <w:rPr>
          <w:sz w:val="35"/>
        </w:rPr>
      </w:pPr>
    </w:p>
    <w:p>
      <w:pPr>
        <w:pStyle w:val="ListParagraph"/>
        <w:numPr>
          <w:ilvl w:val="0"/>
          <w:numId w:val="19"/>
        </w:numPr>
        <w:tabs>
          <w:tab w:pos="265" w:val="left" w:leader="none"/>
        </w:tabs>
        <w:spacing w:line="360" w:lineRule="auto" w:before="0" w:after="0"/>
        <w:ind w:left="119" w:right="103" w:firstLine="0"/>
        <w:jc w:val="both"/>
        <w:rPr>
          <w:sz w:val="24"/>
        </w:rPr>
      </w:pPr>
      <w:r>
        <w:rPr>
          <w:sz w:val="24"/>
        </w:rPr>
        <w:t>Al</w:t>
      </w:r>
      <w:r>
        <w:rPr>
          <w:spacing w:val="-7"/>
          <w:sz w:val="24"/>
        </w:rPr>
        <w:t> </w:t>
      </w:r>
      <w:r>
        <w:rPr>
          <w:sz w:val="24"/>
        </w:rPr>
        <w:t>oriente</w:t>
      </w:r>
      <w:r>
        <w:rPr>
          <w:spacing w:val="-11"/>
          <w:sz w:val="24"/>
        </w:rPr>
        <w:t> </w:t>
      </w:r>
      <w:r>
        <w:rPr>
          <w:sz w:val="24"/>
        </w:rPr>
        <w:t>y</w:t>
      </w:r>
      <w:r>
        <w:rPr>
          <w:spacing w:val="-12"/>
          <w:sz w:val="24"/>
        </w:rPr>
        <w:t> </w:t>
      </w:r>
      <w:r>
        <w:rPr>
          <w:sz w:val="24"/>
        </w:rPr>
        <w:t>sur,</w:t>
      </w:r>
      <w:r>
        <w:rPr>
          <w:spacing w:val="-11"/>
          <w:sz w:val="24"/>
        </w:rPr>
        <w:t> </w:t>
      </w:r>
      <w:r>
        <w:rPr>
          <w:sz w:val="24"/>
        </w:rPr>
        <w:t>superficies</w:t>
      </w:r>
      <w:r>
        <w:rPr>
          <w:spacing w:val="-12"/>
          <w:sz w:val="24"/>
        </w:rPr>
        <w:t> </w:t>
      </w:r>
      <w:r>
        <w:rPr>
          <w:sz w:val="24"/>
        </w:rPr>
        <w:t>aisladas</w:t>
      </w:r>
      <w:r>
        <w:rPr>
          <w:spacing w:val="-12"/>
          <w:sz w:val="24"/>
        </w:rPr>
        <w:t> </w:t>
      </w:r>
      <w:r>
        <w:rPr>
          <w:sz w:val="24"/>
        </w:rPr>
        <w:t>de</w:t>
      </w:r>
      <w:r>
        <w:rPr>
          <w:spacing w:val="-11"/>
          <w:sz w:val="24"/>
        </w:rPr>
        <w:t> </w:t>
      </w:r>
      <w:r>
        <w:rPr>
          <w:sz w:val="24"/>
        </w:rPr>
        <w:t>agricultura</w:t>
      </w:r>
      <w:r>
        <w:rPr>
          <w:spacing w:val="-11"/>
          <w:sz w:val="24"/>
        </w:rPr>
        <w:t> </w:t>
      </w:r>
      <w:r>
        <w:rPr>
          <w:sz w:val="24"/>
        </w:rPr>
        <w:t>de</w:t>
      </w:r>
      <w:r>
        <w:rPr>
          <w:spacing w:val="-11"/>
          <w:sz w:val="24"/>
        </w:rPr>
        <w:t> </w:t>
      </w:r>
      <w:r>
        <w:rPr>
          <w:sz w:val="24"/>
        </w:rPr>
        <w:t>humedad,</w:t>
      </w:r>
      <w:r>
        <w:rPr>
          <w:spacing w:val="-11"/>
          <w:sz w:val="24"/>
        </w:rPr>
        <w:t> </w:t>
      </w:r>
      <w:r>
        <w:rPr>
          <w:sz w:val="24"/>
        </w:rPr>
        <w:t>tular</w:t>
      </w:r>
      <w:r>
        <w:rPr>
          <w:spacing w:val="-10"/>
          <w:sz w:val="24"/>
        </w:rPr>
        <w:t> </w:t>
      </w:r>
      <w:r>
        <w:rPr>
          <w:sz w:val="24"/>
        </w:rPr>
        <w:t>y</w:t>
      </w:r>
      <w:r>
        <w:rPr>
          <w:spacing w:val="-12"/>
          <w:sz w:val="24"/>
        </w:rPr>
        <w:t> </w:t>
      </w:r>
      <w:r>
        <w:rPr>
          <w:sz w:val="24"/>
        </w:rPr>
        <w:t>cuerpos</w:t>
      </w:r>
      <w:r>
        <w:rPr>
          <w:spacing w:val="-12"/>
          <w:sz w:val="24"/>
        </w:rPr>
        <w:t> </w:t>
      </w:r>
      <w:r>
        <w:rPr>
          <w:sz w:val="24"/>
        </w:rPr>
        <w:t>de agua (laguna de Almoloya </w:t>
      </w:r>
      <w:r>
        <w:rPr>
          <w:spacing w:val="-3"/>
          <w:sz w:val="24"/>
        </w:rPr>
        <w:t>del </w:t>
      </w:r>
      <w:r>
        <w:rPr>
          <w:sz w:val="24"/>
        </w:rPr>
        <w:t>Río).</w:t>
      </w:r>
    </w:p>
    <w:p>
      <w:pPr>
        <w:pStyle w:val="BodyText"/>
      </w:pPr>
    </w:p>
    <w:p>
      <w:pPr>
        <w:pStyle w:val="ListParagraph"/>
        <w:numPr>
          <w:ilvl w:val="0"/>
          <w:numId w:val="19"/>
        </w:numPr>
        <w:tabs>
          <w:tab w:pos="293" w:val="left" w:leader="none"/>
        </w:tabs>
        <w:spacing w:line="360" w:lineRule="auto" w:before="144" w:after="0"/>
        <w:ind w:left="119" w:right="109" w:firstLine="0"/>
        <w:jc w:val="both"/>
        <w:rPr>
          <w:sz w:val="24"/>
        </w:rPr>
      </w:pPr>
      <w:r>
        <w:rPr>
          <w:sz w:val="24"/>
        </w:rPr>
        <w:t>Al extremo oriente y sur de la planicie, al pie de la Sierra de las Cruces y de la Sierra Nahuatlaca, se presenta una franja con agricultura de temporal con superficies aisladas forestales de encino y</w:t>
      </w:r>
      <w:r>
        <w:rPr>
          <w:spacing w:val="-14"/>
          <w:sz w:val="24"/>
        </w:rPr>
        <w:t> </w:t>
      </w:r>
      <w:r>
        <w:rPr>
          <w:sz w:val="24"/>
        </w:rPr>
        <w:t>pino-encino.</w:t>
      </w:r>
    </w:p>
    <w:p>
      <w:pPr>
        <w:pStyle w:val="BodyText"/>
      </w:pPr>
    </w:p>
    <w:p>
      <w:pPr>
        <w:pStyle w:val="ListParagraph"/>
        <w:numPr>
          <w:ilvl w:val="0"/>
          <w:numId w:val="19"/>
        </w:numPr>
        <w:tabs>
          <w:tab w:pos="260" w:val="left" w:leader="none"/>
        </w:tabs>
        <w:spacing w:line="360" w:lineRule="auto" w:before="144" w:after="0"/>
        <w:ind w:left="119" w:right="101" w:firstLine="0"/>
        <w:jc w:val="both"/>
        <w:rPr>
          <w:sz w:val="24"/>
        </w:rPr>
      </w:pPr>
      <w:r>
        <w:rPr>
          <w:sz w:val="24"/>
        </w:rPr>
        <w:t>Al</w:t>
      </w:r>
      <w:r>
        <w:rPr>
          <w:spacing w:val="-11"/>
          <w:sz w:val="24"/>
        </w:rPr>
        <w:t> </w:t>
      </w:r>
      <w:r>
        <w:rPr>
          <w:sz w:val="24"/>
        </w:rPr>
        <w:t>poniente</w:t>
      </w:r>
      <w:r>
        <w:rPr>
          <w:spacing w:val="-15"/>
          <w:sz w:val="24"/>
        </w:rPr>
        <w:t> </w:t>
      </w:r>
      <w:r>
        <w:rPr>
          <w:sz w:val="24"/>
        </w:rPr>
        <w:t>en</w:t>
      </w:r>
      <w:r>
        <w:rPr>
          <w:spacing w:val="-15"/>
          <w:sz w:val="24"/>
        </w:rPr>
        <w:t> </w:t>
      </w:r>
      <w:r>
        <w:rPr>
          <w:sz w:val="24"/>
        </w:rPr>
        <w:t>las</w:t>
      </w:r>
      <w:r>
        <w:rPr>
          <w:spacing w:val="-20"/>
          <w:sz w:val="24"/>
        </w:rPr>
        <w:t> </w:t>
      </w:r>
      <w:r>
        <w:rPr>
          <w:sz w:val="24"/>
        </w:rPr>
        <w:t>laderas</w:t>
      </w:r>
      <w:r>
        <w:rPr>
          <w:spacing w:val="-15"/>
          <w:sz w:val="24"/>
        </w:rPr>
        <w:t> </w:t>
      </w:r>
      <w:r>
        <w:rPr>
          <w:sz w:val="24"/>
        </w:rPr>
        <w:t>del</w:t>
      </w:r>
      <w:r>
        <w:rPr>
          <w:spacing w:val="-11"/>
          <w:sz w:val="24"/>
        </w:rPr>
        <w:t> </w:t>
      </w:r>
      <w:r>
        <w:rPr>
          <w:sz w:val="24"/>
        </w:rPr>
        <w:t>volcán</w:t>
      </w:r>
      <w:r>
        <w:rPr>
          <w:spacing w:val="-15"/>
          <w:sz w:val="24"/>
        </w:rPr>
        <w:t> </w:t>
      </w:r>
      <w:r>
        <w:rPr>
          <w:sz w:val="24"/>
        </w:rPr>
        <w:t>y</w:t>
      </w:r>
      <w:r>
        <w:rPr>
          <w:spacing w:val="-15"/>
          <w:sz w:val="24"/>
        </w:rPr>
        <w:t> </w:t>
      </w:r>
      <w:r>
        <w:rPr>
          <w:sz w:val="24"/>
        </w:rPr>
        <w:t>en</w:t>
      </w:r>
      <w:r>
        <w:rPr>
          <w:spacing w:val="-19"/>
          <w:sz w:val="24"/>
        </w:rPr>
        <w:t> </w:t>
      </w:r>
      <w:r>
        <w:rPr>
          <w:sz w:val="24"/>
        </w:rPr>
        <w:t>los</w:t>
      </w:r>
      <w:r>
        <w:rPr>
          <w:spacing w:val="-15"/>
          <w:sz w:val="24"/>
        </w:rPr>
        <w:t> </w:t>
      </w:r>
      <w:r>
        <w:rPr>
          <w:sz w:val="24"/>
        </w:rPr>
        <w:t>lomeríos</w:t>
      </w:r>
      <w:r>
        <w:rPr>
          <w:spacing w:val="-15"/>
          <w:sz w:val="24"/>
        </w:rPr>
        <w:t> </w:t>
      </w:r>
      <w:r>
        <w:rPr>
          <w:sz w:val="24"/>
        </w:rPr>
        <w:t>de</w:t>
      </w:r>
      <w:r>
        <w:rPr>
          <w:spacing w:val="-15"/>
          <w:sz w:val="24"/>
        </w:rPr>
        <w:t> </w:t>
      </w:r>
      <w:r>
        <w:rPr>
          <w:sz w:val="24"/>
        </w:rPr>
        <w:t>Zinacantepec</w:t>
      </w:r>
      <w:r>
        <w:rPr>
          <w:spacing w:val="-15"/>
          <w:sz w:val="24"/>
        </w:rPr>
        <w:t> </w:t>
      </w:r>
      <w:r>
        <w:rPr>
          <w:sz w:val="24"/>
        </w:rPr>
        <w:t>y</w:t>
      </w:r>
      <w:r>
        <w:rPr>
          <w:spacing w:val="-15"/>
          <w:sz w:val="24"/>
        </w:rPr>
        <w:t> </w:t>
      </w:r>
      <w:r>
        <w:rPr>
          <w:sz w:val="24"/>
        </w:rPr>
        <w:t>Almoloya de</w:t>
      </w:r>
      <w:r>
        <w:rPr>
          <w:spacing w:val="-17"/>
          <w:sz w:val="24"/>
        </w:rPr>
        <w:t> </w:t>
      </w:r>
      <w:r>
        <w:rPr>
          <w:sz w:val="24"/>
        </w:rPr>
        <w:t>Juárez</w:t>
      </w:r>
      <w:r>
        <w:rPr>
          <w:spacing w:val="-17"/>
          <w:sz w:val="24"/>
        </w:rPr>
        <w:t> </w:t>
      </w:r>
      <w:r>
        <w:rPr>
          <w:sz w:val="24"/>
        </w:rPr>
        <w:t>se</w:t>
      </w:r>
      <w:r>
        <w:rPr>
          <w:spacing w:val="-17"/>
          <w:sz w:val="24"/>
        </w:rPr>
        <w:t> </w:t>
      </w:r>
      <w:r>
        <w:rPr>
          <w:sz w:val="24"/>
        </w:rPr>
        <w:t>presenta</w:t>
      </w:r>
      <w:r>
        <w:rPr>
          <w:spacing w:val="-16"/>
          <w:sz w:val="24"/>
        </w:rPr>
        <w:t> </w:t>
      </w:r>
      <w:r>
        <w:rPr>
          <w:sz w:val="24"/>
        </w:rPr>
        <w:t>agricultura</w:t>
      </w:r>
      <w:r>
        <w:rPr>
          <w:spacing w:val="-17"/>
          <w:sz w:val="24"/>
        </w:rPr>
        <w:t> </w:t>
      </w:r>
      <w:r>
        <w:rPr>
          <w:sz w:val="24"/>
        </w:rPr>
        <w:t>de</w:t>
      </w:r>
      <w:r>
        <w:rPr>
          <w:spacing w:val="-17"/>
          <w:sz w:val="24"/>
        </w:rPr>
        <w:t> </w:t>
      </w:r>
      <w:r>
        <w:rPr>
          <w:sz w:val="24"/>
        </w:rPr>
        <w:t>temporal</w:t>
      </w:r>
      <w:r>
        <w:rPr>
          <w:spacing w:val="-18"/>
          <w:sz w:val="24"/>
        </w:rPr>
        <w:t> </w:t>
      </w:r>
      <w:r>
        <w:rPr>
          <w:sz w:val="24"/>
        </w:rPr>
        <w:t>sobre</w:t>
      </w:r>
      <w:r>
        <w:rPr>
          <w:spacing w:val="-17"/>
          <w:sz w:val="24"/>
        </w:rPr>
        <w:t> </w:t>
      </w:r>
      <w:r>
        <w:rPr>
          <w:sz w:val="24"/>
        </w:rPr>
        <w:t>áreas</w:t>
      </w:r>
      <w:r>
        <w:rPr>
          <w:spacing w:val="-17"/>
          <w:sz w:val="24"/>
        </w:rPr>
        <w:t> </w:t>
      </w:r>
      <w:r>
        <w:rPr>
          <w:sz w:val="24"/>
        </w:rPr>
        <w:t>erosionadas</w:t>
      </w:r>
      <w:r>
        <w:rPr>
          <w:spacing w:val="-17"/>
          <w:sz w:val="24"/>
        </w:rPr>
        <w:t> </w:t>
      </w:r>
      <w:r>
        <w:rPr>
          <w:sz w:val="24"/>
        </w:rPr>
        <w:t>combinadas con agricultura de temporal. En el área forestal del Nevado de Toluca predomina</w:t>
      </w:r>
      <w:r>
        <w:rPr>
          <w:spacing w:val="-38"/>
          <w:sz w:val="24"/>
        </w:rPr>
        <w:t> </w:t>
      </w:r>
      <w:r>
        <w:rPr>
          <w:sz w:val="24"/>
        </w:rPr>
        <w:t>la especie de pino con superficies aisladas de </w:t>
      </w:r>
      <w:r>
        <w:rPr>
          <w:spacing w:val="-2"/>
          <w:sz w:val="24"/>
        </w:rPr>
        <w:t>oyamel </w:t>
      </w:r>
      <w:r>
        <w:rPr>
          <w:sz w:val="24"/>
        </w:rPr>
        <w:t>y</w:t>
      </w:r>
      <w:r>
        <w:rPr>
          <w:spacing w:val="-14"/>
          <w:sz w:val="24"/>
        </w:rPr>
        <w:t> </w:t>
      </w:r>
      <w:r>
        <w:rPr>
          <w:sz w:val="24"/>
        </w:rPr>
        <w:t>encino.</w:t>
      </w:r>
    </w:p>
    <w:p>
      <w:pPr>
        <w:spacing w:after="0" w:line="360" w:lineRule="auto"/>
        <w:jc w:val="both"/>
        <w:rPr>
          <w:sz w:val="24"/>
        </w:rPr>
        <w:sectPr>
          <w:pgSz w:w="12240" w:h="15840"/>
          <w:pgMar w:header="0" w:footer="1031" w:top="1360" w:bottom="1220" w:left="1580" w:right="1600"/>
        </w:sectPr>
      </w:pPr>
    </w:p>
    <w:p>
      <w:pPr>
        <w:pStyle w:val="BodyText"/>
        <w:spacing w:line="242" w:lineRule="auto" w:before="52"/>
        <w:ind w:left="119" w:right="119"/>
        <w:jc w:val="both"/>
      </w:pPr>
      <w:r>
        <w:rPr/>
        <w:t>Aplicando el método EMC al uso de suelo y vegetación, el cual se describe en la metodología  y con en base Saaty (1977), se obtuvieron los siguientes resultados.</w:t>
      </w:r>
    </w:p>
    <w:p>
      <w:pPr>
        <w:pStyle w:val="BodyText"/>
        <w:spacing w:before="9"/>
        <w:rPr>
          <w:sz w:val="23"/>
        </w:rPr>
      </w:pPr>
    </w:p>
    <w:p>
      <w:pPr>
        <w:pStyle w:val="BodyText"/>
        <w:ind w:left="119"/>
        <w:jc w:val="both"/>
      </w:pPr>
      <w:r>
        <w:rPr/>
        <w:drawing>
          <wp:anchor distT="0" distB="0" distL="0" distR="0" allowOverlap="1" layoutInCell="1" locked="0" behindDoc="1" simplePos="0" relativeHeight="268315391">
            <wp:simplePos x="0" y="0"/>
            <wp:positionH relativeFrom="page">
              <wp:posOffset>1186814</wp:posOffset>
            </wp:positionH>
            <wp:positionV relativeFrom="paragraph">
              <wp:posOffset>243787</wp:posOffset>
            </wp:positionV>
            <wp:extent cx="5507228" cy="4142740"/>
            <wp:effectExtent l="0" t="0" r="0" b="0"/>
            <wp:wrapNone/>
            <wp:docPr id="17" name="image28.jpeg" descr=""/>
            <wp:cNvGraphicFramePr>
              <a:graphicFrameLocks noChangeAspect="1"/>
            </wp:cNvGraphicFramePr>
            <a:graphic>
              <a:graphicData uri="http://schemas.openxmlformats.org/drawingml/2006/picture">
                <pic:pic>
                  <pic:nvPicPr>
                    <pic:cNvPr id="18" name="image28.jpeg"/>
                    <pic:cNvPicPr/>
                  </pic:nvPicPr>
                  <pic:blipFill>
                    <a:blip r:embed="rId41" cstate="print"/>
                    <a:stretch>
                      <a:fillRect/>
                    </a:stretch>
                  </pic:blipFill>
                  <pic:spPr>
                    <a:xfrm>
                      <a:off x="0" y="0"/>
                      <a:ext cx="5507228" cy="4142740"/>
                    </a:xfrm>
                    <a:prstGeom prst="rect">
                      <a:avLst/>
                    </a:prstGeom>
                  </pic:spPr>
                </pic:pic>
              </a:graphicData>
            </a:graphic>
          </wp:anchor>
        </w:drawing>
      </w:r>
      <w:r>
        <w:rPr/>
        <w:t>Mapa 4. Clasificación de la vulnerabilidad del uso de suelo y la vegetación.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spacing w:before="1"/>
        <w:ind w:left="825" w:right="70" w:firstLine="0"/>
        <w:jc w:val="left"/>
        <w:rPr>
          <w:sz w:val="20"/>
        </w:rPr>
      </w:pPr>
      <w:r>
        <w:rPr>
          <w:sz w:val="20"/>
        </w:rPr>
        <w:t>Fuente: Elaboración propia con base en INEGI (2005).</w:t>
      </w:r>
    </w:p>
    <w:p>
      <w:pPr>
        <w:pStyle w:val="BodyText"/>
        <w:rPr>
          <w:sz w:val="20"/>
        </w:rPr>
      </w:pPr>
    </w:p>
    <w:p>
      <w:pPr>
        <w:pStyle w:val="BodyText"/>
        <w:rPr>
          <w:sz w:val="16"/>
        </w:rPr>
      </w:pPr>
    </w:p>
    <w:p>
      <w:pPr>
        <w:pStyle w:val="BodyText"/>
        <w:spacing w:line="360" w:lineRule="auto"/>
        <w:ind w:left="119" w:right="115"/>
        <w:jc w:val="both"/>
      </w:pPr>
      <w:r>
        <w:rPr/>
        <w:t>En el mapa anterior se observa que la vulnerabilidad alta del uso de suelo y la vegetación predomina en la ZMT con un 56.30% y representa una superficie de 1142.01 km</w:t>
      </w:r>
      <w:r>
        <w:rPr>
          <w:position w:val="8"/>
          <w:sz w:val="16"/>
        </w:rPr>
        <w:t>2</w:t>
      </w:r>
      <w:r>
        <w:rPr/>
        <w:t>, mientras que la vulnerabilidad media es de únicamente de 3.9% del total</w:t>
      </w:r>
      <w:r>
        <w:rPr>
          <w:spacing w:val="-4"/>
        </w:rPr>
        <w:t> </w:t>
      </w:r>
      <w:r>
        <w:rPr/>
        <w:t>de</w:t>
      </w:r>
      <w:r>
        <w:rPr>
          <w:spacing w:val="-7"/>
        </w:rPr>
        <w:t> </w:t>
      </w:r>
      <w:r>
        <w:rPr/>
        <w:t>la</w:t>
      </w:r>
      <w:r>
        <w:rPr>
          <w:spacing w:val="-7"/>
        </w:rPr>
        <w:t> </w:t>
      </w:r>
      <w:r>
        <w:rPr/>
        <w:t>zona</w:t>
      </w:r>
      <w:r>
        <w:rPr>
          <w:spacing w:val="-7"/>
        </w:rPr>
        <w:t> </w:t>
      </w:r>
      <w:r>
        <w:rPr/>
        <w:t>de</w:t>
      </w:r>
      <w:r>
        <w:rPr>
          <w:spacing w:val="-7"/>
        </w:rPr>
        <w:t> </w:t>
      </w:r>
      <w:r>
        <w:rPr/>
        <w:t>estudio.</w:t>
      </w:r>
      <w:r>
        <w:rPr>
          <w:spacing w:val="-7"/>
        </w:rPr>
        <w:t> </w:t>
      </w:r>
      <w:r>
        <w:rPr/>
        <w:t>Los</w:t>
      </w:r>
      <w:r>
        <w:rPr>
          <w:spacing w:val="-8"/>
        </w:rPr>
        <w:t> </w:t>
      </w:r>
      <w:r>
        <w:rPr/>
        <w:t>municipios</w:t>
      </w:r>
      <w:r>
        <w:rPr>
          <w:spacing w:val="-8"/>
        </w:rPr>
        <w:t> </w:t>
      </w:r>
      <w:r>
        <w:rPr/>
        <w:t>que</w:t>
      </w:r>
      <w:r>
        <w:rPr>
          <w:spacing w:val="-7"/>
        </w:rPr>
        <w:t> </w:t>
      </w:r>
      <w:r>
        <w:rPr/>
        <w:t>presentaron</w:t>
      </w:r>
      <w:r>
        <w:rPr>
          <w:spacing w:val="-7"/>
        </w:rPr>
        <w:t> </w:t>
      </w:r>
      <w:r>
        <w:rPr/>
        <w:t>una</w:t>
      </w:r>
      <w:r>
        <w:rPr>
          <w:spacing w:val="-7"/>
        </w:rPr>
        <w:t> </w:t>
      </w:r>
      <w:r>
        <w:rPr/>
        <w:t>vulnerabilidad</w:t>
      </w:r>
      <w:r>
        <w:rPr>
          <w:spacing w:val="-7"/>
        </w:rPr>
        <w:t> </w:t>
      </w:r>
      <w:r>
        <w:rPr/>
        <w:t>baja son: Zinacantepec, Xonacatlán, Toluca, San Mateo Atenco, San Antonio la Isla, Rayón, Otzolotepec y</w:t>
      </w:r>
      <w:r>
        <w:rPr>
          <w:spacing w:val="-9"/>
        </w:rPr>
        <w:t> </w:t>
      </w:r>
      <w:r>
        <w:rPr/>
        <w:t>Ocoyoacac</w:t>
      </w:r>
    </w:p>
    <w:p>
      <w:pPr>
        <w:spacing w:after="0" w:line="360" w:lineRule="auto"/>
        <w:jc w:val="both"/>
        <w:sectPr>
          <w:pgSz w:w="12240" w:h="15840"/>
          <w:pgMar w:header="0" w:footer="1031" w:top="1360" w:bottom="1220" w:left="1580" w:right="1580"/>
        </w:sectPr>
      </w:pPr>
    </w:p>
    <w:p>
      <w:pPr>
        <w:pStyle w:val="Heading2"/>
        <w:numPr>
          <w:ilvl w:val="2"/>
          <w:numId w:val="18"/>
        </w:numPr>
        <w:tabs>
          <w:tab w:pos="1445" w:val="left" w:leader="none"/>
        </w:tabs>
        <w:spacing w:line="240" w:lineRule="auto" w:before="142" w:after="0"/>
        <w:ind w:left="1445" w:right="0" w:hanging="605"/>
        <w:jc w:val="left"/>
      </w:pPr>
      <w:bookmarkStart w:name="_TOC_250022" w:id="32"/>
      <w:r>
        <w:rPr/>
        <w:t>Clasificación de la vulnerabilidad</w:t>
      </w:r>
      <w:r>
        <w:rPr>
          <w:spacing w:val="-25"/>
        </w:rPr>
        <w:t> </w:t>
      </w:r>
      <w:bookmarkEnd w:id="32"/>
      <w:r>
        <w:rPr/>
        <w:t>hidrológica</w:t>
      </w:r>
    </w:p>
    <w:p>
      <w:pPr>
        <w:pStyle w:val="BodyText"/>
        <w:rPr>
          <w:b/>
        </w:rPr>
      </w:pPr>
    </w:p>
    <w:p>
      <w:pPr>
        <w:pStyle w:val="BodyText"/>
        <w:spacing w:before="4"/>
        <w:rPr>
          <w:b/>
          <w:sz w:val="26"/>
        </w:rPr>
      </w:pPr>
    </w:p>
    <w:p>
      <w:pPr>
        <w:pStyle w:val="BodyText"/>
        <w:spacing w:line="362" w:lineRule="auto"/>
        <w:ind w:left="119" w:right="115"/>
        <w:jc w:val="both"/>
      </w:pPr>
      <w:r>
        <w:rPr/>
        <w:t>La</w:t>
      </w:r>
      <w:r>
        <w:rPr>
          <w:spacing w:val="-14"/>
        </w:rPr>
        <w:t> </w:t>
      </w:r>
      <w:r>
        <w:rPr/>
        <w:t>ZMT</w:t>
      </w:r>
      <w:r>
        <w:rPr>
          <w:spacing w:val="-12"/>
        </w:rPr>
        <w:t> </w:t>
      </w:r>
      <w:r>
        <w:rPr/>
        <w:t>es</w:t>
      </w:r>
      <w:r>
        <w:rPr>
          <w:spacing w:val="-14"/>
        </w:rPr>
        <w:t> </w:t>
      </w:r>
      <w:r>
        <w:rPr/>
        <w:t>el</w:t>
      </w:r>
      <w:r>
        <w:rPr>
          <w:spacing w:val="-10"/>
        </w:rPr>
        <w:t> </w:t>
      </w:r>
      <w:r>
        <w:rPr/>
        <w:t>lugar</w:t>
      </w:r>
      <w:r>
        <w:rPr>
          <w:spacing w:val="-13"/>
        </w:rPr>
        <w:t> </w:t>
      </w:r>
      <w:r>
        <w:rPr/>
        <w:t>de</w:t>
      </w:r>
      <w:r>
        <w:rPr>
          <w:spacing w:val="-14"/>
        </w:rPr>
        <w:t> </w:t>
      </w:r>
      <w:r>
        <w:rPr/>
        <w:t>nacimiento</w:t>
      </w:r>
      <w:r>
        <w:rPr>
          <w:spacing w:val="-13"/>
        </w:rPr>
        <w:t> </w:t>
      </w:r>
      <w:r>
        <w:rPr/>
        <w:t>de</w:t>
      </w:r>
      <w:r>
        <w:rPr>
          <w:spacing w:val="-18"/>
        </w:rPr>
        <w:t> </w:t>
      </w:r>
      <w:r>
        <w:rPr/>
        <w:t>la</w:t>
      </w:r>
      <w:r>
        <w:rPr>
          <w:spacing w:val="-14"/>
        </w:rPr>
        <w:t> </w:t>
      </w:r>
      <w:r>
        <w:rPr/>
        <w:t>cuenca</w:t>
      </w:r>
      <w:r>
        <w:rPr>
          <w:spacing w:val="-18"/>
        </w:rPr>
        <w:t> </w:t>
      </w:r>
      <w:r>
        <w:rPr/>
        <w:t>hidrológica</w:t>
      </w:r>
      <w:r>
        <w:rPr>
          <w:spacing w:val="-14"/>
        </w:rPr>
        <w:t> </w:t>
      </w:r>
      <w:r>
        <w:rPr/>
        <w:t>del</w:t>
      </w:r>
      <w:r>
        <w:rPr>
          <w:spacing w:val="-10"/>
        </w:rPr>
        <w:t> </w:t>
      </w:r>
      <w:r>
        <w:rPr/>
        <w:t>Río</w:t>
      </w:r>
      <w:r>
        <w:rPr>
          <w:spacing w:val="-14"/>
        </w:rPr>
        <w:t> </w:t>
      </w:r>
      <w:r>
        <w:rPr/>
        <w:t>Lerma-</w:t>
      </w:r>
      <w:r>
        <w:rPr>
          <w:spacing w:val="39"/>
        </w:rPr>
        <w:t> </w:t>
      </w:r>
      <w:r>
        <w:rPr/>
        <w:t>Santiago, una de las </w:t>
      </w:r>
      <w:r>
        <w:rPr>
          <w:spacing w:val="-3"/>
        </w:rPr>
        <w:t>más </w:t>
      </w:r>
      <w:r>
        <w:rPr/>
        <w:t>grandes e importantes del</w:t>
      </w:r>
      <w:r>
        <w:rPr>
          <w:spacing w:val="-12"/>
        </w:rPr>
        <w:t> </w:t>
      </w:r>
      <w:r>
        <w:rPr/>
        <w:t>país.</w:t>
      </w:r>
    </w:p>
    <w:p>
      <w:pPr>
        <w:pStyle w:val="BodyText"/>
        <w:spacing w:before="10"/>
        <w:rPr>
          <w:sz w:val="35"/>
        </w:rPr>
      </w:pPr>
    </w:p>
    <w:p>
      <w:pPr>
        <w:pStyle w:val="BodyText"/>
        <w:spacing w:line="360" w:lineRule="auto" w:before="1"/>
        <w:ind w:left="119" w:right="127"/>
        <w:jc w:val="both"/>
      </w:pPr>
      <w:r>
        <w:rPr/>
        <w:t>El</w:t>
      </w:r>
      <w:r>
        <w:rPr>
          <w:spacing w:val="-14"/>
        </w:rPr>
        <w:t> </w:t>
      </w:r>
      <w:r>
        <w:rPr/>
        <w:t>Valle</w:t>
      </w:r>
      <w:r>
        <w:rPr>
          <w:spacing w:val="-21"/>
        </w:rPr>
        <w:t> </w:t>
      </w:r>
      <w:r>
        <w:rPr/>
        <w:t>de</w:t>
      </w:r>
      <w:r>
        <w:rPr>
          <w:spacing w:val="-17"/>
        </w:rPr>
        <w:t> </w:t>
      </w:r>
      <w:r>
        <w:rPr/>
        <w:t>Toluca,</w:t>
      </w:r>
      <w:r>
        <w:rPr>
          <w:spacing w:val="-17"/>
        </w:rPr>
        <w:t> </w:t>
      </w:r>
      <w:r>
        <w:rPr/>
        <w:t>siguiendo</w:t>
      </w:r>
      <w:r>
        <w:rPr>
          <w:spacing w:val="-17"/>
        </w:rPr>
        <w:t> </w:t>
      </w:r>
      <w:r>
        <w:rPr/>
        <w:t>el</w:t>
      </w:r>
      <w:r>
        <w:rPr>
          <w:spacing w:val="-14"/>
        </w:rPr>
        <w:t> </w:t>
      </w:r>
      <w:r>
        <w:rPr/>
        <w:t>sentido</w:t>
      </w:r>
      <w:r>
        <w:rPr>
          <w:spacing w:val="-17"/>
        </w:rPr>
        <w:t> </w:t>
      </w:r>
      <w:r>
        <w:rPr/>
        <w:t>del</w:t>
      </w:r>
      <w:r>
        <w:rPr>
          <w:spacing w:val="-14"/>
        </w:rPr>
        <w:t> </w:t>
      </w:r>
      <w:r>
        <w:rPr/>
        <w:t>cauce</w:t>
      </w:r>
      <w:r>
        <w:rPr>
          <w:spacing w:val="-17"/>
        </w:rPr>
        <w:t> </w:t>
      </w:r>
      <w:r>
        <w:rPr/>
        <w:t>del</w:t>
      </w:r>
      <w:r>
        <w:rPr>
          <w:spacing w:val="-14"/>
        </w:rPr>
        <w:t> </w:t>
      </w:r>
      <w:r>
        <w:rPr/>
        <w:t>Río</w:t>
      </w:r>
      <w:r>
        <w:rPr>
          <w:spacing w:val="-17"/>
        </w:rPr>
        <w:t> </w:t>
      </w:r>
      <w:r>
        <w:rPr/>
        <w:t>Lerma,</w:t>
      </w:r>
      <w:r>
        <w:rPr>
          <w:spacing w:val="-17"/>
        </w:rPr>
        <w:t> </w:t>
      </w:r>
      <w:r>
        <w:rPr/>
        <w:t>se</w:t>
      </w:r>
      <w:r>
        <w:rPr>
          <w:spacing w:val="-17"/>
        </w:rPr>
        <w:t> </w:t>
      </w:r>
      <w:r>
        <w:rPr/>
        <w:t>termina</w:t>
      </w:r>
      <w:r>
        <w:rPr>
          <w:spacing w:val="-17"/>
        </w:rPr>
        <w:t> </w:t>
      </w:r>
      <w:r>
        <w:rPr/>
        <w:t>al</w:t>
      </w:r>
      <w:r>
        <w:rPr>
          <w:spacing w:val="-14"/>
        </w:rPr>
        <w:t> </w:t>
      </w:r>
      <w:r>
        <w:rPr/>
        <w:t>norte, en</w:t>
      </w:r>
      <w:r>
        <w:rPr>
          <w:spacing w:val="-8"/>
        </w:rPr>
        <w:t> </w:t>
      </w:r>
      <w:r>
        <w:rPr/>
        <w:t>el</w:t>
      </w:r>
      <w:r>
        <w:rPr>
          <w:spacing w:val="-8"/>
        </w:rPr>
        <w:t> </w:t>
      </w:r>
      <w:r>
        <w:rPr/>
        <w:t>llamado</w:t>
      </w:r>
      <w:r>
        <w:rPr>
          <w:spacing w:val="-8"/>
        </w:rPr>
        <w:t> </w:t>
      </w:r>
      <w:r>
        <w:rPr/>
        <w:t>estrechamiento</w:t>
      </w:r>
      <w:r>
        <w:rPr>
          <w:spacing w:val="-12"/>
        </w:rPr>
        <w:t> </w:t>
      </w:r>
      <w:r>
        <w:rPr/>
        <w:t>de</w:t>
      </w:r>
      <w:r>
        <w:rPr>
          <w:spacing w:val="-8"/>
        </w:rPr>
        <w:t> </w:t>
      </w:r>
      <w:r>
        <w:rPr/>
        <w:t>Perales,</w:t>
      </w:r>
      <w:r>
        <w:rPr>
          <w:spacing w:val="-13"/>
        </w:rPr>
        <w:t> </w:t>
      </w:r>
      <w:r>
        <w:rPr/>
        <w:t>9</w:t>
      </w:r>
      <w:r>
        <w:rPr>
          <w:spacing w:val="-8"/>
        </w:rPr>
        <w:t> </w:t>
      </w:r>
      <w:r>
        <w:rPr/>
        <w:t>kilómetros</w:t>
      </w:r>
      <w:r>
        <w:rPr>
          <w:spacing w:val="-9"/>
        </w:rPr>
        <w:t> </w:t>
      </w:r>
      <w:r>
        <w:rPr/>
        <w:t>sobre</w:t>
      </w:r>
      <w:r>
        <w:rPr>
          <w:spacing w:val="-13"/>
        </w:rPr>
        <w:t> </w:t>
      </w:r>
      <w:r>
        <w:rPr/>
        <w:t>el</w:t>
      </w:r>
      <w:r>
        <w:rPr>
          <w:spacing w:val="-9"/>
        </w:rPr>
        <w:t> </w:t>
      </w:r>
      <w:r>
        <w:rPr/>
        <w:t>curso</w:t>
      </w:r>
      <w:r>
        <w:rPr>
          <w:spacing w:val="-8"/>
        </w:rPr>
        <w:t> </w:t>
      </w:r>
      <w:r>
        <w:rPr/>
        <w:t>del</w:t>
      </w:r>
      <w:r>
        <w:rPr>
          <w:spacing w:val="-9"/>
        </w:rPr>
        <w:t> </w:t>
      </w:r>
      <w:r>
        <w:rPr/>
        <w:t>Río</w:t>
      </w:r>
      <w:r>
        <w:rPr>
          <w:spacing w:val="-13"/>
        </w:rPr>
        <w:t> </w:t>
      </w:r>
      <w:r>
        <w:rPr/>
        <w:t>Lerma después de la Presa José Antonio Alzate. Lugar donde se localizan las fallas transversales que definen, los límites de las subcuencas del Valle de Toluca e Ixtlahuaca-Atlacomulco.</w:t>
      </w:r>
    </w:p>
    <w:p>
      <w:pPr>
        <w:pStyle w:val="BodyText"/>
      </w:pPr>
    </w:p>
    <w:p>
      <w:pPr>
        <w:pStyle w:val="BodyText"/>
        <w:spacing w:line="360" w:lineRule="auto" w:before="144"/>
        <w:ind w:left="119" w:right="131"/>
        <w:jc w:val="both"/>
      </w:pPr>
      <w:r>
        <w:rPr/>
        <w:t>Al oriente, la Sierra de Las Cruces es el límite entre las cuencas de los Valles de Toluca y</w:t>
      </w:r>
    </w:p>
    <w:p>
      <w:pPr>
        <w:pStyle w:val="BodyText"/>
        <w:spacing w:line="360" w:lineRule="auto" w:before="2"/>
        <w:ind w:left="119" w:right="126"/>
        <w:jc w:val="both"/>
      </w:pPr>
      <w:r>
        <w:rPr/>
        <w:t>México, presenta desagües que varían, asociados a las fracturas que existen en la sierra; se constituye en el segundo aportador más importante a los acuíferos de la subcuenca.</w:t>
      </w:r>
    </w:p>
    <w:p>
      <w:pPr>
        <w:pStyle w:val="BodyText"/>
      </w:pPr>
    </w:p>
    <w:p>
      <w:pPr>
        <w:pStyle w:val="BodyText"/>
        <w:spacing w:line="362" w:lineRule="auto" w:before="140"/>
        <w:ind w:left="119" w:right="127"/>
        <w:jc w:val="both"/>
      </w:pPr>
      <w:r>
        <w:rPr/>
        <w:t>La Sierra Nahuatlaca, es límite sur de la Cuenca Alta del Lerma y de la subcuenca del Valle de Toluca, presenta un desagüe muy escaso, permite estimar una gran permeabilidad en la parte sur de la subcuenca.</w:t>
      </w:r>
    </w:p>
    <w:p>
      <w:pPr>
        <w:pStyle w:val="BodyText"/>
        <w:spacing w:before="10"/>
        <w:rPr>
          <w:sz w:val="35"/>
        </w:rPr>
      </w:pPr>
    </w:p>
    <w:p>
      <w:pPr>
        <w:pStyle w:val="BodyText"/>
        <w:spacing w:line="360" w:lineRule="auto"/>
        <w:ind w:left="119" w:right="117"/>
        <w:jc w:val="both"/>
      </w:pPr>
      <w:r>
        <w:rPr/>
        <w:t>Al suroeste, el límite de la subcuenca es el Nevado de Toluca, en sus partes bajas se constituyen excelentes acuíferos. Los escurrimientos corresponden a un desagüe radial típico. El Xinantécatl constituye el principal aportador de corrientes subterráneas a los acuíferos de la subcuenca.</w:t>
      </w:r>
    </w:p>
    <w:p>
      <w:pPr>
        <w:pStyle w:val="BodyText"/>
      </w:pPr>
    </w:p>
    <w:p>
      <w:pPr>
        <w:pStyle w:val="BodyText"/>
        <w:spacing w:line="362" w:lineRule="auto" w:before="139"/>
        <w:ind w:left="119" w:right="117"/>
        <w:jc w:val="both"/>
      </w:pPr>
      <w:r>
        <w:rPr/>
        <w:t>Al poniente, se integra un complicado sistema montañoso combinado con lomeríos suaves, cuenca del Balsas. Su desagüe está formado por escurrimientos que confluyen principalmente al Río Tejalpa y a la presa Ignacio Ramírez.</w:t>
      </w:r>
    </w:p>
    <w:p>
      <w:pPr>
        <w:spacing w:after="0" w:line="362" w:lineRule="auto"/>
        <w:jc w:val="both"/>
        <w:sectPr>
          <w:pgSz w:w="12240" w:h="15840"/>
          <w:pgMar w:header="0" w:footer="1031" w:top="1500" w:bottom="1220" w:left="1580" w:right="1580"/>
        </w:sectPr>
      </w:pPr>
    </w:p>
    <w:p>
      <w:pPr>
        <w:pStyle w:val="BodyText"/>
        <w:spacing w:line="362" w:lineRule="auto" w:before="52"/>
        <w:ind w:left="119" w:right="128"/>
        <w:jc w:val="both"/>
      </w:pPr>
      <w:r>
        <w:rPr/>
        <w:t>Al sureste de la planicie, se localiza la zona lagunar de Chignahuapan, donde</w:t>
      </w:r>
      <w:r>
        <w:rPr>
          <w:spacing w:val="-44"/>
        </w:rPr>
        <w:t> </w:t>
      </w:r>
      <w:r>
        <w:rPr/>
        <w:t>nace el</w:t>
      </w:r>
      <w:r>
        <w:rPr>
          <w:spacing w:val="3"/>
        </w:rPr>
        <w:t> </w:t>
      </w:r>
      <w:r>
        <w:rPr/>
        <w:t>Río</w:t>
      </w:r>
    </w:p>
    <w:p>
      <w:pPr>
        <w:pStyle w:val="BodyText"/>
        <w:spacing w:line="360" w:lineRule="auto"/>
        <w:ind w:left="119" w:right="119"/>
        <w:jc w:val="both"/>
      </w:pPr>
      <w:r>
        <w:rPr/>
        <w:t>Lerma. En la parte norte de esta zona lagunar se ha sufrido la desecación de sus cuerpos de agua.</w:t>
      </w:r>
    </w:p>
    <w:p>
      <w:pPr>
        <w:pStyle w:val="BodyText"/>
        <w:spacing w:line="360" w:lineRule="auto" w:before="2"/>
        <w:ind w:left="119" w:right="122"/>
        <w:jc w:val="both"/>
      </w:pPr>
      <w:r>
        <w:rPr/>
        <w:t>En la margen derecha del río Lerma, desde el poblado de Almoloya del Río, hasta el Municipio de Ixtlahuaca, se ubican los pozos y acueductos con los que se extrae y envía agua al Distrito Federal. Al poniente del Río Lerma, se localiza la presa Ignacio</w:t>
      </w:r>
      <w:r>
        <w:rPr>
          <w:spacing w:val="-12"/>
        </w:rPr>
        <w:t> </w:t>
      </w:r>
      <w:r>
        <w:rPr/>
        <w:t>Ramírez,</w:t>
      </w:r>
      <w:r>
        <w:rPr>
          <w:spacing w:val="-12"/>
        </w:rPr>
        <w:t> </w:t>
      </w:r>
      <w:r>
        <w:rPr/>
        <w:t>dentro</w:t>
      </w:r>
      <w:r>
        <w:rPr>
          <w:spacing w:val="-16"/>
        </w:rPr>
        <w:t> </w:t>
      </w:r>
      <w:r>
        <w:rPr/>
        <w:t>del</w:t>
      </w:r>
      <w:r>
        <w:rPr>
          <w:spacing w:val="-8"/>
        </w:rPr>
        <w:t> </w:t>
      </w:r>
      <w:r>
        <w:rPr/>
        <w:t>municipio</w:t>
      </w:r>
      <w:r>
        <w:rPr>
          <w:spacing w:val="-12"/>
        </w:rPr>
        <w:t> </w:t>
      </w:r>
      <w:r>
        <w:rPr/>
        <w:t>de</w:t>
      </w:r>
      <w:r>
        <w:rPr>
          <w:spacing w:val="-12"/>
        </w:rPr>
        <w:t> </w:t>
      </w:r>
      <w:r>
        <w:rPr/>
        <w:t>Almoloya</w:t>
      </w:r>
      <w:r>
        <w:rPr>
          <w:spacing w:val="-16"/>
        </w:rPr>
        <w:t> </w:t>
      </w:r>
      <w:r>
        <w:rPr/>
        <w:t>de</w:t>
      </w:r>
      <w:r>
        <w:rPr>
          <w:spacing w:val="-12"/>
        </w:rPr>
        <w:t> </w:t>
      </w:r>
      <w:r>
        <w:rPr/>
        <w:t>Juárez,</w:t>
      </w:r>
      <w:r>
        <w:rPr>
          <w:spacing w:val="-12"/>
        </w:rPr>
        <w:t> </w:t>
      </w:r>
      <w:r>
        <w:rPr/>
        <w:t>alimentada</w:t>
      </w:r>
      <w:r>
        <w:rPr>
          <w:spacing w:val="-12"/>
        </w:rPr>
        <w:t> </w:t>
      </w:r>
      <w:r>
        <w:rPr/>
        <w:t>por</w:t>
      </w:r>
      <w:r>
        <w:rPr>
          <w:spacing w:val="-16"/>
        </w:rPr>
        <w:t> </w:t>
      </w:r>
      <w:r>
        <w:rPr/>
        <w:t>el</w:t>
      </w:r>
      <w:r>
        <w:rPr>
          <w:spacing w:val="-8"/>
        </w:rPr>
        <w:t> </w:t>
      </w:r>
      <w:r>
        <w:rPr/>
        <w:t>Río Tejalpa.</w:t>
      </w:r>
    </w:p>
    <w:p>
      <w:pPr>
        <w:pStyle w:val="BodyText"/>
        <w:spacing w:before="8"/>
        <w:ind w:left="119"/>
        <w:jc w:val="both"/>
      </w:pPr>
      <w:r>
        <w:rPr/>
        <w:t>Zonas de recarga.</w:t>
      </w:r>
    </w:p>
    <w:p>
      <w:pPr>
        <w:pStyle w:val="BodyText"/>
      </w:pPr>
    </w:p>
    <w:p>
      <w:pPr>
        <w:pStyle w:val="BodyText"/>
        <w:spacing w:before="9"/>
        <w:rPr>
          <w:sz w:val="23"/>
        </w:rPr>
      </w:pPr>
    </w:p>
    <w:p>
      <w:pPr>
        <w:pStyle w:val="BodyText"/>
        <w:spacing w:line="360" w:lineRule="auto"/>
        <w:ind w:left="119" w:right="121"/>
        <w:jc w:val="both"/>
      </w:pPr>
      <w:r>
        <w:rPr/>
        <w:t>Se</w:t>
      </w:r>
      <w:r>
        <w:rPr>
          <w:spacing w:val="-16"/>
        </w:rPr>
        <w:t> </w:t>
      </w:r>
      <w:r>
        <w:rPr/>
        <w:t>ubican</w:t>
      </w:r>
      <w:r>
        <w:rPr>
          <w:spacing w:val="-16"/>
        </w:rPr>
        <w:t> </w:t>
      </w:r>
      <w:r>
        <w:rPr/>
        <w:t>principalmente</w:t>
      </w:r>
      <w:r>
        <w:rPr>
          <w:spacing w:val="-15"/>
        </w:rPr>
        <w:t> </w:t>
      </w:r>
      <w:r>
        <w:rPr/>
        <w:t>en</w:t>
      </w:r>
      <w:r>
        <w:rPr>
          <w:spacing w:val="-16"/>
        </w:rPr>
        <w:t> </w:t>
      </w:r>
      <w:r>
        <w:rPr/>
        <w:t>las</w:t>
      </w:r>
      <w:r>
        <w:rPr>
          <w:spacing w:val="-16"/>
        </w:rPr>
        <w:t> </w:t>
      </w:r>
      <w:r>
        <w:rPr/>
        <w:t>partes</w:t>
      </w:r>
      <w:r>
        <w:rPr>
          <w:spacing w:val="-16"/>
        </w:rPr>
        <w:t> </w:t>
      </w:r>
      <w:r>
        <w:rPr/>
        <w:t>altas;</w:t>
      </w:r>
      <w:r>
        <w:rPr>
          <w:spacing w:val="-16"/>
        </w:rPr>
        <w:t> </w:t>
      </w:r>
      <w:r>
        <w:rPr/>
        <w:t>otras</w:t>
      </w:r>
      <w:r>
        <w:rPr>
          <w:spacing w:val="-16"/>
        </w:rPr>
        <w:t> </w:t>
      </w:r>
      <w:r>
        <w:rPr/>
        <w:t>zonas</w:t>
      </w:r>
      <w:r>
        <w:rPr>
          <w:spacing w:val="-16"/>
        </w:rPr>
        <w:t> </w:t>
      </w:r>
      <w:r>
        <w:rPr/>
        <w:t>de</w:t>
      </w:r>
      <w:r>
        <w:rPr>
          <w:spacing w:val="-16"/>
        </w:rPr>
        <w:t> </w:t>
      </w:r>
      <w:r>
        <w:rPr/>
        <w:t>recarga</w:t>
      </w:r>
      <w:r>
        <w:rPr>
          <w:spacing w:val="-16"/>
        </w:rPr>
        <w:t> </w:t>
      </w:r>
      <w:r>
        <w:rPr/>
        <w:t>cubren</w:t>
      </w:r>
      <w:r>
        <w:rPr>
          <w:spacing w:val="-16"/>
        </w:rPr>
        <w:t> </w:t>
      </w:r>
      <w:r>
        <w:rPr/>
        <w:t>amplias extensiones</w:t>
      </w:r>
      <w:r>
        <w:rPr>
          <w:spacing w:val="-11"/>
        </w:rPr>
        <w:t> </w:t>
      </w:r>
      <w:r>
        <w:rPr/>
        <w:t>en</w:t>
      </w:r>
      <w:r>
        <w:rPr>
          <w:spacing w:val="-10"/>
        </w:rPr>
        <w:t> </w:t>
      </w:r>
      <w:r>
        <w:rPr/>
        <w:t>la</w:t>
      </w:r>
      <w:r>
        <w:rPr>
          <w:spacing w:val="-10"/>
        </w:rPr>
        <w:t> </w:t>
      </w:r>
      <w:r>
        <w:rPr/>
        <w:t>parte</w:t>
      </w:r>
      <w:r>
        <w:rPr>
          <w:spacing w:val="-6"/>
        </w:rPr>
        <w:t> </w:t>
      </w:r>
      <w:r>
        <w:rPr/>
        <w:t>sur-sureste,</w:t>
      </w:r>
      <w:r>
        <w:rPr>
          <w:spacing w:val="-10"/>
        </w:rPr>
        <w:t> </w:t>
      </w:r>
      <w:r>
        <w:rPr/>
        <w:t>Sierra</w:t>
      </w:r>
      <w:r>
        <w:rPr>
          <w:spacing w:val="-10"/>
        </w:rPr>
        <w:t> </w:t>
      </w:r>
      <w:r>
        <w:rPr/>
        <w:t>Nahuatlaca.</w:t>
      </w:r>
      <w:r>
        <w:rPr>
          <w:spacing w:val="-6"/>
        </w:rPr>
        <w:t> </w:t>
      </w:r>
      <w:r>
        <w:rPr/>
        <w:t>Estas</w:t>
      </w:r>
      <w:r>
        <w:rPr>
          <w:spacing w:val="-11"/>
        </w:rPr>
        <w:t> </w:t>
      </w:r>
      <w:r>
        <w:rPr/>
        <w:t>zonas</w:t>
      </w:r>
      <w:r>
        <w:rPr>
          <w:spacing w:val="-11"/>
        </w:rPr>
        <w:t> </w:t>
      </w:r>
      <w:r>
        <w:rPr/>
        <w:t>se</w:t>
      </w:r>
      <w:r>
        <w:rPr>
          <w:spacing w:val="-10"/>
        </w:rPr>
        <w:t> </w:t>
      </w:r>
      <w:r>
        <w:rPr/>
        <w:t>encuentran, generalmente,</w:t>
      </w:r>
      <w:r>
        <w:rPr>
          <w:spacing w:val="-2"/>
        </w:rPr>
        <w:t> </w:t>
      </w:r>
      <w:r>
        <w:rPr/>
        <w:t>en</w:t>
      </w:r>
      <w:r>
        <w:rPr>
          <w:spacing w:val="-6"/>
        </w:rPr>
        <w:t> </w:t>
      </w:r>
      <w:r>
        <w:rPr/>
        <w:t>aquellas</w:t>
      </w:r>
      <w:r>
        <w:rPr>
          <w:spacing w:val="-2"/>
        </w:rPr>
        <w:t> </w:t>
      </w:r>
      <w:r>
        <w:rPr/>
        <w:t>partes</w:t>
      </w:r>
      <w:r>
        <w:rPr>
          <w:spacing w:val="-7"/>
        </w:rPr>
        <w:t> </w:t>
      </w:r>
      <w:r>
        <w:rPr/>
        <w:t>en</w:t>
      </w:r>
      <w:r>
        <w:rPr>
          <w:spacing w:val="-6"/>
        </w:rPr>
        <w:t> </w:t>
      </w:r>
      <w:r>
        <w:rPr/>
        <w:t>donde</w:t>
      </w:r>
      <w:r>
        <w:rPr>
          <w:spacing w:val="-11"/>
        </w:rPr>
        <w:t> </w:t>
      </w:r>
      <w:r>
        <w:rPr/>
        <w:t>la</w:t>
      </w:r>
      <w:r>
        <w:rPr>
          <w:spacing w:val="-6"/>
        </w:rPr>
        <w:t> </w:t>
      </w:r>
      <w:r>
        <w:rPr/>
        <w:t>precipitación</w:t>
      </w:r>
      <w:r>
        <w:rPr>
          <w:spacing w:val="-1"/>
        </w:rPr>
        <w:t> </w:t>
      </w:r>
      <w:r>
        <w:rPr/>
        <w:t>es</w:t>
      </w:r>
      <w:r>
        <w:rPr>
          <w:spacing w:val="-7"/>
        </w:rPr>
        <w:t> </w:t>
      </w:r>
      <w:r>
        <w:rPr/>
        <w:t>mucho</w:t>
      </w:r>
      <w:r>
        <w:rPr>
          <w:spacing w:val="-2"/>
        </w:rPr>
        <w:t> </w:t>
      </w:r>
      <w:r>
        <w:rPr/>
        <w:t>mayor</w:t>
      </w:r>
      <w:r>
        <w:rPr>
          <w:spacing w:val="-1"/>
        </w:rPr>
        <w:t> </w:t>
      </w:r>
      <w:r>
        <w:rPr/>
        <w:t>que</w:t>
      </w:r>
      <w:r>
        <w:rPr>
          <w:spacing w:val="-6"/>
        </w:rPr>
        <w:t> </w:t>
      </w:r>
      <w:r>
        <w:rPr/>
        <w:t>la observada en las partes bajas de la</w:t>
      </w:r>
      <w:r>
        <w:rPr>
          <w:spacing w:val="-19"/>
        </w:rPr>
        <w:t> </w:t>
      </w:r>
      <w:r>
        <w:rPr/>
        <w:t>cuenca.</w:t>
      </w:r>
    </w:p>
    <w:p>
      <w:pPr>
        <w:pStyle w:val="BodyText"/>
      </w:pPr>
    </w:p>
    <w:p>
      <w:pPr>
        <w:pStyle w:val="BodyText"/>
        <w:spacing w:before="140"/>
        <w:ind w:left="119"/>
        <w:jc w:val="both"/>
      </w:pPr>
      <w:r>
        <w:rPr/>
        <w:t>Zonas de acuíferos.</w:t>
      </w:r>
    </w:p>
    <w:p>
      <w:pPr>
        <w:pStyle w:val="BodyText"/>
      </w:pPr>
    </w:p>
    <w:p>
      <w:pPr>
        <w:pStyle w:val="BodyText"/>
        <w:spacing w:before="2"/>
      </w:pPr>
    </w:p>
    <w:p>
      <w:pPr>
        <w:pStyle w:val="BodyText"/>
        <w:spacing w:line="360" w:lineRule="auto"/>
        <w:ind w:left="119" w:right="116"/>
        <w:jc w:val="both"/>
      </w:pPr>
      <w:r>
        <w:rPr/>
        <w:t>Se localizan en las partes bajas de la cuenca, en forma de acuíferos del tipo confinado, existen además acuíferos importantes, en las zonas de alta capacidad de recarga. La existencia de una mayor continuidad de los acuíferos confinados existentes,</w:t>
      </w:r>
      <w:r>
        <w:rPr>
          <w:spacing w:val="-11"/>
        </w:rPr>
        <w:t> </w:t>
      </w:r>
      <w:r>
        <w:rPr/>
        <w:t>que</w:t>
      </w:r>
      <w:r>
        <w:rPr>
          <w:spacing w:val="-11"/>
        </w:rPr>
        <w:t> </w:t>
      </w:r>
      <w:r>
        <w:rPr/>
        <w:t>se</w:t>
      </w:r>
      <w:r>
        <w:rPr>
          <w:spacing w:val="-11"/>
        </w:rPr>
        <w:t> </w:t>
      </w:r>
      <w:r>
        <w:rPr/>
        <w:t>extienden</w:t>
      </w:r>
      <w:r>
        <w:rPr>
          <w:spacing w:val="-15"/>
        </w:rPr>
        <w:t> </w:t>
      </w:r>
      <w:r>
        <w:rPr/>
        <w:t>desde</w:t>
      </w:r>
      <w:r>
        <w:rPr>
          <w:spacing w:val="-15"/>
        </w:rPr>
        <w:t> </w:t>
      </w:r>
      <w:r>
        <w:rPr/>
        <w:t>las</w:t>
      </w:r>
      <w:r>
        <w:rPr>
          <w:spacing w:val="-11"/>
        </w:rPr>
        <w:t> </w:t>
      </w:r>
      <w:r>
        <w:rPr/>
        <w:t>faldas</w:t>
      </w:r>
      <w:r>
        <w:rPr>
          <w:spacing w:val="-20"/>
        </w:rPr>
        <w:t> </w:t>
      </w:r>
      <w:r>
        <w:rPr/>
        <w:t>del</w:t>
      </w:r>
      <w:r>
        <w:rPr>
          <w:spacing w:val="-7"/>
        </w:rPr>
        <w:t> </w:t>
      </w:r>
      <w:r>
        <w:rPr/>
        <w:t>Nevado</w:t>
      </w:r>
      <w:r>
        <w:rPr>
          <w:spacing w:val="-11"/>
        </w:rPr>
        <w:t> </w:t>
      </w:r>
      <w:r>
        <w:rPr/>
        <w:t>de</w:t>
      </w:r>
      <w:r>
        <w:rPr>
          <w:spacing w:val="-11"/>
        </w:rPr>
        <w:t> </w:t>
      </w:r>
      <w:r>
        <w:rPr/>
        <w:t>Toluca</w:t>
      </w:r>
      <w:r>
        <w:rPr>
          <w:spacing w:val="-10"/>
        </w:rPr>
        <w:t> </w:t>
      </w:r>
      <w:r>
        <w:rPr/>
        <w:t>hacia</w:t>
      </w:r>
      <w:r>
        <w:rPr>
          <w:spacing w:val="-15"/>
        </w:rPr>
        <w:t> </w:t>
      </w:r>
      <w:r>
        <w:rPr/>
        <w:t>las</w:t>
      </w:r>
      <w:r>
        <w:rPr>
          <w:spacing w:val="-11"/>
        </w:rPr>
        <w:t> </w:t>
      </w:r>
      <w:r>
        <w:rPr/>
        <w:t>zonas bajas del valle, implica la posibilidad de que las mayores recargas provengan del borde</w:t>
      </w:r>
      <w:r>
        <w:rPr>
          <w:spacing w:val="-3"/>
        </w:rPr>
        <w:t> </w:t>
      </w:r>
      <w:r>
        <w:rPr/>
        <w:t>occidental.</w:t>
      </w:r>
    </w:p>
    <w:p>
      <w:pPr>
        <w:pStyle w:val="BodyText"/>
      </w:pPr>
    </w:p>
    <w:p>
      <w:pPr>
        <w:pStyle w:val="BodyText"/>
        <w:spacing w:line="362" w:lineRule="auto" w:before="140"/>
        <w:ind w:left="119" w:right="118"/>
        <w:jc w:val="both"/>
      </w:pPr>
      <w:r>
        <w:rPr/>
        <w:t>En los últimos 50 años se han visto abatidos por la extracción constante de los volúmenes</w:t>
      </w:r>
      <w:r>
        <w:rPr>
          <w:spacing w:val="-13"/>
        </w:rPr>
        <w:t> </w:t>
      </w:r>
      <w:r>
        <w:rPr/>
        <w:t>de</w:t>
      </w:r>
      <w:r>
        <w:rPr>
          <w:spacing w:val="-12"/>
        </w:rPr>
        <w:t> </w:t>
      </w:r>
      <w:r>
        <w:rPr/>
        <w:t>agua</w:t>
      </w:r>
      <w:r>
        <w:rPr>
          <w:spacing w:val="-12"/>
        </w:rPr>
        <w:t> </w:t>
      </w:r>
      <w:r>
        <w:rPr/>
        <w:t>para</w:t>
      </w:r>
      <w:r>
        <w:rPr>
          <w:spacing w:val="-12"/>
        </w:rPr>
        <w:t> </w:t>
      </w:r>
      <w:r>
        <w:rPr/>
        <w:t>el</w:t>
      </w:r>
      <w:r>
        <w:rPr>
          <w:spacing w:val="-8"/>
        </w:rPr>
        <w:t> </w:t>
      </w:r>
      <w:r>
        <w:rPr/>
        <w:t>Distrito</w:t>
      </w:r>
      <w:r>
        <w:rPr>
          <w:spacing w:val="-15"/>
        </w:rPr>
        <w:t> </w:t>
      </w:r>
      <w:r>
        <w:rPr/>
        <w:t>Federal,</w:t>
      </w:r>
      <w:r>
        <w:rPr>
          <w:spacing w:val="-12"/>
        </w:rPr>
        <w:t> </w:t>
      </w:r>
      <w:r>
        <w:rPr/>
        <w:t>provocando</w:t>
      </w:r>
      <w:r>
        <w:rPr>
          <w:spacing w:val="-12"/>
        </w:rPr>
        <w:t> </w:t>
      </w:r>
      <w:r>
        <w:rPr/>
        <w:t>entre</w:t>
      </w:r>
      <w:r>
        <w:rPr>
          <w:spacing w:val="-16"/>
        </w:rPr>
        <w:t> </w:t>
      </w:r>
      <w:r>
        <w:rPr/>
        <w:t>otros</w:t>
      </w:r>
      <w:r>
        <w:rPr>
          <w:spacing w:val="-13"/>
        </w:rPr>
        <w:t> </w:t>
      </w:r>
      <w:r>
        <w:rPr/>
        <w:t>factores</w:t>
      </w:r>
      <w:r>
        <w:rPr>
          <w:spacing w:val="-13"/>
        </w:rPr>
        <w:t> </w:t>
      </w:r>
      <w:r>
        <w:rPr/>
        <w:t>que</w:t>
      </w:r>
      <w:r>
        <w:rPr>
          <w:spacing w:val="-16"/>
        </w:rPr>
        <w:t> </w:t>
      </w:r>
      <w:r>
        <w:rPr/>
        <w:t>los niveles de perforación de pozos sean cada vez </w:t>
      </w:r>
      <w:r>
        <w:rPr>
          <w:spacing w:val="-3"/>
        </w:rPr>
        <w:t>más</w:t>
      </w:r>
      <w:r>
        <w:rPr>
          <w:spacing w:val="-16"/>
        </w:rPr>
        <w:t> </w:t>
      </w:r>
      <w:r>
        <w:rPr/>
        <w:t>profundos.</w:t>
      </w:r>
    </w:p>
    <w:p>
      <w:pPr>
        <w:spacing w:after="0" w:line="362" w:lineRule="auto"/>
        <w:jc w:val="both"/>
        <w:sectPr>
          <w:pgSz w:w="12240" w:h="15840"/>
          <w:pgMar w:header="0" w:footer="1031" w:top="1360" w:bottom="1220" w:left="1580" w:right="1580"/>
        </w:sectPr>
      </w:pPr>
    </w:p>
    <w:p>
      <w:pPr>
        <w:spacing w:before="51"/>
        <w:ind w:left="3054" w:right="0" w:firstLine="0"/>
        <w:jc w:val="left"/>
        <w:rPr>
          <w:sz w:val="22"/>
        </w:rPr>
      </w:pPr>
      <w:r>
        <w:rPr>
          <w:sz w:val="22"/>
        </w:rPr>
        <w:t>Mapa 5. Hidrología de la ZMT.</w:t>
      </w:r>
    </w:p>
    <w:p>
      <w:pPr>
        <w:pStyle w:val="BodyText"/>
        <w:spacing w:before="7"/>
        <w:rPr>
          <w:sz w:val="25"/>
        </w:rPr>
      </w:pPr>
      <w:r>
        <w:rPr/>
        <w:drawing>
          <wp:anchor distT="0" distB="0" distL="0" distR="0" allowOverlap="1" layoutInCell="1" locked="0" behindDoc="0" simplePos="0" relativeHeight="1552">
            <wp:simplePos x="0" y="0"/>
            <wp:positionH relativeFrom="page">
              <wp:posOffset>1079500</wp:posOffset>
            </wp:positionH>
            <wp:positionV relativeFrom="paragraph">
              <wp:posOffset>212330</wp:posOffset>
            </wp:positionV>
            <wp:extent cx="5499168" cy="4032504"/>
            <wp:effectExtent l="0" t="0" r="0" b="0"/>
            <wp:wrapTopAndBottom/>
            <wp:docPr id="19" name="image29.jpeg" descr=""/>
            <wp:cNvGraphicFramePr>
              <a:graphicFrameLocks noChangeAspect="1"/>
            </wp:cNvGraphicFramePr>
            <a:graphic>
              <a:graphicData uri="http://schemas.openxmlformats.org/drawingml/2006/picture">
                <pic:pic>
                  <pic:nvPicPr>
                    <pic:cNvPr id="20" name="image29.jpeg"/>
                    <pic:cNvPicPr/>
                  </pic:nvPicPr>
                  <pic:blipFill>
                    <a:blip r:embed="rId42" cstate="print"/>
                    <a:stretch>
                      <a:fillRect/>
                    </a:stretch>
                  </pic:blipFill>
                  <pic:spPr>
                    <a:xfrm>
                      <a:off x="0" y="0"/>
                      <a:ext cx="5499168" cy="4032504"/>
                    </a:xfrm>
                    <a:prstGeom prst="rect">
                      <a:avLst/>
                    </a:prstGeom>
                  </pic:spPr>
                </pic:pic>
              </a:graphicData>
            </a:graphic>
          </wp:anchor>
        </w:drawing>
      </w:r>
    </w:p>
    <w:p>
      <w:pPr>
        <w:pStyle w:val="BodyText"/>
        <w:rPr>
          <w:sz w:val="22"/>
        </w:rPr>
      </w:pPr>
    </w:p>
    <w:p>
      <w:pPr>
        <w:pStyle w:val="BodyText"/>
        <w:rPr>
          <w:sz w:val="22"/>
        </w:rPr>
      </w:pPr>
    </w:p>
    <w:p>
      <w:pPr>
        <w:pStyle w:val="BodyText"/>
        <w:rPr>
          <w:sz w:val="22"/>
        </w:rPr>
      </w:pPr>
    </w:p>
    <w:p>
      <w:pPr>
        <w:pStyle w:val="BodyText"/>
        <w:spacing w:before="10"/>
        <w:rPr>
          <w:sz w:val="22"/>
        </w:rPr>
      </w:pPr>
    </w:p>
    <w:p>
      <w:pPr>
        <w:spacing w:before="0"/>
        <w:ind w:left="119" w:right="0" w:firstLine="0"/>
        <w:jc w:val="left"/>
        <w:rPr>
          <w:sz w:val="20"/>
        </w:rPr>
      </w:pPr>
      <w:r>
        <w:rPr>
          <w:sz w:val="20"/>
        </w:rPr>
        <w:t>Fuente: Elaboración propia con base en INEGI (2005).</w:t>
      </w:r>
    </w:p>
    <w:p>
      <w:pPr>
        <w:spacing w:after="0"/>
        <w:jc w:val="left"/>
        <w:rPr>
          <w:sz w:val="20"/>
        </w:rPr>
        <w:sectPr>
          <w:pgSz w:w="12240" w:h="15840"/>
          <w:pgMar w:header="0" w:footer="1031" w:top="1360" w:bottom="1220" w:left="1580" w:right="1720"/>
        </w:sectPr>
      </w:pPr>
    </w:p>
    <w:p>
      <w:pPr>
        <w:pStyle w:val="BodyText"/>
        <w:spacing w:line="362" w:lineRule="auto" w:before="52"/>
        <w:ind w:left="119" w:right="1169"/>
      </w:pPr>
      <w:r>
        <w:rPr/>
        <w:t>Aplicando el método EMC al factor hidrológico se obtuvieron los siguientes resultados:</w:t>
      </w:r>
    </w:p>
    <w:p>
      <w:pPr>
        <w:pStyle w:val="BodyText"/>
        <w:spacing w:before="10"/>
        <w:rPr>
          <w:sz w:val="35"/>
        </w:rPr>
      </w:pPr>
    </w:p>
    <w:p>
      <w:pPr>
        <w:spacing w:before="0"/>
        <w:ind w:left="1397" w:right="1169" w:firstLine="0"/>
        <w:jc w:val="left"/>
        <w:rPr>
          <w:sz w:val="22"/>
        </w:rPr>
      </w:pPr>
      <w:r>
        <w:rPr/>
        <w:drawing>
          <wp:anchor distT="0" distB="0" distL="0" distR="0" allowOverlap="1" layoutInCell="1" locked="0" behindDoc="0" simplePos="0" relativeHeight="1576">
            <wp:simplePos x="0" y="0"/>
            <wp:positionH relativeFrom="page">
              <wp:posOffset>1238885</wp:posOffset>
            </wp:positionH>
            <wp:positionV relativeFrom="paragraph">
              <wp:posOffset>212951</wp:posOffset>
            </wp:positionV>
            <wp:extent cx="5547745" cy="4294251"/>
            <wp:effectExtent l="0" t="0" r="0" b="0"/>
            <wp:wrapTopAndBottom/>
            <wp:docPr id="21" name="image30.jpeg" descr=""/>
            <wp:cNvGraphicFramePr>
              <a:graphicFrameLocks noChangeAspect="1"/>
            </wp:cNvGraphicFramePr>
            <a:graphic>
              <a:graphicData uri="http://schemas.openxmlformats.org/drawingml/2006/picture">
                <pic:pic>
                  <pic:nvPicPr>
                    <pic:cNvPr id="22" name="image30.jpeg"/>
                    <pic:cNvPicPr/>
                  </pic:nvPicPr>
                  <pic:blipFill>
                    <a:blip r:embed="rId43" cstate="print"/>
                    <a:stretch>
                      <a:fillRect/>
                    </a:stretch>
                  </pic:blipFill>
                  <pic:spPr>
                    <a:xfrm>
                      <a:off x="0" y="0"/>
                      <a:ext cx="5547745" cy="4294251"/>
                    </a:xfrm>
                    <a:prstGeom prst="rect">
                      <a:avLst/>
                    </a:prstGeom>
                  </pic:spPr>
                </pic:pic>
              </a:graphicData>
            </a:graphic>
          </wp:anchor>
        </w:drawing>
      </w:r>
      <w:r>
        <w:rPr>
          <w:sz w:val="22"/>
        </w:rPr>
        <w:t>Mapa 6. Clasificación de la vulnerabilidad hidrológica en la ZMT.</w:t>
      </w:r>
    </w:p>
    <w:p>
      <w:pPr>
        <w:pStyle w:val="BodyText"/>
        <w:spacing w:before="7"/>
        <w:rPr>
          <w:sz w:val="23"/>
        </w:rPr>
      </w:pPr>
    </w:p>
    <w:p>
      <w:pPr>
        <w:spacing w:before="0"/>
        <w:ind w:left="825" w:right="1169" w:firstLine="0"/>
        <w:jc w:val="left"/>
        <w:rPr>
          <w:sz w:val="20"/>
        </w:rPr>
      </w:pPr>
      <w:r>
        <w:rPr>
          <w:sz w:val="20"/>
        </w:rPr>
        <w:t>Fuente: Elaboración propia con base en INEGI (2005).</w:t>
      </w:r>
    </w:p>
    <w:p>
      <w:pPr>
        <w:pStyle w:val="BodyText"/>
        <w:spacing w:before="8"/>
        <w:rPr>
          <w:sz w:val="19"/>
        </w:rPr>
      </w:pPr>
    </w:p>
    <w:p>
      <w:pPr>
        <w:pStyle w:val="BodyText"/>
        <w:spacing w:line="360" w:lineRule="auto"/>
        <w:ind w:left="119" w:right="296"/>
        <w:jc w:val="both"/>
      </w:pPr>
      <w:r>
        <w:rPr/>
        <w:t>En el mapa se observa que la vulnerabilidad hidrológica alta cubre el 70.10% de la ZMT, la cual representa una superficie de 1421.80 km</w:t>
      </w:r>
      <w:r>
        <w:rPr>
          <w:position w:val="8"/>
          <w:sz w:val="16"/>
        </w:rPr>
        <w:t>2</w:t>
      </w:r>
      <w:r>
        <w:rPr/>
        <w:t>, los municipios pertenecientes a esta clasificación son: Rayón, San Antonio la Isla, Almoloya de Juárez, Metepec, Toluca, San Mateo Atenco y Lerma, esto de acuerdo a la densidad, el tipo de orden de las corrientes y de la cercanía de las misma a los centros de población. Con una vulnerabilidad media se encuentran los municipios de Mexicaltzingo y Xonacatlán con el 26.09% de la ZMT.</w:t>
      </w:r>
    </w:p>
    <w:p>
      <w:pPr>
        <w:spacing w:after="0" w:line="360" w:lineRule="auto"/>
        <w:jc w:val="both"/>
        <w:sectPr>
          <w:pgSz w:w="12240" w:h="15840"/>
          <w:pgMar w:header="0" w:footer="1031" w:top="1360" w:bottom="1220" w:left="1580" w:right="1400"/>
        </w:sectPr>
      </w:pPr>
    </w:p>
    <w:p>
      <w:pPr>
        <w:pStyle w:val="Heading2"/>
        <w:spacing w:before="42"/>
        <w:ind w:left="984" w:right="70"/>
        <w:jc w:val="left"/>
      </w:pPr>
      <w:bookmarkStart w:name="_TOC_250021" w:id="33"/>
      <w:bookmarkEnd w:id="33"/>
      <w:r>
        <w:rPr/>
        <w:t>3.1.4.1 Parámetros morfométricos de la ZMT</w:t>
      </w:r>
    </w:p>
    <w:p>
      <w:pPr>
        <w:pStyle w:val="BodyText"/>
        <w:rPr>
          <w:b/>
        </w:rPr>
      </w:pPr>
    </w:p>
    <w:p>
      <w:pPr>
        <w:pStyle w:val="BodyText"/>
        <w:rPr>
          <w:b/>
        </w:rPr>
      </w:pPr>
    </w:p>
    <w:p>
      <w:pPr>
        <w:pStyle w:val="BodyText"/>
        <w:spacing w:line="360" w:lineRule="auto" w:before="166"/>
        <w:ind w:left="119" w:right="116"/>
        <w:jc w:val="both"/>
      </w:pPr>
      <w:r>
        <w:rPr/>
        <w:t>Una de las herramientas </w:t>
      </w:r>
      <w:r>
        <w:rPr>
          <w:spacing w:val="-3"/>
        </w:rPr>
        <w:t>más </w:t>
      </w:r>
      <w:r>
        <w:rPr/>
        <w:t>importantes en el análisis hídrico, es la morfometría de</w:t>
      </w:r>
      <w:r>
        <w:rPr>
          <w:spacing w:val="-9"/>
        </w:rPr>
        <w:t> </w:t>
      </w:r>
      <w:r>
        <w:rPr/>
        <w:t>cuencas.</w:t>
      </w:r>
      <w:r>
        <w:rPr>
          <w:spacing w:val="-14"/>
        </w:rPr>
        <w:t> </w:t>
      </w:r>
      <w:r>
        <w:rPr/>
        <w:t>Ésta</w:t>
      </w:r>
      <w:r>
        <w:rPr>
          <w:spacing w:val="-6"/>
        </w:rPr>
        <w:t> </w:t>
      </w:r>
      <w:r>
        <w:rPr/>
        <w:t>permite</w:t>
      </w:r>
      <w:r>
        <w:rPr>
          <w:spacing w:val="-9"/>
        </w:rPr>
        <w:t> </w:t>
      </w:r>
      <w:r>
        <w:rPr/>
        <w:t>establecer</w:t>
      </w:r>
      <w:r>
        <w:rPr>
          <w:spacing w:val="-8"/>
        </w:rPr>
        <w:t> </w:t>
      </w:r>
      <w:r>
        <w:rPr/>
        <w:t>parámetros</w:t>
      </w:r>
      <w:r>
        <w:rPr>
          <w:spacing w:val="-10"/>
        </w:rPr>
        <w:t> </w:t>
      </w:r>
      <w:r>
        <w:rPr/>
        <w:t>de</w:t>
      </w:r>
      <w:r>
        <w:rPr>
          <w:spacing w:val="-9"/>
        </w:rPr>
        <w:t> </w:t>
      </w:r>
      <w:r>
        <w:rPr/>
        <w:t>evaluación</w:t>
      </w:r>
      <w:r>
        <w:rPr>
          <w:spacing w:val="-9"/>
        </w:rPr>
        <w:t> </w:t>
      </w:r>
      <w:r>
        <w:rPr/>
        <w:t>del</w:t>
      </w:r>
      <w:r>
        <w:rPr>
          <w:spacing w:val="-10"/>
        </w:rPr>
        <w:t> </w:t>
      </w:r>
      <w:r>
        <w:rPr/>
        <w:t>comportamiento morfodinámico e hidrológico </w:t>
      </w:r>
      <w:r>
        <w:rPr>
          <w:spacing w:val="-3"/>
        </w:rPr>
        <w:t>del </w:t>
      </w:r>
      <w:r>
        <w:rPr/>
        <w:t>sistema, así como analizar y comprender los elementos</w:t>
      </w:r>
      <w:r>
        <w:rPr>
          <w:spacing w:val="-13"/>
        </w:rPr>
        <w:t> </w:t>
      </w:r>
      <w:r>
        <w:rPr/>
        <w:t>geométricos</w:t>
      </w:r>
      <w:r>
        <w:rPr>
          <w:spacing w:val="-13"/>
        </w:rPr>
        <w:t> </w:t>
      </w:r>
      <w:r>
        <w:rPr/>
        <w:t>básicos</w:t>
      </w:r>
      <w:r>
        <w:rPr>
          <w:spacing w:val="-13"/>
        </w:rPr>
        <w:t> </w:t>
      </w:r>
      <w:r>
        <w:rPr/>
        <w:t>del</w:t>
      </w:r>
      <w:r>
        <w:rPr>
          <w:spacing w:val="-8"/>
        </w:rPr>
        <w:t> </w:t>
      </w:r>
      <w:r>
        <w:rPr/>
        <w:t>mismo,</w:t>
      </w:r>
      <w:r>
        <w:rPr>
          <w:spacing w:val="-12"/>
        </w:rPr>
        <w:t> </w:t>
      </w:r>
      <w:r>
        <w:rPr/>
        <w:t>que</w:t>
      </w:r>
      <w:r>
        <w:rPr>
          <w:spacing w:val="-12"/>
        </w:rPr>
        <w:t> </w:t>
      </w:r>
      <w:r>
        <w:rPr/>
        <w:t>ante</w:t>
      </w:r>
      <w:r>
        <w:rPr>
          <w:spacing w:val="-11"/>
        </w:rPr>
        <w:t> </w:t>
      </w:r>
      <w:r>
        <w:rPr/>
        <w:t>la</w:t>
      </w:r>
      <w:r>
        <w:rPr>
          <w:spacing w:val="-12"/>
        </w:rPr>
        <w:t> </w:t>
      </w:r>
      <w:r>
        <w:rPr/>
        <w:t>presencia</w:t>
      </w:r>
      <w:r>
        <w:rPr>
          <w:spacing w:val="-12"/>
        </w:rPr>
        <w:t> </w:t>
      </w:r>
      <w:r>
        <w:rPr/>
        <w:t>de</w:t>
      </w:r>
      <w:r>
        <w:rPr>
          <w:spacing w:val="-12"/>
        </w:rPr>
        <w:t> </w:t>
      </w:r>
      <w:r>
        <w:rPr/>
        <w:t>externalidades como las precipitaciones extremas, interactúan para originar y/o activar procesos geomorfológicos</w:t>
      </w:r>
      <w:r>
        <w:rPr>
          <w:spacing w:val="-21"/>
        </w:rPr>
        <w:t> </w:t>
      </w:r>
      <w:r>
        <w:rPr/>
        <w:t>de</w:t>
      </w:r>
      <w:r>
        <w:rPr>
          <w:spacing w:val="-20"/>
        </w:rPr>
        <w:t> </w:t>
      </w:r>
      <w:r>
        <w:rPr/>
        <w:t>vertientes</w:t>
      </w:r>
      <w:r>
        <w:rPr>
          <w:spacing w:val="-21"/>
        </w:rPr>
        <w:t> </w:t>
      </w:r>
      <w:r>
        <w:rPr/>
        <w:t>y</w:t>
      </w:r>
      <w:r>
        <w:rPr>
          <w:spacing w:val="-16"/>
        </w:rPr>
        <w:t> </w:t>
      </w:r>
      <w:r>
        <w:rPr/>
        <w:t>avenidas</w:t>
      </w:r>
      <w:r>
        <w:rPr>
          <w:spacing w:val="-21"/>
        </w:rPr>
        <w:t> </w:t>
      </w:r>
      <w:r>
        <w:rPr/>
        <w:t>torrenciales.</w:t>
      </w:r>
      <w:r>
        <w:rPr>
          <w:spacing w:val="-21"/>
        </w:rPr>
        <w:t> </w:t>
      </w:r>
      <w:r>
        <w:rPr/>
        <w:t>Por</w:t>
      </w:r>
      <w:r>
        <w:rPr>
          <w:spacing w:val="-23"/>
        </w:rPr>
        <w:t> </w:t>
      </w:r>
      <w:r>
        <w:rPr/>
        <w:t>lo</w:t>
      </w:r>
      <w:r>
        <w:rPr>
          <w:spacing w:val="-20"/>
        </w:rPr>
        <w:t> </w:t>
      </w:r>
      <w:r>
        <w:rPr/>
        <w:t>anterior</w:t>
      </w:r>
      <w:r>
        <w:rPr>
          <w:spacing w:val="-19"/>
        </w:rPr>
        <w:t> </w:t>
      </w:r>
      <w:r>
        <w:rPr/>
        <w:t>podemos</w:t>
      </w:r>
      <w:r>
        <w:rPr>
          <w:spacing w:val="-16"/>
        </w:rPr>
        <w:t> </w:t>
      </w:r>
      <w:r>
        <w:rPr/>
        <w:t>decir que</w:t>
      </w:r>
      <w:r>
        <w:rPr>
          <w:spacing w:val="-6"/>
        </w:rPr>
        <w:t> </w:t>
      </w:r>
      <w:r>
        <w:rPr/>
        <w:t>la</w:t>
      </w:r>
      <w:r>
        <w:rPr>
          <w:spacing w:val="-6"/>
        </w:rPr>
        <w:t> </w:t>
      </w:r>
      <w:r>
        <w:rPr/>
        <w:t>morfología</w:t>
      </w:r>
      <w:r>
        <w:rPr>
          <w:spacing w:val="-6"/>
        </w:rPr>
        <w:t> </w:t>
      </w:r>
      <w:r>
        <w:rPr/>
        <w:t>de</w:t>
      </w:r>
      <w:r>
        <w:rPr>
          <w:spacing w:val="-6"/>
        </w:rPr>
        <w:t> </w:t>
      </w:r>
      <w:r>
        <w:rPr/>
        <w:t>una</w:t>
      </w:r>
      <w:r>
        <w:rPr>
          <w:spacing w:val="-6"/>
        </w:rPr>
        <w:t> </w:t>
      </w:r>
      <w:r>
        <w:rPr/>
        <w:t>cuenca</w:t>
      </w:r>
      <w:r>
        <w:rPr>
          <w:spacing w:val="-6"/>
        </w:rPr>
        <w:t> </w:t>
      </w:r>
      <w:r>
        <w:rPr/>
        <w:t>queda</w:t>
      </w:r>
      <w:r>
        <w:rPr>
          <w:spacing w:val="-6"/>
        </w:rPr>
        <w:t> </w:t>
      </w:r>
      <w:r>
        <w:rPr/>
        <w:t>definida</w:t>
      </w:r>
      <w:r>
        <w:rPr>
          <w:spacing w:val="-6"/>
        </w:rPr>
        <w:t> </w:t>
      </w:r>
      <w:r>
        <w:rPr/>
        <w:t>con</w:t>
      </w:r>
      <w:r>
        <w:rPr>
          <w:spacing w:val="-6"/>
        </w:rPr>
        <w:t> </w:t>
      </w:r>
      <w:r>
        <w:rPr/>
        <w:t>relación</w:t>
      </w:r>
      <w:r>
        <w:rPr>
          <w:spacing w:val="-6"/>
        </w:rPr>
        <w:t> </w:t>
      </w:r>
      <w:r>
        <w:rPr/>
        <w:t>a</w:t>
      </w:r>
      <w:r>
        <w:rPr>
          <w:spacing w:val="-11"/>
        </w:rPr>
        <w:t> </w:t>
      </w:r>
      <w:r>
        <w:rPr/>
        <w:t>la</w:t>
      </w:r>
      <w:r>
        <w:rPr>
          <w:spacing w:val="-11"/>
        </w:rPr>
        <w:t> </w:t>
      </w:r>
      <w:r>
        <w:rPr/>
        <w:t>interacción</w:t>
      </w:r>
      <w:r>
        <w:rPr>
          <w:spacing w:val="-6"/>
        </w:rPr>
        <w:t> </w:t>
      </w:r>
      <w:r>
        <w:rPr/>
        <w:t>de</w:t>
      </w:r>
      <w:r>
        <w:rPr>
          <w:spacing w:val="-6"/>
        </w:rPr>
        <w:t> </w:t>
      </w:r>
      <w:r>
        <w:rPr/>
        <w:t>los tres elementos básicos que la definen y describen: forma, relieve y red de drenaje. (Méndez y Marcucci,</w:t>
      </w:r>
      <w:r>
        <w:rPr>
          <w:spacing w:val="-11"/>
        </w:rPr>
        <w:t> </w:t>
      </w:r>
      <w:r>
        <w:rPr/>
        <w:t>2006).</w:t>
      </w:r>
    </w:p>
    <w:p>
      <w:pPr>
        <w:pStyle w:val="BodyText"/>
      </w:pPr>
    </w:p>
    <w:p>
      <w:pPr>
        <w:pStyle w:val="BodyText"/>
        <w:spacing w:line="360" w:lineRule="auto" w:before="144"/>
        <w:ind w:left="119" w:right="116"/>
        <w:jc w:val="both"/>
      </w:pPr>
      <w:r>
        <w:rPr/>
        <w:t>Para la determinación de los parámetros morfométricos, se utilizó el software ArcView 3.2 y el módulo hidrohgeomático para el análisis morfómetrico de</w:t>
      </w:r>
      <w:r>
        <w:rPr>
          <w:spacing w:val="-36"/>
        </w:rPr>
        <w:t> </w:t>
      </w:r>
      <w:r>
        <w:rPr/>
        <w:t>cuencas </w:t>
      </w:r>
      <w:r>
        <w:rPr>
          <w:i/>
        </w:rPr>
        <w:t>DetermHidro </w:t>
      </w:r>
      <w:r>
        <w:rPr/>
        <w:t>(Valtierra, 2007). Como base topográfica se utilizaron curvas de nivel con cotas cada 10 </w:t>
      </w:r>
      <w:r>
        <w:rPr>
          <w:spacing w:val="-4"/>
        </w:rPr>
        <w:t>m, </w:t>
      </w:r>
      <w:r>
        <w:rPr/>
        <w:t>obtenidas de la carta topográfica de INEG (2000). En función de estas capas se generó un Modelo Digital de Elevación (MDE), el cual se utilizó para</w:t>
      </w:r>
      <w:r>
        <w:rPr>
          <w:spacing w:val="-7"/>
        </w:rPr>
        <w:t> </w:t>
      </w:r>
      <w:r>
        <w:rPr/>
        <w:t>modelar</w:t>
      </w:r>
      <w:r>
        <w:rPr>
          <w:spacing w:val="-6"/>
        </w:rPr>
        <w:t> </w:t>
      </w:r>
      <w:r>
        <w:rPr/>
        <w:t>los</w:t>
      </w:r>
      <w:r>
        <w:rPr>
          <w:spacing w:val="-3"/>
        </w:rPr>
        <w:t> </w:t>
      </w:r>
      <w:r>
        <w:rPr/>
        <w:t>flujos</w:t>
      </w:r>
      <w:r>
        <w:rPr>
          <w:spacing w:val="-3"/>
        </w:rPr>
        <w:t> </w:t>
      </w:r>
      <w:r>
        <w:rPr/>
        <w:t>de</w:t>
      </w:r>
      <w:r>
        <w:rPr>
          <w:spacing w:val="-7"/>
        </w:rPr>
        <w:t> </w:t>
      </w:r>
      <w:r>
        <w:rPr/>
        <w:t>agua</w:t>
      </w:r>
      <w:r>
        <w:rPr>
          <w:spacing w:val="-3"/>
        </w:rPr>
        <w:t> </w:t>
      </w:r>
      <w:r>
        <w:rPr/>
        <w:t>y</w:t>
      </w:r>
      <w:r>
        <w:rPr>
          <w:spacing w:val="-7"/>
        </w:rPr>
        <w:t> </w:t>
      </w:r>
      <w:r>
        <w:rPr/>
        <w:t>determinar</w:t>
      </w:r>
      <w:r>
        <w:rPr>
          <w:spacing w:val="-7"/>
        </w:rPr>
        <w:t> </w:t>
      </w:r>
      <w:r>
        <w:rPr/>
        <w:t>la</w:t>
      </w:r>
      <w:r>
        <w:rPr>
          <w:spacing w:val="-3"/>
        </w:rPr>
        <w:t> </w:t>
      </w:r>
      <w:r>
        <w:rPr/>
        <w:t>red</w:t>
      </w:r>
      <w:r>
        <w:rPr>
          <w:spacing w:val="-3"/>
        </w:rPr>
        <w:t> </w:t>
      </w:r>
      <w:r>
        <w:rPr/>
        <w:t>de</w:t>
      </w:r>
      <w:r>
        <w:rPr>
          <w:spacing w:val="-7"/>
        </w:rPr>
        <w:t> </w:t>
      </w:r>
      <w:r>
        <w:rPr/>
        <w:t>drenaje</w:t>
      </w:r>
      <w:r>
        <w:rPr>
          <w:spacing w:val="-3"/>
        </w:rPr>
        <w:t> </w:t>
      </w:r>
      <w:r>
        <w:rPr/>
        <w:t>de</w:t>
      </w:r>
      <w:r>
        <w:rPr>
          <w:spacing w:val="-11"/>
        </w:rPr>
        <w:t> </w:t>
      </w:r>
      <w:r>
        <w:rPr/>
        <w:t>la</w:t>
      </w:r>
      <w:r>
        <w:rPr>
          <w:spacing w:val="5"/>
        </w:rPr>
        <w:t> </w:t>
      </w:r>
      <w:r>
        <w:rPr/>
        <w:t>cuenca</w:t>
      </w:r>
      <w:r>
        <w:rPr>
          <w:spacing w:val="-7"/>
        </w:rPr>
        <w:t> </w:t>
      </w:r>
      <w:r>
        <w:rPr/>
        <w:t>(Figura 5).</w:t>
      </w:r>
    </w:p>
    <w:p>
      <w:pPr>
        <w:spacing w:before="2" w:after="4"/>
        <w:ind w:left="806" w:right="103" w:firstLine="0"/>
        <w:jc w:val="center"/>
        <w:rPr>
          <w:sz w:val="22"/>
        </w:rPr>
      </w:pPr>
      <w:r>
        <w:rPr>
          <w:sz w:val="22"/>
        </w:rPr>
        <w:t>Figura 5. Requerimientos para calcular los parámetros de la cuenca de la ZMT.</w:t>
      </w:r>
    </w:p>
    <w:p>
      <w:pPr>
        <w:pStyle w:val="BodyText"/>
        <w:ind w:left="2619"/>
        <w:rPr>
          <w:sz w:val="20"/>
        </w:rPr>
      </w:pPr>
      <w:r>
        <w:rPr>
          <w:sz w:val="20"/>
        </w:rPr>
        <w:drawing>
          <wp:inline distT="0" distB="0" distL="0" distR="0">
            <wp:extent cx="2857255" cy="2160936"/>
            <wp:effectExtent l="0" t="0" r="0" b="0"/>
            <wp:docPr id="23" name="image31.jpeg" descr=""/>
            <wp:cNvGraphicFramePr>
              <a:graphicFrameLocks noChangeAspect="1"/>
            </wp:cNvGraphicFramePr>
            <a:graphic>
              <a:graphicData uri="http://schemas.openxmlformats.org/drawingml/2006/picture">
                <pic:pic>
                  <pic:nvPicPr>
                    <pic:cNvPr id="24" name="image31.jpeg"/>
                    <pic:cNvPicPr/>
                  </pic:nvPicPr>
                  <pic:blipFill>
                    <a:blip r:embed="rId44" cstate="print"/>
                    <a:stretch>
                      <a:fillRect/>
                    </a:stretch>
                  </pic:blipFill>
                  <pic:spPr>
                    <a:xfrm>
                      <a:off x="0" y="0"/>
                      <a:ext cx="2857255" cy="2160936"/>
                    </a:xfrm>
                    <a:prstGeom prst="rect">
                      <a:avLst/>
                    </a:prstGeom>
                  </pic:spPr>
                </pic:pic>
              </a:graphicData>
            </a:graphic>
          </wp:inline>
        </w:drawing>
      </w:r>
      <w:r>
        <w:rPr>
          <w:sz w:val="20"/>
        </w:rPr>
      </w:r>
    </w:p>
    <w:p>
      <w:pPr>
        <w:spacing w:before="161"/>
        <w:ind w:left="811" w:right="103" w:firstLine="0"/>
        <w:jc w:val="center"/>
        <w:rPr>
          <w:sz w:val="20"/>
        </w:rPr>
      </w:pPr>
      <w:r>
        <w:rPr>
          <w:sz w:val="20"/>
        </w:rPr>
        <w:t>Fuente: Elaboración propia.</w:t>
      </w:r>
    </w:p>
    <w:p>
      <w:pPr>
        <w:pStyle w:val="BodyText"/>
        <w:spacing w:before="1"/>
        <w:rPr>
          <w:sz w:val="20"/>
        </w:rPr>
      </w:pPr>
    </w:p>
    <w:p>
      <w:pPr>
        <w:pStyle w:val="BodyText"/>
        <w:spacing w:line="360" w:lineRule="auto"/>
        <w:ind w:left="119" w:right="70"/>
      </w:pPr>
      <w:r>
        <w:rPr/>
        <w:t>A continuación se describen los distintos parámetros estimados para este estudio, así como los valores de estos para la cuenca.</w:t>
      </w:r>
    </w:p>
    <w:p>
      <w:pPr>
        <w:spacing w:after="0" w:line="360" w:lineRule="auto"/>
        <w:sectPr>
          <w:pgSz w:w="12240" w:h="15840"/>
          <w:pgMar w:header="0" w:footer="1031" w:top="1360" w:bottom="1220" w:left="1580" w:right="1580"/>
        </w:sectPr>
      </w:pPr>
    </w:p>
    <w:p>
      <w:pPr>
        <w:pStyle w:val="ListParagraph"/>
        <w:numPr>
          <w:ilvl w:val="0"/>
          <w:numId w:val="20"/>
        </w:numPr>
        <w:tabs>
          <w:tab w:pos="841" w:val="left" w:leader="none"/>
        </w:tabs>
        <w:spacing w:line="240" w:lineRule="auto" w:before="47" w:after="0"/>
        <w:ind w:left="840" w:right="0" w:hanging="360"/>
        <w:jc w:val="left"/>
        <w:rPr>
          <w:sz w:val="24"/>
        </w:rPr>
      </w:pPr>
      <w:r>
        <w:rPr>
          <w:sz w:val="24"/>
        </w:rPr>
        <w:t>Parámetros de</w:t>
      </w:r>
      <w:r>
        <w:rPr>
          <w:spacing w:val="-15"/>
          <w:sz w:val="24"/>
        </w:rPr>
        <w:t> </w:t>
      </w:r>
      <w:r>
        <w:rPr>
          <w:sz w:val="24"/>
        </w:rPr>
        <w:t>forma</w:t>
      </w:r>
    </w:p>
    <w:p>
      <w:pPr>
        <w:pStyle w:val="BodyText"/>
      </w:pPr>
    </w:p>
    <w:p>
      <w:pPr>
        <w:pStyle w:val="BodyText"/>
        <w:spacing w:before="7"/>
        <w:rPr>
          <w:sz w:val="32"/>
        </w:rPr>
      </w:pPr>
    </w:p>
    <w:p>
      <w:pPr>
        <w:pStyle w:val="BodyText"/>
        <w:spacing w:line="360" w:lineRule="auto"/>
        <w:ind w:left="119" w:right="105" w:firstLine="355"/>
        <w:jc w:val="both"/>
      </w:pPr>
      <w:r>
        <w:rPr/>
        <w:t>Las características físicas de </w:t>
      </w:r>
      <w:r>
        <w:rPr>
          <w:spacing w:val="-3"/>
        </w:rPr>
        <w:t>forma </w:t>
      </w:r>
      <w:r>
        <w:rPr/>
        <w:t>son las que condicionan el tiempo de respuesta</w:t>
      </w:r>
      <w:r>
        <w:rPr>
          <w:spacing w:val="-10"/>
        </w:rPr>
        <w:t> </w:t>
      </w:r>
      <w:r>
        <w:rPr/>
        <w:t>de</w:t>
      </w:r>
      <w:r>
        <w:rPr>
          <w:spacing w:val="-11"/>
        </w:rPr>
        <w:t> </w:t>
      </w:r>
      <w:r>
        <w:rPr/>
        <w:t>la</w:t>
      </w:r>
      <w:r>
        <w:rPr>
          <w:spacing w:val="-6"/>
        </w:rPr>
        <w:t> </w:t>
      </w:r>
      <w:r>
        <w:rPr/>
        <w:t>cuenca</w:t>
      </w:r>
      <w:r>
        <w:rPr>
          <w:spacing w:val="-11"/>
        </w:rPr>
        <w:t> </w:t>
      </w:r>
      <w:r>
        <w:rPr/>
        <w:t>a</w:t>
      </w:r>
      <w:r>
        <w:rPr>
          <w:spacing w:val="-6"/>
        </w:rPr>
        <w:t> </w:t>
      </w:r>
      <w:r>
        <w:rPr/>
        <w:t>través</w:t>
      </w:r>
      <w:r>
        <w:rPr>
          <w:spacing w:val="-7"/>
        </w:rPr>
        <w:t> </w:t>
      </w:r>
      <w:r>
        <w:rPr/>
        <w:t>de</w:t>
      </w:r>
      <w:r>
        <w:rPr>
          <w:spacing w:val="-6"/>
        </w:rPr>
        <w:t> </w:t>
      </w:r>
      <w:r>
        <w:rPr/>
        <w:t>la</w:t>
      </w:r>
      <w:r>
        <w:rPr>
          <w:spacing w:val="-6"/>
        </w:rPr>
        <w:t> </w:t>
      </w:r>
      <w:r>
        <w:rPr/>
        <w:t>red</w:t>
      </w:r>
      <w:r>
        <w:rPr>
          <w:spacing w:val="-6"/>
        </w:rPr>
        <w:t> </w:t>
      </w:r>
      <w:r>
        <w:rPr/>
        <w:t>de</w:t>
      </w:r>
      <w:r>
        <w:rPr>
          <w:spacing w:val="-6"/>
        </w:rPr>
        <w:t> </w:t>
      </w:r>
      <w:r>
        <w:rPr/>
        <w:t>drenaje;</w:t>
      </w:r>
      <w:r>
        <w:rPr>
          <w:spacing w:val="-6"/>
        </w:rPr>
        <w:t> </w:t>
      </w:r>
      <w:r>
        <w:rPr/>
        <w:t>éstas</w:t>
      </w:r>
      <w:r>
        <w:rPr>
          <w:spacing w:val="-7"/>
        </w:rPr>
        <w:t> </w:t>
      </w:r>
      <w:r>
        <w:rPr/>
        <w:t>están</w:t>
      </w:r>
      <w:r>
        <w:rPr>
          <w:spacing w:val="-6"/>
        </w:rPr>
        <w:t> </w:t>
      </w:r>
      <w:r>
        <w:rPr/>
        <w:t>dadas</w:t>
      </w:r>
      <w:r>
        <w:rPr>
          <w:spacing w:val="-7"/>
        </w:rPr>
        <w:t> </w:t>
      </w:r>
      <w:r>
        <w:rPr/>
        <w:t>por</w:t>
      </w:r>
      <w:r>
        <w:rPr>
          <w:spacing w:val="-5"/>
        </w:rPr>
        <w:t> </w:t>
      </w:r>
      <w:r>
        <w:rPr/>
        <w:t>el</w:t>
      </w:r>
      <w:r>
        <w:rPr>
          <w:spacing w:val="-3"/>
        </w:rPr>
        <w:t> </w:t>
      </w:r>
      <w:r>
        <w:rPr/>
        <w:t>área de drenaje, factor de forma, perímetro, coeficiente de compacidad, relación de elongación, en la tabla siguiente se muestran los valores de los parámetros así como su clasificación correspondiente (Campos,</w:t>
      </w:r>
      <w:r>
        <w:rPr>
          <w:spacing w:val="-14"/>
        </w:rPr>
        <w:t> </w:t>
      </w:r>
      <w:r>
        <w:rPr/>
        <w:t>1987).</w:t>
      </w:r>
    </w:p>
    <w:p>
      <w:pPr>
        <w:pStyle w:val="BodyText"/>
      </w:pPr>
    </w:p>
    <w:p>
      <w:pPr>
        <w:pStyle w:val="BodyText"/>
      </w:pPr>
    </w:p>
    <w:p>
      <w:pPr>
        <w:spacing w:before="209"/>
        <w:ind w:left="1867" w:right="0" w:firstLine="0"/>
        <w:jc w:val="left"/>
        <w:rPr>
          <w:sz w:val="22"/>
        </w:rPr>
      </w:pPr>
      <w:r>
        <w:rPr>
          <w:sz w:val="22"/>
        </w:rPr>
        <w:t>Tabla 6. Parámetros de forma de la cuenca de la ZMT.</w:t>
      </w:r>
    </w:p>
    <w:p>
      <w:pPr>
        <w:pStyle w:val="BodyText"/>
        <w:spacing w:before="10" w:after="1"/>
        <w:rPr>
          <w:sz w:val="28"/>
        </w:rPr>
      </w:pPr>
    </w:p>
    <w:tbl>
      <w:tblPr>
        <w:tblW w:w="0" w:type="auto"/>
        <w:jc w:val="left"/>
        <w:tblInd w:w="1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634"/>
        <w:gridCol w:w="1218"/>
        <w:gridCol w:w="1138"/>
        <w:gridCol w:w="2192"/>
        <w:gridCol w:w="1610"/>
      </w:tblGrid>
      <w:tr>
        <w:trPr>
          <w:trHeight w:val="398" w:hRule="exact"/>
        </w:trPr>
        <w:tc>
          <w:tcPr>
            <w:tcW w:w="2634" w:type="dxa"/>
            <w:tcBorders>
              <w:left w:val="nil"/>
              <w:right w:val="nil"/>
            </w:tcBorders>
          </w:tcPr>
          <w:p>
            <w:pPr>
              <w:pStyle w:val="TableParagraph"/>
              <w:spacing w:before="4"/>
              <w:ind w:left="106"/>
              <w:rPr>
                <w:rFonts w:ascii="Trebuchet MS"/>
                <w:b/>
                <w:sz w:val="22"/>
              </w:rPr>
            </w:pPr>
            <w:r>
              <w:rPr>
                <w:rFonts w:ascii="Trebuchet MS"/>
                <w:b/>
                <w:sz w:val="22"/>
              </w:rPr>
              <w:t>CONCEPTO</w:t>
            </w:r>
          </w:p>
        </w:tc>
        <w:tc>
          <w:tcPr>
            <w:tcW w:w="1218" w:type="dxa"/>
            <w:tcBorders>
              <w:left w:val="nil"/>
              <w:right w:val="nil"/>
            </w:tcBorders>
          </w:tcPr>
          <w:p>
            <w:pPr>
              <w:pStyle w:val="TableParagraph"/>
              <w:spacing w:before="4"/>
              <w:ind w:right="247"/>
              <w:jc w:val="right"/>
              <w:rPr>
                <w:rFonts w:ascii="Trebuchet MS"/>
                <w:b/>
                <w:sz w:val="22"/>
              </w:rPr>
            </w:pPr>
            <w:r>
              <w:rPr>
                <w:rFonts w:ascii="Trebuchet MS"/>
                <w:b/>
                <w:w w:val="90"/>
                <w:sz w:val="22"/>
              </w:rPr>
              <w:t>VALOR</w:t>
            </w:r>
          </w:p>
        </w:tc>
        <w:tc>
          <w:tcPr>
            <w:tcW w:w="1138" w:type="dxa"/>
            <w:tcBorders>
              <w:left w:val="nil"/>
              <w:right w:val="nil"/>
            </w:tcBorders>
          </w:tcPr>
          <w:p>
            <w:pPr>
              <w:pStyle w:val="TableParagraph"/>
              <w:spacing w:before="4"/>
              <w:ind w:left="187" w:right="130"/>
              <w:jc w:val="center"/>
              <w:rPr>
                <w:rFonts w:ascii="Trebuchet MS"/>
                <w:b/>
                <w:sz w:val="22"/>
              </w:rPr>
            </w:pPr>
            <w:r>
              <w:rPr>
                <w:rFonts w:ascii="Trebuchet MS"/>
                <w:b/>
                <w:sz w:val="22"/>
              </w:rPr>
              <w:t>UNIDAD</w:t>
            </w:r>
          </w:p>
        </w:tc>
        <w:tc>
          <w:tcPr>
            <w:tcW w:w="2192" w:type="dxa"/>
            <w:tcBorders>
              <w:left w:val="nil"/>
              <w:right w:val="nil"/>
            </w:tcBorders>
          </w:tcPr>
          <w:p>
            <w:pPr>
              <w:pStyle w:val="TableParagraph"/>
              <w:spacing w:before="4"/>
              <w:ind w:left="130" w:right="91"/>
              <w:jc w:val="center"/>
              <w:rPr>
                <w:rFonts w:ascii="Trebuchet MS" w:hAnsi="Trebuchet MS"/>
                <w:b/>
                <w:sz w:val="22"/>
              </w:rPr>
            </w:pPr>
            <w:r>
              <w:rPr>
                <w:rFonts w:ascii="Trebuchet MS" w:hAnsi="Trebuchet MS"/>
                <w:b/>
                <w:sz w:val="22"/>
              </w:rPr>
              <w:t>CLASIFICACIÓN</w:t>
            </w:r>
          </w:p>
        </w:tc>
        <w:tc>
          <w:tcPr>
            <w:tcW w:w="1610" w:type="dxa"/>
            <w:tcBorders>
              <w:left w:val="nil"/>
              <w:right w:val="nil"/>
            </w:tcBorders>
          </w:tcPr>
          <w:p>
            <w:pPr>
              <w:pStyle w:val="TableParagraph"/>
              <w:spacing w:before="4"/>
              <w:ind w:left="97" w:right="95"/>
              <w:jc w:val="center"/>
              <w:rPr>
                <w:rFonts w:ascii="Trebuchet MS"/>
                <w:b/>
                <w:sz w:val="22"/>
              </w:rPr>
            </w:pPr>
            <w:r>
              <w:rPr>
                <w:rFonts w:ascii="Trebuchet MS"/>
                <w:b/>
                <w:sz w:val="22"/>
              </w:rPr>
              <w:t>AUTOR</w:t>
            </w:r>
          </w:p>
        </w:tc>
      </w:tr>
      <w:tr>
        <w:trPr>
          <w:trHeight w:val="327" w:hRule="exact"/>
        </w:trPr>
        <w:tc>
          <w:tcPr>
            <w:tcW w:w="2634" w:type="dxa"/>
            <w:tcBorders>
              <w:left w:val="nil"/>
              <w:bottom w:val="nil"/>
              <w:right w:val="nil"/>
            </w:tcBorders>
          </w:tcPr>
          <w:p>
            <w:pPr>
              <w:pStyle w:val="TableParagraph"/>
              <w:spacing w:before="4"/>
              <w:ind w:left="106"/>
              <w:rPr>
                <w:rFonts w:ascii="Trebuchet MS" w:hAnsi="Trebuchet MS"/>
                <w:b/>
                <w:sz w:val="22"/>
              </w:rPr>
            </w:pPr>
            <w:r>
              <w:rPr>
                <w:rFonts w:ascii="Trebuchet MS" w:hAnsi="Trebuchet MS"/>
                <w:b/>
                <w:w w:val="95"/>
                <w:sz w:val="22"/>
              </w:rPr>
              <w:t>Área</w:t>
            </w:r>
          </w:p>
        </w:tc>
        <w:tc>
          <w:tcPr>
            <w:tcW w:w="1218" w:type="dxa"/>
            <w:tcBorders>
              <w:left w:val="nil"/>
              <w:bottom w:val="nil"/>
              <w:right w:val="nil"/>
            </w:tcBorders>
          </w:tcPr>
          <w:p>
            <w:pPr>
              <w:pStyle w:val="TableParagraph"/>
              <w:spacing w:before="4"/>
              <w:ind w:left="190"/>
              <w:rPr>
                <w:sz w:val="22"/>
              </w:rPr>
            </w:pPr>
            <w:r>
              <w:rPr>
                <w:w w:val="90"/>
                <w:sz w:val="22"/>
              </w:rPr>
              <w:t>2730.29</w:t>
            </w:r>
          </w:p>
        </w:tc>
        <w:tc>
          <w:tcPr>
            <w:tcW w:w="1138" w:type="dxa"/>
            <w:tcBorders>
              <w:left w:val="nil"/>
              <w:bottom w:val="nil"/>
              <w:right w:val="nil"/>
            </w:tcBorders>
          </w:tcPr>
          <w:p>
            <w:pPr>
              <w:pStyle w:val="TableParagraph"/>
              <w:spacing w:before="4"/>
              <w:ind w:left="187" w:right="120"/>
              <w:jc w:val="center"/>
              <w:rPr>
                <w:sz w:val="14"/>
              </w:rPr>
            </w:pPr>
            <w:r>
              <w:rPr>
                <w:w w:val="90"/>
                <w:sz w:val="22"/>
              </w:rPr>
              <w:t>km</w:t>
            </w:r>
            <w:r>
              <w:rPr>
                <w:w w:val="90"/>
                <w:position w:val="6"/>
                <w:sz w:val="14"/>
              </w:rPr>
              <w:t>2</w:t>
            </w:r>
          </w:p>
        </w:tc>
        <w:tc>
          <w:tcPr>
            <w:tcW w:w="2192" w:type="dxa"/>
            <w:tcBorders>
              <w:left w:val="nil"/>
              <w:bottom w:val="nil"/>
              <w:right w:val="nil"/>
            </w:tcBorders>
          </w:tcPr>
          <w:p>
            <w:pPr>
              <w:pStyle w:val="TableParagraph"/>
              <w:spacing w:before="4"/>
              <w:ind w:left="137" w:right="85"/>
              <w:jc w:val="center"/>
              <w:rPr>
                <w:sz w:val="22"/>
              </w:rPr>
            </w:pPr>
            <w:r>
              <w:rPr>
                <w:w w:val="90"/>
                <w:sz w:val="22"/>
              </w:rPr>
              <w:t>Grande</w:t>
            </w:r>
          </w:p>
        </w:tc>
        <w:tc>
          <w:tcPr>
            <w:tcW w:w="1610" w:type="dxa"/>
            <w:tcBorders>
              <w:left w:val="nil"/>
              <w:bottom w:val="nil"/>
              <w:right w:val="nil"/>
            </w:tcBorders>
          </w:tcPr>
          <w:p>
            <w:pPr>
              <w:pStyle w:val="TableParagraph"/>
              <w:spacing w:before="4"/>
              <w:ind w:left="96" w:right="95"/>
              <w:jc w:val="center"/>
              <w:rPr>
                <w:sz w:val="22"/>
              </w:rPr>
            </w:pPr>
            <w:r>
              <w:rPr>
                <w:w w:val="85"/>
                <w:sz w:val="22"/>
              </w:rPr>
              <w:t>Campos - 1987</w:t>
            </w:r>
          </w:p>
        </w:tc>
      </w:tr>
      <w:tr>
        <w:trPr>
          <w:trHeight w:val="379" w:hRule="exact"/>
        </w:trPr>
        <w:tc>
          <w:tcPr>
            <w:tcW w:w="2634" w:type="dxa"/>
            <w:tcBorders>
              <w:top w:val="nil"/>
              <w:left w:val="nil"/>
              <w:bottom w:val="nil"/>
              <w:right w:val="nil"/>
            </w:tcBorders>
          </w:tcPr>
          <w:p>
            <w:pPr>
              <w:pStyle w:val="TableParagraph"/>
              <w:spacing w:before="67"/>
              <w:ind w:left="106"/>
              <w:rPr>
                <w:rFonts w:ascii="Trebuchet MS" w:hAnsi="Trebuchet MS"/>
                <w:b/>
                <w:sz w:val="22"/>
              </w:rPr>
            </w:pPr>
            <w:r>
              <w:rPr>
                <w:rFonts w:ascii="Trebuchet MS" w:hAnsi="Trebuchet MS"/>
                <w:b/>
                <w:w w:val="90"/>
                <w:sz w:val="22"/>
              </w:rPr>
              <w:t>Perímetro</w:t>
            </w:r>
          </w:p>
        </w:tc>
        <w:tc>
          <w:tcPr>
            <w:tcW w:w="1218" w:type="dxa"/>
            <w:tcBorders>
              <w:top w:val="nil"/>
              <w:left w:val="nil"/>
              <w:bottom w:val="nil"/>
              <w:right w:val="nil"/>
            </w:tcBorders>
          </w:tcPr>
          <w:p>
            <w:pPr>
              <w:pStyle w:val="TableParagraph"/>
              <w:spacing w:before="67"/>
              <w:ind w:right="286"/>
              <w:jc w:val="right"/>
              <w:rPr>
                <w:sz w:val="22"/>
              </w:rPr>
            </w:pPr>
            <w:r>
              <w:rPr>
                <w:w w:val="80"/>
                <w:sz w:val="22"/>
              </w:rPr>
              <w:t>242.77</w:t>
            </w:r>
          </w:p>
        </w:tc>
        <w:tc>
          <w:tcPr>
            <w:tcW w:w="1138" w:type="dxa"/>
            <w:tcBorders>
              <w:top w:val="nil"/>
              <w:left w:val="nil"/>
              <w:bottom w:val="nil"/>
              <w:right w:val="nil"/>
            </w:tcBorders>
          </w:tcPr>
          <w:p>
            <w:pPr>
              <w:pStyle w:val="TableParagraph"/>
              <w:spacing w:before="67"/>
              <w:ind w:left="187" w:right="123"/>
              <w:jc w:val="center"/>
              <w:rPr>
                <w:sz w:val="22"/>
              </w:rPr>
            </w:pPr>
            <w:r>
              <w:rPr>
                <w:w w:val="90"/>
                <w:sz w:val="22"/>
              </w:rPr>
              <w:t>km</w:t>
            </w:r>
          </w:p>
        </w:tc>
        <w:tc>
          <w:tcPr>
            <w:tcW w:w="2192" w:type="dxa"/>
            <w:tcBorders>
              <w:top w:val="nil"/>
              <w:left w:val="nil"/>
              <w:bottom w:val="nil"/>
              <w:right w:val="nil"/>
            </w:tcBorders>
          </w:tcPr>
          <w:p>
            <w:pPr>
              <w:pStyle w:val="TableParagraph"/>
              <w:spacing w:before="67"/>
              <w:ind w:left="137" w:right="84"/>
              <w:jc w:val="center"/>
              <w:rPr>
                <w:sz w:val="22"/>
              </w:rPr>
            </w:pPr>
            <w:r>
              <w:rPr>
                <w:w w:val="90"/>
                <w:sz w:val="22"/>
              </w:rPr>
              <w:t>Grande</w:t>
            </w:r>
          </w:p>
        </w:tc>
        <w:tc>
          <w:tcPr>
            <w:tcW w:w="1610" w:type="dxa"/>
            <w:tcBorders>
              <w:top w:val="nil"/>
              <w:left w:val="nil"/>
              <w:bottom w:val="nil"/>
              <w:right w:val="nil"/>
            </w:tcBorders>
          </w:tcPr>
          <w:p>
            <w:pPr>
              <w:pStyle w:val="TableParagraph"/>
              <w:spacing w:before="67"/>
              <w:ind w:left="98" w:right="95"/>
              <w:jc w:val="center"/>
              <w:rPr>
                <w:sz w:val="22"/>
              </w:rPr>
            </w:pPr>
            <w:r>
              <w:rPr>
                <w:w w:val="85"/>
                <w:sz w:val="22"/>
              </w:rPr>
              <w:t>Campos - 1987-</w:t>
            </w:r>
          </w:p>
        </w:tc>
      </w:tr>
      <w:tr>
        <w:trPr>
          <w:trHeight w:val="379" w:hRule="exact"/>
        </w:trPr>
        <w:tc>
          <w:tcPr>
            <w:tcW w:w="2634" w:type="dxa"/>
            <w:tcBorders>
              <w:top w:val="nil"/>
              <w:left w:val="nil"/>
              <w:bottom w:val="nil"/>
              <w:right w:val="nil"/>
            </w:tcBorders>
          </w:tcPr>
          <w:p>
            <w:pPr>
              <w:pStyle w:val="TableParagraph"/>
              <w:spacing w:before="67"/>
              <w:ind w:left="106"/>
              <w:rPr>
                <w:rFonts w:ascii="Trebuchet MS"/>
                <w:b/>
                <w:sz w:val="22"/>
              </w:rPr>
            </w:pPr>
            <w:r>
              <w:rPr>
                <w:rFonts w:ascii="Trebuchet MS"/>
                <w:b/>
                <w:w w:val="85"/>
                <w:sz w:val="22"/>
              </w:rPr>
              <w:t>Longitud de la cuenca</w:t>
            </w:r>
          </w:p>
        </w:tc>
        <w:tc>
          <w:tcPr>
            <w:tcW w:w="1218" w:type="dxa"/>
            <w:tcBorders>
              <w:top w:val="nil"/>
              <w:left w:val="nil"/>
              <w:bottom w:val="nil"/>
              <w:right w:val="nil"/>
            </w:tcBorders>
          </w:tcPr>
          <w:p>
            <w:pPr>
              <w:pStyle w:val="TableParagraph"/>
              <w:spacing w:before="67"/>
              <w:ind w:left="430"/>
              <w:rPr>
                <w:sz w:val="22"/>
              </w:rPr>
            </w:pPr>
            <w:r>
              <w:rPr>
                <w:w w:val="90"/>
                <w:sz w:val="22"/>
              </w:rPr>
              <w:t>52.26</w:t>
            </w:r>
          </w:p>
        </w:tc>
        <w:tc>
          <w:tcPr>
            <w:tcW w:w="1138" w:type="dxa"/>
            <w:tcBorders>
              <w:top w:val="nil"/>
              <w:left w:val="nil"/>
              <w:bottom w:val="nil"/>
              <w:right w:val="nil"/>
            </w:tcBorders>
          </w:tcPr>
          <w:p>
            <w:pPr>
              <w:pStyle w:val="TableParagraph"/>
              <w:spacing w:before="67"/>
              <w:ind w:left="187" w:right="123"/>
              <w:jc w:val="center"/>
              <w:rPr>
                <w:sz w:val="22"/>
              </w:rPr>
            </w:pPr>
            <w:r>
              <w:rPr>
                <w:w w:val="90"/>
                <w:sz w:val="22"/>
              </w:rPr>
              <w:t>km</w:t>
            </w:r>
          </w:p>
        </w:tc>
        <w:tc>
          <w:tcPr>
            <w:tcW w:w="2192" w:type="dxa"/>
            <w:tcBorders>
              <w:top w:val="nil"/>
              <w:left w:val="nil"/>
              <w:bottom w:val="nil"/>
              <w:right w:val="nil"/>
            </w:tcBorders>
          </w:tcPr>
          <w:p>
            <w:pPr>
              <w:pStyle w:val="TableParagraph"/>
              <w:spacing w:before="67"/>
              <w:ind w:left="134" w:right="91"/>
              <w:jc w:val="center"/>
              <w:rPr>
                <w:sz w:val="22"/>
              </w:rPr>
            </w:pPr>
            <w:r>
              <w:rPr>
                <w:w w:val="80"/>
                <w:sz w:val="22"/>
              </w:rPr>
              <w:t>Muy pequeña</w:t>
            </w:r>
          </w:p>
        </w:tc>
        <w:tc>
          <w:tcPr>
            <w:tcW w:w="1610" w:type="dxa"/>
            <w:tcBorders>
              <w:top w:val="nil"/>
              <w:left w:val="nil"/>
              <w:bottom w:val="nil"/>
              <w:right w:val="nil"/>
            </w:tcBorders>
          </w:tcPr>
          <w:p>
            <w:pPr>
              <w:pStyle w:val="TableParagraph"/>
              <w:spacing w:before="67"/>
              <w:ind w:left="98" w:right="95"/>
              <w:jc w:val="center"/>
              <w:rPr>
                <w:sz w:val="22"/>
              </w:rPr>
            </w:pPr>
            <w:r>
              <w:rPr>
                <w:w w:val="85"/>
                <w:sz w:val="22"/>
              </w:rPr>
              <w:t>Campos - 1987-</w:t>
            </w:r>
          </w:p>
        </w:tc>
      </w:tr>
      <w:tr>
        <w:trPr>
          <w:trHeight w:val="377" w:hRule="exact"/>
        </w:trPr>
        <w:tc>
          <w:tcPr>
            <w:tcW w:w="2634" w:type="dxa"/>
            <w:tcBorders>
              <w:top w:val="nil"/>
              <w:left w:val="nil"/>
              <w:bottom w:val="nil"/>
              <w:right w:val="nil"/>
            </w:tcBorders>
          </w:tcPr>
          <w:p>
            <w:pPr>
              <w:pStyle w:val="TableParagraph"/>
              <w:spacing w:before="67"/>
              <w:ind w:left="106"/>
              <w:rPr>
                <w:rFonts w:ascii="Trebuchet MS"/>
                <w:b/>
                <w:sz w:val="22"/>
              </w:rPr>
            </w:pPr>
            <w:r>
              <w:rPr>
                <w:rFonts w:ascii="Trebuchet MS"/>
                <w:b/>
                <w:w w:val="85"/>
                <w:sz w:val="22"/>
              </w:rPr>
              <w:t>Factor de forma</w:t>
            </w:r>
          </w:p>
        </w:tc>
        <w:tc>
          <w:tcPr>
            <w:tcW w:w="1218" w:type="dxa"/>
            <w:tcBorders>
              <w:top w:val="nil"/>
              <w:left w:val="nil"/>
              <w:bottom w:val="nil"/>
              <w:right w:val="nil"/>
            </w:tcBorders>
          </w:tcPr>
          <w:p>
            <w:pPr>
              <w:pStyle w:val="TableParagraph"/>
              <w:spacing w:before="67"/>
              <w:ind w:left="478"/>
              <w:rPr>
                <w:sz w:val="22"/>
              </w:rPr>
            </w:pPr>
            <w:r>
              <w:rPr>
                <w:w w:val="90"/>
                <w:sz w:val="22"/>
              </w:rPr>
              <w:t>0.99</w:t>
            </w:r>
          </w:p>
        </w:tc>
        <w:tc>
          <w:tcPr>
            <w:tcW w:w="1138" w:type="dxa"/>
            <w:tcBorders>
              <w:top w:val="nil"/>
              <w:left w:val="nil"/>
              <w:bottom w:val="nil"/>
              <w:right w:val="nil"/>
            </w:tcBorders>
          </w:tcPr>
          <w:p>
            <w:pPr>
              <w:pStyle w:val="TableParagraph"/>
              <w:spacing w:before="67"/>
              <w:ind w:left="187" w:right="119"/>
              <w:jc w:val="center"/>
              <w:rPr>
                <w:sz w:val="22"/>
              </w:rPr>
            </w:pPr>
            <w:r>
              <w:rPr>
                <w:w w:val="90"/>
                <w:sz w:val="22"/>
              </w:rPr>
              <w:t>adim</w:t>
            </w:r>
          </w:p>
        </w:tc>
        <w:tc>
          <w:tcPr>
            <w:tcW w:w="2192" w:type="dxa"/>
            <w:tcBorders>
              <w:top w:val="nil"/>
              <w:left w:val="nil"/>
              <w:bottom w:val="nil"/>
              <w:right w:val="nil"/>
            </w:tcBorders>
          </w:tcPr>
          <w:p>
            <w:pPr>
              <w:pStyle w:val="TableParagraph"/>
              <w:spacing w:before="67"/>
              <w:ind w:left="131" w:right="91"/>
              <w:jc w:val="center"/>
              <w:rPr>
                <w:sz w:val="22"/>
              </w:rPr>
            </w:pPr>
            <w:r>
              <w:rPr>
                <w:w w:val="85"/>
                <w:sz w:val="22"/>
              </w:rPr>
              <w:t>Cuenca de tipo oval</w:t>
            </w:r>
          </w:p>
        </w:tc>
        <w:tc>
          <w:tcPr>
            <w:tcW w:w="1610" w:type="dxa"/>
            <w:tcBorders>
              <w:top w:val="nil"/>
              <w:left w:val="nil"/>
              <w:bottom w:val="nil"/>
              <w:right w:val="nil"/>
            </w:tcBorders>
          </w:tcPr>
          <w:p>
            <w:pPr>
              <w:pStyle w:val="TableParagraph"/>
              <w:spacing w:before="67"/>
              <w:ind w:left="101" w:right="95"/>
              <w:jc w:val="center"/>
              <w:rPr>
                <w:sz w:val="22"/>
              </w:rPr>
            </w:pPr>
            <w:r>
              <w:rPr>
                <w:w w:val="85"/>
                <w:sz w:val="22"/>
              </w:rPr>
              <w:t>Horton - 1945</w:t>
            </w:r>
          </w:p>
        </w:tc>
      </w:tr>
      <w:tr>
        <w:trPr>
          <w:trHeight w:val="377" w:hRule="exact"/>
        </w:trPr>
        <w:tc>
          <w:tcPr>
            <w:tcW w:w="2634" w:type="dxa"/>
            <w:tcBorders>
              <w:top w:val="nil"/>
              <w:left w:val="nil"/>
              <w:bottom w:val="nil"/>
              <w:right w:val="nil"/>
            </w:tcBorders>
          </w:tcPr>
          <w:p>
            <w:pPr>
              <w:pStyle w:val="TableParagraph"/>
              <w:spacing w:before="64"/>
              <w:ind w:left="106"/>
              <w:rPr>
                <w:rFonts w:ascii="Trebuchet MS"/>
                <w:b/>
                <w:sz w:val="22"/>
              </w:rPr>
            </w:pPr>
            <w:r>
              <w:rPr>
                <w:rFonts w:ascii="Trebuchet MS"/>
                <w:b/>
                <w:w w:val="85"/>
                <w:sz w:val="22"/>
              </w:rPr>
              <w:t>Coeficiente de compacidad</w:t>
            </w:r>
          </w:p>
        </w:tc>
        <w:tc>
          <w:tcPr>
            <w:tcW w:w="1218" w:type="dxa"/>
            <w:tcBorders>
              <w:top w:val="nil"/>
              <w:left w:val="nil"/>
              <w:bottom w:val="nil"/>
              <w:right w:val="nil"/>
            </w:tcBorders>
          </w:tcPr>
          <w:p>
            <w:pPr>
              <w:pStyle w:val="TableParagraph"/>
              <w:spacing w:before="64"/>
              <w:ind w:left="478"/>
              <w:rPr>
                <w:sz w:val="22"/>
              </w:rPr>
            </w:pPr>
            <w:r>
              <w:rPr>
                <w:w w:val="90"/>
                <w:sz w:val="22"/>
              </w:rPr>
              <w:t>1.31</w:t>
            </w:r>
          </w:p>
        </w:tc>
        <w:tc>
          <w:tcPr>
            <w:tcW w:w="1138" w:type="dxa"/>
            <w:tcBorders>
              <w:top w:val="nil"/>
              <w:left w:val="nil"/>
              <w:bottom w:val="nil"/>
              <w:right w:val="nil"/>
            </w:tcBorders>
          </w:tcPr>
          <w:p>
            <w:pPr>
              <w:pStyle w:val="TableParagraph"/>
              <w:spacing w:before="64"/>
              <w:ind w:left="187" w:right="119"/>
              <w:jc w:val="center"/>
              <w:rPr>
                <w:sz w:val="22"/>
              </w:rPr>
            </w:pPr>
            <w:r>
              <w:rPr>
                <w:w w:val="90"/>
                <w:sz w:val="22"/>
              </w:rPr>
              <w:t>adim</w:t>
            </w:r>
          </w:p>
        </w:tc>
        <w:tc>
          <w:tcPr>
            <w:tcW w:w="2192" w:type="dxa"/>
            <w:tcBorders>
              <w:top w:val="nil"/>
              <w:left w:val="nil"/>
              <w:bottom w:val="nil"/>
              <w:right w:val="nil"/>
            </w:tcBorders>
          </w:tcPr>
          <w:p>
            <w:pPr>
              <w:pStyle w:val="TableParagraph"/>
              <w:spacing w:before="64"/>
              <w:ind w:left="137" w:right="90"/>
              <w:jc w:val="center"/>
              <w:rPr>
                <w:sz w:val="22"/>
              </w:rPr>
            </w:pPr>
            <w:r>
              <w:rPr>
                <w:w w:val="85"/>
                <w:sz w:val="22"/>
              </w:rPr>
              <w:t>Tienen problemas de</w:t>
            </w:r>
          </w:p>
        </w:tc>
        <w:tc>
          <w:tcPr>
            <w:tcW w:w="1610" w:type="dxa"/>
            <w:tcBorders>
              <w:top w:val="nil"/>
              <w:left w:val="nil"/>
              <w:bottom w:val="nil"/>
              <w:right w:val="nil"/>
            </w:tcBorders>
          </w:tcPr>
          <w:p>
            <w:pPr>
              <w:pStyle w:val="TableParagraph"/>
              <w:spacing w:before="64"/>
              <w:ind w:left="96" w:right="95"/>
              <w:jc w:val="center"/>
              <w:rPr>
                <w:sz w:val="22"/>
              </w:rPr>
            </w:pPr>
            <w:r>
              <w:rPr>
                <w:w w:val="85"/>
                <w:sz w:val="22"/>
              </w:rPr>
              <w:t>Campos - 1987</w:t>
            </w:r>
          </w:p>
        </w:tc>
      </w:tr>
      <w:tr>
        <w:trPr>
          <w:trHeight w:val="379" w:hRule="exact"/>
        </w:trPr>
        <w:tc>
          <w:tcPr>
            <w:tcW w:w="2634" w:type="dxa"/>
            <w:tcBorders>
              <w:top w:val="nil"/>
              <w:left w:val="nil"/>
              <w:bottom w:val="nil"/>
              <w:right w:val="nil"/>
            </w:tcBorders>
          </w:tcPr>
          <w:p>
            <w:pPr/>
          </w:p>
        </w:tc>
        <w:tc>
          <w:tcPr>
            <w:tcW w:w="1218" w:type="dxa"/>
            <w:tcBorders>
              <w:top w:val="nil"/>
              <w:left w:val="nil"/>
              <w:bottom w:val="nil"/>
              <w:right w:val="nil"/>
            </w:tcBorders>
          </w:tcPr>
          <w:p>
            <w:pPr/>
          </w:p>
        </w:tc>
        <w:tc>
          <w:tcPr>
            <w:tcW w:w="1138" w:type="dxa"/>
            <w:tcBorders>
              <w:top w:val="nil"/>
              <w:left w:val="nil"/>
              <w:bottom w:val="nil"/>
              <w:right w:val="nil"/>
            </w:tcBorders>
          </w:tcPr>
          <w:p>
            <w:pPr/>
          </w:p>
        </w:tc>
        <w:tc>
          <w:tcPr>
            <w:tcW w:w="2192" w:type="dxa"/>
            <w:tcBorders>
              <w:top w:val="nil"/>
              <w:left w:val="nil"/>
              <w:bottom w:val="nil"/>
              <w:right w:val="nil"/>
            </w:tcBorders>
          </w:tcPr>
          <w:p>
            <w:pPr>
              <w:pStyle w:val="TableParagraph"/>
              <w:spacing w:before="67"/>
              <w:ind w:left="137" w:right="91"/>
              <w:jc w:val="center"/>
              <w:rPr>
                <w:sz w:val="22"/>
              </w:rPr>
            </w:pPr>
            <w:r>
              <w:rPr>
                <w:w w:val="85"/>
                <w:sz w:val="22"/>
              </w:rPr>
              <w:t>crecientes (gastos muy</w:t>
            </w:r>
          </w:p>
        </w:tc>
        <w:tc>
          <w:tcPr>
            <w:tcW w:w="1610" w:type="dxa"/>
            <w:tcBorders>
              <w:top w:val="nil"/>
              <w:left w:val="nil"/>
              <w:bottom w:val="nil"/>
              <w:right w:val="nil"/>
            </w:tcBorders>
          </w:tcPr>
          <w:p>
            <w:pPr/>
          </w:p>
        </w:tc>
      </w:tr>
      <w:tr>
        <w:trPr>
          <w:trHeight w:val="379" w:hRule="exact"/>
        </w:trPr>
        <w:tc>
          <w:tcPr>
            <w:tcW w:w="2634" w:type="dxa"/>
            <w:tcBorders>
              <w:top w:val="nil"/>
              <w:left w:val="nil"/>
              <w:bottom w:val="nil"/>
              <w:right w:val="nil"/>
            </w:tcBorders>
          </w:tcPr>
          <w:p>
            <w:pPr/>
          </w:p>
        </w:tc>
        <w:tc>
          <w:tcPr>
            <w:tcW w:w="1218" w:type="dxa"/>
            <w:tcBorders>
              <w:top w:val="nil"/>
              <w:left w:val="nil"/>
              <w:bottom w:val="nil"/>
              <w:right w:val="nil"/>
            </w:tcBorders>
          </w:tcPr>
          <w:p>
            <w:pPr/>
          </w:p>
        </w:tc>
        <w:tc>
          <w:tcPr>
            <w:tcW w:w="1138" w:type="dxa"/>
            <w:tcBorders>
              <w:top w:val="nil"/>
              <w:left w:val="nil"/>
              <w:bottom w:val="nil"/>
              <w:right w:val="nil"/>
            </w:tcBorders>
          </w:tcPr>
          <w:p>
            <w:pPr/>
          </w:p>
        </w:tc>
        <w:tc>
          <w:tcPr>
            <w:tcW w:w="2192" w:type="dxa"/>
            <w:tcBorders>
              <w:top w:val="nil"/>
              <w:left w:val="nil"/>
              <w:bottom w:val="nil"/>
              <w:right w:val="nil"/>
            </w:tcBorders>
          </w:tcPr>
          <w:p>
            <w:pPr>
              <w:pStyle w:val="TableParagraph"/>
              <w:spacing w:before="67"/>
              <w:ind w:left="137" w:right="87"/>
              <w:jc w:val="center"/>
              <w:rPr>
                <w:sz w:val="22"/>
              </w:rPr>
            </w:pPr>
            <w:r>
              <w:rPr>
                <w:w w:val="90"/>
                <w:sz w:val="22"/>
              </w:rPr>
              <w:t>grandes,</w:t>
            </w:r>
          </w:p>
        </w:tc>
        <w:tc>
          <w:tcPr>
            <w:tcW w:w="1610" w:type="dxa"/>
            <w:tcBorders>
              <w:top w:val="nil"/>
              <w:left w:val="nil"/>
              <w:bottom w:val="nil"/>
              <w:right w:val="nil"/>
            </w:tcBorders>
          </w:tcPr>
          <w:p>
            <w:pPr/>
          </w:p>
        </w:tc>
      </w:tr>
      <w:tr>
        <w:trPr>
          <w:trHeight w:val="379" w:hRule="exact"/>
        </w:trPr>
        <w:tc>
          <w:tcPr>
            <w:tcW w:w="2634" w:type="dxa"/>
            <w:tcBorders>
              <w:top w:val="nil"/>
              <w:left w:val="nil"/>
              <w:bottom w:val="nil"/>
              <w:right w:val="nil"/>
            </w:tcBorders>
          </w:tcPr>
          <w:p>
            <w:pPr/>
          </w:p>
        </w:tc>
        <w:tc>
          <w:tcPr>
            <w:tcW w:w="1218" w:type="dxa"/>
            <w:tcBorders>
              <w:top w:val="nil"/>
              <w:left w:val="nil"/>
              <w:bottom w:val="nil"/>
              <w:right w:val="nil"/>
            </w:tcBorders>
          </w:tcPr>
          <w:p>
            <w:pPr/>
          </w:p>
        </w:tc>
        <w:tc>
          <w:tcPr>
            <w:tcW w:w="1138" w:type="dxa"/>
            <w:tcBorders>
              <w:top w:val="nil"/>
              <w:left w:val="nil"/>
              <w:bottom w:val="nil"/>
              <w:right w:val="nil"/>
            </w:tcBorders>
          </w:tcPr>
          <w:p>
            <w:pPr/>
          </w:p>
        </w:tc>
        <w:tc>
          <w:tcPr>
            <w:tcW w:w="2192" w:type="dxa"/>
            <w:tcBorders>
              <w:top w:val="nil"/>
              <w:left w:val="nil"/>
              <w:bottom w:val="nil"/>
              <w:right w:val="nil"/>
            </w:tcBorders>
          </w:tcPr>
          <w:p>
            <w:pPr>
              <w:pStyle w:val="TableParagraph"/>
              <w:spacing w:before="67"/>
              <w:ind w:left="137" w:right="87"/>
              <w:jc w:val="center"/>
              <w:rPr>
                <w:sz w:val="22"/>
              </w:rPr>
            </w:pPr>
            <w:r>
              <w:rPr>
                <w:w w:val="90"/>
                <w:sz w:val="22"/>
              </w:rPr>
              <w:t>inundaciones).</w:t>
            </w:r>
          </w:p>
        </w:tc>
        <w:tc>
          <w:tcPr>
            <w:tcW w:w="1610" w:type="dxa"/>
            <w:tcBorders>
              <w:top w:val="nil"/>
              <w:left w:val="nil"/>
              <w:bottom w:val="nil"/>
              <w:right w:val="nil"/>
            </w:tcBorders>
          </w:tcPr>
          <w:p>
            <w:pPr/>
          </w:p>
        </w:tc>
      </w:tr>
      <w:tr>
        <w:trPr>
          <w:trHeight w:val="470" w:hRule="exact"/>
        </w:trPr>
        <w:tc>
          <w:tcPr>
            <w:tcW w:w="2634" w:type="dxa"/>
            <w:tcBorders>
              <w:top w:val="nil"/>
              <w:left w:val="nil"/>
              <w:right w:val="nil"/>
            </w:tcBorders>
          </w:tcPr>
          <w:p>
            <w:pPr>
              <w:pStyle w:val="TableParagraph"/>
              <w:spacing w:before="67"/>
              <w:ind w:left="106"/>
              <w:rPr>
                <w:rFonts w:ascii="Trebuchet MS" w:hAnsi="Trebuchet MS"/>
                <w:b/>
                <w:sz w:val="22"/>
              </w:rPr>
            </w:pPr>
            <w:r>
              <w:rPr>
                <w:rFonts w:ascii="Trebuchet MS" w:hAnsi="Trebuchet MS"/>
                <w:b/>
                <w:w w:val="85"/>
                <w:sz w:val="22"/>
              </w:rPr>
              <w:t>Relación de elongación</w:t>
            </w:r>
          </w:p>
        </w:tc>
        <w:tc>
          <w:tcPr>
            <w:tcW w:w="1218" w:type="dxa"/>
            <w:tcBorders>
              <w:top w:val="nil"/>
              <w:left w:val="nil"/>
              <w:right w:val="nil"/>
            </w:tcBorders>
          </w:tcPr>
          <w:p>
            <w:pPr>
              <w:pStyle w:val="TableParagraph"/>
              <w:spacing w:before="67"/>
              <w:ind w:left="478"/>
              <w:rPr>
                <w:sz w:val="22"/>
              </w:rPr>
            </w:pPr>
            <w:r>
              <w:rPr>
                <w:w w:val="90"/>
                <w:sz w:val="22"/>
              </w:rPr>
              <w:t>1.12</w:t>
            </w:r>
          </w:p>
        </w:tc>
        <w:tc>
          <w:tcPr>
            <w:tcW w:w="1138" w:type="dxa"/>
            <w:tcBorders>
              <w:top w:val="nil"/>
              <w:left w:val="nil"/>
              <w:right w:val="nil"/>
            </w:tcBorders>
          </w:tcPr>
          <w:p>
            <w:pPr>
              <w:pStyle w:val="TableParagraph"/>
              <w:spacing w:before="67"/>
              <w:ind w:left="187" w:right="119"/>
              <w:jc w:val="center"/>
              <w:rPr>
                <w:sz w:val="22"/>
              </w:rPr>
            </w:pPr>
            <w:r>
              <w:rPr>
                <w:w w:val="90"/>
                <w:sz w:val="22"/>
              </w:rPr>
              <w:t>adim</w:t>
            </w:r>
          </w:p>
        </w:tc>
        <w:tc>
          <w:tcPr>
            <w:tcW w:w="2192" w:type="dxa"/>
            <w:tcBorders>
              <w:top w:val="nil"/>
              <w:left w:val="nil"/>
              <w:right w:val="nil"/>
            </w:tcBorders>
          </w:tcPr>
          <w:p>
            <w:pPr>
              <w:pStyle w:val="TableParagraph"/>
              <w:spacing w:before="67"/>
              <w:ind w:left="135" w:right="91"/>
              <w:jc w:val="center"/>
              <w:rPr>
                <w:sz w:val="22"/>
              </w:rPr>
            </w:pPr>
            <w:r>
              <w:rPr>
                <w:w w:val="85"/>
                <w:sz w:val="22"/>
              </w:rPr>
              <w:t>Cuenca de tipo Oval</w:t>
            </w:r>
          </w:p>
        </w:tc>
        <w:tc>
          <w:tcPr>
            <w:tcW w:w="1610" w:type="dxa"/>
            <w:tcBorders>
              <w:top w:val="nil"/>
              <w:left w:val="nil"/>
              <w:right w:val="nil"/>
            </w:tcBorders>
          </w:tcPr>
          <w:p>
            <w:pPr>
              <w:pStyle w:val="TableParagraph"/>
              <w:spacing w:before="67"/>
              <w:ind w:left="101" w:right="95"/>
              <w:jc w:val="center"/>
              <w:rPr>
                <w:sz w:val="22"/>
              </w:rPr>
            </w:pPr>
            <w:r>
              <w:rPr>
                <w:w w:val="85"/>
                <w:sz w:val="22"/>
              </w:rPr>
              <w:t>González - 2004</w:t>
            </w:r>
          </w:p>
        </w:tc>
      </w:tr>
    </w:tbl>
    <w:p>
      <w:pPr>
        <w:spacing w:before="0"/>
        <w:ind w:left="840" w:right="0" w:firstLine="0"/>
        <w:jc w:val="left"/>
        <w:rPr>
          <w:sz w:val="20"/>
        </w:rPr>
      </w:pPr>
      <w:r>
        <w:rPr>
          <w:sz w:val="20"/>
        </w:rPr>
        <w:t>Fuente: Elaboración propia.</w:t>
      </w:r>
    </w:p>
    <w:p>
      <w:pPr>
        <w:pStyle w:val="BodyText"/>
        <w:rPr>
          <w:sz w:val="20"/>
        </w:rPr>
      </w:pPr>
    </w:p>
    <w:p>
      <w:pPr>
        <w:pStyle w:val="BodyText"/>
        <w:spacing w:before="8"/>
      </w:pPr>
    </w:p>
    <w:p>
      <w:pPr>
        <w:pStyle w:val="ListParagraph"/>
        <w:numPr>
          <w:ilvl w:val="0"/>
          <w:numId w:val="20"/>
        </w:numPr>
        <w:tabs>
          <w:tab w:pos="841" w:val="left" w:leader="none"/>
        </w:tabs>
        <w:spacing w:line="240" w:lineRule="auto" w:before="1" w:after="0"/>
        <w:ind w:left="840" w:right="0" w:hanging="360"/>
        <w:jc w:val="left"/>
        <w:rPr>
          <w:sz w:val="24"/>
        </w:rPr>
      </w:pPr>
      <w:r>
        <w:rPr>
          <w:sz w:val="24"/>
        </w:rPr>
        <w:t>Parámetros de</w:t>
      </w:r>
      <w:r>
        <w:rPr>
          <w:spacing w:val="-7"/>
          <w:sz w:val="24"/>
        </w:rPr>
        <w:t> </w:t>
      </w:r>
      <w:r>
        <w:rPr>
          <w:sz w:val="24"/>
        </w:rPr>
        <w:t>relieve</w:t>
      </w:r>
    </w:p>
    <w:p>
      <w:pPr>
        <w:pStyle w:val="BodyText"/>
      </w:pPr>
    </w:p>
    <w:p>
      <w:pPr>
        <w:pStyle w:val="BodyText"/>
        <w:spacing w:before="6"/>
        <w:rPr>
          <w:sz w:val="32"/>
        </w:rPr>
      </w:pPr>
    </w:p>
    <w:p>
      <w:pPr>
        <w:pStyle w:val="BodyText"/>
        <w:spacing w:line="360" w:lineRule="auto" w:before="1"/>
        <w:ind w:left="119" w:right="99"/>
        <w:jc w:val="both"/>
      </w:pPr>
      <w:r>
        <w:rPr/>
        <w:t>A mayor pendiente, corresponderá una menor duración de concentración de las aguas</w:t>
      </w:r>
      <w:r>
        <w:rPr>
          <w:spacing w:val="-8"/>
        </w:rPr>
        <w:t> </w:t>
      </w:r>
      <w:r>
        <w:rPr/>
        <w:t>de</w:t>
      </w:r>
      <w:r>
        <w:rPr>
          <w:spacing w:val="-12"/>
        </w:rPr>
        <w:t> </w:t>
      </w:r>
      <w:r>
        <w:rPr/>
        <w:t>escorrentía</w:t>
      </w:r>
      <w:r>
        <w:rPr>
          <w:spacing w:val="-7"/>
        </w:rPr>
        <w:t> </w:t>
      </w:r>
      <w:r>
        <w:rPr/>
        <w:t>en</w:t>
      </w:r>
      <w:r>
        <w:rPr>
          <w:spacing w:val="-16"/>
        </w:rPr>
        <w:t> </w:t>
      </w:r>
      <w:r>
        <w:rPr/>
        <w:t>la</w:t>
      </w:r>
      <w:r>
        <w:rPr>
          <w:spacing w:val="-3"/>
        </w:rPr>
        <w:t> </w:t>
      </w:r>
      <w:r>
        <w:rPr/>
        <w:t>red</w:t>
      </w:r>
      <w:r>
        <w:rPr>
          <w:spacing w:val="-7"/>
        </w:rPr>
        <w:t> </w:t>
      </w:r>
      <w:r>
        <w:rPr/>
        <w:t>de</w:t>
      </w:r>
      <w:r>
        <w:rPr>
          <w:spacing w:val="-7"/>
        </w:rPr>
        <w:t> </w:t>
      </w:r>
      <w:r>
        <w:rPr/>
        <w:t>drenaje</w:t>
      </w:r>
      <w:r>
        <w:rPr>
          <w:spacing w:val="-7"/>
        </w:rPr>
        <w:t> </w:t>
      </w:r>
      <w:r>
        <w:rPr/>
        <w:t>y</w:t>
      </w:r>
      <w:r>
        <w:rPr>
          <w:spacing w:val="-8"/>
        </w:rPr>
        <w:t> </w:t>
      </w:r>
      <w:r>
        <w:rPr/>
        <w:t>afluentes</w:t>
      </w:r>
      <w:r>
        <w:rPr>
          <w:spacing w:val="-8"/>
        </w:rPr>
        <w:t> </w:t>
      </w:r>
      <w:r>
        <w:rPr/>
        <w:t>del</w:t>
      </w:r>
      <w:r>
        <w:rPr>
          <w:spacing w:val="-8"/>
        </w:rPr>
        <w:t> </w:t>
      </w:r>
      <w:r>
        <w:rPr/>
        <w:t>cauce</w:t>
      </w:r>
      <w:r>
        <w:rPr>
          <w:spacing w:val="-12"/>
        </w:rPr>
        <w:t> </w:t>
      </w:r>
      <w:r>
        <w:rPr/>
        <w:t>principal,</w:t>
      </w:r>
      <w:r>
        <w:rPr>
          <w:spacing w:val="-2"/>
        </w:rPr>
        <w:t> </w:t>
      </w:r>
      <w:r>
        <w:rPr/>
        <w:t>(Campos, 1987).</w:t>
      </w:r>
    </w:p>
    <w:p>
      <w:pPr>
        <w:pStyle w:val="BodyText"/>
      </w:pPr>
    </w:p>
    <w:p>
      <w:pPr>
        <w:pStyle w:val="BodyText"/>
        <w:spacing w:before="145"/>
        <w:ind w:left="119"/>
        <w:jc w:val="both"/>
      </w:pPr>
      <w:r>
        <w:rPr/>
        <w:t>Algunos parámetros que destacan son:</w:t>
      </w:r>
    </w:p>
    <w:p>
      <w:pPr>
        <w:spacing w:after="0"/>
        <w:jc w:val="both"/>
        <w:sectPr>
          <w:pgSz w:w="12240" w:h="15840"/>
          <w:pgMar w:header="0" w:footer="1031" w:top="1360" w:bottom="1220" w:left="1580" w:right="1600"/>
        </w:sectPr>
      </w:pPr>
    </w:p>
    <w:p>
      <w:pPr>
        <w:pStyle w:val="BodyText"/>
        <w:spacing w:line="357" w:lineRule="auto" w:before="30"/>
        <w:ind w:left="686" w:right="101"/>
        <w:jc w:val="both"/>
      </w:pPr>
      <w:r>
        <w:rPr>
          <w:rFonts w:ascii="Symbol" w:hAnsi="Symbol"/>
        </w:rPr>
        <w:t></w:t>
      </w:r>
      <w:r>
        <w:rPr>
          <w:rFonts w:ascii="Times New Roman" w:hAnsi="Times New Roman"/>
        </w:rPr>
        <w:t> </w:t>
      </w:r>
      <w:r>
        <w:rPr/>
        <w:t>Curva hipsométrica, se define como la representación gráfica del relieve promedio de la cuenca, construida llevando en el eje de las abscisas, longitudes proporcionales a las superficies proyectadas en la cuenca, en km</w:t>
      </w:r>
      <w:r>
        <w:rPr>
          <w:position w:val="8"/>
          <w:sz w:val="16"/>
        </w:rPr>
        <w:t>2 </w:t>
      </w:r>
      <w:r>
        <w:rPr/>
        <w:t>o en porcentaje, comprendidas entre curvas de nivel consecutivas hasta alcanzar la superficie total, llevando al eje de las ordenadas la cota de las curvas de nivel consideradas.</w:t>
      </w:r>
    </w:p>
    <w:p>
      <w:pPr>
        <w:pStyle w:val="BodyText"/>
      </w:pPr>
    </w:p>
    <w:p>
      <w:pPr>
        <w:pStyle w:val="BodyText"/>
        <w:spacing w:line="360" w:lineRule="auto" w:before="140"/>
        <w:ind w:left="686" w:right="99"/>
        <w:jc w:val="both"/>
      </w:pPr>
      <w:r>
        <w:rPr/>
        <w:drawing>
          <wp:anchor distT="0" distB="0" distL="0" distR="0" allowOverlap="1" layoutInCell="1" locked="0" behindDoc="0" simplePos="0" relativeHeight="1600">
            <wp:simplePos x="0" y="0"/>
            <wp:positionH relativeFrom="page">
              <wp:posOffset>1718945</wp:posOffset>
            </wp:positionH>
            <wp:positionV relativeFrom="paragraph">
              <wp:posOffset>1726494</wp:posOffset>
            </wp:positionV>
            <wp:extent cx="4657690" cy="2341340"/>
            <wp:effectExtent l="0" t="0" r="0" b="0"/>
            <wp:wrapTopAndBottom/>
            <wp:docPr id="25" name="image32.png" descr=""/>
            <wp:cNvGraphicFramePr>
              <a:graphicFrameLocks noChangeAspect="1"/>
            </wp:cNvGraphicFramePr>
            <a:graphic>
              <a:graphicData uri="http://schemas.openxmlformats.org/drawingml/2006/picture">
                <pic:pic>
                  <pic:nvPicPr>
                    <pic:cNvPr id="26" name="image32.png"/>
                    <pic:cNvPicPr/>
                  </pic:nvPicPr>
                  <pic:blipFill>
                    <a:blip r:embed="rId45" cstate="print"/>
                    <a:stretch>
                      <a:fillRect/>
                    </a:stretch>
                  </pic:blipFill>
                  <pic:spPr>
                    <a:xfrm>
                      <a:off x="0" y="0"/>
                      <a:ext cx="4657690" cy="2341340"/>
                    </a:xfrm>
                    <a:prstGeom prst="rect">
                      <a:avLst/>
                    </a:prstGeom>
                  </pic:spPr>
                </pic:pic>
              </a:graphicData>
            </a:graphic>
          </wp:anchor>
        </w:drawing>
      </w:r>
      <w:r>
        <w:rPr>
          <w:rFonts w:ascii="Symbol" w:hAnsi="Symbol"/>
        </w:rPr>
        <w:t></w:t>
      </w:r>
      <w:r>
        <w:rPr/>
        <w:t>Altura o elevación media, tiene importancia principalmente en zonas montañosas donde influye en el escurrimiento y en otros elementos que también afectan el régimen hidrológico, como el tipo de precipitación, la temperatura, etc. También refleja el equilibrio de la cuenca y la identifica en sus etapas de A) juventud, B) madurez y C) vejez (Senciales y Ferre, 1992). Los datos y la gráfica de la curva hipsométrica se presentan a continuación:</w:t>
      </w:r>
    </w:p>
    <w:p>
      <w:pPr>
        <w:spacing w:before="39"/>
        <w:ind w:left="1968" w:right="0" w:firstLine="0"/>
        <w:jc w:val="left"/>
        <w:rPr>
          <w:sz w:val="22"/>
        </w:rPr>
      </w:pPr>
      <w:r>
        <w:rPr>
          <w:sz w:val="22"/>
        </w:rPr>
        <w:t>Gráfica 1 .Curva Hipsométrica de cuenca de la ZMT.</w:t>
      </w:r>
    </w:p>
    <w:p>
      <w:pPr>
        <w:pStyle w:val="BodyText"/>
        <w:spacing w:before="2"/>
        <w:rPr>
          <w:sz w:val="30"/>
        </w:rPr>
      </w:pPr>
    </w:p>
    <w:p>
      <w:pPr>
        <w:pStyle w:val="BodyText"/>
        <w:spacing w:line="360" w:lineRule="auto" w:before="1"/>
        <w:ind w:left="119" w:right="100" w:firstLine="706"/>
        <w:jc w:val="both"/>
      </w:pPr>
      <w:r>
        <w:rPr/>
        <w:t>De acuerdo a la forma obtenida de la gráfica, se puede observar que el tipo de cuenca indica una clara tendencia hacia la etapa C o de vejez, en donde se puede interpretar que la cuenca con fuertes procesos de erosión debido al tránsito de las escorrentías superficiales.</w:t>
      </w:r>
    </w:p>
    <w:p>
      <w:pPr>
        <w:pStyle w:val="BodyText"/>
      </w:pPr>
    </w:p>
    <w:p>
      <w:pPr>
        <w:pStyle w:val="ListParagraph"/>
        <w:numPr>
          <w:ilvl w:val="1"/>
          <w:numId w:val="19"/>
        </w:numPr>
        <w:tabs>
          <w:tab w:pos="840" w:val="left" w:leader="none"/>
          <w:tab w:pos="841" w:val="left" w:leader="none"/>
        </w:tabs>
        <w:spacing w:line="350" w:lineRule="auto" w:before="143" w:after="0"/>
        <w:ind w:left="840" w:right="107" w:hanging="360"/>
        <w:jc w:val="left"/>
        <w:rPr>
          <w:sz w:val="24"/>
        </w:rPr>
      </w:pPr>
      <w:r>
        <w:rPr>
          <w:sz w:val="24"/>
        </w:rPr>
        <w:t>Pendiente media: es uno de los principales parámetros que caracteriza el relieve  de la  </w:t>
      </w:r>
      <w:r>
        <w:rPr>
          <w:spacing w:val="-3"/>
          <w:sz w:val="24"/>
        </w:rPr>
        <w:t>misma  </w:t>
      </w:r>
      <w:r>
        <w:rPr>
          <w:sz w:val="24"/>
        </w:rPr>
        <w:t>y  permite  hacer  comparaciones entre  cuencas</w:t>
      </w:r>
      <w:r>
        <w:rPr>
          <w:spacing w:val="39"/>
          <w:sz w:val="24"/>
        </w:rPr>
        <w:t> </w:t>
      </w:r>
      <w:r>
        <w:rPr>
          <w:sz w:val="24"/>
        </w:rPr>
        <w:t>para</w:t>
      </w:r>
    </w:p>
    <w:p>
      <w:pPr>
        <w:spacing w:after="0" w:line="350" w:lineRule="auto"/>
        <w:jc w:val="left"/>
        <w:rPr>
          <w:sz w:val="24"/>
        </w:rPr>
        <w:sectPr>
          <w:pgSz w:w="12240" w:h="15840"/>
          <w:pgMar w:header="0" w:footer="1031" w:top="1380" w:bottom="1220" w:left="1580" w:right="1600"/>
        </w:sectPr>
      </w:pPr>
    </w:p>
    <w:p>
      <w:pPr>
        <w:pStyle w:val="BodyText"/>
        <w:spacing w:line="360" w:lineRule="auto" w:before="52"/>
        <w:ind w:left="840" w:right="116"/>
        <w:jc w:val="both"/>
      </w:pPr>
      <w:r>
        <w:rPr/>
        <w:t>observar fenómenos erosivos que se manifiestan en la superficie debidos a la velocidad de tránsito en el relieve de la misma. El valor de la pendiente media en la cuenca es de 20%, que indica una inclinación promedio del relieve moderadamente accidentado (Campos, 1987), que propicia potencialmente la erosión del suelo circundante.</w:t>
      </w:r>
    </w:p>
    <w:p>
      <w:pPr>
        <w:pStyle w:val="BodyText"/>
      </w:pPr>
    </w:p>
    <w:p>
      <w:pPr>
        <w:pStyle w:val="ListParagraph"/>
        <w:numPr>
          <w:ilvl w:val="0"/>
          <w:numId w:val="20"/>
        </w:numPr>
        <w:tabs>
          <w:tab w:pos="907" w:val="left" w:leader="none"/>
          <w:tab w:pos="908" w:val="left" w:leader="none"/>
        </w:tabs>
        <w:spacing w:line="240" w:lineRule="auto" w:before="140" w:after="0"/>
        <w:ind w:left="907" w:right="0" w:hanging="427"/>
        <w:jc w:val="left"/>
        <w:rPr>
          <w:sz w:val="24"/>
        </w:rPr>
      </w:pPr>
      <w:r>
        <w:rPr>
          <w:sz w:val="24"/>
        </w:rPr>
        <w:t>Parámetros de la red de</w:t>
      </w:r>
      <w:r>
        <w:rPr>
          <w:spacing w:val="-20"/>
          <w:sz w:val="24"/>
        </w:rPr>
        <w:t> </w:t>
      </w:r>
      <w:r>
        <w:rPr>
          <w:sz w:val="24"/>
        </w:rPr>
        <w:t>drenaje</w:t>
      </w:r>
    </w:p>
    <w:p>
      <w:pPr>
        <w:pStyle w:val="BodyText"/>
      </w:pPr>
    </w:p>
    <w:p>
      <w:pPr>
        <w:pStyle w:val="BodyText"/>
        <w:spacing w:before="4"/>
        <w:rPr>
          <w:sz w:val="33"/>
        </w:rPr>
      </w:pPr>
    </w:p>
    <w:p>
      <w:pPr>
        <w:pStyle w:val="BodyText"/>
        <w:spacing w:line="360" w:lineRule="auto"/>
        <w:ind w:left="119" w:right="118" w:firstLine="360"/>
        <w:jc w:val="both"/>
      </w:pPr>
      <w:r>
        <w:rPr/>
        <w:t>Según Llamas (1993), la red de drenaje es el arreglo de los canales que conducen las corrientes de agua dentro de la cuenca integrada por un río principal y una serie de tributarios cuyas ramificaciones se extienden hacia las partes más altas de la misma. Estos parámetros dan una idea de la capacidad de desalojo de los caudales captados en la cuenca y la morfología del cauce principal. Algunos de los parámetros que se describirán son:</w:t>
      </w:r>
    </w:p>
    <w:p>
      <w:pPr>
        <w:pStyle w:val="BodyText"/>
      </w:pPr>
    </w:p>
    <w:p>
      <w:pPr>
        <w:pStyle w:val="ListParagraph"/>
        <w:numPr>
          <w:ilvl w:val="1"/>
          <w:numId w:val="19"/>
        </w:numPr>
        <w:tabs>
          <w:tab w:pos="841" w:val="left" w:leader="none"/>
        </w:tabs>
        <w:spacing w:line="355" w:lineRule="auto" w:before="142" w:after="0"/>
        <w:ind w:left="840" w:right="113" w:hanging="360"/>
        <w:jc w:val="both"/>
        <w:rPr>
          <w:sz w:val="24"/>
        </w:rPr>
      </w:pPr>
      <w:r>
        <w:rPr>
          <w:i/>
          <w:sz w:val="24"/>
        </w:rPr>
        <w:t>Índices de Horton: </w:t>
      </w:r>
      <w:r>
        <w:rPr>
          <w:sz w:val="24"/>
        </w:rPr>
        <w:t>la idea de Horton de cuantificar las propiedades geomorfológicas de una cuenca lo llevó a deducir ciertas relaciones que se conocen</w:t>
      </w:r>
      <w:r>
        <w:rPr>
          <w:spacing w:val="-6"/>
          <w:sz w:val="24"/>
        </w:rPr>
        <w:t> </w:t>
      </w:r>
      <w:r>
        <w:rPr>
          <w:sz w:val="24"/>
        </w:rPr>
        <w:t>como</w:t>
      </w:r>
      <w:r>
        <w:rPr>
          <w:spacing w:val="-6"/>
          <w:sz w:val="24"/>
        </w:rPr>
        <w:t> </w:t>
      </w:r>
      <w:r>
        <w:rPr>
          <w:sz w:val="24"/>
        </w:rPr>
        <w:t>los</w:t>
      </w:r>
      <w:r>
        <w:rPr>
          <w:spacing w:val="-7"/>
          <w:sz w:val="24"/>
        </w:rPr>
        <w:t> </w:t>
      </w:r>
      <w:r>
        <w:rPr>
          <w:sz w:val="24"/>
        </w:rPr>
        <w:t>números</w:t>
      </w:r>
      <w:r>
        <w:rPr>
          <w:spacing w:val="-7"/>
          <w:sz w:val="24"/>
        </w:rPr>
        <w:t> </w:t>
      </w:r>
      <w:r>
        <w:rPr>
          <w:sz w:val="24"/>
        </w:rPr>
        <w:t>o</w:t>
      </w:r>
      <w:r>
        <w:rPr>
          <w:spacing w:val="-6"/>
          <w:sz w:val="24"/>
        </w:rPr>
        <w:t> </w:t>
      </w:r>
      <w:r>
        <w:rPr>
          <w:sz w:val="24"/>
        </w:rPr>
        <w:t>índices</w:t>
      </w:r>
      <w:r>
        <w:rPr>
          <w:spacing w:val="-7"/>
          <w:sz w:val="24"/>
        </w:rPr>
        <w:t> </w:t>
      </w:r>
      <w:r>
        <w:rPr>
          <w:sz w:val="24"/>
        </w:rPr>
        <w:t>de</w:t>
      </w:r>
      <w:r>
        <w:rPr>
          <w:spacing w:val="-6"/>
          <w:sz w:val="24"/>
        </w:rPr>
        <w:t> </w:t>
      </w:r>
      <w:r>
        <w:rPr>
          <w:sz w:val="24"/>
        </w:rPr>
        <w:t>Horton.</w:t>
      </w:r>
      <w:r>
        <w:rPr>
          <w:spacing w:val="-6"/>
          <w:sz w:val="24"/>
        </w:rPr>
        <w:t> </w:t>
      </w:r>
      <w:r>
        <w:rPr>
          <w:sz w:val="24"/>
        </w:rPr>
        <w:t>Los</w:t>
      </w:r>
      <w:r>
        <w:rPr>
          <w:spacing w:val="-7"/>
          <w:sz w:val="24"/>
        </w:rPr>
        <w:t> </w:t>
      </w:r>
      <w:r>
        <w:rPr>
          <w:sz w:val="24"/>
        </w:rPr>
        <w:t>índices</w:t>
      </w:r>
      <w:r>
        <w:rPr>
          <w:spacing w:val="-12"/>
          <w:sz w:val="24"/>
        </w:rPr>
        <w:t> </w:t>
      </w:r>
      <w:r>
        <w:rPr>
          <w:sz w:val="24"/>
        </w:rPr>
        <w:t>principales</w:t>
      </w:r>
      <w:r>
        <w:rPr>
          <w:spacing w:val="-7"/>
          <w:sz w:val="24"/>
        </w:rPr>
        <w:t> </w:t>
      </w:r>
      <w:r>
        <w:rPr>
          <w:sz w:val="24"/>
        </w:rPr>
        <w:t>son:</w:t>
      </w:r>
    </w:p>
    <w:p>
      <w:pPr>
        <w:spacing w:before="12"/>
        <w:ind w:left="1320" w:right="70" w:firstLine="0"/>
        <w:jc w:val="left"/>
        <w:rPr>
          <w:sz w:val="22"/>
        </w:rPr>
      </w:pPr>
      <w:r>
        <w:rPr>
          <w:sz w:val="22"/>
        </w:rPr>
        <w:t>Tabla 7. Parámetros de la red de drenaje de la cuenca de la ZMT.</w:t>
      </w:r>
    </w:p>
    <w:p>
      <w:pPr>
        <w:pStyle w:val="BodyText"/>
        <w:spacing w:before="3"/>
        <w:rPr>
          <w:sz w:val="26"/>
        </w:rPr>
      </w:pPr>
      <w:r>
        <w:rPr/>
        <w:pict>
          <v:group style="position:absolute;margin-left:89.524002pt;margin-top:17.088945pt;width:433.2pt;height:1pt;mso-position-horizontal-relative:page;mso-position-vertical-relative:paragraph;z-index:1624;mso-wrap-distance-left:0;mso-wrap-distance-right:0" coordorigin="1790,342" coordsize="8664,20">
            <v:line style="position:absolute" from="1800,352" to="4682,352" stroked="true" strokeweight=".96002pt" strokecolor="#000000"/>
            <v:line style="position:absolute" from="4682,352" to="4701,352" stroked="true" strokeweight=".96002pt" strokecolor="#000000"/>
            <v:line style="position:absolute" from="4701,352" to="5671,352" stroked="true" strokeweight=".96002pt" strokecolor="#000000"/>
            <v:line style="position:absolute" from="5671,352" to="5690,352" stroked="true" strokeweight=".96002pt" strokecolor="#000000"/>
            <v:line style="position:absolute" from="5690,352" to="8509,352" stroked="true" strokeweight=".96002pt" strokecolor="#000000"/>
            <v:line style="position:absolute" from="8509,352" to="8528,352" stroked="true" strokeweight=".96002pt" strokecolor="#000000"/>
            <v:line style="position:absolute" from="8528,352" to="10444,352" stroked="true" strokeweight=".96002pt" strokecolor="#000000"/>
            <w10:wrap type="topAndBottom"/>
          </v:group>
        </w:pict>
      </w:r>
    </w:p>
    <w:p>
      <w:pPr>
        <w:tabs>
          <w:tab w:pos="3279" w:val="left" w:leader="none"/>
          <w:tab w:pos="4806" w:val="left" w:leader="none"/>
          <w:tab w:pos="7572" w:val="left" w:leader="none"/>
        </w:tabs>
        <w:spacing w:before="0"/>
        <w:ind w:left="1147" w:right="70" w:firstLine="0"/>
        <w:jc w:val="left"/>
        <w:rPr>
          <w:rFonts w:ascii="Trebuchet MS" w:hAnsi="Trebuchet MS"/>
          <w:b/>
          <w:sz w:val="22"/>
        </w:rPr>
      </w:pPr>
      <w:r>
        <w:rPr>
          <w:rFonts w:ascii="Trebuchet MS" w:hAnsi="Trebuchet MS"/>
          <w:b/>
          <w:w w:val="95"/>
          <w:sz w:val="22"/>
        </w:rPr>
        <w:t>CONCEPTO</w:t>
        <w:tab/>
      </w:r>
      <w:r>
        <w:rPr>
          <w:rFonts w:ascii="Trebuchet MS" w:hAnsi="Trebuchet MS"/>
          <w:b/>
          <w:sz w:val="22"/>
        </w:rPr>
        <w:t>VALOR</w:t>
        <w:tab/>
      </w:r>
      <w:r>
        <w:rPr>
          <w:rFonts w:ascii="Trebuchet MS" w:hAnsi="Trebuchet MS"/>
          <w:b/>
          <w:w w:val="95"/>
          <w:sz w:val="22"/>
        </w:rPr>
        <w:t>CLASIFICACIÓN</w:t>
        <w:tab/>
      </w:r>
      <w:r>
        <w:rPr>
          <w:rFonts w:ascii="Trebuchet MS" w:hAnsi="Trebuchet MS"/>
          <w:b/>
          <w:sz w:val="22"/>
        </w:rPr>
        <w:t>AUTOR</w:t>
      </w:r>
    </w:p>
    <w:p>
      <w:pPr>
        <w:pStyle w:val="BodyText"/>
        <w:spacing w:before="2"/>
        <w:rPr>
          <w:rFonts w:ascii="Trebuchet MS"/>
          <w:b/>
          <w:sz w:val="12"/>
        </w:rPr>
      </w:pPr>
      <w:r>
        <w:rPr/>
        <w:pict>
          <v:group style="position:absolute;margin-left:89.524002pt;margin-top:9.056148pt;width:433.2pt;height:1pt;mso-position-horizontal-relative:page;mso-position-vertical-relative:paragraph;z-index:1648;mso-wrap-distance-left:0;mso-wrap-distance-right:0" coordorigin="1790,181" coordsize="8664,20">
            <v:line style="position:absolute" from="1800,191" to="4682,191" stroked="true" strokeweight=".95999pt" strokecolor="#000000"/>
            <v:line style="position:absolute" from="4682,191" to="4701,191" stroked="true" strokeweight=".95999pt" strokecolor="#000000"/>
            <v:line style="position:absolute" from="4701,191" to="5671,191" stroked="true" strokeweight=".95999pt" strokecolor="#000000"/>
            <v:line style="position:absolute" from="5671,191" to="5690,191" stroked="true" strokeweight=".95999pt" strokecolor="#000000"/>
            <v:line style="position:absolute" from="5690,191" to="8509,191" stroked="true" strokeweight=".95999pt" strokecolor="#000000"/>
            <v:line style="position:absolute" from="8509,191" to="8528,191" stroked="true" strokeweight=".95999pt" strokecolor="#000000"/>
            <v:line style="position:absolute" from="8528,191" to="10444,191" stroked="true" strokeweight=".95999pt" strokecolor="#000000"/>
            <w10:wrap type="topAndBottom"/>
          </v:group>
        </w:pict>
      </w:r>
    </w:p>
    <w:p>
      <w:pPr>
        <w:tabs>
          <w:tab w:pos="3207" w:val="left" w:leader="none"/>
          <w:tab w:pos="4201" w:val="left" w:leader="none"/>
          <w:tab w:pos="7034" w:val="left" w:leader="none"/>
        </w:tabs>
        <w:spacing w:line="216" w:lineRule="exact" w:before="0"/>
        <w:ind w:left="326" w:right="70" w:firstLine="0"/>
        <w:jc w:val="left"/>
        <w:rPr>
          <w:sz w:val="22"/>
        </w:rPr>
      </w:pPr>
      <w:r>
        <w:rPr>
          <w:rFonts w:ascii="Trebuchet MS"/>
          <w:b/>
          <w:w w:val="90"/>
          <w:sz w:val="22"/>
        </w:rPr>
        <w:t>Orden</w:t>
      </w:r>
      <w:r>
        <w:rPr>
          <w:rFonts w:ascii="Trebuchet MS"/>
          <w:b/>
          <w:spacing w:val="-40"/>
          <w:w w:val="90"/>
          <w:sz w:val="22"/>
        </w:rPr>
        <w:t> </w:t>
      </w:r>
      <w:r>
        <w:rPr>
          <w:rFonts w:ascii="Trebuchet MS"/>
          <w:b/>
          <w:w w:val="90"/>
          <w:sz w:val="22"/>
        </w:rPr>
        <w:t>de</w:t>
      </w:r>
      <w:r>
        <w:rPr>
          <w:rFonts w:ascii="Trebuchet MS"/>
          <w:b/>
          <w:spacing w:val="-40"/>
          <w:w w:val="90"/>
          <w:sz w:val="22"/>
        </w:rPr>
        <w:t> </w:t>
      </w:r>
      <w:r>
        <w:rPr>
          <w:rFonts w:ascii="Trebuchet MS"/>
          <w:b/>
          <w:w w:val="90"/>
          <w:sz w:val="22"/>
        </w:rPr>
        <w:t>corrientes</w:t>
        <w:tab/>
      </w:r>
      <w:r>
        <w:rPr>
          <w:w w:val="95"/>
          <w:sz w:val="22"/>
        </w:rPr>
        <w:t>5.00</w:t>
        <w:tab/>
      </w:r>
      <w:r>
        <w:rPr>
          <w:w w:val="90"/>
          <w:sz w:val="22"/>
        </w:rPr>
        <w:t>Quinto</w:t>
      </w:r>
      <w:r>
        <w:rPr>
          <w:spacing w:val="-34"/>
          <w:w w:val="90"/>
          <w:sz w:val="22"/>
        </w:rPr>
        <w:t> </w:t>
      </w:r>
      <w:r>
        <w:rPr>
          <w:w w:val="90"/>
          <w:sz w:val="22"/>
        </w:rPr>
        <w:t>orden</w:t>
        <w:tab/>
      </w:r>
      <w:r>
        <w:rPr>
          <w:w w:val="85"/>
          <w:sz w:val="22"/>
        </w:rPr>
        <w:t>Horton</w:t>
      </w:r>
      <w:r>
        <w:rPr>
          <w:spacing w:val="-22"/>
          <w:w w:val="85"/>
          <w:sz w:val="22"/>
        </w:rPr>
        <w:t> </w:t>
      </w:r>
      <w:r>
        <w:rPr>
          <w:w w:val="85"/>
          <w:sz w:val="22"/>
        </w:rPr>
        <w:t>-</w:t>
      </w:r>
      <w:r>
        <w:rPr>
          <w:spacing w:val="-21"/>
          <w:w w:val="85"/>
          <w:sz w:val="22"/>
        </w:rPr>
        <w:t> </w:t>
      </w:r>
      <w:r>
        <w:rPr>
          <w:w w:val="85"/>
          <w:sz w:val="22"/>
        </w:rPr>
        <w:t>1945</w:t>
      </w:r>
    </w:p>
    <w:p>
      <w:pPr>
        <w:spacing w:after="0" w:line="216" w:lineRule="exact"/>
        <w:jc w:val="left"/>
        <w:rPr>
          <w:sz w:val="22"/>
        </w:rPr>
        <w:sectPr>
          <w:pgSz w:w="12240" w:h="15840"/>
          <w:pgMar w:header="0" w:footer="1031" w:top="1360" w:bottom="1220" w:left="1580" w:right="1580"/>
        </w:sectPr>
      </w:pPr>
    </w:p>
    <w:p>
      <w:pPr>
        <w:tabs>
          <w:tab w:pos="3207" w:val="left" w:leader="none"/>
          <w:tab w:pos="4201" w:val="left" w:leader="none"/>
        </w:tabs>
        <w:spacing w:before="152"/>
        <w:ind w:left="326" w:right="0" w:firstLine="0"/>
        <w:jc w:val="left"/>
        <w:rPr>
          <w:sz w:val="22"/>
        </w:rPr>
      </w:pPr>
      <w:r>
        <w:rPr>
          <w:rFonts w:ascii="Trebuchet MS" w:hAnsi="Trebuchet MS"/>
          <w:b/>
          <w:w w:val="90"/>
          <w:sz w:val="22"/>
        </w:rPr>
        <w:t>Relación</w:t>
      </w:r>
      <w:r>
        <w:rPr>
          <w:rFonts w:ascii="Trebuchet MS" w:hAnsi="Trebuchet MS"/>
          <w:b/>
          <w:spacing w:val="-36"/>
          <w:w w:val="90"/>
          <w:sz w:val="22"/>
        </w:rPr>
        <w:t> </w:t>
      </w:r>
      <w:r>
        <w:rPr>
          <w:rFonts w:ascii="Trebuchet MS" w:hAnsi="Trebuchet MS"/>
          <w:b/>
          <w:w w:val="90"/>
          <w:sz w:val="22"/>
        </w:rPr>
        <w:t>de</w:t>
      </w:r>
      <w:r>
        <w:rPr>
          <w:rFonts w:ascii="Trebuchet MS" w:hAnsi="Trebuchet MS"/>
          <w:b/>
          <w:spacing w:val="-34"/>
          <w:w w:val="90"/>
          <w:sz w:val="22"/>
        </w:rPr>
        <w:t> </w:t>
      </w:r>
      <w:r>
        <w:rPr>
          <w:rFonts w:ascii="Trebuchet MS" w:hAnsi="Trebuchet MS"/>
          <w:b/>
          <w:w w:val="90"/>
          <w:sz w:val="22"/>
        </w:rPr>
        <w:t>Bifurcación</w:t>
        <w:tab/>
      </w:r>
      <w:r>
        <w:rPr>
          <w:w w:val="95"/>
          <w:sz w:val="22"/>
        </w:rPr>
        <w:t>2.80</w:t>
        <w:tab/>
      </w:r>
      <w:r>
        <w:rPr>
          <w:w w:val="80"/>
          <w:sz w:val="22"/>
        </w:rPr>
        <w:t>Correspondencia</w:t>
      </w:r>
      <w:r>
        <w:rPr>
          <w:spacing w:val="43"/>
          <w:w w:val="80"/>
          <w:sz w:val="22"/>
        </w:rPr>
        <w:t> </w:t>
      </w:r>
      <w:r>
        <w:rPr>
          <w:w w:val="80"/>
          <w:sz w:val="22"/>
        </w:rPr>
        <w:t>entre</w:t>
      </w:r>
    </w:p>
    <w:p>
      <w:pPr>
        <w:spacing w:before="124"/>
        <w:ind w:left="0" w:right="381" w:firstLine="0"/>
        <w:jc w:val="right"/>
        <w:rPr>
          <w:sz w:val="22"/>
        </w:rPr>
      </w:pPr>
      <w:r>
        <w:rPr>
          <w:w w:val="85"/>
          <w:sz w:val="22"/>
        </w:rPr>
        <w:t>órdenes de 1:2.80</w:t>
      </w:r>
    </w:p>
    <w:p>
      <w:pPr>
        <w:spacing w:before="152"/>
        <w:ind w:left="326" w:right="0" w:firstLine="0"/>
        <w:jc w:val="left"/>
        <w:rPr>
          <w:sz w:val="22"/>
        </w:rPr>
      </w:pPr>
      <w:r>
        <w:rPr/>
        <w:br w:type="column"/>
      </w:r>
      <w:r>
        <w:rPr>
          <w:w w:val="80"/>
          <w:sz w:val="22"/>
        </w:rPr>
        <w:t>Horton -1945</w:t>
      </w:r>
    </w:p>
    <w:p>
      <w:pPr>
        <w:spacing w:after="0"/>
        <w:jc w:val="left"/>
        <w:rPr>
          <w:sz w:val="22"/>
        </w:rPr>
        <w:sectPr>
          <w:type w:val="continuous"/>
          <w:pgSz w:w="12240" w:h="15840"/>
          <w:pgMar w:top="1500" w:bottom="280" w:left="1580" w:right="1580"/>
          <w:cols w:num="2" w:equalWidth="0">
            <w:col w:w="6039" w:space="669"/>
            <w:col w:w="2372"/>
          </w:cols>
        </w:sectPr>
      </w:pPr>
    </w:p>
    <w:p>
      <w:pPr>
        <w:pStyle w:val="BodyText"/>
        <w:spacing w:before="3"/>
        <w:rPr>
          <w:sz w:val="11"/>
        </w:rPr>
      </w:pPr>
    </w:p>
    <w:p>
      <w:pPr>
        <w:tabs>
          <w:tab w:pos="3207" w:val="left" w:leader="none"/>
          <w:tab w:pos="4201" w:val="left" w:leader="none"/>
          <w:tab w:pos="7034" w:val="left" w:leader="none"/>
        </w:tabs>
        <w:spacing w:before="73"/>
        <w:ind w:left="326" w:right="70" w:firstLine="0"/>
        <w:jc w:val="left"/>
        <w:rPr>
          <w:sz w:val="22"/>
        </w:rPr>
      </w:pPr>
      <w:r>
        <w:rPr>
          <w:rFonts w:ascii="Trebuchet MS" w:hAnsi="Trebuchet MS"/>
          <w:b/>
          <w:w w:val="90"/>
          <w:sz w:val="22"/>
        </w:rPr>
        <w:t>Densidad</w:t>
      </w:r>
      <w:r>
        <w:rPr>
          <w:rFonts w:ascii="Trebuchet MS" w:hAnsi="Trebuchet MS"/>
          <w:b/>
          <w:spacing w:val="-38"/>
          <w:w w:val="90"/>
          <w:sz w:val="22"/>
        </w:rPr>
        <w:t> </w:t>
      </w:r>
      <w:r>
        <w:rPr>
          <w:rFonts w:ascii="Trebuchet MS" w:hAnsi="Trebuchet MS"/>
          <w:b/>
          <w:w w:val="90"/>
          <w:sz w:val="22"/>
        </w:rPr>
        <w:t>de</w:t>
      </w:r>
      <w:r>
        <w:rPr>
          <w:rFonts w:ascii="Trebuchet MS" w:hAnsi="Trebuchet MS"/>
          <w:b/>
          <w:spacing w:val="-38"/>
          <w:w w:val="90"/>
          <w:sz w:val="22"/>
        </w:rPr>
        <w:t> </w:t>
      </w:r>
      <w:r>
        <w:rPr>
          <w:rFonts w:ascii="Trebuchet MS" w:hAnsi="Trebuchet MS"/>
          <w:b/>
          <w:w w:val="90"/>
          <w:sz w:val="22"/>
        </w:rPr>
        <w:t>Drenaje</w:t>
        <w:tab/>
      </w:r>
      <w:r>
        <w:rPr>
          <w:w w:val="95"/>
          <w:sz w:val="22"/>
        </w:rPr>
        <w:t>0.4</w:t>
        <w:tab/>
      </w:r>
      <w:r>
        <w:rPr>
          <w:w w:val="90"/>
          <w:sz w:val="22"/>
        </w:rPr>
        <w:t>Red</w:t>
      </w:r>
      <w:r>
        <w:rPr>
          <w:spacing w:val="-34"/>
          <w:w w:val="90"/>
          <w:sz w:val="22"/>
        </w:rPr>
        <w:t> </w:t>
      </w:r>
      <w:r>
        <w:rPr>
          <w:w w:val="90"/>
          <w:sz w:val="22"/>
        </w:rPr>
        <w:t>de</w:t>
      </w:r>
      <w:r>
        <w:rPr>
          <w:spacing w:val="-34"/>
          <w:w w:val="90"/>
          <w:sz w:val="22"/>
        </w:rPr>
        <w:t> </w:t>
      </w:r>
      <w:r>
        <w:rPr>
          <w:w w:val="90"/>
          <w:sz w:val="22"/>
        </w:rPr>
        <w:t>drenaje</w:t>
      </w:r>
      <w:r>
        <w:rPr>
          <w:spacing w:val="-34"/>
          <w:w w:val="90"/>
          <w:sz w:val="22"/>
        </w:rPr>
        <w:t> </w:t>
      </w:r>
      <w:r>
        <w:rPr>
          <w:w w:val="90"/>
          <w:sz w:val="22"/>
        </w:rPr>
        <w:t>pobre</w:t>
        <w:tab/>
      </w:r>
      <w:r>
        <w:rPr>
          <w:w w:val="85"/>
          <w:sz w:val="22"/>
        </w:rPr>
        <w:t>Hernández</w:t>
      </w:r>
      <w:r>
        <w:rPr>
          <w:spacing w:val="-25"/>
          <w:w w:val="85"/>
          <w:sz w:val="22"/>
        </w:rPr>
        <w:t> </w:t>
      </w:r>
      <w:r>
        <w:rPr>
          <w:w w:val="85"/>
          <w:sz w:val="22"/>
        </w:rPr>
        <w:t>-</w:t>
      </w:r>
      <w:r>
        <w:rPr>
          <w:spacing w:val="-25"/>
          <w:w w:val="85"/>
          <w:sz w:val="22"/>
        </w:rPr>
        <w:t> </w:t>
      </w:r>
      <w:r>
        <w:rPr>
          <w:w w:val="85"/>
          <w:sz w:val="22"/>
        </w:rPr>
        <w:t>2006</w:t>
      </w:r>
    </w:p>
    <w:p>
      <w:pPr>
        <w:tabs>
          <w:tab w:pos="3207" w:val="left" w:leader="none"/>
          <w:tab w:pos="4201" w:val="left" w:leader="none"/>
          <w:tab w:pos="7034" w:val="left" w:leader="none"/>
        </w:tabs>
        <w:spacing w:before="157"/>
        <w:ind w:left="326" w:right="70" w:firstLine="0"/>
        <w:jc w:val="left"/>
        <w:rPr>
          <w:sz w:val="22"/>
        </w:rPr>
      </w:pPr>
      <w:r>
        <w:rPr>
          <w:rFonts w:ascii="Trebuchet MS" w:hAnsi="Trebuchet MS"/>
          <w:b/>
          <w:w w:val="85"/>
          <w:sz w:val="22"/>
        </w:rPr>
        <w:t>Coeficiente</w:t>
      </w:r>
      <w:r>
        <w:rPr>
          <w:rFonts w:ascii="Trebuchet MS" w:hAnsi="Trebuchet MS"/>
          <w:b/>
          <w:spacing w:val="-25"/>
          <w:w w:val="85"/>
          <w:sz w:val="22"/>
        </w:rPr>
        <w:t> </w:t>
      </w:r>
      <w:r>
        <w:rPr>
          <w:rFonts w:ascii="Trebuchet MS" w:hAnsi="Trebuchet MS"/>
          <w:b/>
          <w:w w:val="85"/>
          <w:sz w:val="22"/>
        </w:rPr>
        <w:t>de</w:t>
      </w:r>
      <w:r>
        <w:rPr>
          <w:rFonts w:ascii="Trebuchet MS" w:hAnsi="Trebuchet MS"/>
          <w:b/>
          <w:spacing w:val="-25"/>
          <w:w w:val="85"/>
          <w:sz w:val="22"/>
        </w:rPr>
        <w:t> </w:t>
      </w:r>
      <w:r>
        <w:rPr>
          <w:rFonts w:ascii="Trebuchet MS" w:hAnsi="Trebuchet MS"/>
          <w:b/>
          <w:w w:val="85"/>
          <w:sz w:val="22"/>
        </w:rPr>
        <w:t>Torrencialidad</w:t>
        <w:tab/>
      </w:r>
      <w:r>
        <w:rPr>
          <w:w w:val="90"/>
          <w:sz w:val="22"/>
        </w:rPr>
        <w:t>4.20</w:t>
        <w:tab/>
      </w:r>
      <w:r>
        <w:rPr>
          <w:w w:val="85"/>
          <w:sz w:val="22"/>
        </w:rPr>
        <w:t>Velocidad de</w:t>
      </w:r>
      <w:r>
        <w:rPr>
          <w:spacing w:val="-39"/>
          <w:w w:val="85"/>
          <w:sz w:val="22"/>
        </w:rPr>
        <w:t> </w:t>
      </w:r>
      <w:r>
        <w:rPr>
          <w:w w:val="85"/>
          <w:sz w:val="22"/>
        </w:rPr>
        <w:t>evacuación</w:t>
      </w:r>
      <w:r>
        <w:rPr>
          <w:spacing w:val="-20"/>
          <w:w w:val="85"/>
          <w:sz w:val="22"/>
        </w:rPr>
        <w:t> </w:t>
      </w:r>
      <w:r>
        <w:rPr>
          <w:w w:val="85"/>
          <w:sz w:val="22"/>
        </w:rPr>
        <w:t>alta</w:t>
        <w:tab/>
        <w:t>Horton</w:t>
      </w:r>
      <w:r>
        <w:rPr>
          <w:spacing w:val="-22"/>
          <w:w w:val="85"/>
          <w:sz w:val="22"/>
        </w:rPr>
        <w:t> </w:t>
      </w:r>
      <w:r>
        <w:rPr>
          <w:w w:val="85"/>
          <w:sz w:val="22"/>
        </w:rPr>
        <w:t>-</w:t>
      </w:r>
      <w:r>
        <w:rPr>
          <w:spacing w:val="-21"/>
          <w:w w:val="85"/>
          <w:sz w:val="22"/>
        </w:rPr>
        <w:t> </w:t>
      </w:r>
      <w:r>
        <w:rPr>
          <w:w w:val="85"/>
          <w:sz w:val="22"/>
        </w:rPr>
        <w:t>1945</w:t>
      </w:r>
    </w:p>
    <w:p>
      <w:pPr>
        <w:pStyle w:val="BodyText"/>
        <w:spacing w:before="10"/>
      </w:pPr>
      <w:r>
        <w:rPr/>
        <w:pict>
          <v:group style="position:absolute;margin-left:88.804001pt;margin-top:16.256149pt;width:433.9pt;height:1pt;mso-position-horizontal-relative:page;mso-position-vertical-relative:paragraph;z-index:1672;mso-wrap-distance-left:0;mso-wrap-distance-right:0" coordorigin="1776,325" coordsize="8678,20">
            <v:line style="position:absolute" from="1786,335" to="4682,335" stroked="true" strokeweight=".96002pt" strokecolor="#000000"/>
            <v:line style="position:absolute" from="4668,335" to="4687,335" stroked="true" strokeweight=".96002pt" strokecolor="#000000"/>
            <v:line style="position:absolute" from="4687,335" to="5671,335" stroked="true" strokeweight=".96002pt" strokecolor="#000000"/>
            <v:line style="position:absolute" from="5657,335" to="5676,335" stroked="true" strokeweight=".96002pt" strokecolor="#000000"/>
            <v:line style="position:absolute" from="5676,335" to="8509,335" stroked="true" strokeweight=".96002pt" strokecolor="#000000"/>
            <v:line style="position:absolute" from="8495,335" to="8514,335" stroked="true" strokeweight=".96002pt" strokecolor="#000000"/>
            <v:line style="position:absolute" from="8514,335" to="10444,335" stroked="true" strokeweight=".96002pt" strokecolor="#000000"/>
            <w10:wrap type="topAndBottom"/>
          </v:group>
        </w:pict>
      </w:r>
    </w:p>
    <w:p>
      <w:pPr>
        <w:spacing w:line="195" w:lineRule="exact" w:before="0"/>
        <w:ind w:left="840" w:right="70" w:firstLine="0"/>
        <w:jc w:val="left"/>
        <w:rPr>
          <w:sz w:val="20"/>
        </w:rPr>
      </w:pPr>
      <w:r>
        <w:rPr>
          <w:sz w:val="20"/>
        </w:rPr>
        <w:t>Fuente: Elaboración propia, con base a Hortón, 1945.</w:t>
      </w:r>
    </w:p>
    <w:p>
      <w:pPr>
        <w:pStyle w:val="BodyText"/>
        <w:rPr>
          <w:sz w:val="20"/>
        </w:rPr>
      </w:pPr>
    </w:p>
    <w:p>
      <w:pPr>
        <w:pStyle w:val="BodyText"/>
        <w:spacing w:before="10"/>
        <w:rPr>
          <w:sz w:val="15"/>
        </w:rPr>
      </w:pPr>
    </w:p>
    <w:p>
      <w:pPr>
        <w:pStyle w:val="ListParagraph"/>
        <w:numPr>
          <w:ilvl w:val="1"/>
          <w:numId w:val="19"/>
        </w:numPr>
        <w:tabs>
          <w:tab w:pos="840" w:val="left" w:leader="none"/>
          <w:tab w:pos="841" w:val="left" w:leader="none"/>
        </w:tabs>
        <w:spacing w:line="355" w:lineRule="auto" w:before="0" w:after="0"/>
        <w:ind w:left="840" w:right="122" w:hanging="360"/>
        <w:jc w:val="left"/>
        <w:rPr>
          <w:sz w:val="24"/>
        </w:rPr>
      </w:pPr>
      <w:r>
        <w:rPr>
          <w:i/>
          <w:sz w:val="24"/>
        </w:rPr>
        <w:t>Pendiente media del cauce: </w:t>
      </w:r>
      <w:r>
        <w:rPr>
          <w:sz w:val="24"/>
        </w:rPr>
        <w:t>indica la pendiente media del río o cauce principal y su potencial para erosionar, íntimamente relacionado con la</w:t>
      </w:r>
      <w:r>
        <w:rPr>
          <w:spacing w:val="-26"/>
          <w:sz w:val="24"/>
        </w:rPr>
        <w:t> </w:t>
      </w:r>
      <w:r>
        <w:rPr>
          <w:sz w:val="24"/>
        </w:rPr>
        <w:t>edad</w:t>
      </w:r>
    </w:p>
    <w:p>
      <w:pPr>
        <w:spacing w:after="0" w:line="355" w:lineRule="auto"/>
        <w:jc w:val="left"/>
        <w:rPr>
          <w:sz w:val="24"/>
        </w:rPr>
        <w:sectPr>
          <w:type w:val="continuous"/>
          <w:pgSz w:w="12240" w:h="15840"/>
          <w:pgMar w:top="1500" w:bottom="280" w:left="1580" w:right="1580"/>
        </w:sectPr>
      </w:pPr>
    </w:p>
    <w:p>
      <w:pPr>
        <w:pStyle w:val="BodyText"/>
        <w:spacing w:line="362" w:lineRule="auto" w:before="52"/>
        <w:ind w:left="700"/>
      </w:pPr>
      <w:r>
        <w:rPr/>
        <w:t>de la cuenca (Campos, 1987). Para su determinación se hace uso de los siguientes valores:</w:t>
      </w:r>
    </w:p>
    <w:p>
      <w:pPr>
        <w:pStyle w:val="BodyText"/>
        <w:spacing w:before="10"/>
        <w:rPr>
          <w:sz w:val="35"/>
        </w:rPr>
      </w:pPr>
    </w:p>
    <w:p>
      <w:pPr>
        <w:spacing w:before="0"/>
        <w:ind w:left="1242" w:right="0" w:firstLine="0"/>
        <w:jc w:val="left"/>
        <w:rPr>
          <w:sz w:val="22"/>
        </w:rPr>
      </w:pPr>
      <w:r>
        <w:rPr>
          <w:sz w:val="22"/>
        </w:rPr>
        <w:t>Tabla 8. Indicadores de Pendiente de la de la cuenca de la ZMT.</w:t>
      </w:r>
    </w:p>
    <w:p>
      <w:pPr>
        <w:pStyle w:val="BodyText"/>
        <w:spacing w:before="5"/>
        <w:rPr>
          <w:sz w:val="23"/>
        </w:rPr>
      </w:pPr>
    </w:p>
    <w:tbl>
      <w:tblPr>
        <w:tblW w:w="0" w:type="auto"/>
        <w:jc w:val="left"/>
        <w:tblInd w:w="1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14"/>
        <w:gridCol w:w="1844"/>
        <w:gridCol w:w="1799"/>
      </w:tblGrid>
      <w:tr>
        <w:trPr>
          <w:trHeight w:val="514" w:hRule="exact"/>
        </w:trPr>
        <w:tc>
          <w:tcPr>
            <w:tcW w:w="3114" w:type="dxa"/>
            <w:tcBorders>
              <w:left w:val="nil"/>
              <w:right w:val="nil"/>
            </w:tcBorders>
          </w:tcPr>
          <w:p>
            <w:pPr>
              <w:pStyle w:val="TableParagraph"/>
              <w:spacing w:line="246" w:lineRule="exact"/>
              <w:ind w:left="102" w:right="485"/>
              <w:jc w:val="center"/>
              <w:rPr>
                <w:rFonts w:ascii="Trebuchet MS"/>
                <w:b/>
                <w:sz w:val="22"/>
              </w:rPr>
            </w:pPr>
            <w:r>
              <w:rPr>
                <w:rFonts w:ascii="Trebuchet MS"/>
                <w:b/>
                <w:sz w:val="22"/>
              </w:rPr>
              <w:t>CONCEPTO</w:t>
            </w:r>
          </w:p>
        </w:tc>
        <w:tc>
          <w:tcPr>
            <w:tcW w:w="1844" w:type="dxa"/>
            <w:tcBorders>
              <w:left w:val="nil"/>
              <w:right w:val="nil"/>
            </w:tcBorders>
          </w:tcPr>
          <w:p>
            <w:pPr>
              <w:pStyle w:val="TableParagraph"/>
              <w:spacing w:line="246" w:lineRule="exact"/>
              <w:ind w:left="471" w:right="612"/>
              <w:jc w:val="center"/>
              <w:rPr>
                <w:rFonts w:ascii="Trebuchet MS"/>
                <w:b/>
                <w:sz w:val="22"/>
              </w:rPr>
            </w:pPr>
            <w:r>
              <w:rPr>
                <w:rFonts w:ascii="Trebuchet MS"/>
                <w:b/>
                <w:sz w:val="22"/>
              </w:rPr>
              <w:t>VALOR</w:t>
            </w:r>
          </w:p>
        </w:tc>
        <w:tc>
          <w:tcPr>
            <w:tcW w:w="1799" w:type="dxa"/>
            <w:tcBorders>
              <w:left w:val="nil"/>
              <w:right w:val="nil"/>
            </w:tcBorders>
          </w:tcPr>
          <w:p>
            <w:pPr>
              <w:pStyle w:val="TableParagraph"/>
              <w:spacing w:line="246" w:lineRule="exact"/>
              <w:ind w:left="604" w:right="375"/>
              <w:jc w:val="center"/>
              <w:rPr>
                <w:rFonts w:ascii="Trebuchet MS"/>
                <w:b/>
                <w:sz w:val="22"/>
              </w:rPr>
            </w:pPr>
            <w:r>
              <w:rPr>
                <w:rFonts w:ascii="Trebuchet MS"/>
                <w:b/>
                <w:sz w:val="22"/>
              </w:rPr>
              <w:t>UNIDAD</w:t>
            </w:r>
          </w:p>
        </w:tc>
      </w:tr>
      <w:tr>
        <w:trPr>
          <w:trHeight w:val="356" w:hRule="exact"/>
        </w:trPr>
        <w:tc>
          <w:tcPr>
            <w:tcW w:w="3114" w:type="dxa"/>
            <w:tcBorders>
              <w:left w:val="nil"/>
              <w:bottom w:val="nil"/>
              <w:right w:val="nil"/>
            </w:tcBorders>
          </w:tcPr>
          <w:p>
            <w:pPr>
              <w:pStyle w:val="TableParagraph"/>
              <w:spacing w:line="246" w:lineRule="exact"/>
              <w:ind w:left="100" w:right="485"/>
              <w:jc w:val="center"/>
              <w:rPr>
                <w:rFonts w:ascii="Trebuchet MS"/>
                <w:b/>
                <w:sz w:val="22"/>
              </w:rPr>
            </w:pPr>
            <w:r>
              <w:rPr>
                <w:rFonts w:ascii="Trebuchet MS"/>
                <w:b/>
                <w:w w:val="80"/>
                <w:sz w:val="22"/>
              </w:rPr>
              <w:t>Pendiente Media</w:t>
            </w:r>
          </w:p>
        </w:tc>
        <w:tc>
          <w:tcPr>
            <w:tcW w:w="1844" w:type="dxa"/>
            <w:tcBorders>
              <w:left w:val="nil"/>
              <w:bottom w:val="nil"/>
              <w:right w:val="nil"/>
            </w:tcBorders>
          </w:tcPr>
          <w:p>
            <w:pPr>
              <w:pStyle w:val="TableParagraph"/>
              <w:spacing w:line="244" w:lineRule="exact"/>
              <w:ind w:left="475" w:right="612"/>
              <w:jc w:val="center"/>
              <w:rPr>
                <w:sz w:val="22"/>
              </w:rPr>
            </w:pPr>
            <w:r>
              <w:rPr>
                <w:w w:val="90"/>
                <w:sz w:val="22"/>
              </w:rPr>
              <w:t>20</w:t>
            </w:r>
          </w:p>
        </w:tc>
        <w:tc>
          <w:tcPr>
            <w:tcW w:w="1799" w:type="dxa"/>
            <w:tcBorders>
              <w:left w:val="nil"/>
              <w:bottom w:val="nil"/>
              <w:right w:val="nil"/>
            </w:tcBorders>
          </w:tcPr>
          <w:p>
            <w:pPr>
              <w:pStyle w:val="TableParagraph"/>
              <w:spacing w:line="244" w:lineRule="exact"/>
              <w:ind w:left="240"/>
              <w:jc w:val="center"/>
              <w:rPr>
                <w:sz w:val="22"/>
              </w:rPr>
            </w:pPr>
            <w:r>
              <w:rPr>
                <w:w w:val="82"/>
                <w:sz w:val="22"/>
              </w:rPr>
              <w:t>%</w:t>
            </w:r>
          </w:p>
        </w:tc>
      </w:tr>
      <w:tr>
        <w:trPr>
          <w:trHeight w:val="408" w:hRule="exact"/>
        </w:trPr>
        <w:tc>
          <w:tcPr>
            <w:tcW w:w="3114" w:type="dxa"/>
            <w:tcBorders>
              <w:top w:val="nil"/>
              <w:left w:val="nil"/>
              <w:bottom w:val="nil"/>
              <w:right w:val="nil"/>
            </w:tcBorders>
          </w:tcPr>
          <w:p>
            <w:pPr>
              <w:pStyle w:val="TableParagraph"/>
              <w:spacing w:before="81"/>
              <w:ind w:left="104" w:right="485"/>
              <w:jc w:val="center"/>
              <w:rPr>
                <w:rFonts w:ascii="Trebuchet MS" w:hAnsi="Trebuchet MS"/>
                <w:b/>
                <w:sz w:val="22"/>
              </w:rPr>
            </w:pPr>
            <w:r>
              <w:rPr>
                <w:rFonts w:ascii="Trebuchet MS" w:hAnsi="Trebuchet MS"/>
                <w:b/>
                <w:w w:val="85"/>
                <w:sz w:val="22"/>
              </w:rPr>
              <w:t>Elevación mínima</w:t>
            </w:r>
          </w:p>
        </w:tc>
        <w:tc>
          <w:tcPr>
            <w:tcW w:w="1844" w:type="dxa"/>
            <w:tcBorders>
              <w:top w:val="nil"/>
              <w:left w:val="nil"/>
              <w:bottom w:val="nil"/>
              <w:right w:val="nil"/>
            </w:tcBorders>
          </w:tcPr>
          <w:p>
            <w:pPr>
              <w:pStyle w:val="TableParagraph"/>
              <w:spacing w:before="81"/>
              <w:ind w:left="475" w:right="612"/>
              <w:jc w:val="center"/>
              <w:rPr>
                <w:sz w:val="22"/>
              </w:rPr>
            </w:pPr>
            <w:r>
              <w:rPr>
                <w:w w:val="90"/>
                <w:sz w:val="22"/>
              </w:rPr>
              <w:t>2600.00</w:t>
            </w:r>
          </w:p>
        </w:tc>
        <w:tc>
          <w:tcPr>
            <w:tcW w:w="1799" w:type="dxa"/>
            <w:tcBorders>
              <w:top w:val="nil"/>
              <w:left w:val="nil"/>
              <w:bottom w:val="nil"/>
              <w:right w:val="nil"/>
            </w:tcBorders>
          </w:tcPr>
          <w:p>
            <w:pPr>
              <w:pStyle w:val="TableParagraph"/>
              <w:spacing w:before="81"/>
              <w:ind w:left="604" w:right="370"/>
              <w:jc w:val="center"/>
              <w:rPr>
                <w:sz w:val="22"/>
              </w:rPr>
            </w:pPr>
            <w:r>
              <w:rPr>
                <w:w w:val="90"/>
                <w:sz w:val="22"/>
              </w:rPr>
              <w:t>msnm</w:t>
            </w:r>
          </w:p>
        </w:tc>
      </w:tr>
      <w:tr>
        <w:trPr>
          <w:trHeight w:val="377" w:hRule="exact"/>
        </w:trPr>
        <w:tc>
          <w:tcPr>
            <w:tcW w:w="3114" w:type="dxa"/>
            <w:tcBorders>
              <w:top w:val="nil"/>
              <w:left w:val="nil"/>
              <w:bottom w:val="nil"/>
              <w:right w:val="nil"/>
            </w:tcBorders>
          </w:tcPr>
          <w:p>
            <w:pPr>
              <w:pStyle w:val="TableParagraph"/>
              <w:spacing w:before="52"/>
              <w:ind w:left="106" w:right="482"/>
              <w:jc w:val="center"/>
              <w:rPr>
                <w:rFonts w:ascii="Trebuchet MS" w:hAnsi="Trebuchet MS"/>
                <w:b/>
                <w:sz w:val="22"/>
              </w:rPr>
            </w:pPr>
            <w:r>
              <w:rPr>
                <w:rFonts w:ascii="Trebuchet MS" w:hAnsi="Trebuchet MS"/>
                <w:b/>
                <w:w w:val="85"/>
                <w:sz w:val="22"/>
              </w:rPr>
              <w:t>Elevación máxima</w:t>
            </w:r>
          </w:p>
        </w:tc>
        <w:tc>
          <w:tcPr>
            <w:tcW w:w="1844" w:type="dxa"/>
            <w:tcBorders>
              <w:top w:val="nil"/>
              <w:left w:val="nil"/>
              <w:bottom w:val="nil"/>
              <w:right w:val="nil"/>
            </w:tcBorders>
          </w:tcPr>
          <w:p>
            <w:pPr>
              <w:pStyle w:val="TableParagraph"/>
              <w:spacing w:before="53"/>
              <w:ind w:left="475" w:right="612"/>
              <w:jc w:val="center"/>
              <w:rPr>
                <w:sz w:val="22"/>
              </w:rPr>
            </w:pPr>
            <w:r>
              <w:rPr>
                <w:w w:val="90"/>
                <w:sz w:val="22"/>
              </w:rPr>
              <w:t>4392.65</w:t>
            </w:r>
          </w:p>
        </w:tc>
        <w:tc>
          <w:tcPr>
            <w:tcW w:w="1799" w:type="dxa"/>
            <w:tcBorders>
              <w:top w:val="nil"/>
              <w:left w:val="nil"/>
              <w:bottom w:val="nil"/>
              <w:right w:val="nil"/>
            </w:tcBorders>
          </w:tcPr>
          <w:p>
            <w:pPr>
              <w:pStyle w:val="TableParagraph"/>
              <w:spacing w:before="53"/>
              <w:ind w:left="604" w:right="370"/>
              <w:jc w:val="center"/>
              <w:rPr>
                <w:sz w:val="22"/>
              </w:rPr>
            </w:pPr>
            <w:r>
              <w:rPr>
                <w:w w:val="90"/>
                <w:sz w:val="22"/>
              </w:rPr>
              <w:t>msnm</w:t>
            </w:r>
          </w:p>
        </w:tc>
      </w:tr>
      <w:tr>
        <w:trPr>
          <w:trHeight w:val="377" w:hRule="exact"/>
        </w:trPr>
        <w:tc>
          <w:tcPr>
            <w:tcW w:w="3114" w:type="dxa"/>
            <w:tcBorders>
              <w:top w:val="nil"/>
              <w:left w:val="nil"/>
              <w:bottom w:val="nil"/>
              <w:right w:val="nil"/>
            </w:tcBorders>
          </w:tcPr>
          <w:p>
            <w:pPr>
              <w:pStyle w:val="TableParagraph"/>
              <w:spacing w:before="50"/>
              <w:ind w:left="100" w:right="485"/>
              <w:jc w:val="center"/>
              <w:rPr>
                <w:rFonts w:ascii="Trebuchet MS" w:hAnsi="Trebuchet MS"/>
                <w:b/>
                <w:sz w:val="22"/>
              </w:rPr>
            </w:pPr>
            <w:r>
              <w:rPr>
                <w:rFonts w:ascii="Trebuchet MS" w:hAnsi="Trebuchet MS"/>
                <w:b/>
                <w:w w:val="85"/>
                <w:sz w:val="22"/>
              </w:rPr>
              <w:t>Elevación media</w:t>
            </w:r>
          </w:p>
        </w:tc>
        <w:tc>
          <w:tcPr>
            <w:tcW w:w="1844" w:type="dxa"/>
            <w:tcBorders>
              <w:top w:val="nil"/>
              <w:left w:val="nil"/>
              <w:bottom w:val="nil"/>
              <w:right w:val="nil"/>
            </w:tcBorders>
          </w:tcPr>
          <w:p>
            <w:pPr>
              <w:pStyle w:val="TableParagraph"/>
              <w:spacing w:before="50"/>
              <w:ind w:left="475" w:right="612"/>
              <w:jc w:val="center"/>
              <w:rPr>
                <w:sz w:val="22"/>
              </w:rPr>
            </w:pPr>
            <w:r>
              <w:rPr>
                <w:w w:val="90"/>
                <w:sz w:val="22"/>
              </w:rPr>
              <w:t>2804.93</w:t>
            </w:r>
          </w:p>
        </w:tc>
        <w:tc>
          <w:tcPr>
            <w:tcW w:w="1799" w:type="dxa"/>
            <w:tcBorders>
              <w:top w:val="nil"/>
              <w:left w:val="nil"/>
              <w:bottom w:val="nil"/>
              <w:right w:val="nil"/>
            </w:tcBorders>
          </w:tcPr>
          <w:p>
            <w:pPr>
              <w:pStyle w:val="TableParagraph"/>
              <w:spacing w:before="50"/>
              <w:ind w:left="604" w:right="370"/>
              <w:jc w:val="center"/>
              <w:rPr>
                <w:sz w:val="22"/>
              </w:rPr>
            </w:pPr>
            <w:r>
              <w:rPr>
                <w:w w:val="90"/>
                <w:sz w:val="22"/>
              </w:rPr>
              <w:t>msnm</w:t>
            </w:r>
          </w:p>
        </w:tc>
      </w:tr>
      <w:tr>
        <w:trPr>
          <w:trHeight w:val="452" w:hRule="exact"/>
        </w:trPr>
        <w:tc>
          <w:tcPr>
            <w:tcW w:w="3114" w:type="dxa"/>
            <w:tcBorders>
              <w:top w:val="nil"/>
              <w:left w:val="nil"/>
              <w:right w:val="nil"/>
            </w:tcBorders>
          </w:tcPr>
          <w:p>
            <w:pPr>
              <w:pStyle w:val="TableParagraph"/>
              <w:spacing w:before="53"/>
              <w:ind w:left="106" w:right="485"/>
              <w:jc w:val="center"/>
              <w:rPr>
                <w:rFonts w:ascii="Trebuchet MS"/>
                <w:b/>
                <w:sz w:val="22"/>
              </w:rPr>
            </w:pPr>
            <w:r>
              <w:rPr>
                <w:rFonts w:ascii="Trebuchet MS"/>
                <w:b/>
                <w:w w:val="85"/>
                <w:sz w:val="22"/>
              </w:rPr>
              <w:t>Longitud del cauce principal</w:t>
            </w:r>
          </w:p>
        </w:tc>
        <w:tc>
          <w:tcPr>
            <w:tcW w:w="1844" w:type="dxa"/>
            <w:tcBorders>
              <w:top w:val="nil"/>
              <w:left w:val="nil"/>
              <w:right w:val="nil"/>
            </w:tcBorders>
          </w:tcPr>
          <w:p>
            <w:pPr>
              <w:pStyle w:val="TableParagraph"/>
              <w:spacing w:before="53"/>
              <w:ind w:left="475" w:right="612"/>
              <w:jc w:val="center"/>
              <w:rPr>
                <w:sz w:val="22"/>
              </w:rPr>
            </w:pPr>
            <w:r>
              <w:rPr>
                <w:w w:val="90"/>
                <w:sz w:val="22"/>
              </w:rPr>
              <w:t>16.08</w:t>
            </w:r>
          </w:p>
        </w:tc>
        <w:tc>
          <w:tcPr>
            <w:tcW w:w="1799" w:type="dxa"/>
            <w:tcBorders>
              <w:top w:val="nil"/>
              <w:left w:val="nil"/>
              <w:right w:val="nil"/>
            </w:tcBorders>
          </w:tcPr>
          <w:p>
            <w:pPr>
              <w:pStyle w:val="TableParagraph"/>
              <w:spacing w:before="53"/>
              <w:ind w:left="604" w:right="369"/>
              <w:jc w:val="center"/>
              <w:rPr>
                <w:sz w:val="22"/>
              </w:rPr>
            </w:pPr>
            <w:r>
              <w:rPr>
                <w:w w:val="90"/>
                <w:sz w:val="22"/>
              </w:rPr>
              <w:t>km</w:t>
            </w:r>
          </w:p>
        </w:tc>
      </w:tr>
    </w:tbl>
    <w:p>
      <w:pPr>
        <w:spacing w:line="215" w:lineRule="exact" w:before="0"/>
        <w:ind w:left="700" w:right="0" w:firstLine="0"/>
        <w:jc w:val="left"/>
        <w:rPr>
          <w:sz w:val="20"/>
        </w:rPr>
      </w:pPr>
      <w:r>
        <w:rPr>
          <w:sz w:val="20"/>
        </w:rPr>
        <w:t>Fuente: Elaboración propia.</w:t>
      </w:r>
    </w:p>
    <w:p>
      <w:pPr>
        <w:spacing w:after="0" w:line="215" w:lineRule="exact"/>
        <w:jc w:val="left"/>
        <w:rPr>
          <w:sz w:val="20"/>
        </w:rPr>
        <w:sectPr>
          <w:pgSz w:w="12240" w:h="15840"/>
          <w:pgMar w:header="0" w:footer="1031" w:top="1360" w:bottom="1220" w:left="1720" w:right="1600"/>
        </w:sectPr>
      </w:pPr>
    </w:p>
    <w:p>
      <w:pPr>
        <w:pStyle w:val="Heading2"/>
        <w:numPr>
          <w:ilvl w:val="1"/>
          <w:numId w:val="18"/>
        </w:numPr>
        <w:tabs>
          <w:tab w:pos="523" w:val="left" w:leader="none"/>
        </w:tabs>
        <w:spacing w:line="240" w:lineRule="auto" w:before="47" w:after="0"/>
        <w:ind w:left="522" w:right="0" w:hanging="403"/>
        <w:jc w:val="both"/>
      </w:pPr>
      <w:bookmarkStart w:name="_TOC_250020" w:id="34"/>
      <w:r>
        <w:rPr/>
        <w:t>Análisis de la estructura</w:t>
      </w:r>
      <w:r>
        <w:rPr>
          <w:spacing w:val="-17"/>
        </w:rPr>
        <w:t> </w:t>
      </w:r>
      <w:bookmarkEnd w:id="34"/>
      <w:r>
        <w:rPr/>
        <w:t>poblacional</w:t>
      </w:r>
    </w:p>
    <w:p>
      <w:pPr>
        <w:pStyle w:val="BodyText"/>
        <w:rPr>
          <w:b/>
        </w:rPr>
      </w:pPr>
    </w:p>
    <w:p>
      <w:pPr>
        <w:pStyle w:val="BodyText"/>
        <w:spacing w:before="7"/>
        <w:rPr>
          <w:b/>
        </w:rPr>
      </w:pPr>
    </w:p>
    <w:p>
      <w:pPr>
        <w:pStyle w:val="BodyText"/>
        <w:spacing w:line="360" w:lineRule="auto" w:before="1"/>
        <w:ind w:left="119" w:right="115"/>
        <w:jc w:val="both"/>
      </w:pPr>
      <w:r>
        <w:rPr/>
        <w:t>La ciudad de Toluca se comienza a configurar como zona metropolitana a partir de la década de los años 60, derivado de la industrialización del corredor Toluca- Lerma, que a su vez significó cambios importantes de actividades productivas y sociales en estructura socioeconómica de la ZMT, motivando la integración de municipios al conjunto metropolitano (COESPO, 2010).</w:t>
      </w:r>
    </w:p>
    <w:p>
      <w:pPr>
        <w:pStyle w:val="BodyText"/>
      </w:pPr>
    </w:p>
    <w:p>
      <w:pPr>
        <w:pStyle w:val="BodyText"/>
        <w:spacing w:line="360" w:lineRule="auto" w:before="139"/>
        <w:ind w:left="119" w:right="115"/>
        <w:jc w:val="both"/>
      </w:pPr>
      <w:r>
        <w:rPr/>
        <w:t>Es </w:t>
      </w:r>
      <w:r>
        <w:rPr>
          <w:spacing w:val="-3"/>
        </w:rPr>
        <w:t>muy </w:t>
      </w:r>
      <w:r>
        <w:rPr/>
        <w:t>importante involucrar los aspectos sociales a la investigación ya que </w:t>
      </w:r>
      <w:r>
        <w:rPr>
          <w:spacing w:val="5"/>
        </w:rPr>
        <w:t>el </w:t>
      </w:r>
      <w:r>
        <w:rPr/>
        <w:t>problema no es el pronóstico ni el fenómeno mismo, como uno podría pensar a primera vista. El riesgo (las posibles consecuencias) y, por lo tanto, cada desastre (cuando el riesgo se materializa), son el resultado no solo de que se presente el fenómeno, sino también de que existan unas condiciones de exposición –es decir, de ubicación de asentamientos humanos e infraestructura que nunca debieron haber</w:t>
      </w:r>
      <w:r>
        <w:rPr>
          <w:spacing w:val="-5"/>
        </w:rPr>
        <w:t> </w:t>
      </w:r>
      <w:r>
        <w:rPr/>
        <w:t>sido</w:t>
      </w:r>
      <w:r>
        <w:rPr>
          <w:spacing w:val="-11"/>
        </w:rPr>
        <w:t> </w:t>
      </w:r>
      <w:r>
        <w:rPr/>
        <w:t>localizados</w:t>
      </w:r>
      <w:r>
        <w:rPr>
          <w:spacing w:val="-7"/>
        </w:rPr>
        <w:t> </w:t>
      </w:r>
      <w:r>
        <w:rPr/>
        <w:t>en</w:t>
      </w:r>
      <w:r>
        <w:rPr>
          <w:spacing w:val="-6"/>
        </w:rPr>
        <w:t> </w:t>
      </w:r>
      <w:r>
        <w:rPr/>
        <w:t>esos</w:t>
      </w:r>
      <w:r>
        <w:rPr>
          <w:spacing w:val="-7"/>
        </w:rPr>
        <w:t> </w:t>
      </w:r>
      <w:r>
        <w:rPr/>
        <w:t>sitios–,</w:t>
      </w:r>
      <w:r>
        <w:rPr>
          <w:spacing w:val="-6"/>
        </w:rPr>
        <w:t> </w:t>
      </w:r>
      <w:r>
        <w:rPr/>
        <w:t>pero</w:t>
      </w:r>
      <w:r>
        <w:rPr>
          <w:spacing w:val="-6"/>
        </w:rPr>
        <w:t> </w:t>
      </w:r>
      <w:r>
        <w:rPr/>
        <w:t>también</w:t>
      </w:r>
      <w:r>
        <w:rPr>
          <w:spacing w:val="-6"/>
        </w:rPr>
        <w:t> </w:t>
      </w:r>
      <w:r>
        <w:rPr/>
        <w:t>de</w:t>
      </w:r>
      <w:r>
        <w:rPr>
          <w:spacing w:val="-6"/>
        </w:rPr>
        <w:t> </w:t>
      </w:r>
      <w:r>
        <w:rPr/>
        <w:t>vulnerabilidad</w:t>
      </w:r>
      <w:r>
        <w:rPr>
          <w:spacing w:val="-2"/>
        </w:rPr>
        <w:t> </w:t>
      </w:r>
      <w:r>
        <w:rPr/>
        <w:t>–es</w:t>
      </w:r>
      <w:r>
        <w:rPr>
          <w:spacing w:val="-7"/>
        </w:rPr>
        <w:t> </w:t>
      </w:r>
      <w:r>
        <w:rPr/>
        <w:t>decir,</w:t>
      </w:r>
      <w:r>
        <w:rPr>
          <w:spacing w:val="-6"/>
        </w:rPr>
        <w:t> </w:t>
      </w:r>
      <w:r>
        <w:rPr/>
        <w:t>de una serie de factores de susceptibilidad o predisposición a sufrir los efectos adversos cuando </w:t>
      </w:r>
      <w:r>
        <w:rPr>
          <w:spacing w:val="-3"/>
        </w:rPr>
        <w:t>se </w:t>
      </w:r>
      <w:r>
        <w:rPr/>
        <w:t>presentan los</w:t>
      </w:r>
      <w:r>
        <w:rPr>
          <w:spacing w:val="-11"/>
        </w:rPr>
        <w:t> </w:t>
      </w:r>
      <w:r>
        <w:rPr/>
        <w:t>eventos.</w:t>
      </w:r>
    </w:p>
    <w:p>
      <w:pPr>
        <w:pStyle w:val="BodyText"/>
      </w:pPr>
    </w:p>
    <w:p>
      <w:pPr>
        <w:pStyle w:val="BodyText"/>
        <w:spacing w:line="360" w:lineRule="auto" w:before="144"/>
        <w:ind w:left="119" w:right="121"/>
        <w:jc w:val="both"/>
      </w:pPr>
      <w:r>
        <w:rPr/>
        <w:t>Claramente, factores como la marginalidad, las condiciones sociales de desigualdad, la fragilidad física de las viviendas y, en general, las condiciones de inseguridad social y económica, son los principales determinantes de los</w:t>
      </w:r>
      <w:r>
        <w:rPr>
          <w:spacing w:val="-34"/>
        </w:rPr>
        <w:t> </w:t>
      </w:r>
      <w:r>
        <w:rPr/>
        <w:t>desastres y no solamente los fenómenos</w:t>
      </w:r>
      <w:r>
        <w:rPr>
          <w:spacing w:val="-15"/>
        </w:rPr>
        <w:t> </w:t>
      </w:r>
      <w:r>
        <w:rPr/>
        <w:t>climáticos.</w:t>
      </w:r>
    </w:p>
    <w:p>
      <w:pPr>
        <w:pStyle w:val="BodyText"/>
      </w:pPr>
    </w:p>
    <w:p>
      <w:pPr>
        <w:pStyle w:val="BodyText"/>
        <w:spacing w:line="360" w:lineRule="auto" w:before="139"/>
        <w:ind w:left="119" w:right="126"/>
        <w:jc w:val="both"/>
      </w:pPr>
      <w:r>
        <w:rPr/>
        <w:t>Dichos factores se han incubado y gestado durante décadas por falta de planificación y por problemas de desarrollo desigual. Es decir, que el riesgo y los desastres son problemas de desarrollo y no hechos de la mala suerte. Por lo tanto, no se necesita solo de un fenómeno para que haya desastres. Las solas lluvias estacionales</w:t>
      </w:r>
      <w:r>
        <w:rPr>
          <w:spacing w:val="-7"/>
        </w:rPr>
        <w:t> </w:t>
      </w:r>
      <w:r>
        <w:rPr/>
        <w:t>ya</w:t>
      </w:r>
      <w:r>
        <w:rPr>
          <w:spacing w:val="-6"/>
        </w:rPr>
        <w:t> </w:t>
      </w:r>
      <w:r>
        <w:rPr/>
        <w:t>son</w:t>
      </w:r>
      <w:r>
        <w:rPr>
          <w:spacing w:val="-6"/>
        </w:rPr>
        <w:t> </w:t>
      </w:r>
      <w:r>
        <w:rPr/>
        <w:t>suficientes</w:t>
      </w:r>
      <w:r>
        <w:rPr>
          <w:spacing w:val="-7"/>
        </w:rPr>
        <w:t> </w:t>
      </w:r>
      <w:r>
        <w:rPr/>
        <w:t>para</w:t>
      </w:r>
      <w:r>
        <w:rPr>
          <w:spacing w:val="-6"/>
        </w:rPr>
        <w:t> </w:t>
      </w:r>
      <w:r>
        <w:rPr/>
        <w:t>afectar</w:t>
      </w:r>
      <w:r>
        <w:rPr>
          <w:spacing w:val="-10"/>
        </w:rPr>
        <w:t> </w:t>
      </w:r>
      <w:r>
        <w:rPr/>
        <w:t>los</w:t>
      </w:r>
      <w:r>
        <w:rPr>
          <w:spacing w:val="-2"/>
        </w:rPr>
        <w:t> </w:t>
      </w:r>
      <w:r>
        <w:rPr/>
        <w:t>medios</w:t>
      </w:r>
      <w:r>
        <w:rPr>
          <w:spacing w:val="-7"/>
        </w:rPr>
        <w:t> </w:t>
      </w:r>
      <w:r>
        <w:rPr/>
        <w:t>de</w:t>
      </w:r>
      <w:r>
        <w:rPr>
          <w:spacing w:val="-6"/>
        </w:rPr>
        <w:t> </w:t>
      </w:r>
      <w:r>
        <w:rPr/>
        <w:t>subsistencia</w:t>
      </w:r>
      <w:r>
        <w:rPr>
          <w:spacing w:val="-6"/>
        </w:rPr>
        <w:t> </w:t>
      </w:r>
      <w:r>
        <w:rPr/>
        <w:t>de</w:t>
      </w:r>
      <w:r>
        <w:rPr>
          <w:spacing w:val="-6"/>
        </w:rPr>
        <w:t> </w:t>
      </w:r>
      <w:r>
        <w:rPr/>
        <w:t>miles</w:t>
      </w:r>
      <w:r>
        <w:rPr>
          <w:spacing w:val="-12"/>
        </w:rPr>
        <w:t> </w:t>
      </w:r>
      <w:r>
        <w:rPr/>
        <w:t>de personas.</w:t>
      </w:r>
    </w:p>
    <w:p>
      <w:pPr>
        <w:spacing w:after="0" w:line="360" w:lineRule="auto"/>
        <w:jc w:val="both"/>
        <w:sectPr>
          <w:pgSz w:w="12240" w:h="15840"/>
          <w:pgMar w:header="0" w:footer="1031" w:top="1360" w:bottom="1220" w:left="1580" w:right="1580"/>
        </w:sectPr>
      </w:pPr>
    </w:p>
    <w:p>
      <w:pPr>
        <w:pStyle w:val="Heading1"/>
        <w:numPr>
          <w:ilvl w:val="2"/>
          <w:numId w:val="18"/>
        </w:numPr>
        <w:tabs>
          <w:tab w:pos="1489" w:val="left" w:leader="none"/>
        </w:tabs>
        <w:spacing w:line="240" w:lineRule="auto" w:before="43" w:after="0"/>
        <w:ind w:left="1488" w:right="0" w:hanging="648"/>
        <w:jc w:val="left"/>
      </w:pPr>
      <w:bookmarkStart w:name="_TOC_250019" w:id="35"/>
      <w:r>
        <w:rPr/>
        <w:t>Distribución poblacional de la</w:t>
      </w:r>
      <w:r>
        <w:rPr>
          <w:spacing w:val="-26"/>
        </w:rPr>
        <w:t> </w:t>
      </w:r>
      <w:bookmarkEnd w:id="35"/>
      <w:r>
        <w:rPr/>
        <w:t>ZMT</w:t>
      </w:r>
    </w:p>
    <w:p>
      <w:pPr>
        <w:pStyle w:val="BodyText"/>
        <w:rPr>
          <w:b/>
          <w:sz w:val="26"/>
        </w:rPr>
      </w:pPr>
    </w:p>
    <w:p>
      <w:pPr>
        <w:pStyle w:val="BodyText"/>
        <w:spacing w:line="360" w:lineRule="auto" w:before="184"/>
        <w:ind w:left="119" w:right="120"/>
        <w:jc w:val="both"/>
      </w:pPr>
      <w:r>
        <w:rPr/>
        <w:t>Existen diferentes delimitaciones de zonas metropolitanas, al menos en lo que concierne al Estado de México, es por ello que a continuación se presenta el siguiente análisis considerando a los criterios del grupo interinstitucional SEDESOL-CONAPO-INEGI que en el 2003-2004 contempló 12 municipios y de acuerdo al II Conteo de Población y Vivivenda, incorporó a Rayón y San Antonio la Isla para el año 2005, para quedar finalmente constituida por 14 municipios.</w:t>
      </w:r>
    </w:p>
    <w:p>
      <w:pPr>
        <w:pStyle w:val="BodyText"/>
      </w:pPr>
    </w:p>
    <w:p>
      <w:pPr>
        <w:spacing w:before="144"/>
        <w:ind w:left="96" w:right="101" w:firstLine="0"/>
        <w:jc w:val="center"/>
        <w:rPr>
          <w:sz w:val="22"/>
        </w:rPr>
      </w:pPr>
      <w:r>
        <w:rPr>
          <w:sz w:val="22"/>
        </w:rPr>
        <w:t>Tabla 9.Población de la ZMT</w:t>
      </w:r>
    </w:p>
    <w:p>
      <w:pPr>
        <w:pStyle w:val="BodyText"/>
        <w:spacing w:before="11"/>
        <w:rPr>
          <w:sz w:val="10"/>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09"/>
        <w:gridCol w:w="2209"/>
        <w:gridCol w:w="2204"/>
        <w:gridCol w:w="2209"/>
      </w:tblGrid>
      <w:tr>
        <w:trPr>
          <w:trHeight w:val="389" w:hRule="exact"/>
        </w:trPr>
        <w:tc>
          <w:tcPr>
            <w:tcW w:w="2209" w:type="dxa"/>
            <w:vMerge w:val="restart"/>
          </w:tcPr>
          <w:p>
            <w:pPr>
              <w:pStyle w:val="TableParagraph"/>
              <w:spacing w:line="243" w:lineRule="exact"/>
              <w:ind w:left="540" w:right="535"/>
              <w:jc w:val="center"/>
              <w:rPr>
                <w:sz w:val="22"/>
              </w:rPr>
            </w:pPr>
            <w:r>
              <w:rPr>
                <w:w w:val="90"/>
                <w:sz w:val="22"/>
              </w:rPr>
              <w:t>ZMT</w:t>
            </w:r>
          </w:p>
          <w:p>
            <w:pPr>
              <w:pStyle w:val="TableParagraph"/>
              <w:spacing w:before="126"/>
              <w:ind w:left="540" w:right="543"/>
              <w:jc w:val="center"/>
              <w:rPr>
                <w:sz w:val="22"/>
              </w:rPr>
            </w:pPr>
            <w:r>
              <w:rPr>
                <w:w w:val="80"/>
                <w:sz w:val="22"/>
              </w:rPr>
              <w:t>14 municipios</w:t>
            </w:r>
          </w:p>
        </w:tc>
        <w:tc>
          <w:tcPr>
            <w:tcW w:w="2209" w:type="dxa"/>
          </w:tcPr>
          <w:p>
            <w:pPr>
              <w:pStyle w:val="TableParagraph"/>
              <w:spacing w:line="243" w:lineRule="exact"/>
              <w:ind w:left="637" w:right="637"/>
              <w:jc w:val="center"/>
              <w:rPr>
                <w:sz w:val="22"/>
              </w:rPr>
            </w:pPr>
            <w:r>
              <w:rPr>
                <w:w w:val="90"/>
                <w:sz w:val="22"/>
              </w:rPr>
              <w:t>2000</w:t>
            </w:r>
          </w:p>
        </w:tc>
        <w:tc>
          <w:tcPr>
            <w:tcW w:w="2204" w:type="dxa"/>
          </w:tcPr>
          <w:p>
            <w:pPr>
              <w:pStyle w:val="TableParagraph"/>
              <w:spacing w:line="243" w:lineRule="exact"/>
              <w:ind w:left="633" w:right="636"/>
              <w:jc w:val="center"/>
              <w:rPr>
                <w:sz w:val="22"/>
              </w:rPr>
            </w:pPr>
            <w:r>
              <w:rPr>
                <w:w w:val="90"/>
                <w:sz w:val="22"/>
              </w:rPr>
              <w:t>2005</w:t>
            </w:r>
          </w:p>
        </w:tc>
        <w:tc>
          <w:tcPr>
            <w:tcW w:w="2209" w:type="dxa"/>
          </w:tcPr>
          <w:p>
            <w:pPr>
              <w:pStyle w:val="TableParagraph"/>
              <w:spacing w:line="243" w:lineRule="exact"/>
              <w:ind w:left="637" w:right="637"/>
              <w:jc w:val="center"/>
              <w:rPr>
                <w:sz w:val="22"/>
              </w:rPr>
            </w:pPr>
            <w:r>
              <w:rPr>
                <w:w w:val="90"/>
                <w:sz w:val="22"/>
              </w:rPr>
              <w:t>2010</w:t>
            </w:r>
          </w:p>
        </w:tc>
      </w:tr>
      <w:tr>
        <w:trPr>
          <w:trHeight w:val="389" w:hRule="exact"/>
        </w:trPr>
        <w:tc>
          <w:tcPr>
            <w:tcW w:w="2209" w:type="dxa"/>
            <w:vMerge/>
          </w:tcPr>
          <w:p>
            <w:pPr/>
          </w:p>
        </w:tc>
        <w:tc>
          <w:tcPr>
            <w:tcW w:w="2209" w:type="dxa"/>
          </w:tcPr>
          <w:p>
            <w:pPr>
              <w:pStyle w:val="TableParagraph"/>
              <w:spacing w:line="243" w:lineRule="exact"/>
              <w:ind w:left="640" w:right="636"/>
              <w:jc w:val="center"/>
              <w:rPr>
                <w:sz w:val="22"/>
              </w:rPr>
            </w:pPr>
            <w:r>
              <w:rPr>
                <w:w w:val="90"/>
                <w:sz w:val="22"/>
              </w:rPr>
              <w:t>1,471,146</w:t>
            </w:r>
          </w:p>
        </w:tc>
        <w:tc>
          <w:tcPr>
            <w:tcW w:w="2204" w:type="dxa"/>
          </w:tcPr>
          <w:p>
            <w:pPr>
              <w:pStyle w:val="TableParagraph"/>
              <w:spacing w:line="243" w:lineRule="exact"/>
              <w:ind w:left="636" w:right="636"/>
              <w:jc w:val="center"/>
              <w:rPr>
                <w:sz w:val="22"/>
              </w:rPr>
            </w:pPr>
            <w:r>
              <w:rPr>
                <w:w w:val="90"/>
                <w:sz w:val="22"/>
              </w:rPr>
              <w:t>1,633,052</w:t>
            </w:r>
          </w:p>
        </w:tc>
        <w:tc>
          <w:tcPr>
            <w:tcW w:w="2209" w:type="dxa"/>
          </w:tcPr>
          <w:p>
            <w:pPr>
              <w:pStyle w:val="TableParagraph"/>
              <w:spacing w:line="243" w:lineRule="exact"/>
              <w:ind w:left="640" w:right="637"/>
              <w:jc w:val="center"/>
              <w:rPr>
                <w:sz w:val="22"/>
              </w:rPr>
            </w:pPr>
            <w:r>
              <w:rPr>
                <w:w w:val="90"/>
                <w:sz w:val="22"/>
              </w:rPr>
              <w:t>1,846,116</w:t>
            </w:r>
          </w:p>
        </w:tc>
      </w:tr>
    </w:tbl>
    <w:p>
      <w:pPr>
        <w:pStyle w:val="BodyText"/>
        <w:spacing w:before="7"/>
        <w:rPr>
          <w:sz w:val="29"/>
        </w:rPr>
      </w:pPr>
    </w:p>
    <w:p>
      <w:pPr>
        <w:spacing w:before="72"/>
        <w:ind w:left="182" w:right="0" w:firstLine="0"/>
        <w:jc w:val="both"/>
        <w:rPr>
          <w:sz w:val="22"/>
        </w:rPr>
      </w:pPr>
      <w:r>
        <w:rPr>
          <w:sz w:val="22"/>
        </w:rPr>
        <w:t>Fuente: COESPO con base en INEGI 2000-2010.</w:t>
      </w:r>
    </w:p>
    <w:p>
      <w:pPr>
        <w:pStyle w:val="BodyText"/>
        <w:rPr>
          <w:sz w:val="22"/>
        </w:rPr>
      </w:pPr>
    </w:p>
    <w:p>
      <w:pPr>
        <w:pStyle w:val="BodyText"/>
        <w:spacing w:before="10"/>
      </w:pPr>
    </w:p>
    <w:p>
      <w:pPr>
        <w:pStyle w:val="BodyText"/>
        <w:spacing w:line="360" w:lineRule="auto"/>
        <w:ind w:left="119" w:right="119"/>
        <w:jc w:val="both"/>
      </w:pPr>
      <w:r>
        <w:rPr/>
        <w:t>El</w:t>
      </w:r>
      <w:r>
        <w:rPr>
          <w:spacing w:val="-4"/>
        </w:rPr>
        <w:t> </w:t>
      </w:r>
      <w:r>
        <w:rPr/>
        <w:t>volumen</w:t>
      </w:r>
      <w:r>
        <w:rPr>
          <w:spacing w:val="-7"/>
        </w:rPr>
        <w:t> </w:t>
      </w:r>
      <w:r>
        <w:rPr/>
        <w:t>poblacional</w:t>
      </w:r>
      <w:r>
        <w:rPr>
          <w:spacing w:val="-4"/>
        </w:rPr>
        <w:t> </w:t>
      </w:r>
      <w:r>
        <w:rPr/>
        <w:t>de</w:t>
      </w:r>
      <w:r>
        <w:rPr>
          <w:spacing w:val="-12"/>
        </w:rPr>
        <w:t> </w:t>
      </w:r>
      <w:r>
        <w:rPr/>
        <w:t>la</w:t>
      </w:r>
      <w:r>
        <w:rPr>
          <w:spacing w:val="-12"/>
        </w:rPr>
        <w:t> </w:t>
      </w:r>
      <w:r>
        <w:rPr/>
        <w:t>ZMT</w:t>
      </w:r>
      <w:r>
        <w:rPr>
          <w:spacing w:val="-11"/>
        </w:rPr>
        <w:t> </w:t>
      </w:r>
      <w:r>
        <w:rPr/>
        <w:t>ha</w:t>
      </w:r>
      <w:r>
        <w:rPr>
          <w:spacing w:val="-12"/>
        </w:rPr>
        <w:t> </w:t>
      </w:r>
      <w:r>
        <w:rPr/>
        <w:t>aumentado</w:t>
      </w:r>
      <w:r>
        <w:rPr>
          <w:spacing w:val="-7"/>
        </w:rPr>
        <w:t> </w:t>
      </w:r>
      <w:r>
        <w:rPr/>
        <w:t>6.3</w:t>
      </w:r>
      <w:r>
        <w:rPr>
          <w:spacing w:val="-11"/>
        </w:rPr>
        <w:t> </w:t>
      </w:r>
      <w:r>
        <w:rPr/>
        <w:t>veces</w:t>
      </w:r>
      <w:r>
        <w:rPr>
          <w:spacing w:val="-13"/>
        </w:rPr>
        <w:t> </w:t>
      </w:r>
      <w:r>
        <w:rPr/>
        <w:t>en</w:t>
      </w:r>
      <w:r>
        <w:rPr>
          <w:spacing w:val="-12"/>
        </w:rPr>
        <w:t> </w:t>
      </w:r>
      <w:r>
        <w:rPr/>
        <w:t>promedio</w:t>
      </w:r>
      <w:r>
        <w:rPr>
          <w:spacing w:val="-12"/>
        </w:rPr>
        <w:t> </w:t>
      </w:r>
      <w:r>
        <w:rPr/>
        <w:t>entre</w:t>
      </w:r>
      <w:r>
        <w:rPr>
          <w:spacing w:val="-12"/>
        </w:rPr>
        <w:t> </w:t>
      </w:r>
      <w:r>
        <w:rPr/>
        <w:t>1950 y 2010, asemejándose a un crecimiento lineal constante, al menos por población absoluta.</w:t>
      </w:r>
      <w:r>
        <w:rPr>
          <w:spacing w:val="-12"/>
        </w:rPr>
        <w:t> </w:t>
      </w:r>
      <w:r>
        <w:rPr/>
        <w:t>Los</w:t>
      </w:r>
      <w:r>
        <w:rPr>
          <w:spacing w:val="-5"/>
        </w:rPr>
        <w:t> </w:t>
      </w:r>
      <w:r>
        <w:rPr/>
        <w:t>municipios</w:t>
      </w:r>
      <w:r>
        <w:rPr>
          <w:spacing w:val="-13"/>
        </w:rPr>
        <w:t> </w:t>
      </w:r>
      <w:r>
        <w:rPr/>
        <w:t>que</w:t>
      </w:r>
      <w:r>
        <w:rPr>
          <w:spacing w:val="-12"/>
        </w:rPr>
        <w:t> </w:t>
      </w:r>
      <w:r>
        <w:rPr/>
        <w:t>más</w:t>
      </w:r>
      <w:r>
        <w:rPr>
          <w:spacing w:val="-8"/>
        </w:rPr>
        <w:t> </w:t>
      </w:r>
      <w:r>
        <w:rPr/>
        <w:t>veces</w:t>
      </w:r>
      <w:r>
        <w:rPr>
          <w:spacing w:val="-8"/>
        </w:rPr>
        <w:t> </w:t>
      </w:r>
      <w:r>
        <w:rPr/>
        <w:t>han</w:t>
      </w:r>
      <w:r>
        <w:rPr>
          <w:spacing w:val="-12"/>
        </w:rPr>
        <w:t> </w:t>
      </w:r>
      <w:r>
        <w:rPr/>
        <w:t>aumentado</w:t>
      </w:r>
      <w:r>
        <w:rPr>
          <w:spacing w:val="-7"/>
        </w:rPr>
        <w:t> </w:t>
      </w:r>
      <w:r>
        <w:rPr/>
        <w:t>su</w:t>
      </w:r>
      <w:r>
        <w:rPr>
          <w:spacing w:val="-7"/>
        </w:rPr>
        <w:t> </w:t>
      </w:r>
      <w:r>
        <w:rPr/>
        <w:t>población</w:t>
      </w:r>
      <w:r>
        <w:rPr>
          <w:spacing w:val="-7"/>
        </w:rPr>
        <w:t> </w:t>
      </w:r>
      <w:r>
        <w:rPr/>
        <w:t>en</w:t>
      </w:r>
      <w:r>
        <w:rPr>
          <w:spacing w:val="-7"/>
        </w:rPr>
        <w:t> </w:t>
      </w:r>
      <w:r>
        <w:rPr/>
        <w:t>el</w:t>
      </w:r>
      <w:r>
        <w:rPr>
          <w:spacing w:val="-8"/>
        </w:rPr>
        <w:t> </w:t>
      </w:r>
      <w:r>
        <w:rPr/>
        <w:t>periodo referido son Metepec con (12.5), San Mateo Atenco (7.9) y Toluca</w:t>
      </w:r>
      <w:r>
        <w:rPr>
          <w:spacing w:val="-29"/>
        </w:rPr>
        <w:t> </w:t>
      </w:r>
      <w:r>
        <w:rPr/>
        <w:t>(7.1).</w:t>
      </w:r>
    </w:p>
    <w:p>
      <w:pPr>
        <w:pStyle w:val="BodyText"/>
      </w:pPr>
    </w:p>
    <w:p>
      <w:pPr>
        <w:pStyle w:val="BodyText"/>
        <w:spacing w:line="360" w:lineRule="auto" w:before="144"/>
        <w:ind w:left="119" w:right="116"/>
        <w:jc w:val="both"/>
      </w:pPr>
      <w:r>
        <w:rPr/>
        <w:t>Los municipios que conforman la ZMT concentran 1 millón 849 mil 116 habitantes para el 2010, representando el 12.1% de la población estatal. Los municipios de Metepec, Zinacantepec, Almoloya de Juárez y Lerma concentran el 80.72% de la población total de la ZMT.</w:t>
      </w:r>
    </w:p>
    <w:p>
      <w:pPr>
        <w:spacing w:after="0" w:line="360" w:lineRule="auto"/>
        <w:jc w:val="both"/>
        <w:sectPr>
          <w:pgSz w:w="12240" w:h="15840"/>
          <w:pgMar w:header="0" w:footer="1031" w:top="1360" w:bottom="1220" w:left="1580" w:right="1580"/>
        </w:sectPr>
      </w:pPr>
    </w:p>
    <w:p>
      <w:pPr>
        <w:spacing w:before="51"/>
        <w:ind w:left="566" w:right="70" w:firstLine="0"/>
        <w:jc w:val="left"/>
        <w:rPr>
          <w:sz w:val="22"/>
        </w:rPr>
      </w:pPr>
      <w:r>
        <w:rPr>
          <w:sz w:val="22"/>
        </w:rPr>
        <w:t>Gráfica 2. Distribución porcentual de la  población por municipio de la ZMT, 2010.</w:t>
      </w:r>
    </w:p>
    <w:p>
      <w:pPr>
        <w:pStyle w:val="BodyText"/>
        <w:rPr>
          <w:sz w:val="20"/>
        </w:rPr>
      </w:pPr>
    </w:p>
    <w:p>
      <w:pPr>
        <w:pStyle w:val="BodyText"/>
        <w:rPr>
          <w:sz w:val="20"/>
        </w:rPr>
      </w:pPr>
    </w:p>
    <w:p>
      <w:pPr>
        <w:pStyle w:val="BodyText"/>
        <w:spacing w:before="1"/>
        <w:rPr>
          <w:sz w:val="29"/>
        </w:rPr>
      </w:pPr>
      <w:r>
        <w:rPr/>
        <w:drawing>
          <wp:anchor distT="0" distB="0" distL="0" distR="0" allowOverlap="1" layoutInCell="1" locked="0" behindDoc="0" simplePos="0" relativeHeight="1696">
            <wp:simplePos x="0" y="0"/>
            <wp:positionH relativeFrom="page">
              <wp:posOffset>1080135</wp:posOffset>
            </wp:positionH>
            <wp:positionV relativeFrom="paragraph">
              <wp:posOffset>237755</wp:posOffset>
            </wp:positionV>
            <wp:extent cx="5621068" cy="3793807"/>
            <wp:effectExtent l="0" t="0" r="0" b="0"/>
            <wp:wrapTopAndBottom/>
            <wp:docPr id="27" name="image33.jpeg" descr=""/>
            <wp:cNvGraphicFramePr>
              <a:graphicFrameLocks noChangeAspect="1"/>
            </wp:cNvGraphicFramePr>
            <a:graphic>
              <a:graphicData uri="http://schemas.openxmlformats.org/drawingml/2006/picture">
                <pic:pic>
                  <pic:nvPicPr>
                    <pic:cNvPr id="28" name="image33.jpeg"/>
                    <pic:cNvPicPr/>
                  </pic:nvPicPr>
                  <pic:blipFill>
                    <a:blip r:embed="rId46" cstate="print"/>
                    <a:stretch>
                      <a:fillRect/>
                    </a:stretch>
                  </pic:blipFill>
                  <pic:spPr>
                    <a:xfrm>
                      <a:off x="0" y="0"/>
                      <a:ext cx="5621068" cy="3793807"/>
                    </a:xfrm>
                    <a:prstGeom prst="rect">
                      <a:avLst/>
                    </a:prstGeom>
                  </pic:spPr>
                </pic:pic>
              </a:graphicData>
            </a:graphic>
          </wp:anchor>
        </w:drawing>
      </w:r>
    </w:p>
    <w:p>
      <w:pPr>
        <w:spacing w:before="101"/>
        <w:ind w:left="119" w:right="0" w:firstLine="0"/>
        <w:jc w:val="both"/>
        <w:rPr>
          <w:sz w:val="20"/>
        </w:rPr>
      </w:pPr>
      <w:r>
        <w:rPr>
          <w:sz w:val="20"/>
        </w:rPr>
        <w:t>Fuente: COESPO con base en INEGI 2010.</w:t>
      </w:r>
    </w:p>
    <w:p>
      <w:pPr>
        <w:pStyle w:val="BodyText"/>
        <w:rPr>
          <w:sz w:val="20"/>
        </w:rPr>
      </w:pPr>
    </w:p>
    <w:p>
      <w:pPr>
        <w:pStyle w:val="BodyText"/>
        <w:rPr>
          <w:sz w:val="16"/>
        </w:rPr>
      </w:pPr>
    </w:p>
    <w:p>
      <w:pPr>
        <w:pStyle w:val="BodyText"/>
        <w:spacing w:line="360" w:lineRule="auto"/>
        <w:ind w:left="119" w:right="115"/>
        <w:jc w:val="both"/>
      </w:pPr>
      <w:r>
        <w:rPr/>
        <w:t>Entre</w:t>
      </w:r>
      <w:r>
        <w:rPr>
          <w:spacing w:val="-16"/>
        </w:rPr>
        <w:t> </w:t>
      </w:r>
      <w:r>
        <w:rPr/>
        <w:t>los</w:t>
      </w:r>
      <w:r>
        <w:rPr>
          <w:spacing w:val="-12"/>
        </w:rPr>
        <w:t> </w:t>
      </w:r>
      <w:r>
        <w:rPr/>
        <w:t>elementos</w:t>
      </w:r>
      <w:r>
        <w:rPr>
          <w:spacing w:val="-12"/>
        </w:rPr>
        <w:t> </w:t>
      </w:r>
      <w:r>
        <w:rPr>
          <w:spacing w:val="-3"/>
        </w:rPr>
        <w:t>más</w:t>
      </w:r>
      <w:r>
        <w:rPr>
          <w:spacing w:val="-12"/>
        </w:rPr>
        <w:t> </w:t>
      </w:r>
      <w:r>
        <w:rPr/>
        <w:t>importantes</w:t>
      </w:r>
      <w:r>
        <w:rPr>
          <w:spacing w:val="-12"/>
        </w:rPr>
        <w:t> </w:t>
      </w:r>
      <w:r>
        <w:rPr/>
        <w:t>en</w:t>
      </w:r>
      <w:r>
        <w:rPr>
          <w:spacing w:val="-16"/>
        </w:rPr>
        <w:t> </w:t>
      </w:r>
      <w:r>
        <w:rPr/>
        <w:t>la</w:t>
      </w:r>
      <w:r>
        <w:rPr>
          <w:spacing w:val="-15"/>
        </w:rPr>
        <w:t> </w:t>
      </w:r>
      <w:r>
        <w:rPr/>
        <w:t>composición,</w:t>
      </w:r>
      <w:r>
        <w:rPr>
          <w:spacing w:val="-11"/>
        </w:rPr>
        <w:t> </w:t>
      </w:r>
      <w:r>
        <w:rPr/>
        <w:t>definición</w:t>
      </w:r>
      <w:r>
        <w:rPr>
          <w:spacing w:val="-11"/>
        </w:rPr>
        <w:t> </w:t>
      </w:r>
      <w:r>
        <w:rPr/>
        <w:t>y</w:t>
      </w:r>
      <w:r>
        <w:rPr>
          <w:spacing w:val="-16"/>
        </w:rPr>
        <w:t> </w:t>
      </w:r>
      <w:r>
        <w:rPr/>
        <w:t>delimitación</w:t>
      </w:r>
      <w:r>
        <w:rPr>
          <w:spacing w:val="-11"/>
        </w:rPr>
        <w:t> </w:t>
      </w:r>
      <w:r>
        <w:rPr/>
        <w:t>de una zona metropolitana, destaca que está formada por una ciudad con una fuerte concentración demográfica (ciudad central o núcleo central) que gradualmente expande su crecimiento socioeconómico y político hacia una o varias unidades administrativas (periferia contigua) que se encuentran subordinadas, pues la alta concentración de la actividades económicas, laborales, y de servicios la hacen dependientes de la primera. También deben tomarse en cuenta las unidades administrativas que por su carácter estratégico forman parte </w:t>
      </w:r>
      <w:r>
        <w:rPr>
          <w:spacing w:val="6"/>
        </w:rPr>
        <w:t>en </w:t>
      </w:r>
      <w:r>
        <w:rPr/>
        <w:t>la ZM, la funcionalidad entre la periferia y el núcleo central, así como el volumen de su población.</w:t>
      </w:r>
    </w:p>
    <w:p>
      <w:pPr>
        <w:spacing w:after="0" w:line="360" w:lineRule="auto"/>
        <w:jc w:val="both"/>
        <w:sectPr>
          <w:pgSz w:w="12240" w:h="15840"/>
          <w:pgMar w:header="0" w:footer="1031" w:top="1360" w:bottom="1220" w:left="1580" w:right="1580"/>
        </w:sectPr>
      </w:pPr>
    </w:p>
    <w:p>
      <w:pPr>
        <w:pStyle w:val="BodyText"/>
        <w:spacing w:before="3"/>
        <w:rPr>
          <w:sz w:val="22"/>
        </w:rPr>
      </w:pPr>
    </w:p>
    <w:p>
      <w:pPr>
        <w:spacing w:before="73"/>
        <w:ind w:left="1339" w:right="0" w:firstLine="0"/>
        <w:jc w:val="left"/>
        <w:rPr>
          <w:sz w:val="22"/>
        </w:rPr>
      </w:pPr>
      <w:r>
        <w:rPr>
          <w:sz w:val="22"/>
        </w:rPr>
        <w:t>Tabla 10. Distribución poblacional de la ZMT por municipio, 2010.</w:t>
      </w:r>
    </w:p>
    <w:p>
      <w:pPr>
        <w:pStyle w:val="BodyText"/>
        <w:spacing w:before="1"/>
        <w:rPr>
          <w:sz w:val="23"/>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82"/>
        <w:gridCol w:w="2344"/>
        <w:gridCol w:w="2511"/>
        <w:gridCol w:w="1763"/>
      </w:tblGrid>
      <w:tr>
        <w:trPr>
          <w:trHeight w:val="307" w:hRule="exact"/>
        </w:trPr>
        <w:tc>
          <w:tcPr>
            <w:tcW w:w="2482" w:type="dxa"/>
            <w:tcBorders>
              <w:left w:val="nil"/>
              <w:right w:val="nil"/>
            </w:tcBorders>
          </w:tcPr>
          <w:p>
            <w:pPr/>
          </w:p>
        </w:tc>
        <w:tc>
          <w:tcPr>
            <w:tcW w:w="2344" w:type="dxa"/>
            <w:tcBorders>
              <w:left w:val="nil"/>
              <w:right w:val="nil"/>
            </w:tcBorders>
          </w:tcPr>
          <w:p>
            <w:pPr>
              <w:pStyle w:val="TableParagraph"/>
              <w:spacing w:line="243" w:lineRule="exact"/>
              <w:ind w:right="852"/>
              <w:jc w:val="right"/>
              <w:rPr>
                <w:sz w:val="22"/>
              </w:rPr>
            </w:pPr>
            <w:r>
              <w:rPr>
                <w:w w:val="80"/>
                <w:sz w:val="22"/>
              </w:rPr>
              <w:t>2000</w:t>
            </w:r>
          </w:p>
        </w:tc>
        <w:tc>
          <w:tcPr>
            <w:tcW w:w="2511" w:type="dxa"/>
            <w:tcBorders>
              <w:left w:val="nil"/>
              <w:right w:val="nil"/>
            </w:tcBorders>
          </w:tcPr>
          <w:p>
            <w:pPr>
              <w:pStyle w:val="TableParagraph"/>
              <w:spacing w:line="243" w:lineRule="exact"/>
              <w:ind w:right="852"/>
              <w:jc w:val="right"/>
              <w:rPr>
                <w:sz w:val="22"/>
              </w:rPr>
            </w:pPr>
            <w:r>
              <w:rPr>
                <w:w w:val="80"/>
                <w:sz w:val="22"/>
              </w:rPr>
              <w:t>2005</w:t>
            </w:r>
          </w:p>
        </w:tc>
        <w:tc>
          <w:tcPr>
            <w:tcW w:w="1763" w:type="dxa"/>
            <w:tcBorders>
              <w:left w:val="nil"/>
              <w:right w:val="nil"/>
            </w:tcBorders>
          </w:tcPr>
          <w:p>
            <w:pPr>
              <w:pStyle w:val="TableParagraph"/>
              <w:spacing w:line="243" w:lineRule="exact"/>
              <w:ind w:right="104"/>
              <w:jc w:val="right"/>
              <w:rPr>
                <w:sz w:val="22"/>
              </w:rPr>
            </w:pPr>
            <w:r>
              <w:rPr>
                <w:w w:val="80"/>
                <w:sz w:val="22"/>
              </w:rPr>
              <w:t>2010</w:t>
            </w:r>
          </w:p>
        </w:tc>
      </w:tr>
      <w:tr>
        <w:trPr>
          <w:trHeight w:val="281" w:hRule="exact"/>
        </w:trPr>
        <w:tc>
          <w:tcPr>
            <w:tcW w:w="2482" w:type="dxa"/>
            <w:tcBorders>
              <w:left w:val="nil"/>
              <w:bottom w:val="nil"/>
              <w:right w:val="nil"/>
            </w:tcBorders>
          </w:tcPr>
          <w:p>
            <w:pPr>
              <w:pStyle w:val="TableParagraph"/>
              <w:spacing w:line="243" w:lineRule="exact"/>
              <w:ind w:left="110"/>
              <w:rPr>
                <w:sz w:val="22"/>
              </w:rPr>
            </w:pPr>
            <w:r>
              <w:rPr>
                <w:w w:val="85"/>
                <w:sz w:val="22"/>
              </w:rPr>
              <w:t>ZMT (14 Mpios.)</w:t>
            </w:r>
          </w:p>
        </w:tc>
        <w:tc>
          <w:tcPr>
            <w:tcW w:w="2344" w:type="dxa"/>
            <w:tcBorders>
              <w:left w:val="nil"/>
              <w:bottom w:val="nil"/>
              <w:right w:val="nil"/>
            </w:tcBorders>
          </w:tcPr>
          <w:p>
            <w:pPr>
              <w:pStyle w:val="TableParagraph"/>
              <w:spacing w:line="243" w:lineRule="exact"/>
              <w:ind w:right="853"/>
              <w:jc w:val="right"/>
              <w:rPr>
                <w:sz w:val="22"/>
              </w:rPr>
            </w:pPr>
            <w:r>
              <w:rPr>
                <w:w w:val="80"/>
                <w:sz w:val="22"/>
              </w:rPr>
              <w:t>1,471,173</w:t>
            </w:r>
          </w:p>
        </w:tc>
        <w:tc>
          <w:tcPr>
            <w:tcW w:w="2511" w:type="dxa"/>
            <w:tcBorders>
              <w:left w:val="nil"/>
              <w:bottom w:val="nil"/>
              <w:right w:val="nil"/>
            </w:tcBorders>
          </w:tcPr>
          <w:p>
            <w:pPr>
              <w:pStyle w:val="TableParagraph"/>
              <w:spacing w:line="243" w:lineRule="exact"/>
              <w:ind w:right="853"/>
              <w:jc w:val="right"/>
              <w:rPr>
                <w:sz w:val="22"/>
              </w:rPr>
            </w:pPr>
            <w:r>
              <w:rPr>
                <w:w w:val="80"/>
                <w:sz w:val="22"/>
              </w:rPr>
              <w:t>1,633,052</w:t>
            </w:r>
          </w:p>
        </w:tc>
        <w:tc>
          <w:tcPr>
            <w:tcW w:w="1763" w:type="dxa"/>
            <w:tcBorders>
              <w:left w:val="nil"/>
              <w:bottom w:val="nil"/>
              <w:right w:val="nil"/>
            </w:tcBorders>
          </w:tcPr>
          <w:p>
            <w:pPr>
              <w:pStyle w:val="TableParagraph"/>
              <w:spacing w:line="243" w:lineRule="exact"/>
              <w:ind w:right="104"/>
              <w:jc w:val="right"/>
              <w:rPr>
                <w:sz w:val="22"/>
              </w:rPr>
            </w:pPr>
            <w:r>
              <w:rPr>
                <w:w w:val="80"/>
                <w:sz w:val="22"/>
              </w:rPr>
              <w:t>1,846,116</w:t>
            </w:r>
          </w:p>
        </w:tc>
      </w:tr>
      <w:tr>
        <w:trPr>
          <w:trHeight w:val="288" w:hRule="exact"/>
        </w:trPr>
        <w:tc>
          <w:tcPr>
            <w:tcW w:w="2482" w:type="dxa"/>
            <w:tcBorders>
              <w:top w:val="nil"/>
              <w:left w:val="nil"/>
              <w:bottom w:val="nil"/>
              <w:right w:val="nil"/>
            </w:tcBorders>
          </w:tcPr>
          <w:p>
            <w:pPr>
              <w:pStyle w:val="TableParagraph"/>
              <w:spacing w:before="7"/>
              <w:ind w:left="110"/>
              <w:rPr>
                <w:sz w:val="22"/>
              </w:rPr>
            </w:pPr>
            <w:r>
              <w:rPr>
                <w:w w:val="85"/>
                <w:sz w:val="22"/>
              </w:rPr>
              <w:t>Alomoloya de Juárez</w:t>
            </w:r>
          </w:p>
        </w:tc>
        <w:tc>
          <w:tcPr>
            <w:tcW w:w="2344" w:type="dxa"/>
            <w:tcBorders>
              <w:top w:val="nil"/>
              <w:left w:val="nil"/>
              <w:bottom w:val="nil"/>
              <w:right w:val="nil"/>
            </w:tcBorders>
          </w:tcPr>
          <w:p>
            <w:pPr>
              <w:pStyle w:val="TableParagraph"/>
              <w:spacing w:before="7"/>
              <w:ind w:right="853"/>
              <w:jc w:val="right"/>
              <w:rPr>
                <w:sz w:val="22"/>
              </w:rPr>
            </w:pPr>
            <w:r>
              <w:rPr>
                <w:w w:val="80"/>
                <w:sz w:val="22"/>
              </w:rPr>
              <w:t>110,591</w:t>
            </w:r>
          </w:p>
        </w:tc>
        <w:tc>
          <w:tcPr>
            <w:tcW w:w="2511" w:type="dxa"/>
            <w:tcBorders>
              <w:top w:val="nil"/>
              <w:left w:val="nil"/>
              <w:bottom w:val="nil"/>
              <w:right w:val="nil"/>
            </w:tcBorders>
          </w:tcPr>
          <w:p>
            <w:pPr>
              <w:pStyle w:val="TableParagraph"/>
              <w:spacing w:before="7"/>
              <w:ind w:right="853"/>
              <w:jc w:val="right"/>
              <w:rPr>
                <w:sz w:val="22"/>
              </w:rPr>
            </w:pPr>
            <w:r>
              <w:rPr>
                <w:w w:val="80"/>
                <w:sz w:val="22"/>
              </w:rPr>
              <w:t>126,163</w:t>
            </w:r>
          </w:p>
        </w:tc>
        <w:tc>
          <w:tcPr>
            <w:tcW w:w="1763" w:type="dxa"/>
            <w:tcBorders>
              <w:top w:val="nil"/>
              <w:left w:val="nil"/>
              <w:bottom w:val="nil"/>
              <w:right w:val="nil"/>
            </w:tcBorders>
          </w:tcPr>
          <w:p>
            <w:pPr>
              <w:pStyle w:val="TableParagraph"/>
              <w:spacing w:before="7"/>
              <w:ind w:right="104"/>
              <w:jc w:val="right"/>
              <w:rPr>
                <w:sz w:val="22"/>
              </w:rPr>
            </w:pPr>
            <w:r>
              <w:rPr>
                <w:w w:val="80"/>
                <w:sz w:val="22"/>
              </w:rPr>
              <w:t>147,653</w:t>
            </w:r>
          </w:p>
        </w:tc>
      </w:tr>
      <w:tr>
        <w:trPr>
          <w:trHeight w:val="288" w:hRule="exact"/>
        </w:trPr>
        <w:tc>
          <w:tcPr>
            <w:tcW w:w="2482" w:type="dxa"/>
            <w:tcBorders>
              <w:top w:val="nil"/>
              <w:left w:val="nil"/>
              <w:bottom w:val="nil"/>
              <w:right w:val="nil"/>
            </w:tcBorders>
          </w:tcPr>
          <w:p>
            <w:pPr>
              <w:pStyle w:val="TableParagraph"/>
              <w:spacing w:before="7"/>
              <w:ind w:left="110"/>
              <w:rPr>
                <w:sz w:val="22"/>
              </w:rPr>
            </w:pPr>
            <w:r>
              <w:rPr>
                <w:w w:val="90"/>
                <w:sz w:val="22"/>
              </w:rPr>
              <w:t>Calimaya</w:t>
            </w:r>
          </w:p>
        </w:tc>
        <w:tc>
          <w:tcPr>
            <w:tcW w:w="2344" w:type="dxa"/>
            <w:tcBorders>
              <w:top w:val="nil"/>
              <w:left w:val="nil"/>
              <w:bottom w:val="nil"/>
              <w:right w:val="nil"/>
            </w:tcBorders>
          </w:tcPr>
          <w:p>
            <w:pPr>
              <w:pStyle w:val="TableParagraph"/>
              <w:spacing w:before="7"/>
              <w:ind w:right="853"/>
              <w:jc w:val="right"/>
              <w:rPr>
                <w:sz w:val="22"/>
              </w:rPr>
            </w:pPr>
            <w:r>
              <w:rPr>
                <w:w w:val="80"/>
                <w:sz w:val="22"/>
              </w:rPr>
              <w:t>35,196</w:t>
            </w:r>
          </w:p>
        </w:tc>
        <w:tc>
          <w:tcPr>
            <w:tcW w:w="2511" w:type="dxa"/>
            <w:tcBorders>
              <w:top w:val="nil"/>
              <w:left w:val="nil"/>
              <w:bottom w:val="nil"/>
              <w:right w:val="nil"/>
            </w:tcBorders>
          </w:tcPr>
          <w:p>
            <w:pPr>
              <w:pStyle w:val="TableParagraph"/>
              <w:spacing w:before="7"/>
              <w:ind w:right="853"/>
              <w:jc w:val="right"/>
              <w:rPr>
                <w:sz w:val="22"/>
              </w:rPr>
            </w:pPr>
            <w:r>
              <w:rPr>
                <w:w w:val="80"/>
                <w:sz w:val="22"/>
              </w:rPr>
              <w:t>38,770</w:t>
            </w:r>
          </w:p>
        </w:tc>
        <w:tc>
          <w:tcPr>
            <w:tcW w:w="1763" w:type="dxa"/>
            <w:tcBorders>
              <w:top w:val="nil"/>
              <w:left w:val="nil"/>
              <w:bottom w:val="nil"/>
              <w:right w:val="nil"/>
            </w:tcBorders>
          </w:tcPr>
          <w:p>
            <w:pPr>
              <w:pStyle w:val="TableParagraph"/>
              <w:spacing w:before="7"/>
              <w:ind w:right="104"/>
              <w:jc w:val="right"/>
              <w:rPr>
                <w:sz w:val="22"/>
              </w:rPr>
            </w:pPr>
            <w:r>
              <w:rPr>
                <w:w w:val="80"/>
                <w:sz w:val="22"/>
              </w:rPr>
              <w:t>47,033</w:t>
            </w:r>
          </w:p>
        </w:tc>
      </w:tr>
      <w:tr>
        <w:trPr>
          <w:trHeight w:val="288" w:hRule="exact"/>
        </w:trPr>
        <w:tc>
          <w:tcPr>
            <w:tcW w:w="2482" w:type="dxa"/>
            <w:tcBorders>
              <w:top w:val="nil"/>
              <w:left w:val="nil"/>
              <w:bottom w:val="nil"/>
              <w:right w:val="nil"/>
            </w:tcBorders>
          </w:tcPr>
          <w:p>
            <w:pPr>
              <w:pStyle w:val="TableParagraph"/>
              <w:spacing w:before="7"/>
              <w:ind w:left="110"/>
              <w:rPr>
                <w:sz w:val="22"/>
              </w:rPr>
            </w:pPr>
            <w:r>
              <w:rPr>
                <w:w w:val="90"/>
                <w:sz w:val="22"/>
              </w:rPr>
              <w:t>Chapultepec</w:t>
            </w:r>
          </w:p>
        </w:tc>
        <w:tc>
          <w:tcPr>
            <w:tcW w:w="2344" w:type="dxa"/>
            <w:tcBorders>
              <w:top w:val="nil"/>
              <w:left w:val="nil"/>
              <w:bottom w:val="nil"/>
              <w:right w:val="nil"/>
            </w:tcBorders>
          </w:tcPr>
          <w:p>
            <w:pPr>
              <w:pStyle w:val="TableParagraph"/>
              <w:spacing w:before="7"/>
              <w:ind w:right="853"/>
              <w:jc w:val="right"/>
              <w:rPr>
                <w:sz w:val="22"/>
              </w:rPr>
            </w:pPr>
            <w:r>
              <w:rPr>
                <w:w w:val="80"/>
                <w:sz w:val="22"/>
              </w:rPr>
              <w:t>5,735</w:t>
            </w:r>
          </w:p>
        </w:tc>
        <w:tc>
          <w:tcPr>
            <w:tcW w:w="2511" w:type="dxa"/>
            <w:tcBorders>
              <w:top w:val="nil"/>
              <w:left w:val="nil"/>
              <w:bottom w:val="nil"/>
              <w:right w:val="nil"/>
            </w:tcBorders>
          </w:tcPr>
          <w:p>
            <w:pPr>
              <w:pStyle w:val="TableParagraph"/>
              <w:spacing w:before="7"/>
              <w:ind w:right="853"/>
              <w:jc w:val="right"/>
              <w:rPr>
                <w:sz w:val="22"/>
              </w:rPr>
            </w:pPr>
            <w:r>
              <w:rPr>
                <w:w w:val="80"/>
                <w:sz w:val="22"/>
              </w:rPr>
              <w:t>6,581</w:t>
            </w:r>
          </w:p>
        </w:tc>
        <w:tc>
          <w:tcPr>
            <w:tcW w:w="1763" w:type="dxa"/>
            <w:tcBorders>
              <w:top w:val="nil"/>
              <w:left w:val="nil"/>
              <w:bottom w:val="nil"/>
              <w:right w:val="nil"/>
            </w:tcBorders>
          </w:tcPr>
          <w:p>
            <w:pPr>
              <w:pStyle w:val="TableParagraph"/>
              <w:spacing w:before="7"/>
              <w:ind w:right="104"/>
              <w:jc w:val="right"/>
              <w:rPr>
                <w:sz w:val="22"/>
              </w:rPr>
            </w:pPr>
            <w:r>
              <w:rPr>
                <w:w w:val="80"/>
                <w:sz w:val="22"/>
              </w:rPr>
              <w:t>9,676</w:t>
            </w:r>
          </w:p>
        </w:tc>
      </w:tr>
      <w:tr>
        <w:trPr>
          <w:trHeight w:val="288" w:hRule="exact"/>
        </w:trPr>
        <w:tc>
          <w:tcPr>
            <w:tcW w:w="2482" w:type="dxa"/>
            <w:tcBorders>
              <w:top w:val="nil"/>
              <w:left w:val="nil"/>
              <w:bottom w:val="nil"/>
              <w:right w:val="nil"/>
            </w:tcBorders>
          </w:tcPr>
          <w:p>
            <w:pPr>
              <w:pStyle w:val="TableParagraph"/>
              <w:spacing w:before="7"/>
              <w:ind w:left="110"/>
              <w:rPr>
                <w:sz w:val="22"/>
              </w:rPr>
            </w:pPr>
            <w:r>
              <w:rPr>
                <w:w w:val="90"/>
                <w:sz w:val="22"/>
              </w:rPr>
              <w:t>Lerma</w:t>
            </w:r>
          </w:p>
        </w:tc>
        <w:tc>
          <w:tcPr>
            <w:tcW w:w="2344" w:type="dxa"/>
            <w:tcBorders>
              <w:top w:val="nil"/>
              <w:left w:val="nil"/>
              <w:bottom w:val="nil"/>
              <w:right w:val="nil"/>
            </w:tcBorders>
          </w:tcPr>
          <w:p>
            <w:pPr>
              <w:pStyle w:val="TableParagraph"/>
              <w:spacing w:before="7"/>
              <w:ind w:right="853"/>
              <w:jc w:val="right"/>
              <w:rPr>
                <w:sz w:val="22"/>
              </w:rPr>
            </w:pPr>
            <w:r>
              <w:rPr>
                <w:w w:val="80"/>
                <w:sz w:val="22"/>
              </w:rPr>
              <w:t>99,870</w:t>
            </w:r>
          </w:p>
        </w:tc>
        <w:tc>
          <w:tcPr>
            <w:tcW w:w="2511" w:type="dxa"/>
            <w:tcBorders>
              <w:top w:val="nil"/>
              <w:left w:val="nil"/>
              <w:bottom w:val="nil"/>
              <w:right w:val="nil"/>
            </w:tcBorders>
          </w:tcPr>
          <w:p>
            <w:pPr>
              <w:pStyle w:val="TableParagraph"/>
              <w:spacing w:before="7"/>
              <w:ind w:right="853"/>
              <w:jc w:val="right"/>
              <w:rPr>
                <w:sz w:val="22"/>
              </w:rPr>
            </w:pPr>
            <w:r>
              <w:rPr>
                <w:w w:val="80"/>
                <w:sz w:val="22"/>
              </w:rPr>
              <w:t>105,578</w:t>
            </w:r>
          </w:p>
        </w:tc>
        <w:tc>
          <w:tcPr>
            <w:tcW w:w="1763" w:type="dxa"/>
            <w:tcBorders>
              <w:top w:val="nil"/>
              <w:left w:val="nil"/>
              <w:bottom w:val="nil"/>
              <w:right w:val="nil"/>
            </w:tcBorders>
          </w:tcPr>
          <w:p>
            <w:pPr>
              <w:pStyle w:val="TableParagraph"/>
              <w:spacing w:before="7"/>
              <w:ind w:right="104"/>
              <w:jc w:val="right"/>
              <w:rPr>
                <w:sz w:val="22"/>
              </w:rPr>
            </w:pPr>
            <w:r>
              <w:rPr>
                <w:w w:val="80"/>
                <w:sz w:val="22"/>
              </w:rPr>
              <w:t>134,799</w:t>
            </w:r>
          </w:p>
        </w:tc>
      </w:tr>
      <w:tr>
        <w:trPr>
          <w:trHeight w:val="288" w:hRule="exact"/>
        </w:trPr>
        <w:tc>
          <w:tcPr>
            <w:tcW w:w="2482" w:type="dxa"/>
            <w:tcBorders>
              <w:top w:val="nil"/>
              <w:left w:val="nil"/>
              <w:bottom w:val="nil"/>
              <w:right w:val="nil"/>
            </w:tcBorders>
          </w:tcPr>
          <w:p>
            <w:pPr>
              <w:pStyle w:val="TableParagraph"/>
              <w:spacing w:before="7"/>
              <w:ind w:left="110"/>
              <w:rPr>
                <w:sz w:val="22"/>
              </w:rPr>
            </w:pPr>
            <w:r>
              <w:rPr>
                <w:w w:val="90"/>
                <w:sz w:val="22"/>
              </w:rPr>
              <w:t>Metepec</w:t>
            </w:r>
          </w:p>
        </w:tc>
        <w:tc>
          <w:tcPr>
            <w:tcW w:w="2344" w:type="dxa"/>
            <w:tcBorders>
              <w:top w:val="nil"/>
              <w:left w:val="nil"/>
              <w:bottom w:val="nil"/>
              <w:right w:val="nil"/>
            </w:tcBorders>
          </w:tcPr>
          <w:p>
            <w:pPr>
              <w:pStyle w:val="TableParagraph"/>
              <w:spacing w:before="7"/>
              <w:ind w:right="853"/>
              <w:jc w:val="right"/>
              <w:rPr>
                <w:sz w:val="22"/>
              </w:rPr>
            </w:pPr>
            <w:r>
              <w:rPr>
                <w:w w:val="80"/>
                <w:sz w:val="22"/>
              </w:rPr>
              <w:t>194,463</w:t>
            </w:r>
          </w:p>
        </w:tc>
        <w:tc>
          <w:tcPr>
            <w:tcW w:w="2511" w:type="dxa"/>
            <w:tcBorders>
              <w:top w:val="nil"/>
              <w:left w:val="nil"/>
              <w:bottom w:val="nil"/>
              <w:right w:val="nil"/>
            </w:tcBorders>
          </w:tcPr>
          <w:p>
            <w:pPr>
              <w:pStyle w:val="TableParagraph"/>
              <w:spacing w:before="7"/>
              <w:ind w:right="853"/>
              <w:jc w:val="right"/>
              <w:rPr>
                <w:sz w:val="22"/>
              </w:rPr>
            </w:pPr>
            <w:r>
              <w:rPr>
                <w:w w:val="80"/>
                <w:sz w:val="22"/>
              </w:rPr>
              <w:t>206,005</w:t>
            </w:r>
          </w:p>
        </w:tc>
        <w:tc>
          <w:tcPr>
            <w:tcW w:w="1763" w:type="dxa"/>
            <w:tcBorders>
              <w:top w:val="nil"/>
              <w:left w:val="nil"/>
              <w:bottom w:val="nil"/>
              <w:right w:val="nil"/>
            </w:tcBorders>
          </w:tcPr>
          <w:p>
            <w:pPr>
              <w:pStyle w:val="TableParagraph"/>
              <w:spacing w:before="7"/>
              <w:ind w:right="104"/>
              <w:jc w:val="right"/>
              <w:rPr>
                <w:sz w:val="22"/>
              </w:rPr>
            </w:pPr>
            <w:r>
              <w:rPr>
                <w:w w:val="80"/>
                <w:sz w:val="22"/>
              </w:rPr>
              <w:t>214,162</w:t>
            </w:r>
          </w:p>
        </w:tc>
      </w:tr>
      <w:tr>
        <w:trPr>
          <w:trHeight w:val="288" w:hRule="exact"/>
        </w:trPr>
        <w:tc>
          <w:tcPr>
            <w:tcW w:w="2482" w:type="dxa"/>
            <w:tcBorders>
              <w:top w:val="nil"/>
              <w:left w:val="nil"/>
              <w:bottom w:val="nil"/>
              <w:right w:val="nil"/>
            </w:tcBorders>
          </w:tcPr>
          <w:p>
            <w:pPr>
              <w:pStyle w:val="TableParagraph"/>
              <w:spacing w:before="7"/>
              <w:ind w:left="110"/>
              <w:rPr>
                <w:sz w:val="22"/>
              </w:rPr>
            </w:pPr>
            <w:r>
              <w:rPr>
                <w:w w:val="90"/>
                <w:sz w:val="22"/>
              </w:rPr>
              <w:t>Mexicalzingo</w:t>
            </w:r>
          </w:p>
        </w:tc>
        <w:tc>
          <w:tcPr>
            <w:tcW w:w="2344" w:type="dxa"/>
            <w:tcBorders>
              <w:top w:val="nil"/>
              <w:left w:val="nil"/>
              <w:bottom w:val="nil"/>
              <w:right w:val="nil"/>
            </w:tcBorders>
          </w:tcPr>
          <w:p>
            <w:pPr>
              <w:pStyle w:val="TableParagraph"/>
              <w:spacing w:before="7"/>
              <w:ind w:right="853"/>
              <w:jc w:val="right"/>
              <w:rPr>
                <w:sz w:val="22"/>
              </w:rPr>
            </w:pPr>
            <w:r>
              <w:rPr>
                <w:w w:val="80"/>
                <w:sz w:val="22"/>
              </w:rPr>
              <w:t>9,225</w:t>
            </w:r>
          </w:p>
        </w:tc>
        <w:tc>
          <w:tcPr>
            <w:tcW w:w="2511" w:type="dxa"/>
            <w:tcBorders>
              <w:top w:val="nil"/>
              <w:left w:val="nil"/>
              <w:bottom w:val="nil"/>
              <w:right w:val="nil"/>
            </w:tcBorders>
          </w:tcPr>
          <w:p>
            <w:pPr>
              <w:pStyle w:val="TableParagraph"/>
              <w:spacing w:before="7"/>
              <w:ind w:right="853"/>
              <w:jc w:val="right"/>
              <w:rPr>
                <w:sz w:val="22"/>
              </w:rPr>
            </w:pPr>
            <w:r>
              <w:rPr>
                <w:w w:val="80"/>
                <w:sz w:val="22"/>
              </w:rPr>
              <w:t>10,161</w:t>
            </w:r>
          </w:p>
        </w:tc>
        <w:tc>
          <w:tcPr>
            <w:tcW w:w="1763" w:type="dxa"/>
            <w:tcBorders>
              <w:top w:val="nil"/>
              <w:left w:val="nil"/>
              <w:bottom w:val="nil"/>
              <w:right w:val="nil"/>
            </w:tcBorders>
          </w:tcPr>
          <w:p>
            <w:pPr>
              <w:pStyle w:val="TableParagraph"/>
              <w:spacing w:before="7"/>
              <w:ind w:right="104"/>
              <w:jc w:val="right"/>
              <w:rPr>
                <w:sz w:val="22"/>
              </w:rPr>
            </w:pPr>
            <w:r>
              <w:rPr>
                <w:w w:val="80"/>
                <w:sz w:val="22"/>
              </w:rPr>
              <w:t>11,712</w:t>
            </w:r>
          </w:p>
        </w:tc>
      </w:tr>
      <w:tr>
        <w:trPr>
          <w:trHeight w:val="288" w:hRule="exact"/>
        </w:trPr>
        <w:tc>
          <w:tcPr>
            <w:tcW w:w="2482" w:type="dxa"/>
            <w:tcBorders>
              <w:top w:val="nil"/>
              <w:left w:val="nil"/>
              <w:bottom w:val="nil"/>
              <w:right w:val="nil"/>
            </w:tcBorders>
          </w:tcPr>
          <w:p>
            <w:pPr>
              <w:pStyle w:val="TableParagraph"/>
              <w:spacing w:before="7"/>
              <w:ind w:left="110"/>
              <w:rPr>
                <w:sz w:val="22"/>
              </w:rPr>
            </w:pPr>
            <w:r>
              <w:rPr>
                <w:w w:val="90"/>
                <w:sz w:val="22"/>
              </w:rPr>
              <w:t>Ocoyoacac</w:t>
            </w:r>
          </w:p>
        </w:tc>
        <w:tc>
          <w:tcPr>
            <w:tcW w:w="2344" w:type="dxa"/>
            <w:tcBorders>
              <w:top w:val="nil"/>
              <w:left w:val="nil"/>
              <w:bottom w:val="nil"/>
              <w:right w:val="nil"/>
            </w:tcBorders>
          </w:tcPr>
          <w:p>
            <w:pPr>
              <w:pStyle w:val="TableParagraph"/>
              <w:spacing w:before="7"/>
              <w:ind w:right="853"/>
              <w:jc w:val="right"/>
              <w:rPr>
                <w:sz w:val="22"/>
              </w:rPr>
            </w:pPr>
            <w:r>
              <w:rPr>
                <w:w w:val="80"/>
                <w:sz w:val="22"/>
              </w:rPr>
              <w:t>49,643</w:t>
            </w:r>
          </w:p>
        </w:tc>
        <w:tc>
          <w:tcPr>
            <w:tcW w:w="2511" w:type="dxa"/>
            <w:tcBorders>
              <w:top w:val="nil"/>
              <w:left w:val="nil"/>
              <w:bottom w:val="nil"/>
              <w:right w:val="nil"/>
            </w:tcBorders>
          </w:tcPr>
          <w:p>
            <w:pPr>
              <w:pStyle w:val="TableParagraph"/>
              <w:spacing w:before="7"/>
              <w:ind w:right="853"/>
              <w:jc w:val="right"/>
              <w:rPr>
                <w:sz w:val="22"/>
              </w:rPr>
            </w:pPr>
            <w:r>
              <w:rPr>
                <w:w w:val="80"/>
                <w:sz w:val="22"/>
              </w:rPr>
              <w:t>54,224</w:t>
            </w:r>
          </w:p>
        </w:tc>
        <w:tc>
          <w:tcPr>
            <w:tcW w:w="1763" w:type="dxa"/>
            <w:tcBorders>
              <w:top w:val="nil"/>
              <w:left w:val="nil"/>
              <w:bottom w:val="nil"/>
              <w:right w:val="nil"/>
            </w:tcBorders>
          </w:tcPr>
          <w:p>
            <w:pPr>
              <w:pStyle w:val="TableParagraph"/>
              <w:spacing w:before="7"/>
              <w:ind w:right="104"/>
              <w:jc w:val="right"/>
              <w:rPr>
                <w:sz w:val="22"/>
              </w:rPr>
            </w:pPr>
            <w:r>
              <w:rPr>
                <w:w w:val="80"/>
                <w:sz w:val="22"/>
              </w:rPr>
              <w:t>61,805</w:t>
            </w:r>
          </w:p>
        </w:tc>
      </w:tr>
      <w:tr>
        <w:trPr>
          <w:trHeight w:val="288" w:hRule="exact"/>
        </w:trPr>
        <w:tc>
          <w:tcPr>
            <w:tcW w:w="2482" w:type="dxa"/>
            <w:tcBorders>
              <w:top w:val="nil"/>
              <w:left w:val="nil"/>
              <w:bottom w:val="nil"/>
              <w:right w:val="nil"/>
            </w:tcBorders>
          </w:tcPr>
          <w:p>
            <w:pPr>
              <w:pStyle w:val="TableParagraph"/>
              <w:spacing w:before="7"/>
              <w:ind w:left="110"/>
              <w:rPr>
                <w:sz w:val="22"/>
              </w:rPr>
            </w:pPr>
            <w:r>
              <w:rPr>
                <w:w w:val="90"/>
                <w:sz w:val="22"/>
              </w:rPr>
              <w:t>Otzolotepec</w:t>
            </w:r>
          </w:p>
        </w:tc>
        <w:tc>
          <w:tcPr>
            <w:tcW w:w="2344" w:type="dxa"/>
            <w:tcBorders>
              <w:top w:val="nil"/>
              <w:left w:val="nil"/>
              <w:bottom w:val="nil"/>
              <w:right w:val="nil"/>
            </w:tcBorders>
          </w:tcPr>
          <w:p>
            <w:pPr>
              <w:pStyle w:val="TableParagraph"/>
              <w:spacing w:before="7"/>
              <w:ind w:right="853"/>
              <w:jc w:val="right"/>
              <w:rPr>
                <w:sz w:val="22"/>
              </w:rPr>
            </w:pPr>
            <w:r>
              <w:rPr>
                <w:w w:val="80"/>
                <w:sz w:val="22"/>
              </w:rPr>
              <w:t>57,583</w:t>
            </w:r>
          </w:p>
        </w:tc>
        <w:tc>
          <w:tcPr>
            <w:tcW w:w="2511" w:type="dxa"/>
            <w:tcBorders>
              <w:top w:val="nil"/>
              <w:left w:val="nil"/>
              <w:bottom w:val="nil"/>
              <w:right w:val="nil"/>
            </w:tcBorders>
          </w:tcPr>
          <w:p>
            <w:pPr>
              <w:pStyle w:val="TableParagraph"/>
              <w:spacing w:before="7"/>
              <w:ind w:right="853"/>
              <w:jc w:val="right"/>
              <w:rPr>
                <w:sz w:val="22"/>
              </w:rPr>
            </w:pPr>
            <w:r>
              <w:rPr>
                <w:w w:val="80"/>
                <w:sz w:val="22"/>
              </w:rPr>
              <w:t>67,611</w:t>
            </w:r>
          </w:p>
        </w:tc>
        <w:tc>
          <w:tcPr>
            <w:tcW w:w="1763" w:type="dxa"/>
            <w:tcBorders>
              <w:top w:val="nil"/>
              <w:left w:val="nil"/>
              <w:bottom w:val="nil"/>
              <w:right w:val="nil"/>
            </w:tcBorders>
          </w:tcPr>
          <w:p>
            <w:pPr>
              <w:pStyle w:val="TableParagraph"/>
              <w:spacing w:before="7"/>
              <w:ind w:right="104"/>
              <w:jc w:val="right"/>
              <w:rPr>
                <w:sz w:val="22"/>
              </w:rPr>
            </w:pPr>
            <w:r>
              <w:rPr>
                <w:w w:val="80"/>
                <w:sz w:val="22"/>
              </w:rPr>
              <w:t>78,146</w:t>
            </w:r>
          </w:p>
        </w:tc>
      </w:tr>
      <w:tr>
        <w:trPr>
          <w:trHeight w:val="288" w:hRule="exact"/>
        </w:trPr>
        <w:tc>
          <w:tcPr>
            <w:tcW w:w="2482" w:type="dxa"/>
            <w:tcBorders>
              <w:top w:val="nil"/>
              <w:left w:val="nil"/>
              <w:bottom w:val="nil"/>
              <w:right w:val="nil"/>
            </w:tcBorders>
          </w:tcPr>
          <w:p>
            <w:pPr>
              <w:pStyle w:val="TableParagraph"/>
              <w:spacing w:before="7"/>
              <w:ind w:left="110"/>
              <w:rPr>
                <w:sz w:val="22"/>
              </w:rPr>
            </w:pPr>
            <w:r>
              <w:rPr>
                <w:w w:val="90"/>
                <w:sz w:val="22"/>
              </w:rPr>
              <w:t>Rayón</w:t>
            </w:r>
          </w:p>
        </w:tc>
        <w:tc>
          <w:tcPr>
            <w:tcW w:w="2344" w:type="dxa"/>
            <w:tcBorders>
              <w:top w:val="nil"/>
              <w:left w:val="nil"/>
              <w:bottom w:val="nil"/>
              <w:right w:val="nil"/>
            </w:tcBorders>
          </w:tcPr>
          <w:p>
            <w:pPr>
              <w:pStyle w:val="TableParagraph"/>
              <w:spacing w:before="7"/>
              <w:ind w:right="853"/>
              <w:jc w:val="right"/>
              <w:rPr>
                <w:sz w:val="22"/>
              </w:rPr>
            </w:pPr>
            <w:r>
              <w:rPr>
                <w:w w:val="80"/>
                <w:sz w:val="22"/>
              </w:rPr>
              <w:t>9,024</w:t>
            </w:r>
          </w:p>
        </w:tc>
        <w:tc>
          <w:tcPr>
            <w:tcW w:w="2511" w:type="dxa"/>
            <w:tcBorders>
              <w:top w:val="nil"/>
              <w:left w:val="nil"/>
              <w:bottom w:val="nil"/>
              <w:right w:val="nil"/>
            </w:tcBorders>
          </w:tcPr>
          <w:p>
            <w:pPr>
              <w:pStyle w:val="TableParagraph"/>
              <w:spacing w:before="7"/>
              <w:ind w:right="853"/>
              <w:jc w:val="right"/>
              <w:rPr>
                <w:sz w:val="22"/>
              </w:rPr>
            </w:pPr>
            <w:r>
              <w:rPr>
                <w:w w:val="80"/>
                <w:sz w:val="22"/>
              </w:rPr>
              <w:t>10,953</w:t>
            </w:r>
          </w:p>
        </w:tc>
        <w:tc>
          <w:tcPr>
            <w:tcW w:w="1763" w:type="dxa"/>
            <w:tcBorders>
              <w:top w:val="nil"/>
              <w:left w:val="nil"/>
              <w:bottom w:val="nil"/>
              <w:right w:val="nil"/>
            </w:tcBorders>
          </w:tcPr>
          <w:p>
            <w:pPr>
              <w:pStyle w:val="TableParagraph"/>
              <w:spacing w:before="7"/>
              <w:ind w:right="104"/>
              <w:jc w:val="right"/>
              <w:rPr>
                <w:sz w:val="22"/>
              </w:rPr>
            </w:pPr>
            <w:r>
              <w:rPr>
                <w:w w:val="80"/>
                <w:sz w:val="22"/>
              </w:rPr>
              <w:t>12,748</w:t>
            </w:r>
          </w:p>
        </w:tc>
      </w:tr>
      <w:tr>
        <w:trPr>
          <w:trHeight w:val="288" w:hRule="exact"/>
        </w:trPr>
        <w:tc>
          <w:tcPr>
            <w:tcW w:w="2482" w:type="dxa"/>
            <w:tcBorders>
              <w:top w:val="nil"/>
              <w:left w:val="nil"/>
              <w:bottom w:val="nil"/>
              <w:right w:val="nil"/>
            </w:tcBorders>
          </w:tcPr>
          <w:p>
            <w:pPr>
              <w:pStyle w:val="TableParagraph"/>
              <w:spacing w:before="7"/>
              <w:ind w:left="110"/>
              <w:rPr>
                <w:sz w:val="22"/>
              </w:rPr>
            </w:pPr>
            <w:r>
              <w:rPr>
                <w:w w:val="85"/>
                <w:sz w:val="22"/>
              </w:rPr>
              <w:t>San Antonio la Isla</w:t>
            </w:r>
          </w:p>
        </w:tc>
        <w:tc>
          <w:tcPr>
            <w:tcW w:w="2344" w:type="dxa"/>
            <w:tcBorders>
              <w:top w:val="nil"/>
              <w:left w:val="nil"/>
              <w:bottom w:val="nil"/>
              <w:right w:val="nil"/>
            </w:tcBorders>
          </w:tcPr>
          <w:p>
            <w:pPr>
              <w:pStyle w:val="TableParagraph"/>
              <w:spacing w:before="7"/>
              <w:ind w:right="853"/>
              <w:jc w:val="right"/>
              <w:rPr>
                <w:sz w:val="22"/>
              </w:rPr>
            </w:pPr>
            <w:r>
              <w:rPr>
                <w:w w:val="80"/>
                <w:sz w:val="22"/>
              </w:rPr>
              <w:t>10,321</w:t>
            </w:r>
          </w:p>
        </w:tc>
        <w:tc>
          <w:tcPr>
            <w:tcW w:w="2511" w:type="dxa"/>
            <w:tcBorders>
              <w:top w:val="nil"/>
              <w:left w:val="nil"/>
              <w:bottom w:val="nil"/>
              <w:right w:val="nil"/>
            </w:tcBorders>
          </w:tcPr>
          <w:p>
            <w:pPr>
              <w:pStyle w:val="TableParagraph"/>
              <w:spacing w:before="7"/>
              <w:ind w:right="853"/>
              <w:jc w:val="right"/>
              <w:rPr>
                <w:sz w:val="22"/>
              </w:rPr>
            </w:pPr>
            <w:r>
              <w:rPr>
                <w:w w:val="80"/>
                <w:sz w:val="22"/>
              </w:rPr>
              <w:t>11,313</w:t>
            </w:r>
          </w:p>
        </w:tc>
        <w:tc>
          <w:tcPr>
            <w:tcW w:w="1763" w:type="dxa"/>
            <w:tcBorders>
              <w:top w:val="nil"/>
              <w:left w:val="nil"/>
              <w:bottom w:val="nil"/>
              <w:right w:val="nil"/>
            </w:tcBorders>
          </w:tcPr>
          <w:p>
            <w:pPr>
              <w:pStyle w:val="TableParagraph"/>
              <w:spacing w:before="7"/>
              <w:ind w:right="104"/>
              <w:jc w:val="right"/>
              <w:rPr>
                <w:sz w:val="22"/>
              </w:rPr>
            </w:pPr>
            <w:r>
              <w:rPr>
                <w:w w:val="80"/>
                <w:sz w:val="22"/>
              </w:rPr>
              <w:t>22,152</w:t>
            </w:r>
          </w:p>
        </w:tc>
      </w:tr>
      <w:tr>
        <w:trPr>
          <w:trHeight w:val="288" w:hRule="exact"/>
        </w:trPr>
        <w:tc>
          <w:tcPr>
            <w:tcW w:w="2482" w:type="dxa"/>
            <w:tcBorders>
              <w:top w:val="nil"/>
              <w:left w:val="nil"/>
              <w:bottom w:val="nil"/>
              <w:right w:val="nil"/>
            </w:tcBorders>
          </w:tcPr>
          <w:p>
            <w:pPr>
              <w:pStyle w:val="TableParagraph"/>
              <w:spacing w:before="7"/>
              <w:ind w:left="110"/>
              <w:rPr>
                <w:sz w:val="22"/>
              </w:rPr>
            </w:pPr>
            <w:r>
              <w:rPr>
                <w:w w:val="85"/>
                <w:sz w:val="22"/>
              </w:rPr>
              <w:t>San Mateo Atenco</w:t>
            </w:r>
          </w:p>
        </w:tc>
        <w:tc>
          <w:tcPr>
            <w:tcW w:w="2344" w:type="dxa"/>
            <w:tcBorders>
              <w:top w:val="nil"/>
              <w:left w:val="nil"/>
              <w:bottom w:val="nil"/>
              <w:right w:val="nil"/>
            </w:tcBorders>
          </w:tcPr>
          <w:p>
            <w:pPr>
              <w:pStyle w:val="TableParagraph"/>
              <w:spacing w:before="7"/>
              <w:ind w:right="853"/>
              <w:jc w:val="right"/>
              <w:rPr>
                <w:sz w:val="22"/>
              </w:rPr>
            </w:pPr>
            <w:r>
              <w:rPr>
                <w:w w:val="80"/>
                <w:sz w:val="22"/>
              </w:rPr>
              <w:t>59,674</w:t>
            </w:r>
          </w:p>
        </w:tc>
        <w:tc>
          <w:tcPr>
            <w:tcW w:w="2511" w:type="dxa"/>
            <w:tcBorders>
              <w:top w:val="nil"/>
              <w:left w:val="nil"/>
              <w:bottom w:val="nil"/>
              <w:right w:val="nil"/>
            </w:tcBorders>
          </w:tcPr>
          <w:p>
            <w:pPr>
              <w:pStyle w:val="TableParagraph"/>
              <w:spacing w:before="7"/>
              <w:ind w:right="853"/>
              <w:jc w:val="right"/>
              <w:rPr>
                <w:sz w:val="22"/>
              </w:rPr>
            </w:pPr>
            <w:r>
              <w:rPr>
                <w:w w:val="80"/>
                <w:sz w:val="22"/>
              </w:rPr>
              <w:t>66,740</w:t>
            </w:r>
          </w:p>
        </w:tc>
        <w:tc>
          <w:tcPr>
            <w:tcW w:w="1763" w:type="dxa"/>
            <w:tcBorders>
              <w:top w:val="nil"/>
              <w:left w:val="nil"/>
              <w:bottom w:val="nil"/>
              <w:right w:val="nil"/>
            </w:tcBorders>
          </w:tcPr>
          <w:p>
            <w:pPr>
              <w:pStyle w:val="TableParagraph"/>
              <w:spacing w:before="7"/>
              <w:ind w:right="104"/>
              <w:jc w:val="right"/>
              <w:rPr>
                <w:sz w:val="22"/>
              </w:rPr>
            </w:pPr>
            <w:r>
              <w:rPr>
                <w:w w:val="80"/>
                <w:sz w:val="22"/>
              </w:rPr>
              <w:t>72,579</w:t>
            </w:r>
          </w:p>
        </w:tc>
      </w:tr>
      <w:tr>
        <w:trPr>
          <w:trHeight w:val="288" w:hRule="exact"/>
        </w:trPr>
        <w:tc>
          <w:tcPr>
            <w:tcW w:w="2482" w:type="dxa"/>
            <w:tcBorders>
              <w:top w:val="nil"/>
              <w:left w:val="nil"/>
              <w:bottom w:val="nil"/>
              <w:right w:val="nil"/>
            </w:tcBorders>
          </w:tcPr>
          <w:p>
            <w:pPr>
              <w:pStyle w:val="TableParagraph"/>
              <w:spacing w:before="7"/>
              <w:ind w:left="110"/>
              <w:rPr>
                <w:sz w:val="22"/>
              </w:rPr>
            </w:pPr>
            <w:r>
              <w:rPr>
                <w:w w:val="90"/>
                <w:sz w:val="22"/>
              </w:rPr>
              <w:t>Toluca</w:t>
            </w:r>
          </w:p>
        </w:tc>
        <w:tc>
          <w:tcPr>
            <w:tcW w:w="2344" w:type="dxa"/>
            <w:tcBorders>
              <w:top w:val="nil"/>
              <w:left w:val="nil"/>
              <w:bottom w:val="nil"/>
              <w:right w:val="nil"/>
            </w:tcBorders>
          </w:tcPr>
          <w:p>
            <w:pPr>
              <w:pStyle w:val="TableParagraph"/>
              <w:spacing w:before="7"/>
              <w:ind w:right="853"/>
              <w:jc w:val="right"/>
              <w:rPr>
                <w:sz w:val="22"/>
              </w:rPr>
            </w:pPr>
            <w:r>
              <w:rPr>
                <w:w w:val="80"/>
                <w:sz w:val="22"/>
              </w:rPr>
              <w:t>666,596</w:t>
            </w:r>
          </w:p>
        </w:tc>
        <w:tc>
          <w:tcPr>
            <w:tcW w:w="2511" w:type="dxa"/>
            <w:tcBorders>
              <w:top w:val="nil"/>
              <w:left w:val="nil"/>
              <w:bottom w:val="nil"/>
              <w:right w:val="nil"/>
            </w:tcBorders>
          </w:tcPr>
          <w:p>
            <w:pPr>
              <w:pStyle w:val="TableParagraph"/>
              <w:spacing w:before="7"/>
              <w:ind w:right="853"/>
              <w:jc w:val="right"/>
              <w:rPr>
                <w:sz w:val="22"/>
              </w:rPr>
            </w:pPr>
            <w:r>
              <w:rPr>
                <w:w w:val="80"/>
                <w:sz w:val="22"/>
              </w:rPr>
              <w:t>747,512</w:t>
            </w:r>
          </w:p>
        </w:tc>
        <w:tc>
          <w:tcPr>
            <w:tcW w:w="1763" w:type="dxa"/>
            <w:tcBorders>
              <w:top w:val="nil"/>
              <w:left w:val="nil"/>
              <w:bottom w:val="nil"/>
              <w:right w:val="nil"/>
            </w:tcBorders>
          </w:tcPr>
          <w:p>
            <w:pPr>
              <w:pStyle w:val="TableParagraph"/>
              <w:spacing w:before="7"/>
              <w:ind w:right="104"/>
              <w:jc w:val="right"/>
              <w:rPr>
                <w:sz w:val="22"/>
              </w:rPr>
            </w:pPr>
            <w:r>
              <w:rPr>
                <w:w w:val="80"/>
                <w:sz w:val="22"/>
              </w:rPr>
              <w:t>819,561</w:t>
            </w:r>
          </w:p>
        </w:tc>
      </w:tr>
      <w:tr>
        <w:trPr>
          <w:trHeight w:val="288" w:hRule="exact"/>
        </w:trPr>
        <w:tc>
          <w:tcPr>
            <w:tcW w:w="2482" w:type="dxa"/>
            <w:tcBorders>
              <w:top w:val="nil"/>
              <w:left w:val="nil"/>
              <w:bottom w:val="nil"/>
              <w:right w:val="nil"/>
            </w:tcBorders>
          </w:tcPr>
          <w:p>
            <w:pPr>
              <w:pStyle w:val="TableParagraph"/>
              <w:spacing w:before="7"/>
              <w:ind w:left="110"/>
              <w:rPr>
                <w:sz w:val="22"/>
              </w:rPr>
            </w:pPr>
            <w:r>
              <w:rPr>
                <w:w w:val="90"/>
                <w:sz w:val="22"/>
              </w:rPr>
              <w:t>Xonacatlan</w:t>
            </w:r>
          </w:p>
        </w:tc>
        <w:tc>
          <w:tcPr>
            <w:tcW w:w="2344" w:type="dxa"/>
            <w:tcBorders>
              <w:top w:val="nil"/>
              <w:left w:val="nil"/>
              <w:bottom w:val="nil"/>
              <w:right w:val="nil"/>
            </w:tcBorders>
          </w:tcPr>
          <w:p>
            <w:pPr>
              <w:pStyle w:val="TableParagraph"/>
              <w:spacing w:before="7"/>
              <w:ind w:right="853"/>
              <w:jc w:val="right"/>
              <w:rPr>
                <w:sz w:val="22"/>
              </w:rPr>
            </w:pPr>
            <w:r>
              <w:rPr>
                <w:w w:val="80"/>
                <w:sz w:val="22"/>
              </w:rPr>
              <w:t>41,402</w:t>
            </w:r>
          </w:p>
        </w:tc>
        <w:tc>
          <w:tcPr>
            <w:tcW w:w="2511" w:type="dxa"/>
            <w:tcBorders>
              <w:top w:val="nil"/>
              <w:left w:val="nil"/>
              <w:bottom w:val="nil"/>
              <w:right w:val="nil"/>
            </w:tcBorders>
          </w:tcPr>
          <w:p>
            <w:pPr>
              <w:pStyle w:val="TableParagraph"/>
              <w:spacing w:before="7"/>
              <w:ind w:right="853"/>
              <w:jc w:val="right"/>
              <w:rPr>
                <w:sz w:val="22"/>
              </w:rPr>
            </w:pPr>
            <w:r>
              <w:rPr>
                <w:w w:val="80"/>
                <w:sz w:val="22"/>
              </w:rPr>
              <w:t>45,274</w:t>
            </w:r>
          </w:p>
        </w:tc>
        <w:tc>
          <w:tcPr>
            <w:tcW w:w="1763" w:type="dxa"/>
            <w:tcBorders>
              <w:top w:val="nil"/>
              <w:left w:val="nil"/>
              <w:bottom w:val="nil"/>
              <w:right w:val="nil"/>
            </w:tcBorders>
          </w:tcPr>
          <w:p>
            <w:pPr>
              <w:pStyle w:val="TableParagraph"/>
              <w:spacing w:before="7"/>
              <w:ind w:right="104"/>
              <w:jc w:val="right"/>
              <w:rPr>
                <w:sz w:val="22"/>
              </w:rPr>
            </w:pPr>
            <w:r>
              <w:rPr>
                <w:w w:val="80"/>
                <w:sz w:val="22"/>
              </w:rPr>
              <w:t>46,331</w:t>
            </w:r>
          </w:p>
        </w:tc>
      </w:tr>
      <w:tr>
        <w:trPr>
          <w:trHeight w:val="319" w:hRule="exact"/>
        </w:trPr>
        <w:tc>
          <w:tcPr>
            <w:tcW w:w="2482" w:type="dxa"/>
            <w:tcBorders>
              <w:top w:val="nil"/>
              <w:left w:val="nil"/>
              <w:right w:val="nil"/>
            </w:tcBorders>
          </w:tcPr>
          <w:p>
            <w:pPr>
              <w:pStyle w:val="TableParagraph"/>
              <w:spacing w:before="7"/>
              <w:ind w:left="110"/>
              <w:rPr>
                <w:sz w:val="22"/>
              </w:rPr>
            </w:pPr>
            <w:r>
              <w:rPr>
                <w:w w:val="90"/>
                <w:sz w:val="22"/>
              </w:rPr>
              <w:t>Zinacantepec</w:t>
            </w:r>
          </w:p>
        </w:tc>
        <w:tc>
          <w:tcPr>
            <w:tcW w:w="2344" w:type="dxa"/>
            <w:tcBorders>
              <w:top w:val="nil"/>
              <w:left w:val="nil"/>
              <w:right w:val="nil"/>
            </w:tcBorders>
          </w:tcPr>
          <w:p>
            <w:pPr>
              <w:pStyle w:val="TableParagraph"/>
              <w:spacing w:before="7"/>
              <w:ind w:right="853"/>
              <w:jc w:val="right"/>
              <w:rPr>
                <w:sz w:val="22"/>
              </w:rPr>
            </w:pPr>
            <w:r>
              <w:rPr>
                <w:w w:val="80"/>
                <w:sz w:val="22"/>
              </w:rPr>
              <w:t>121,850</w:t>
            </w:r>
          </w:p>
        </w:tc>
        <w:tc>
          <w:tcPr>
            <w:tcW w:w="2511" w:type="dxa"/>
            <w:tcBorders>
              <w:top w:val="nil"/>
              <w:left w:val="nil"/>
              <w:right w:val="nil"/>
            </w:tcBorders>
          </w:tcPr>
          <w:p>
            <w:pPr>
              <w:pStyle w:val="TableParagraph"/>
              <w:spacing w:before="7"/>
              <w:ind w:right="853"/>
              <w:jc w:val="right"/>
              <w:rPr>
                <w:sz w:val="22"/>
              </w:rPr>
            </w:pPr>
            <w:r>
              <w:rPr>
                <w:w w:val="80"/>
                <w:sz w:val="22"/>
              </w:rPr>
              <w:t>136,167</w:t>
            </w:r>
          </w:p>
        </w:tc>
        <w:tc>
          <w:tcPr>
            <w:tcW w:w="1763" w:type="dxa"/>
            <w:tcBorders>
              <w:top w:val="nil"/>
              <w:left w:val="nil"/>
              <w:right w:val="nil"/>
            </w:tcBorders>
          </w:tcPr>
          <w:p>
            <w:pPr>
              <w:pStyle w:val="TableParagraph"/>
              <w:spacing w:before="7"/>
              <w:ind w:right="104"/>
              <w:jc w:val="right"/>
              <w:rPr>
                <w:sz w:val="22"/>
              </w:rPr>
            </w:pPr>
            <w:r>
              <w:rPr>
                <w:w w:val="80"/>
                <w:sz w:val="22"/>
              </w:rPr>
              <w:t>167,759</w:t>
            </w:r>
          </w:p>
        </w:tc>
      </w:tr>
    </w:tbl>
    <w:p>
      <w:pPr>
        <w:spacing w:line="215" w:lineRule="exact" w:before="0"/>
        <w:ind w:left="119" w:right="0" w:firstLine="0"/>
        <w:jc w:val="both"/>
        <w:rPr>
          <w:sz w:val="20"/>
        </w:rPr>
      </w:pPr>
      <w:r>
        <w:rPr>
          <w:sz w:val="20"/>
        </w:rPr>
        <w:t>Fuente: COESPO con base en INEGI 2010.</w:t>
      </w:r>
    </w:p>
    <w:p>
      <w:pPr>
        <w:pStyle w:val="BodyText"/>
        <w:spacing w:before="8"/>
        <w:rPr>
          <w:sz w:val="19"/>
        </w:rPr>
      </w:pPr>
    </w:p>
    <w:p>
      <w:pPr>
        <w:pStyle w:val="Heading1"/>
        <w:numPr>
          <w:ilvl w:val="2"/>
          <w:numId w:val="18"/>
        </w:numPr>
        <w:tabs>
          <w:tab w:pos="1489" w:val="left" w:leader="none"/>
        </w:tabs>
        <w:spacing w:line="240" w:lineRule="auto" w:before="1" w:after="0"/>
        <w:ind w:left="1488" w:right="0" w:hanging="648"/>
        <w:jc w:val="left"/>
      </w:pPr>
      <w:bookmarkStart w:name="_TOC_250018" w:id="36"/>
      <w:r>
        <w:rPr/>
        <w:t>Clasificación  de la vulnerabilidad poblacional de la</w:t>
      </w:r>
      <w:r>
        <w:rPr>
          <w:spacing w:val="-22"/>
        </w:rPr>
        <w:t> </w:t>
      </w:r>
      <w:bookmarkEnd w:id="36"/>
      <w:r>
        <w:rPr/>
        <w:t>ZMT.</w:t>
      </w:r>
    </w:p>
    <w:p>
      <w:pPr>
        <w:pStyle w:val="BodyText"/>
        <w:rPr>
          <w:b/>
          <w:sz w:val="26"/>
        </w:rPr>
      </w:pPr>
    </w:p>
    <w:p>
      <w:pPr>
        <w:pStyle w:val="BodyText"/>
        <w:spacing w:line="360" w:lineRule="auto" w:before="189"/>
        <w:ind w:left="119" w:right="355"/>
        <w:jc w:val="both"/>
      </w:pPr>
      <w:r>
        <w:rPr/>
        <w:t>De</w:t>
      </w:r>
      <w:r>
        <w:rPr>
          <w:spacing w:val="-9"/>
        </w:rPr>
        <w:t> </w:t>
      </w:r>
      <w:r>
        <w:rPr/>
        <w:t>acuerdo</w:t>
      </w:r>
      <w:r>
        <w:rPr>
          <w:spacing w:val="-10"/>
        </w:rPr>
        <w:t> </w:t>
      </w:r>
      <w:r>
        <w:rPr/>
        <w:t>a</w:t>
      </w:r>
      <w:r>
        <w:rPr>
          <w:spacing w:val="-15"/>
        </w:rPr>
        <w:t> </w:t>
      </w:r>
      <w:r>
        <w:rPr/>
        <w:t>los</w:t>
      </w:r>
      <w:r>
        <w:rPr>
          <w:spacing w:val="-11"/>
        </w:rPr>
        <w:t> </w:t>
      </w:r>
      <w:r>
        <w:rPr/>
        <w:t>datos</w:t>
      </w:r>
      <w:r>
        <w:rPr>
          <w:spacing w:val="-11"/>
        </w:rPr>
        <w:t> </w:t>
      </w:r>
      <w:r>
        <w:rPr/>
        <w:t>anteriores</w:t>
      </w:r>
      <w:r>
        <w:rPr>
          <w:spacing w:val="-11"/>
        </w:rPr>
        <w:t> </w:t>
      </w:r>
      <w:r>
        <w:rPr/>
        <w:t>ser</w:t>
      </w:r>
      <w:r>
        <w:rPr>
          <w:spacing w:val="-9"/>
        </w:rPr>
        <w:t> </w:t>
      </w:r>
      <w:r>
        <w:rPr/>
        <w:t>realizo</w:t>
      </w:r>
      <w:r>
        <w:rPr>
          <w:spacing w:val="-15"/>
        </w:rPr>
        <w:t> </w:t>
      </w:r>
      <w:r>
        <w:rPr/>
        <w:t>la</w:t>
      </w:r>
      <w:r>
        <w:rPr>
          <w:spacing w:val="-3"/>
        </w:rPr>
        <w:t> </w:t>
      </w:r>
      <w:r>
        <w:rPr/>
        <w:t>vulnerabilidad</w:t>
      </w:r>
      <w:r>
        <w:rPr>
          <w:spacing w:val="-10"/>
        </w:rPr>
        <w:t> </w:t>
      </w:r>
      <w:r>
        <w:rPr/>
        <w:t>poblacional</w:t>
      </w:r>
      <w:r>
        <w:rPr>
          <w:spacing w:val="-6"/>
        </w:rPr>
        <w:t> </w:t>
      </w:r>
      <w:r>
        <w:rPr/>
        <w:t>la</w:t>
      </w:r>
      <w:r>
        <w:rPr>
          <w:spacing w:val="-10"/>
        </w:rPr>
        <w:t> </w:t>
      </w:r>
      <w:r>
        <w:rPr/>
        <w:t>cual</w:t>
      </w:r>
      <w:r>
        <w:rPr>
          <w:spacing w:val="-6"/>
        </w:rPr>
        <w:t> </w:t>
      </w:r>
      <w:r>
        <w:rPr/>
        <w:t>se obtiene a partir de la densidad de población, donde los municipios de Almoloya de Juárez, Metepec, Toluca y Zinacantepec se clasificaron con una vulnerabilidad alta que corresponde al 64.3% de la ZMT y cubren una superficie de 1305.49 km</w:t>
      </w:r>
      <w:r>
        <w:rPr>
          <w:position w:val="8"/>
          <w:sz w:val="16"/>
        </w:rPr>
        <w:t>2</w:t>
      </w:r>
      <w:r>
        <w:rPr/>
        <w:t>, mientras que la vulnerabilidad media es de únicamente de 10.39% del total de la ZMT. Los municipios que presentaron una vulnerabilidad</w:t>
      </w:r>
      <w:r>
        <w:rPr>
          <w:spacing w:val="-33"/>
        </w:rPr>
        <w:t> </w:t>
      </w:r>
      <w:r>
        <w:rPr/>
        <w:t>baja</w:t>
      </w:r>
    </w:p>
    <w:p>
      <w:pPr>
        <w:spacing w:after="0" w:line="360" w:lineRule="auto"/>
        <w:jc w:val="both"/>
        <w:sectPr>
          <w:pgSz w:w="12240" w:h="15840"/>
          <w:pgMar w:header="0" w:footer="1031" w:top="1500" w:bottom="1220" w:left="1580" w:right="1340"/>
        </w:sectPr>
      </w:pPr>
    </w:p>
    <w:p>
      <w:pPr>
        <w:pStyle w:val="BodyText"/>
        <w:spacing w:line="362" w:lineRule="auto" w:before="52"/>
        <w:ind w:left="119" w:right="796"/>
      </w:pPr>
      <w:r>
        <w:rPr/>
        <w:t>Aplicando el método EMC al factor poblacional se obtuvieron los siguientes resultados:</w:t>
      </w:r>
    </w:p>
    <w:p>
      <w:pPr>
        <w:pStyle w:val="BodyText"/>
        <w:spacing w:before="10"/>
        <w:rPr>
          <w:sz w:val="35"/>
        </w:rPr>
      </w:pPr>
    </w:p>
    <w:p>
      <w:pPr>
        <w:spacing w:before="0"/>
        <w:ind w:left="1896" w:right="0" w:firstLine="0"/>
        <w:jc w:val="left"/>
        <w:rPr>
          <w:sz w:val="22"/>
        </w:rPr>
      </w:pPr>
      <w:r>
        <w:rPr>
          <w:sz w:val="22"/>
        </w:rPr>
        <w:t>Mapa 7. Clasificación de la vulnerabilidad poblacional.</w:t>
      </w:r>
    </w:p>
    <w:p>
      <w:pPr>
        <w:pStyle w:val="BodyText"/>
        <w:spacing w:before="7"/>
        <w:rPr>
          <w:sz w:val="19"/>
        </w:rPr>
      </w:pPr>
      <w:r>
        <w:rPr/>
        <w:drawing>
          <wp:anchor distT="0" distB="0" distL="0" distR="0" allowOverlap="1" layoutInCell="1" locked="0" behindDoc="0" simplePos="0" relativeHeight="1720">
            <wp:simplePos x="0" y="0"/>
            <wp:positionH relativeFrom="page">
              <wp:posOffset>1072514</wp:posOffset>
            </wp:positionH>
            <wp:positionV relativeFrom="paragraph">
              <wp:posOffset>168515</wp:posOffset>
            </wp:positionV>
            <wp:extent cx="5486522" cy="4219575"/>
            <wp:effectExtent l="0" t="0" r="0" b="0"/>
            <wp:wrapTopAndBottom/>
            <wp:docPr id="29" name="image34.jpeg" descr=""/>
            <wp:cNvGraphicFramePr>
              <a:graphicFrameLocks noChangeAspect="1"/>
            </wp:cNvGraphicFramePr>
            <a:graphic>
              <a:graphicData uri="http://schemas.openxmlformats.org/drawingml/2006/picture">
                <pic:pic>
                  <pic:nvPicPr>
                    <pic:cNvPr id="30" name="image34.jpeg"/>
                    <pic:cNvPicPr/>
                  </pic:nvPicPr>
                  <pic:blipFill>
                    <a:blip r:embed="rId47" cstate="print"/>
                    <a:stretch>
                      <a:fillRect/>
                    </a:stretch>
                  </pic:blipFill>
                  <pic:spPr>
                    <a:xfrm>
                      <a:off x="0" y="0"/>
                      <a:ext cx="5486522" cy="4219575"/>
                    </a:xfrm>
                    <a:prstGeom prst="rect">
                      <a:avLst/>
                    </a:prstGeom>
                  </pic:spPr>
                </pic:pic>
              </a:graphicData>
            </a:graphic>
          </wp:anchor>
        </w:drawing>
      </w:r>
    </w:p>
    <w:p>
      <w:pPr>
        <w:pStyle w:val="BodyText"/>
        <w:spacing w:before="9"/>
        <w:rPr>
          <w:sz w:val="18"/>
        </w:rPr>
      </w:pPr>
    </w:p>
    <w:p>
      <w:pPr>
        <w:spacing w:before="0"/>
        <w:ind w:left="825" w:right="0" w:firstLine="0"/>
        <w:jc w:val="left"/>
        <w:rPr>
          <w:sz w:val="20"/>
        </w:rPr>
      </w:pPr>
      <w:r>
        <w:rPr>
          <w:sz w:val="20"/>
        </w:rPr>
        <w:t>Fuente: Elaboración propia con base en INEGI (2005)</w:t>
      </w:r>
    </w:p>
    <w:p>
      <w:pPr>
        <w:spacing w:after="0"/>
        <w:jc w:val="left"/>
        <w:rPr>
          <w:sz w:val="20"/>
        </w:rPr>
        <w:sectPr>
          <w:pgSz w:w="12240" w:h="15840"/>
          <w:pgMar w:header="0" w:footer="1031" w:top="1360" w:bottom="1220" w:left="1580" w:right="1720"/>
        </w:sectPr>
      </w:pPr>
    </w:p>
    <w:p>
      <w:pPr>
        <w:pStyle w:val="Heading2"/>
        <w:spacing w:line="276" w:lineRule="auto" w:before="47"/>
        <w:ind w:left="3577" w:right="70" w:hanging="2824"/>
        <w:jc w:val="left"/>
      </w:pPr>
      <w:bookmarkStart w:name="_TOC_250017" w:id="37"/>
      <w:bookmarkEnd w:id="37"/>
      <w:r>
        <w:rPr/>
        <w:t>CAPÍTULO 4. IDENTIFICACIÓN DE LAS ZONAS DE RIESGOS POR INUNDACIONES.</w:t>
      </w:r>
    </w:p>
    <w:p>
      <w:pPr>
        <w:pStyle w:val="BodyText"/>
        <w:rPr>
          <w:b/>
        </w:rPr>
      </w:pPr>
    </w:p>
    <w:p>
      <w:pPr>
        <w:pStyle w:val="BodyText"/>
        <w:spacing w:before="4"/>
        <w:rPr>
          <w:b/>
          <w:sz w:val="35"/>
        </w:rPr>
      </w:pPr>
    </w:p>
    <w:p>
      <w:pPr>
        <w:pStyle w:val="BodyText"/>
        <w:spacing w:line="360" w:lineRule="auto"/>
        <w:ind w:left="119" w:right="115"/>
        <w:jc w:val="both"/>
      </w:pPr>
      <w:r>
        <w:rPr/>
        <w:t>En </w:t>
      </w:r>
      <w:r>
        <w:rPr>
          <w:spacing w:val="3"/>
        </w:rPr>
        <w:t>este </w:t>
      </w:r>
      <w:r>
        <w:rPr>
          <w:spacing w:val="4"/>
        </w:rPr>
        <w:t>capítulo </w:t>
      </w:r>
      <w:r>
        <w:rPr/>
        <w:t>se </w:t>
      </w:r>
      <w:r>
        <w:rPr>
          <w:spacing w:val="4"/>
        </w:rPr>
        <w:t>identifican las </w:t>
      </w:r>
      <w:r>
        <w:rPr>
          <w:spacing w:val="3"/>
        </w:rPr>
        <w:t>zonas </w:t>
      </w:r>
      <w:r>
        <w:rPr>
          <w:spacing w:val="2"/>
        </w:rPr>
        <w:t>de </w:t>
      </w:r>
      <w:r>
        <w:rPr>
          <w:spacing w:val="3"/>
        </w:rPr>
        <w:t>riesgo </w:t>
      </w:r>
      <w:r>
        <w:rPr>
          <w:spacing w:val="2"/>
        </w:rPr>
        <w:t>de </w:t>
      </w:r>
      <w:r>
        <w:rPr>
          <w:spacing w:val="4"/>
        </w:rPr>
        <w:t>la </w:t>
      </w:r>
      <w:r>
        <w:rPr>
          <w:spacing w:val="2"/>
        </w:rPr>
        <w:t>ZMT </w:t>
      </w:r>
      <w:r>
        <w:rPr>
          <w:spacing w:val="3"/>
        </w:rPr>
        <w:t>por </w:t>
      </w:r>
      <w:r>
        <w:rPr>
          <w:spacing w:val="5"/>
        </w:rPr>
        <w:t>inundaciones, </w:t>
      </w:r>
      <w:r>
        <w:rPr>
          <w:spacing w:val="4"/>
        </w:rPr>
        <w:t>lo </w:t>
      </w:r>
      <w:r>
        <w:rPr>
          <w:spacing w:val="2"/>
        </w:rPr>
        <w:t>cual </w:t>
      </w:r>
      <w:r>
        <w:rPr/>
        <w:t>se </w:t>
      </w:r>
      <w:r>
        <w:rPr>
          <w:spacing w:val="3"/>
        </w:rPr>
        <w:t>realizó por </w:t>
      </w:r>
      <w:r>
        <w:rPr>
          <w:spacing w:val="2"/>
        </w:rPr>
        <w:t>medio de </w:t>
      </w:r>
      <w:r>
        <w:rPr>
          <w:spacing w:val="4"/>
        </w:rPr>
        <w:t>los </w:t>
      </w:r>
      <w:r>
        <w:rPr>
          <w:spacing w:val="2"/>
        </w:rPr>
        <w:t>SIG </w:t>
      </w:r>
      <w:r>
        <w:rPr/>
        <w:t>utilizando el método EMC. Posteriormente el</w:t>
      </w:r>
      <w:r>
        <w:rPr>
          <w:spacing w:val="-12"/>
        </w:rPr>
        <w:t> </w:t>
      </w:r>
      <w:r>
        <w:rPr/>
        <w:t>método</w:t>
      </w:r>
      <w:r>
        <w:rPr>
          <w:spacing w:val="-14"/>
        </w:rPr>
        <w:t> </w:t>
      </w:r>
      <w:r>
        <w:rPr/>
        <w:t>y</w:t>
      </w:r>
      <w:r>
        <w:rPr>
          <w:spacing w:val="-16"/>
        </w:rPr>
        <w:t> </w:t>
      </w:r>
      <w:r>
        <w:rPr/>
        <w:t>los</w:t>
      </w:r>
      <w:r>
        <w:rPr>
          <w:spacing w:val="-16"/>
        </w:rPr>
        <w:t> </w:t>
      </w:r>
      <w:r>
        <w:rPr>
          <w:spacing w:val="-2"/>
        </w:rPr>
        <w:t>mismos</w:t>
      </w:r>
      <w:r>
        <w:rPr>
          <w:spacing w:val="-16"/>
        </w:rPr>
        <w:t> </w:t>
      </w:r>
      <w:r>
        <w:rPr/>
        <w:t>parámetro</w:t>
      </w:r>
      <w:r>
        <w:rPr>
          <w:spacing w:val="-12"/>
        </w:rPr>
        <w:t> </w:t>
      </w:r>
      <w:r>
        <w:rPr/>
        <w:t>se</w:t>
      </w:r>
      <w:r>
        <w:rPr>
          <w:spacing w:val="-15"/>
        </w:rPr>
        <w:t> </w:t>
      </w:r>
      <w:r>
        <w:rPr/>
        <w:t>aplicaron</w:t>
      </w:r>
      <w:r>
        <w:rPr>
          <w:spacing w:val="-15"/>
        </w:rPr>
        <w:t> </w:t>
      </w:r>
      <w:r>
        <w:rPr/>
        <w:t>a</w:t>
      </w:r>
      <w:r>
        <w:rPr>
          <w:spacing w:val="-16"/>
        </w:rPr>
        <w:t> </w:t>
      </w:r>
      <w:r>
        <w:rPr/>
        <w:t>un</w:t>
      </w:r>
      <w:r>
        <w:rPr>
          <w:spacing w:val="-16"/>
        </w:rPr>
        <w:t> </w:t>
      </w:r>
      <w:r>
        <w:rPr/>
        <w:t>municipio</w:t>
      </w:r>
      <w:r>
        <w:rPr>
          <w:spacing w:val="-16"/>
        </w:rPr>
        <w:t> </w:t>
      </w:r>
      <w:r>
        <w:rPr/>
        <w:t>de</w:t>
      </w:r>
      <w:r>
        <w:rPr>
          <w:spacing w:val="-20"/>
        </w:rPr>
        <w:t> </w:t>
      </w:r>
      <w:r>
        <w:rPr/>
        <w:t>la</w:t>
      </w:r>
      <w:r>
        <w:rPr>
          <w:spacing w:val="-16"/>
        </w:rPr>
        <w:t> </w:t>
      </w:r>
      <w:r>
        <w:rPr/>
        <w:t>ZMT</w:t>
      </w:r>
      <w:r>
        <w:rPr>
          <w:spacing w:val="42"/>
        </w:rPr>
        <w:t> </w:t>
      </w:r>
      <w:r>
        <w:rPr/>
        <w:t>clasificado anteriormente con un alto riesgo a inundaciones, lo anterior con el fin de que la investigación contribuyan en la </w:t>
      </w:r>
      <w:r>
        <w:rPr>
          <w:spacing w:val="-4"/>
        </w:rPr>
        <w:t>toma </w:t>
      </w:r>
      <w:r>
        <w:rPr/>
        <w:t>de decisiones en los campos de la protección civil, el desarrollo regional y la seguridad pública, así como la incorporación en los planes de desarrollo urbano y ordenamiento territorial con una visión de</w:t>
      </w:r>
      <w:r>
        <w:rPr>
          <w:spacing w:val="-33"/>
        </w:rPr>
        <w:t> </w:t>
      </w:r>
      <w:r>
        <w:rPr/>
        <w:t>riesgo.</w:t>
      </w:r>
    </w:p>
    <w:p>
      <w:pPr>
        <w:pStyle w:val="BodyText"/>
        <w:spacing w:before="2"/>
        <w:rPr>
          <w:sz w:val="21"/>
        </w:rPr>
      </w:pPr>
    </w:p>
    <w:p>
      <w:pPr>
        <w:pStyle w:val="Heading2"/>
        <w:spacing w:line="274" w:lineRule="exact"/>
        <w:ind w:left="696" w:right="70" w:hanging="577"/>
        <w:jc w:val="left"/>
      </w:pPr>
      <w:bookmarkStart w:name="_TOC_250016" w:id="38"/>
      <w:bookmarkEnd w:id="38"/>
      <w:r>
        <w:rPr/>
        <w:t>4.1 Clasificación de la vulnerabilidad con base al índice de marginación de la ZMT.</w:t>
      </w:r>
    </w:p>
    <w:p>
      <w:pPr>
        <w:pStyle w:val="BodyText"/>
        <w:rPr>
          <w:b/>
        </w:rPr>
      </w:pPr>
    </w:p>
    <w:p>
      <w:pPr>
        <w:pStyle w:val="BodyText"/>
        <w:spacing w:line="360" w:lineRule="auto" w:before="203"/>
        <w:ind w:left="119" w:right="115"/>
        <w:jc w:val="both"/>
      </w:pPr>
      <w:r>
        <w:rPr/>
        <w:t>Existen modelos conceptuales, como el “modelo de acceso”, en el que a diferencia del</w:t>
      </w:r>
      <w:r>
        <w:rPr>
          <w:spacing w:val="-11"/>
        </w:rPr>
        <w:t> </w:t>
      </w:r>
      <w:r>
        <w:rPr/>
        <w:t>anterior,</w:t>
      </w:r>
      <w:r>
        <w:rPr>
          <w:spacing w:val="-15"/>
        </w:rPr>
        <w:t> </w:t>
      </w:r>
      <w:r>
        <w:rPr/>
        <w:t>se</w:t>
      </w:r>
      <w:r>
        <w:rPr>
          <w:spacing w:val="-15"/>
        </w:rPr>
        <w:t> </w:t>
      </w:r>
      <w:r>
        <w:rPr/>
        <w:t>propone</w:t>
      </w:r>
      <w:r>
        <w:rPr>
          <w:spacing w:val="-15"/>
        </w:rPr>
        <w:t> </w:t>
      </w:r>
      <w:r>
        <w:rPr/>
        <w:t>que</w:t>
      </w:r>
      <w:r>
        <w:rPr>
          <w:spacing w:val="-15"/>
        </w:rPr>
        <w:t> </w:t>
      </w:r>
      <w:r>
        <w:rPr/>
        <w:t>el</w:t>
      </w:r>
      <w:r>
        <w:rPr>
          <w:spacing w:val="-16"/>
        </w:rPr>
        <w:t> </w:t>
      </w:r>
      <w:r>
        <w:rPr/>
        <w:t>riesgo</w:t>
      </w:r>
      <w:r>
        <w:rPr>
          <w:spacing w:val="-15"/>
        </w:rPr>
        <w:t> </w:t>
      </w:r>
      <w:r>
        <w:rPr/>
        <w:t>se</w:t>
      </w:r>
      <w:r>
        <w:rPr>
          <w:spacing w:val="-15"/>
        </w:rPr>
        <w:t> </w:t>
      </w:r>
      <w:r>
        <w:rPr/>
        <w:t>genera,</w:t>
      </w:r>
      <w:r>
        <w:rPr>
          <w:spacing w:val="-15"/>
        </w:rPr>
        <w:t> </w:t>
      </w:r>
      <w:r>
        <w:rPr/>
        <w:t>desde</w:t>
      </w:r>
      <w:r>
        <w:rPr>
          <w:spacing w:val="-19"/>
        </w:rPr>
        <w:t> </w:t>
      </w:r>
      <w:r>
        <w:rPr/>
        <w:t>lo</w:t>
      </w:r>
      <w:r>
        <w:rPr>
          <w:spacing w:val="-19"/>
        </w:rPr>
        <w:t> </w:t>
      </w:r>
      <w:r>
        <w:rPr/>
        <w:t>local</w:t>
      </w:r>
      <w:r>
        <w:rPr>
          <w:spacing w:val="-11"/>
        </w:rPr>
        <w:t> </w:t>
      </w:r>
      <w:r>
        <w:rPr/>
        <w:t>hacia</w:t>
      </w:r>
      <w:r>
        <w:rPr>
          <w:spacing w:val="-19"/>
        </w:rPr>
        <w:t> </w:t>
      </w:r>
      <w:r>
        <w:rPr/>
        <w:t>lo</w:t>
      </w:r>
      <w:r>
        <w:rPr>
          <w:spacing w:val="-15"/>
        </w:rPr>
        <w:t> </w:t>
      </w:r>
      <w:r>
        <w:rPr/>
        <w:t>global,</w:t>
      </w:r>
      <w:r>
        <w:rPr>
          <w:spacing w:val="-15"/>
        </w:rPr>
        <w:t> </w:t>
      </w:r>
      <w:r>
        <w:rPr>
          <w:spacing w:val="-4"/>
        </w:rPr>
        <w:t>como </w:t>
      </w:r>
      <w:r>
        <w:rPr/>
        <w:t>resultado de las dificultades que algunos grupos sociales o familias tienen problemas para acceder a ciertos recursos a lo largo del tiempo. Se intenta identificar las limitaciones y las facilidades a través de los cuales </w:t>
      </w:r>
      <w:r>
        <w:rPr>
          <w:spacing w:val="-3"/>
        </w:rPr>
        <w:t>se </w:t>
      </w:r>
      <w:r>
        <w:rPr/>
        <w:t>logra la acumulación o la disminución de capacidades importantes ante el potencial de un desastre (Wisner et al. 1976; Pelanda 1981; </w:t>
      </w:r>
      <w:r>
        <w:rPr>
          <w:spacing w:val="-3"/>
        </w:rPr>
        <w:t>Sen </w:t>
      </w:r>
      <w:r>
        <w:rPr/>
        <w:t>1981; Chambers 1989; Parker</w:t>
      </w:r>
      <w:r>
        <w:rPr>
          <w:spacing w:val="-42"/>
        </w:rPr>
        <w:t> </w:t>
      </w:r>
      <w:r>
        <w:rPr/>
        <w:t>91; Winchester 1992; Saavedra 1996). Su argumento se fundamenta en el hecho de que ante una igual amenaza o ante el </w:t>
      </w:r>
      <w:r>
        <w:rPr>
          <w:spacing w:val="-3"/>
        </w:rPr>
        <w:t>mismo </w:t>
      </w:r>
      <w:r>
        <w:rPr/>
        <w:t>potencial de daño físico, el riesgo de las familias puede ser diferente dependiendo de la capacidad de cada una de absorber</w:t>
      </w:r>
      <w:r>
        <w:rPr>
          <w:spacing w:val="-6"/>
        </w:rPr>
        <w:t> </w:t>
      </w:r>
      <w:r>
        <w:rPr/>
        <w:t>el</w:t>
      </w:r>
      <w:r>
        <w:rPr>
          <w:spacing w:val="-8"/>
        </w:rPr>
        <w:t> </w:t>
      </w:r>
      <w:r>
        <w:rPr/>
        <w:t>impacto.</w:t>
      </w:r>
      <w:r>
        <w:rPr>
          <w:spacing w:val="-7"/>
        </w:rPr>
        <w:t> </w:t>
      </w:r>
      <w:r>
        <w:rPr/>
        <w:t>Aunque</w:t>
      </w:r>
      <w:r>
        <w:rPr>
          <w:spacing w:val="-7"/>
        </w:rPr>
        <w:t> </w:t>
      </w:r>
      <w:r>
        <w:rPr/>
        <w:t>algunos</w:t>
      </w:r>
      <w:r>
        <w:rPr>
          <w:spacing w:val="-8"/>
        </w:rPr>
        <w:t> </w:t>
      </w:r>
      <w:r>
        <w:rPr/>
        <w:t>consideran</w:t>
      </w:r>
      <w:r>
        <w:rPr>
          <w:spacing w:val="-7"/>
        </w:rPr>
        <w:t> </w:t>
      </w:r>
      <w:r>
        <w:rPr/>
        <w:t>que</w:t>
      </w:r>
      <w:r>
        <w:rPr>
          <w:spacing w:val="-12"/>
        </w:rPr>
        <w:t> </w:t>
      </w:r>
      <w:r>
        <w:rPr/>
        <w:t>la</w:t>
      </w:r>
      <w:r>
        <w:rPr>
          <w:spacing w:val="-7"/>
        </w:rPr>
        <w:t> </w:t>
      </w:r>
      <w:r>
        <w:rPr/>
        <w:t>vulnerabilidad,</w:t>
      </w:r>
      <w:r>
        <w:rPr>
          <w:spacing w:val="-7"/>
        </w:rPr>
        <w:t> </w:t>
      </w:r>
      <w:r>
        <w:rPr/>
        <w:t>vista</w:t>
      </w:r>
      <w:r>
        <w:rPr>
          <w:spacing w:val="-7"/>
        </w:rPr>
        <w:t> </w:t>
      </w:r>
      <w:r>
        <w:rPr/>
        <w:t>así,</w:t>
      </w:r>
      <w:r>
        <w:rPr>
          <w:spacing w:val="-7"/>
        </w:rPr>
        <w:t> </w:t>
      </w:r>
      <w:r>
        <w:rPr/>
        <w:t>es un sinónimo de pobreza, quienes postulan el modelo indican que la pobreza se refiere</w:t>
      </w:r>
      <w:r>
        <w:rPr>
          <w:spacing w:val="-19"/>
        </w:rPr>
        <w:t> </w:t>
      </w:r>
      <w:r>
        <w:rPr/>
        <w:t>a</w:t>
      </w:r>
      <w:r>
        <w:rPr>
          <w:spacing w:val="-19"/>
        </w:rPr>
        <w:t> </w:t>
      </w:r>
      <w:r>
        <w:rPr/>
        <w:t>necesidades</w:t>
      </w:r>
      <w:r>
        <w:rPr>
          <w:spacing w:val="-20"/>
        </w:rPr>
        <w:t> </w:t>
      </w:r>
      <w:r>
        <w:rPr/>
        <w:t>básicas</w:t>
      </w:r>
      <w:r>
        <w:rPr>
          <w:spacing w:val="-20"/>
        </w:rPr>
        <w:t> </w:t>
      </w:r>
      <w:r>
        <w:rPr/>
        <w:t>insatisfechas</w:t>
      </w:r>
      <w:r>
        <w:rPr>
          <w:spacing w:val="-20"/>
        </w:rPr>
        <w:t> </w:t>
      </w:r>
      <w:r>
        <w:rPr/>
        <w:t>y</w:t>
      </w:r>
      <w:r>
        <w:rPr>
          <w:spacing w:val="-20"/>
        </w:rPr>
        <w:t> </w:t>
      </w:r>
      <w:r>
        <w:rPr/>
        <w:t>restricciones</w:t>
      </w:r>
      <w:r>
        <w:rPr>
          <w:spacing w:val="-20"/>
        </w:rPr>
        <w:t> </w:t>
      </w:r>
      <w:r>
        <w:rPr/>
        <w:t>de</w:t>
      </w:r>
      <w:r>
        <w:rPr>
          <w:spacing w:val="-19"/>
        </w:rPr>
        <w:t> </w:t>
      </w:r>
      <w:r>
        <w:rPr/>
        <w:t>acceso</w:t>
      </w:r>
      <w:r>
        <w:rPr>
          <w:spacing w:val="-19"/>
        </w:rPr>
        <w:t> </w:t>
      </w:r>
      <w:r>
        <w:rPr/>
        <w:t>a</w:t>
      </w:r>
      <w:r>
        <w:rPr>
          <w:spacing w:val="-19"/>
        </w:rPr>
        <w:t> </w:t>
      </w:r>
      <w:r>
        <w:rPr/>
        <w:t>los</w:t>
      </w:r>
      <w:r>
        <w:rPr>
          <w:spacing w:val="-20"/>
        </w:rPr>
        <w:t> </w:t>
      </w:r>
      <w:r>
        <w:rPr/>
        <w:t>recursos, mientras</w:t>
      </w:r>
      <w:r>
        <w:rPr>
          <w:spacing w:val="-11"/>
        </w:rPr>
        <w:t> </w:t>
      </w:r>
      <w:r>
        <w:rPr/>
        <w:t>que</w:t>
      </w:r>
      <w:r>
        <w:rPr>
          <w:spacing w:val="-10"/>
        </w:rPr>
        <w:t> </w:t>
      </w:r>
      <w:r>
        <w:rPr/>
        <w:t>esta</w:t>
      </w:r>
      <w:r>
        <w:rPr>
          <w:spacing w:val="-9"/>
        </w:rPr>
        <w:t> </w:t>
      </w:r>
      <w:r>
        <w:rPr/>
        <w:t>manera</w:t>
      </w:r>
      <w:r>
        <w:rPr>
          <w:spacing w:val="-10"/>
        </w:rPr>
        <w:t> </w:t>
      </w:r>
      <w:r>
        <w:rPr/>
        <w:t>de</w:t>
      </w:r>
      <w:r>
        <w:rPr>
          <w:spacing w:val="-10"/>
        </w:rPr>
        <w:t> </w:t>
      </w:r>
      <w:r>
        <w:rPr/>
        <w:t>ver</w:t>
      </w:r>
      <w:r>
        <w:rPr>
          <w:spacing w:val="-9"/>
        </w:rPr>
        <w:t> </w:t>
      </w:r>
      <w:r>
        <w:rPr/>
        <w:t>la</w:t>
      </w:r>
      <w:r>
        <w:rPr>
          <w:spacing w:val="-10"/>
        </w:rPr>
        <w:t> </w:t>
      </w:r>
      <w:r>
        <w:rPr/>
        <w:t>vulnerabilidad</w:t>
      </w:r>
      <w:r>
        <w:rPr>
          <w:spacing w:val="-10"/>
        </w:rPr>
        <w:t> </w:t>
      </w:r>
      <w:r>
        <w:rPr/>
        <w:t>se</w:t>
      </w:r>
      <w:r>
        <w:rPr>
          <w:spacing w:val="-10"/>
        </w:rPr>
        <w:t> </w:t>
      </w:r>
      <w:r>
        <w:rPr/>
        <w:t>refiere</w:t>
      </w:r>
      <w:r>
        <w:rPr>
          <w:spacing w:val="-10"/>
        </w:rPr>
        <w:t> </w:t>
      </w:r>
      <w:r>
        <w:rPr>
          <w:spacing w:val="-3"/>
        </w:rPr>
        <w:t>más</w:t>
      </w:r>
      <w:r>
        <w:rPr>
          <w:spacing w:val="-11"/>
        </w:rPr>
        <w:t> </w:t>
      </w:r>
      <w:r>
        <w:rPr/>
        <w:t>bien</w:t>
      </w:r>
      <w:r>
        <w:rPr>
          <w:spacing w:val="-10"/>
        </w:rPr>
        <w:t> </w:t>
      </w:r>
      <w:r>
        <w:rPr/>
        <w:t>a</w:t>
      </w:r>
      <w:r>
        <w:rPr>
          <w:spacing w:val="-10"/>
        </w:rPr>
        <w:t> </w:t>
      </w:r>
      <w:r>
        <w:rPr/>
        <w:t>una</w:t>
      </w:r>
      <w:r>
        <w:rPr>
          <w:spacing w:val="-10"/>
        </w:rPr>
        <w:t> </w:t>
      </w:r>
      <w:r>
        <w:rPr/>
        <w:t>falta</w:t>
      </w:r>
      <w:r>
        <w:rPr>
          <w:spacing w:val="-9"/>
        </w:rPr>
        <w:t> </w:t>
      </w:r>
      <w:r>
        <w:rPr/>
        <w:t>de capacidad de defenderse y de superar una calamidad (Chambers 1989). En la presente</w:t>
      </w:r>
      <w:r>
        <w:rPr>
          <w:spacing w:val="-16"/>
        </w:rPr>
        <w:t> </w:t>
      </w:r>
      <w:r>
        <w:rPr/>
        <w:t>investigación,</w:t>
      </w:r>
      <w:r>
        <w:rPr>
          <w:spacing w:val="-8"/>
        </w:rPr>
        <w:t> </w:t>
      </w:r>
      <w:r>
        <w:rPr/>
        <w:t>el</w:t>
      </w:r>
      <w:r>
        <w:rPr>
          <w:spacing w:val="-5"/>
        </w:rPr>
        <w:t> </w:t>
      </w:r>
      <w:r>
        <w:rPr/>
        <w:t>concepto</w:t>
      </w:r>
      <w:r>
        <w:rPr>
          <w:spacing w:val="-8"/>
        </w:rPr>
        <w:t> </w:t>
      </w:r>
      <w:r>
        <w:rPr/>
        <w:t>de</w:t>
      </w:r>
      <w:r>
        <w:rPr>
          <w:spacing w:val="-8"/>
        </w:rPr>
        <w:t> </w:t>
      </w:r>
      <w:r>
        <w:rPr/>
        <w:t>marginación</w:t>
      </w:r>
      <w:r>
        <w:rPr>
          <w:spacing w:val="-12"/>
        </w:rPr>
        <w:t> </w:t>
      </w:r>
      <w:r>
        <w:rPr/>
        <w:t>se</w:t>
      </w:r>
      <w:r>
        <w:rPr>
          <w:spacing w:val="-8"/>
        </w:rPr>
        <w:t> </w:t>
      </w:r>
      <w:r>
        <w:rPr/>
        <w:t>utiliza</w:t>
      </w:r>
      <w:r>
        <w:rPr>
          <w:spacing w:val="-12"/>
        </w:rPr>
        <w:t> </w:t>
      </w:r>
      <w:r>
        <w:rPr/>
        <w:t>para</w:t>
      </w:r>
      <w:r>
        <w:rPr>
          <w:spacing w:val="-8"/>
        </w:rPr>
        <w:t> </w:t>
      </w:r>
      <w:r>
        <w:rPr/>
        <w:t>señalar</w:t>
      </w:r>
      <w:r>
        <w:rPr>
          <w:spacing w:val="-7"/>
        </w:rPr>
        <w:t> </w:t>
      </w:r>
      <w:r>
        <w:rPr/>
        <w:t>el</w:t>
      </w:r>
      <w:r>
        <w:rPr>
          <w:spacing w:val="-9"/>
        </w:rPr>
        <w:t> </w:t>
      </w:r>
      <w:r>
        <w:rPr/>
        <w:t>estado de exclusión social que tienen los pobladores de algún lugar. Es una </w:t>
      </w:r>
      <w:r>
        <w:rPr>
          <w:spacing w:val="-3"/>
        </w:rPr>
        <w:t>forma </w:t>
      </w:r>
      <w:r>
        <w:rPr/>
        <w:t>alternativa de medir en qué situación de pobreza se encuentra una comunidad. </w:t>
      </w:r>
      <w:r>
        <w:rPr>
          <w:spacing w:val="26"/>
        </w:rPr>
        <w:t> </w:t>
      </w:r>
      <w:r>
        <w:rPr/>
        <w:t>Si</w:t>
      </w:r>
    </w:p>
    <w:p>
      <w:pPr>
        <w:spacing w:after="0" w:line="360" w:lineRule="auto"/>
        <w:jc w:val="both"/>
        <w:sectPr>
          <w:pgSz w:w="12240" w:h="15840"/>
          <w:pgMar w:header="0" w:footer="1031" w:top="1360" w:bottom="1220" w:left="1580" w:right="1580"/>
        </w:sectPr>
      </w:pPr>
    </w:p>
    <w:p>
      <w:pPr>
        <w:pStyle w:val="BodyText"/>
        <w:spacing w:line="362" w:lineRule="auto" w:before="52"/>
        <w:ind w:left="119" w:right="130"/>
        <w:jc w:val="both"/>
      </w:pPr>
      <w:r>
        <w:rPr/>
        <w:t>las condiciones son buenas, principalmente en cuatro rubros (educación, vivienda, ingresos monetarios y distribución).</w:t>
      </w:r>
    </w:p>
    <w:p>
      <w:pPr>
        <w:pStyle w:val="BodyText"/>
        <w:spacing w:before="11"/>
        <w:rPr>
          <w:sz w:val="35"/>
        </w:rPr>
      </w:pPr>
    </w:p>
    <w:p>
      <w:pPr>
        <w:pStyle w:val="BodyText"/>
        <w:spacing w:line="360" w:lineRule="auto"/>
        <w:ind w:left="119" w:right="119"/>
        <w:jc w:val="both"/>
      </w:pPr>
      <w:r>
        <w:rPr/>
        <w:t>En este sentido </w:t>
      </w:r>
      <w:r>
        <w:rPr>
          <w:spacing w:val="3"/>
        </w:rPr>
        <w:t>la </w:t>
      </w:r>
      <w:r>
        <w:rPr/>
        <w:t>concepción del índice de marginación busca expresar, mediante nueve indicadores socioeconómicos que lo conforman, las privaciones que padece la población (Figura 6). De esta manera, se construyó a partir de cada una de las formas</w:t>
      </w:r>
      <w:r>
        <w:rPr>
          <w:spacing w:val="-13"/>
        </w:rPr>
        <w:t> </w:t>
      </w:r>
      <w:r>
        <w:rPr/>
        <w:t>de</w:t>
      </w:r>
      <w:r>
        <w:rPr>
          <w:spacing w:val="-13"/>
        </w:rPr>
        <w:t> </w:t>
      </w:r>
      <w:r>
        <w:rPr/>
        <w:t>exclusión,</w:t>
      </w:r>
      <w:r>
        <w:rPr>
          <w:spacing w:val="-13"/>
        </w:rPr>
        <w:t> </w:t>
      </w:r>
      <w:r>
        <w:rPr/>
        <w:t>una</w:t>
      </w:r>
      <w:r>
        <w:rPr>
          <w:spacing w:val="-13"/>
        </w:rPr>
        <w:t> </w:t>
      </w:r>
      <w:r>
        <w:rPr/>
        <w:t>medida</w:t>
      </w:r>
      <w:r>
        <w:rPr>
          <w:spacing w:val="-13"/>
        </w:rPr>
        <w:t> </w:t>
      </w:r>
      <w:r>
        <w:rPr/>
        <w:t>resumen</w:t>
      </w:r>
      <w:r>
        <w:rPr>
          <w:spacing w:val="-13"/>
        </w:rPr>
        <w:t> </w:t>
      </w:r>
      <w:r>
        <w:rPr/>
        <w:t>con</w:t>
      </w:r>
      <w:r>
        <w:rPr>
          <w:spacing w:val="-13"/>
        </w:rPr>
        <w:t> </w:t>
      </w:r>
      <w:r>
        <w:rPr/>
        <w:t>el</w:t>
      </w:r>
      <w:r>
        <w:rPr>
          <w:spacing w:val="-13"/>
        </w:rPr>
        <w:t> </w:t>
      </w:r>
      <w:r>
        <w:rPr/>
        <w:t>objetivo</w:t>
      </w:r>
      <w:r>
        <w:rPr>
          <w:spacing w:val="-17"/>
        </w:rPr>
        <w:t> </w:t>
      </w:r>
      <w:r>
        <w:rPr/>
        <w:t>de</w:t>
      </w:r>
      <w:r>
        <w:rPr>
          <w:spacing w:val="-13"/>
        </w:rPr>
        <w:t> </w:t>
      </w:r>
      <w:r>
        <w:rPr/>
        <w:t>concentrar</w:t>
      </w:r>
      <w:r>
        <w:rPr>
          <w:spacing w:val="-12"/>
        </w:rPr>
        <w:t> </w:t>
      </w:r>
      <w:r>
        <w:rPr/>
        <w:t>en</w:t>
      </w:r>
      <w:r>
        <w:rPr>
          <w:spacing w:val="-17"/>
        </w:rPr>
        <w:t> </w:t>
      </w:r>
      <w:r>
        <w:rPr/>
        <w:t>una</w:t>
      </w:r>
      <w:r>
        <w:rPr>
          <w:spacing w:val="-13"/>
        </w:rPr>
        <w:t> </w:t>
      </w:r>
      <w:r>
        <w:rPr/>
        <w:t>sola estimación las magnitudes y variaciones de los indicadores y las relaciones entre ellos.</w:t>
      </w:r>
    </w:p>
    <w:p>
      <w:pPr>
        <w:pStyle w:val="BodyText"/>
      </w:pPr>
    </w:p>
    <w:p>
      <w:pPr>
        <w:pStyle w:val="BodyText"/>
        <w:spacing w:line="360" w:lineRule="auto" w:before="145"/>
        <w:ind w:left="119" w:right="117"/>
        <w:jc w:val="both"/>
      </w:pPr>
      <w:r>
        <w:rPr/>
        <w:t>Es así que esta medida resumen brinda información de los municipio que pertenecen a la ZMT, permitiendo situarlas dentro del contexto estatal.</w:t>
      </w:r>
    </w:p>
    <w:p>
      <w:pPr>
        <w:pStyle w:val="BodyText"/>
      </w:pPr>
    </w:p>
    <w:p>
      <w:pPr>
        <w:pStyle w:val="BodyText"/>
        <w:spacing w:line="360" w:lineRule="auto" w:before="144"/>
        <w:ind w:left="119" w:right="127"/>
        <w:jc w:val="both"/>
      </w:pPr>
      <w:r>
        <w:rPr/>
        <w:t>Para el cálculo del índice de marginación se recurrió al análisis de componentes principales, técnica estadística que sintetiza la información en nuevas variables, creadas como resultado de una combinación lineal de las variables originales, es decir, se reduce el número de dimensiones o variables en nuevos factores o componentes principales. Esta técnica también permite analizar la variabilidad del conjunto y ordenarlo de acuerdo a su importancia. En nuestro caso, de las nueve variables que se introducen se genera un nuevo componente, factor o medida resumen, que por sus características cumple con las que se requieren para conformar el índice de marginación.</w:t>
      </w:r>
    </w:p>
    <w:p>
      <w:pPr>
        <w:spacing w:after="0" w:line="360" w:lineRule="auto"/>
        <w:jc w:val="both"/>
        <w:sectPr>
          <w:pgSz w:w="12240" w:h="15840"/>
          <w:pgMar w:header="0" w:footer="1031" w:top="1360" w:bottom="1220" w:left="1580" w:right="1580"/>
        </w:sectPr>
      </w:pPr>
    </w:p>
    <w:p>
      <w:pPr>
        <w:pStyle w:val="BodyText"/>
        <w:rPr>
          <w:sz w:val="20"/>
        </w:rPr>
      </w:pPr>
    </w:p>
    <w:p>
      <w:pPr>
        <w:pStyle w:val="BodyText"/>
        <w:spacing w:before="11"/>
        <w:rPr>
          <w:sz w:val="21"/>
        </w:rPr>
      </w:pPr>
    </w:p>
    <w:p>
      <w:pPr>
        <w:spacing w:before="73"/>
        <w:ind w:left="3382" w:right="3748" w:firstLine="0"/>
        <w:jc w:val="center"/>
        <w:rPr>
          <w:sz w:val="22"/>
        </w:rPr>
      </w:pPr>
      <w:r>
        <w:rPr>
          <w:sz w:val="22"/>
        </w:rPr>
        <w:t>Figura 6. Esquema conceptual de la marginación</w:t>
      </w:r>
    </w:p>
    <w:p>
      <w:pPr>
        <w:pStyle w:val="BodyText"/>
        <w:rPr>
          <w:sz w:val="20"/>
        </w:rPr>
      </w:pPr>
    </w:p>
    <w:p>
      <w:pPr>
        <w:pStyle w:val="BodyText"/>
        <w:rPr>
          <w:sz w:val="20"/>
        </w:rPr>
      </w:pPr>
    </w:p>
    <w:p>
      <w:pPr>
        <w:pStyle w:val="BodyText"/>
        <w:spacing w:before="10"/>
        <w:rPr>
          <w:sz w:val="23"/>
        </w:rPr>
      </w:pPr>
      <w:r>
        <w:rPr/>
        <w:pict>
          <v:group style="position:absolute;margin-left:61.549999pt;margin-top:15.680872pt;width:686.5pt;height:328.05pt;mso-position-horizontal-relative:page;mso-position-vertical-relative:paragraph;z-index:1744;mso-wrap-distance-left:0;mso-wrap-distance-right:0" coordorigin="1231,314" coordsize="13730,6561">
            <v:shape style="position:absolute;left:1241;top:323;width:13704;height:6541" type="#_x0000_t75" stroked="false">
              <v:imagedata r:id="rId49" o:title=""/>
            </v:shape>
            <v:rect style="position:absolute;left:1236;top:319;width:13720;height:6551" filled="false" stroked="true" strokeweight=".5pt" strokecolor="#f1f1f1"/>
            <w10:wrap type="topAndBottom"/>
          </v:group>
        </w:pict>
      </w:r>
    </w:p>
    <w:p>
      <w:pPr>
        <w:spacing w:before="123"/>
        <w:ind w:left="3390" w:right="3748" w:firstLine="0"/>
        <w:jc w:val="center"/>
        <w:rPr>
          <w:sz w:val="20"/>
        </w:rPr>
      </w:pPr>
      <w:r>
        <w:rPr>
          <w:sz w:val="20"/>
        </w:rPr>
        <w:t>Fuente: CONAPO con base en INEGI, Censo de Población y Vivienda 2010.</w:t>
      </w:r>
    </w:p>
    <w:p>
      <w:pPr>
        <w:spacing w:after="0"/>
        <w:jc w:val="center"/>
        <w:rPr>
          <w:sz w:val="20"/>
        </w:rPr>
        <w:sectPr>
          <w:footerReference w:type="default" r:id="rId48"/>
          <w:pgSz w:w="15840" w:h="12240" w:orient="landscape"/>
          <w:pgMar w:footer="1032" w:header="0" w:top="1140" w:bottom="1220" w:left="1120" w:right="760"/>
          <w:pgNumType w:start="84"/>
        </w:sectPr>
      </w:pPr>
    </w:p>
    <w:p>
      <w:pPr>
        <w:pStyle w:val="BodyText"/>
        <w:rPr>
          <w:sz w:val="20"/>
        </w:rPr>
      </w:pPr>
    </w:p>
    <w:p>
      <w:pPr>
        <w:pStyle w:val="BodyText"/>
        <w:spacing w:before="3"/>
        <w:rPr>
          <w:sz w:val="22"/>
        </w:rPr>
      </w:pPr>
    </w:p>
    <w:p>
      <w:pPr>
        <w:pStyle w:val="BodyText"/>
        <w:spacing w:line="360" w:lineRule="auto" w:before="70"/>
        <w:ind w:left="116" w:right="114"/>
        <w:jc w:val="both"/>
      </w:pPr>
      <w:r>
        <w:rPr/>
        <w:t>Una vez calculado el índice, permite observar la ubicación espacial de los municipios en cinco categorías de grados de marginación:</w:t>
      </w:r>
      <w:r>
        <w:rPr>
          <w:spacing w:val="-6"/>
        </w:rPr>
        <w:t> </w:t>
      </w:r>
      <w:r>
        <w:rPr>
          <w:spacing w:val="-3"/>
        </w:rPr>
        <w:t>muy</w:t>
      </w:r>
      <w:r>
        <w:rPr>
          <w:spacing w:val="-7"/>
        </w:rPr>
        <w:t> </w:t>
      </w:r>
      <w:r>
        <w:rPr/>
        <w:t>baja,</w:t>
      </w:r>
      <w:r>
        <w:rPr>
          <w:spacing w:val="-6"/>
        </w:rPr>
        <w:t> </w:t>
      </w:r>
      <w:r>
        <w:rPr/>
        <w:t>baja,</w:t>
      </w:r>
      <w:r>
        <w:rPr>
          <w:spacing w:val="-2"/>
        </w:rPr>
        <w:t> </w:t>
      </w:r>
      <w:r>
        <w:rPr/>
        <w:t>media,</w:t>
      </w:r>
      <w:r>
        <w:rPr>
          <w:spacing w:val="-6"/>
        </w:rPr>
        <w:t> </w:t>
      </w:r>
      <w:r>
        <w:rPr/>
        <w:t>alta</w:t>
      </w:r>
      <w:r>
        <w:rPr>
          <w:spacing w:val="-6"/>
        </w:rPr>
        <w:t> </w:t>
      </w:r>
      <w:r>
        <w:rPr/>
        <w:t>y</w:t>
      </w:r>
      <w:r>
        <w:rPr>
          <w:spacing w:val="-7"/>
        </w:rPr>
        <w:t> </w:t>
      </w:r>
      <w:r>
        <w:rPr>
          <w:spacing w:val="-3"/>
        </w:rPr>
        <w:t>muy</w:t>
      </w:r>
      <w:r>
        <w:rPr>
          <w:spacing w:val="-7"/>
        </w:rPr>
        <w:t> </w:t>
      </w:r>
      <w:r>
        <w:rPr/>
        <w:t>alta.</w:t>
      </w:r>
      <w:r>
        <w:rPr>
          <w:spacing w:val="-6"/>
        </w:rPr>
        <w:t> </w:t>
      </w:r>
      <w:r>
        <w:rPr/>
        <w:t>Para</w:t>
      </w:r>
      <w:r>
        <w:rPr>
          <w:spacing w:val="-11"/>
        </w:rPr>
        <w:t> </w:t>
      </w:r>
      <w:r>
        <w:rPr/>
        <w:t>la</w:t>
      </w:r>
      <w:r>
        <w:rPr>
          <w:spacing w:val="-6"/>
        </w:rPr>
        <w:t> </w:t>
      </w:r>
      <w:r>
        <w:rPr/>
        <w:t>ZMT</w:t>
      </w:r>
      <w:r>
        <w:rPr>
          <w:spacing w:val="-10"/>
        </w:rPr>
        <w:t> </w:t>
      </w:r>
      <w:r>
        <w:rPr/>
        <w:t>los</w:t>
      </w:r>
      <w:r>
        <w:rPr>
          <w:spacing w:val="-12"/>
        </w:rPr>
        <w:t> </w:t>
      </w:r>
      <w:r>
        <w:rPr/>
        <w:t>valores</w:t>
      </w:r>
      <w:r>
        <w:rPr>
          <w:spacing w:val="-12"/>
        </w:rPr>
        <w:t> </w:t>
      </w:r>
      <w:r>
        <w:rPr/>
        <w:t>de</w:t>
      </w:r>
      <w:r>
        <w:rPr>
          <w:spacing w:val="-6"/>
        </w:rPr>
        <w:t> </w:t>
      </w:r>
      <w:r>
        <w:rPr/>
        <w:t>marginación</w:t>
      </w:r>
      <w:r>
        <w:rPr>
          <w:spacing w:val="-10"/>
        </w:rPr>
        <w:t> </w:t>
      </w:r>
      <w:r>
        <w:rPr/>
        <w:t>se</w:t>
      </w:r>
      <w:r>
        <w:rPr>
          <w:spacing w:val="-6"/>
        </w:rPr>
        <w:t> </w:t>
      </w:r>
      <w:r>
        <w:rPr/>
        <w:t>ubicaron</w:t>
      </w:r>
      <w:r>
        <w:rPr>
          <w:spacing w:val="-6"/>
        </w:rPr>
        <w:t> </w:t>
      </w:r>
      <w:r>
        <w:rPr/>
        <w:t>en</w:t>
      </w:r>
      <w:r>
        <w:rPr>
          <w:spacing w:val="-11"/>
        </w:rPr>
        <w:t> </w:t>
      </w:r>
      <w:r>
        <w:rPr>
          <w:spacing w:val="-3"/>
        </w:rPr>
        <w:t>muy</w:t>
      </w:r>
      <w:r>
        <w:rPr>
          <w:spacing w:val="-7"/>
        </w:rPr>
        <w:t> </w:t>
      </w:r>
      <w:r>
        <w:rPr/>
        <w:t>baja,</w:t>
      </w:r>
      <w:r>
        <w:rPr>
          <w:spacing w:val="-6"/>
        </w:rPr>
        <w:t> </w:t>
      </w:r>
      <w:r>
        <w:rPr/>
        <w:t>baja y media ya que ningún municipio de la ZMT </w:t>
      </w:r>
      <w:r>
        <w:rPr>
          <w:spacing w:val="-3"/>
        </w:rPr>
        <w:t>se </w:t>
      </w:r>
      <w:r>
        <w:rPr/>
        <w:t>clasifico con valores altos y </w:t>
      </w:r>
      <w:r>
        <w:rPr>
          <w:spacing w:val="-3"/>
        </w:rPr>
        <w:t>muy </w:t>
      </w:r>
      <w:r>
        <w:rPr/>
        <w:t>altos (Mapa</w:t>
      </w:r>
      <w:r>
        <w:rPr>
          <w:spacing w:val="-5"/>
        </w:rPr>
        <w:t> </w:t>
      </w:r>
      <w:r>
        <w:rPr/>
        <w:t>8).</w:t>
      </w:r>
    </w:p>
    <w:p>
      <w:pPr>
        <w:pStyle w:val="BodyText"/>
      </w:pPr>
    </w:p>
    <w:p>
      <w:pPr>
        <w:spacing w:before="139" w:after="18"/>
        <w:ind w:left="1487" w:right="1493" w:firstLine="0"/>
        <w:jc w:val="center"/>
        <w:rPr>
          <w:sz w:val="22"/>
        </w:rPr>
      </w:pPr>
      <w:r>
        <w:rPr>
          <w:sz w:val="22"/>
        </w:rPr>
        <w:t>Mapa 8. Clasificación de la vulnerabilidad con base al índice de marginación</w:t>
      </w:r>
    </w:p>
    <w:p>
      <w:pPr>
        <w:pStyle w:val="BodyText"/>
        <w:ind w:left="983"/>
        <w:rPr>
          <w:sz w:val="20"/>
        </w:rPr>
      </w:pPr>
      <w:r>
        <w:rPr>
          <w:sz w:val="20"/>
        </w:rPr>
        <w:drawing>
          <wp:inline distT="0" distB="0" distL="0" distR="0">
            <wp:extent cx="7291257" cy="3978497"/>
            <wp:effectExtent l="0" t="0" r="0" b="0"/>
            <wp:docPr id="31" name="image36.jpeg" descr=""/>
            <wp:cNvGraphicFramePr>
              <a:graphicFrameLocks noChangeAspect="1"/>
            </wp:cNvGraphicFramePr>
            <a:graphic>
              <a:graphicData uri="http://schemas.openxmlformats.org/drawingml/2006/picture">
                <pic:pic>
                  <pic:nvPicPr>
                    <pic:cNvPr id="32" name="image36.jpeg"/>
                    <pic:cNvPicPr/>
                  </pic:nvPicPr>
                  <pic:blipFill>
                    <a:blip r:embed="rId50" cstate="print"/>
                    <a:stretch>
                      <a:fillRect/>
                    </a:stretch>
                  </pic:blipFill>
                  <pic:spPr>
                    <a:xfrm>
                      <a:off x="0" y="0"/>
                      <a:ext cx="7291257" cy="3978497"/>
                    </a:xfrm>
                    <a:prstGeom prst="rect">
                      <a:avLst/>
                    </a:prstGeom>
                  </pic:spPr>
                </pic:pic>
              </a:graphicData>
            </a:graphic>
          </wp:inline>
        </w:drawing>
      </w:r>
      <w:r>
        <w:rPr>
          <w:sz w:val="20"/>
        </w:rPr>
      </w:r>
    </w:p>
    <w:p>
      <w:pPr>
        <w:spacing w:before="170"/>
        <w:ind w:left="1487" w:right="1496" w:firstLine="0"/>
        <w:jc w:val="center"/>
        <w:rPr>
          <w:sz w:val="20"/>
        </w:rPr>
      </w:pPr>
      <w:r>
        <w:rPr>
          <w:sz w:val="20"/>
        </w:rPr>
        <w:t>Fuente: Elaboración propia con base en estimaciones del CONAPO e INEGI, Censo de Población y Vivienda 2010.</w:t>
      </w:r>
    </w:p>
    <w:p>
      <w:pPr>
        <w:spacing w:after="0"/>
        <w:jc w:val="center"/>
        <w:rPr>
          <w:sz w:val="20"/>
        </w:rPr>
        <w:sectPr>
          <w:pgSz w:w="15840" w:h="12240" w:orient="landscape"/>
          <w:pgMar w:header="0" w:footer="1032" w:top="1140" w:bottom="1220" w:left="1300" w:right="1300"/>
        </w:sectPr>
      </w:pPr>
    </w:p>
    <w:p>
      <w:pPr>
        <w:pStyle w:val="BodyText"/>
        <w:spacing w:line="362" w:lineRule="auto" w:before="52"/>
        <w:ind w:left="279" w:right="302"/>
        <w:jc w:val="both"/>
      </w:pPr>
      <w:r>
        <w:rPr/>
        <w:t>Con esta clasificación se establecen las diferencias entre los municipios de la ZMT con</w:t>
      </w:r>
      <w:r>
        <w:rPr>
          <w:spacing w:val="-17"/>
        </w:rPr>
        <w:t> </w:t>
      </w:r>
      <w:r>
        <w:rPr/>
        <w:t>relación</w:t>
      </w:r>
      <w:r>
        <w:rPr>
          <w:spacing w:val="-17"/>
        </w:rPr>
        <w:t> </w:t>
      </w:r>
      <w:r>
        <w:rPr/>
        <w:t>a</w:t>
      </w:r>
      <w:r>
        <w:rPr>
          <w:spacing w:val="-21"/>
        </w:rPr>
        <w:t> </w:t>
      </w:r>
      <w:r>
        <w:rPr/>
        <w:t>las</w:t>
      </w:r>
      <w:r>
        <w:rPr>
          <w:spacing w:val="-22"/>
        </w:rPr>
        <w:t> </w:t>
      </w:r>
      <w:r>
        <w:rPr/>
        <w:t>condiciones</w:t>
      </w:r>
      <w:r>
        <w:rPr>
          <w:spacing w:val="-17"/>
        </w:rPr>
        <w:t> </w:t>
      </w:r>
      <w:r>
        <w:rPr/>
        <w:t>de</w:t>
      </w:r>
      <w:r>
        <w:rPr>
          <w:spacing w:val="-21"/>
        </w:rPr>
        <w:t> </w:t>
      </w:r>
      <w:r>
        <w:rPr/>
        <w:t>exclusión</w:t>
      </w:r>
      <w:r>
        <w:rPr>
          <w:spacing w:val="-17"/>
        </w:rPr>
        <w:t> </w:t>
      </w:r>
      <w:r>
        <w:rPr/>
        <w:t>social</w:t>
      </w:r>
      <w:r>
        <w:rPr>
          <w:spacing w:val="-13"/>
        </w:rPr>
        <w:t> </w:t>
      </w:r>
      <w:r>
        <w:rPr/>
        <w:t>de</w:t>
      </w:r>
      <w:r>
        <w:rPr>
          <w:spacing w:val="-17"/>
        </w:rPr>
        <w:t> </w:t>
      </w:r>
      <w:r>
        <w:rPr/>
        <w:t>sus</w:t>
      </w:r>
      <w:r>
        <w:rPr>
          <w:spacing w:val="-22"/>
        </w:rPr>
        <w:t> </w:t>
      </w:r>
      <w:r>
        <w:rPr/>
        <w:t>pobladores.</w:t>
      </w:r>
      <w:r>
        <w:rPr>
          <w:spacing w:val="-7"/>
        </w:rPr>
        <w:t> </w:t>
      </w:r>
      <w:r>
        <w:rPr/>
        <w:t>A</w:t>
      </w:r>
      <w:r>
        <w:rPr>
          <w:spacing w:val="-19"/>
        </w:rPr>
        <w:t> </w:t>
      </w:r>
      <w:r>
        <w:rPr/>
        <w:t>continuación se presenta el grado de marginación por municipio de ZMT para el año</w:t>
      </w:r>
      <w:r>
        <w:rPr>
          <w:spacing w:val="-38"/>
        </w:rPr>
        <w:t> </w:t>
      </w:r>
      <w:r>
        <w:rPr/>
        <w:t>2010.</w:t>
      </w:r>
    </w:p>
    <w:p>
      <w:pPr>
        <w:pStyle w:val="BodyText"/>
        <w:spacing w:before="9"/>
        <w:rPr>
          <w:sz w:val="35"/>
        </w:rPr>
      </w:pPr>
    </w:p>
    <w:p>
      <w:pPr>
        <w:spacing w:before="1" w:after="54"/>
        <w:ind w:left="1922" w:right="0" w:firstLine="0"/>
        <w:jc w:val="left"/>
        <w:rPr>
          <w:sz w:val="22"/>
        </w:rPr>
      </w:pPr>
      <w:r>
        <w:rPr>
          <w:sz w:val="22"/>
        </w:rPr>
        <w:t>Tabla 11. Índice de marginación por municipio de la ZMT</w:t>
      </w:r>
    </w:p>
    <w:tbl>
      <w:tblPr>
        <w:tblW w:w="0" w:type="auto"/>
        <w:jc w:val="left"/>
        <w:tblInd w:w="1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53"/>
        <w:gridCol w:w="1676"/>
        <w:gridCol w:w="1637"/>
        <w:gridCol w:w="1395"/>
        <w:gridCol w:w="1316"/>
        <w:gridCol w:w="1629"/>
      </w:tblGrid>
      <w:tr>
        <w:trPr>
          <w:trHeight w:val="1032" w:hRule="exact"/>
        </w:trPr>
        <w:tc>
          <w:tcPr>
            <w:tcW w:w="1553" w:type="dxa"/>
            <w:tcBorders>
              <w:left w:val="nil"/>
              <w:right w:val="nil"/>
            </w:tcBorders>
          </w:tcPr>
          <w:p>
            <w:pPr>
              <w:pStyle w:val="TableParagraph"/>
              <w:spacing w:line="243" w:lineRule="exact"/>
              <w:ind w:left="273" w:right="48"/>
              <w:rPr>
                <w:sz w:val="22"/>
              </w:rPr>
            </w:pPr>
            <w:r>
              <w:rPr>
                <w:w w:val="90"/>
                <w:sz w:val="22"/>
              </w:rPr>
              <w:t>Municipio</w:t>
            </w:r>
          </w:p>
        </w:tc>
        <w:tc>
          <w:tcPr>
            <w:tcW w:w="1676" w:type="dxa"/>
            <w:tcBorders>
              <w:left w:val="nil"/>
              <w:right w:val="nil"/>
            </w:tcBorders>
          </w:tcPr>
          <w:p>
            <w:pPr>
              <w:pStyle w:val="TableParagraph"/>
              <w:spacing w:line="242" w:lineRule="auto"/>
              <w:ind w:left="699" w:right="76" w:hanging="226"/>
              <w:rPr>
                <w:sz w:val="22"/>
              </w:rPr>
            </w:pPr>
            <w:r>
              <w:rPr>
                <w:w w:val="80"/>
                <w:sz w:val="22"/>
              </w:rPr>
              <w:t>Población </w:t>
            </w:r>
            <w:r>
              <w:rPr>
                <w:w w:val="90"/>
                <w:sz w:val="22"/>
              </w:rPr>
              <w:t>total</w:t>
            </w:r>
          </w:p>
        </w:tc>
        <w:tc>
          <w:tcPr>
            <w:tcW w:w="1637" w:type="dxa"/>
            <w:tcBorders>
              <w:left w:val="nil"/>
              <w:right w:val="nil"/>
            </w:tcBorders>
          </w:tcPr>
          <w:p>
            <w:pPr>
              <w:pStyle w:val="TableParagraph"/>
              <w:spacing w:line="242" w:lineRule="auto"/>
              <w:ind w:left="497" w:firstLine="129"/>
              <w:rPr>
                <w:sz w:val="22"/>
              </w:rPr>
            </w:pPr>
            <w:r>
              <w:rPr>
                <w:w w:val="90"/>
                <w:sz w:val="22"/>
              </w:rPr>
              <w:t>Índice de </w:t>
            </w:r>
            <w:r>
              <w:rPr>
                <w:w w:val="80"/>
                <w:sz w:val="22"/>
              </w:rPr>
              <w:t>marginación</w:t>
            </w:r>
          </w:p>
        </w:tc>
        <w:tc>
          <w:tcPr>
            <w:tcW w:w="1395" w:type="dxa"/>
            <w:tcBorders>
              <w:left w:val="nil"/>
              <w:right w:val="nil"/>
            </w:tcBorders>
          </w:tcPr>
          <w:p>
            <w:pPr>
              <w:pStyle w:val="TableParagraph"/>
              <w:spacing w:line="242" w:lineRule="auto"/>
              <w:ind w:left="228" w:firstLine="115"/>
              <w:rPr>
                <w:sz w:val="22"/>
              </w:rPr>
            </w:pPr>
            <w:r>
              <w:rPr>
                <w:w w:val="90"/>
                <w:sz w:val="22"/>
              </w:rPr>
              <w:t>Grado de </w:t>
            </w:r>
            <w:r>
              <w:rPr>
                <w:w w:val="80"/>
                <w:sz w:val="22"/>
              </w:rPr>
              <w:t>marginación</w:t>
            </w:r>
          </w:p>
        </w:tc>
        <w:tc>
          <w:tcPr>
            <w:tcW w:w="1316" w:type="dxa"/>
            <w:tcBorders>
              <w:left w:val="nil"/>
              <w:right w:val="nil"/>
            </w:tcBorders>
          </w:tcPr>
          <w:p>
            <w:pPr>
              <w:pStyle w:val="TableParagraph"/>
              <w:ind w:left="182" w:right="147" w:hanging="4"/>
              <w:jc w:val="center"/>
              <w:rPr>
                <w:sz w:val="22"/>
              </w:rPr>
            </w:pPr>
            <w:r>
              <w:rPr>
                <w:w w:val="90"/>
                <w:sz w:val="22"/>
              </w:rPr>
              <w:t>Índice de </w:t>
            </w:r>
            <w:r>
              <w:rPr>
                <w:w w:val="80"/>
                <w:sz w:val="22"/>
              </w:rPr>
              <w:t>marginación </w:t>
            </w:r>
            <w:r>
              <w:rPr>
                <w:w w:val="90"/>
                <w:sz w:val="22"/>
              </w:rPr>
              <w:t>escala</w:t>
            </w:r>
          </w:p>
          <w:p>
            <w:pPr>
              <w:pStyle w:val="TableParagraph"/>
              <w:spacing w:before="1"/>
              <w:ind w:left="325" w:right="290"/>
              <w:jc w:val="center"/>
              <w:rPr>
                <w:sz w:val="22"/>
              </w:rPr>
            </w:pPr>
            <w:r>
              <w:rPr>
                <w:w w:val="90"/>
                <w:sz w:val="22"/>
              </w:rPr>
              <w:t>0 a 100</w:t>
            </w:r>
          </w:p>
        </w:tc>
        <w:tc>
          <w:tcPr>
            <w:tcW w:w="1629" w:type="dxa"/>
            <w:tcBorders>
              <w:left w:val="nil"/>
              <w:right w:val="nil"/>
            </w:tcBorders>
          </w:tcPr>
          <w:p>
            <w:pPr>
              <w:pStyle w:val="TableParagraph"/>
              <w:ind w:left="118" w:right="88"/>
              <w:jc w:val="center"/>
              <w:rPr>
                <w:sz w:val="22"/>
              </w:rPr>
            </w:pPr>
            <w:r>
              <w:rPr>
                <w:w w:val="85"/>
                <w:sz w:val="22"/>
              </w:rPr>
              <w:t>Lugar que ocupa </w:t>
            </w:r>
            <w:r>
              <w:rPr>
                <w:w w:val="90"/>
                <w:sz w:val="22"/>
              </w:rPr>
              <w:t>en el contexto estatal</w:t>
            </w:r>
          </w:p>
        </w:tc>
      </w:tr>
      <w:tr>
        <w:trPr>
          <w:trHeight w:val="766" w:hRule="exact"/>
        </w:trPr>
        <w:tc>
          <w:tcPr>
            <w:tcW w:w="1553" w:type="dxa"/>
            <w:tcBorders>
              <w:left w:val="nil"/>
              <w:bottom w:val="nil"/>
              <w:right w:val="nil"/>
            </w:tcBorders>
          </w:tcPr>
          <w:p>
            <w:pPr>
              <w:pStyle w:val="TableParagraph"/>
              <w:ind w:left="105" w:right="48"/>
              <w:rPr>
                <w:sz w:val="22"/>
              </w:rPr>
            </w:pPr>
            <w:r>
              <w:rPr>
                <w:w w:val="80"/>
                <w:sz w:val="22"/>
              </w:rPr>
              <w:t>Almoloya de </w:t>
            </w:r>
            <w:r>
              <w:rPr>
                <w:w w:val="90"/>
                <w:sz w:val="22"/>
              </w:rPr>
              <w:t>Juárez Calimaya</w:t>
            </w:r>
          </w:p>
        </w:tc>
        <w:tc>
          <w:tcPr>
            <w:tcW w:w="1676" w:type="dxa"/>
            <w:tcBorders>
              <w:left w:val="nil"/>
              <w:bottom w:val="nil"/>
              <w:right w:val="nil"/>
            </w:tcBorders>
          </w:tcPr>
          <w:p>
            <w:pPr>
              <w:pStyle w:val="TableParagraph"/>
              <w:spacing w:line="243" w:lineRule="exact"/>
              <w:ind w:left="358" w:right="76"/>
              <w:rPr>
                <w:sz w:val="22"/>
              </w:rPr>
            </w:pPr>
            <w:r>
              <w:rPr>
                <w:w w:val="85"/>
                <w:sz w:val="22"/>
              </w:rPr>
              <w:t>147 653</w:t>
            </w:r>
          </w:p>
          <w:p>
            <w:pPr>
              <w:pStyle w:val="TableParagraph"/>
              <w:spacing w:before="9"/>
              <w:rPr>
                <w:sz w:val="21"/>
              </w:rPr>
            </w:pPr>
          </w:p>
          <w:p>
            <w:pPr>
              <w:pStyle w:val="TableParagraph"/>
              <w:ind w:left="358" w:right="76"/>
              <w:rPr>
                <w:sz w:val="22"/>
              </w:rPr>
            </w:pPr>
            <w:r>
              <w:rPr>
                <w:w w:val="85"/>
                <w:sz w:val="22"/>
              </w:rPr>
              <w:t>47 033</w:t>
            </w:r>
          </w:p>
        </w:tc>
        <w:tc>
          <w:tcPr>
            <w:tcW w:w="1637" w:type="dxa"/>
            <w:tcBorders>
              <w:left w:val="nil"/>
              <w:bottom w:val="nil"/>
              <w:right w:val="nil"/>
            </w:tcBorders>
          </w:tcPr>
          <w:p>
            <w:pPr>
              <w:pStyle w:val="TableParagraph"/>
              <w:spacing w:line="243" w:lineRule="exact"/>
              <w:ind w:left="410"/>
              <w:rPr>
                <w:sz w:val="22"/>
              </w:rPr>
            </w:pPr>
            <w:r>
              <w:rPr>
                <w:w w:val="90"/>
                <w:sz w:val="22"/>
              </w:rPr>
              <w:t>-0.35190</w:t>
            </w:r>
          </w:p>
          <w:p>
            <w:pPr>
              <w:pStyle w:val="TableParagraph"/>
              <w:spacing w:before="9"/>
              <w:rPr>
                <w:sz w:val="21"/>
              </w:rPr>
            </w:pPr>
          </w:p>
          <w:p>
            <w:pPr>
              <w:pStyle w:val="TableParagraph"/>
              <w:ind w:left="410"/>
              <w:rPr>
                <w:sz w:val="22"/>
              </w:rPr>
            </w:pPr>
            <w:r>
              <w:rPr>
                <w:w w:val="90"/>
                <w:sz w:val="22"/>
              </w:rPr>
              <w:t>-1.17279</w:t>
            </w:r>
          </w:p>
        </w:tc>
        <w:tc>
          <w:tcPr>
            <w:tcW w:w="1395" w:type="dxa"/>
            <w:tcBorders>
              <w:left w:val="nil"/>
              <w:bottom w:val="nil"/>
              <w:right w:val="nil"/>
            </w:tcBorders>
          </w:tcPr>
          <w:p>
            <w:pPr>
              <w:pStyle w:val="TableParagraph"/>
              <w:spacing w:line="243" w:lineRule="exact"/>
              <w:ind w:left="156"/>
              <w:rPr>
                <w:sz w:val="22"/>
              </w:rPr>
            </w:pPr>
            <w:r>
              <w:rPr>
                <w:w w:val="90"/>
                <w:sz w:val="22"/>
              </w:rPr>
              <w:t>Medio</w:t>
            </w:r>
          </w:p>
          <w:p>
            <w:pPr>
              <w:pStyle w:val="TableParagraph"/>
              <w:spacing w:before="9"/>
              <w:rPr>
                <w:sz w:val="21"/>
              </w:rPr>
            </w:pPr>
          </w:p>
          <w:p>
            <w:pPr>
              <w:pStyle w:val="TableParagraph"/>
              <w:ind w:left="156"/>
              <w:rPr>
                <w:sz w:val="22"/>
              </w:rPr>
            </w:pPr>
            <w:r>
              <w:rPr>
                <w:w w:val="90"/>
                <w:sz w:val="22"/>
              </w:rPr>
              <w:t>Bajo</w:t>
            </w:r>
          </w:p>
        </w:tc>
        <w:tc>
          <w:tcPr>
            <w:tcW w:w="1316" w:type="dxa"/>
            <w:tcBorders>
              <w:left w:val="nil"/>
              <w:bottom w:val="nil"/>
              <w:right w:val="nil"/>
            </w:tcBorders>
          </w:tcPr>
          <w:p>
            <w:pPr>
              <w:pStyle w:val="TableParagraph"/>
              <w:spacing w:line="243" w:lineRule="exact"/>
              <w:ind w:left="548"/>
              <w:rPr>
                <w:sz w:val="22"/>
              </w:rPr>
            </w:pPr>
            <w:r>
              <w:rPr>
                <w:w w:val="90"/>
                <w:sz w:val="22"/>
              </w:rPr>
              <w:t>23.696</w:t>
            </w:r>
          </w:p>
          <w:p>
            <w:pPr>
              <w:pStyle w:val="TableParagraph"/>
              <w:spacing w:before="9"/>
              <w:rPr>
                <w:sz w:val="21"/>
              </w:rPr>
            </w:pPr>
          </w:p>
          <w:p>
            <w:pPr>
              <w:pStyle w:val="TableParagraph"/>
              <w:ind w:left="548"/>
              <w:rPr>
                <w:sz w:val="22"/>
              </w:rPr>
            </w:pPr>
            <w:r>
              <w:rPr>
                <w:w w:val="90"/>
                <w:sz w:val="22"/>
              </w:rPr>
              <w:t>14.420</w:t>
            </w:r>
          </w:p>
        </w:tc>
        <w:tc>
          <w:tcPr>
            <w:tcW w:w="1629" w:type="dxa"/>
            <w:tcBorders>
              <w:left w:val="nil"/>
              <w:bottom w:val="nil"/>
              <w:right w:val="nil"/>
            </w:tcBorders>
          </w:tcPr>
          <w:p>
            <w:pPr>
              <w:pStyle w:val="TableParagraph"/>
              <w:spacing w:line="243" w:lineRule="exact"/>
              <w:ind w:left="241"/>
              <w:rPr>
                <w:sz w:val="22"/>
              </w:rPr>
            </w:pPr>
            <w:r>
              <w:rPr>
                <w:w w:val="90"/>
                <w:sz w:val="22"/>
              </w:rPr>
              <w:t>40</w:t>
            </w:r>
          </w:p>
          <w:p>
            <w:pPr>
              <w:pStyle w:val="TableParagraph"/>
              <w:spacing w:before="9"/>
              <w:rPr>
                <w:sz w:val="21"/>
              </w:rPr>
            </w:pPr>
          </w:p>
          <w:p>
            <w:pPr>
              <w:pStyle w:val="TableParagraph"/>
              <w:ind w:left="241"/>
              <w:rPr>
                <w:sz w:val="22"/>
              </w:rPr>
            </w:pPr>
            <w:r>
              <w:rPr>
                <w:w w:val="90"/>
                <w:sz w:val="22"/>
              </w:rPr>
              <w:t>82</w:t>
            </w:r>
          </w:p>
        </w:tc>
      </w:tr>
      <w:tr>
        <w:trPr>
          <w:trHeight w:val="252" w:hRule="exact"/>
        </w:trPr>
        <w:tc>
          <w:tcPr>
            <w:tcW w:w="1553" w:type="dxa"/>
            <w:tcBorders>
              <w:top w:val="nil"/>
              <w:left w:val="nil"/>
              <w:bottom w:val="nil"/>
              <w:right w:val="nil"/>
            </w:tcBorders>
          </w:tcPr>
          <w:p>
            <w:pPr>
              <w:pStyle w:val="TableParagraph"/>
              <w:spacing w:line="241" w:lineRule="exact"/>
              <w:ind w:left="105" w:right="48"/>
              <w:rPr>
                <w:sz w:val="22"/>
              </w:rPr>
            </w:pPr>
            <w:r>
              <w:rPr>
                <w:w w:val="90"/>
                <w:sz w:val="22"/>
              </w:rPr>
              <w:t>Chapultepec</w:t>
            </w:r>
          </w:p>
        </w:tc>
        <w:tc>
          <w:tcPr>
            <w:tcW w:w="1676" w:type="dxa"/>
            <w:tcBorders>
              <w:top w:val="nil"/>
              <w:left w:val="nil"/>
              <w:bottom w:val="nil"/>
              <w:right w:val="nil"/>
            </w:tcBorders>
          </w:tcPr>
          <w:p>
            <w:pPr>
              <w:pStyle w:val="TableParagraph"/>
              <w:spacing w:line="241" w:lineRule="exact"/>
              <w:ind w:left="358" w:right="76"/>
              <w:rPr>
                <w:sz w:val="22"/>
              </w:rPr>
            </w:pPr>
            <w:r>
              <w:rPr>
                <w:w w:val="85"/>
                <w:sz w:val="22"/>
              </w:rPr>
              <w:t>9 676</w:t>
            </w:r>
          </w:p>
        </w:tc>
        <w:tc>
          <w:tcPr>
            <w:tcW w:w="1637" w:type="dxa"/>
            <w:tcBorders>
              <w:top w:val="nil"/>
              <w:left w:val="nil"/>
              <w:bottom w:val="nil"/>
              <w:right w:val="nil"/>
            </w:tcBorders>
          </w:tcPr>
          <w:p>
            <w:pPr>
              <w:pStyle w:val="TableParagraph"/>
              <w:spacing w:line="241" w:lineRule="exact"/>
              <w:ind w:left="410"/>
              <w:rPr>
                <w:sz w:val="22"/>
              </w:rPr>
            </w:pPr>
            <w:r>
              <w:rPr>
                <w:w w:val="90"/>
                <w:sz w:val="22"/>
              </w:rPr>
              <w:t>-1.39025</w:t>
            </w:r>
          </w:p>
        </w:tc>
        <w:tc>
          <w:tcPr>
            <w:tcW w:w="1395" w:type="dxa"/>
            <w:tcBorders>
              <w:top w:val="nil"/>
              <w:left w:val="nil"/>
              <w:bottom w:val="nil"/>
              <w:right w:val="nil"/>
            </w:tcBorders>
          </w:tcPr>
          <w:p>
            <w:pPr>
              <w:pStyle w:val="TableParagraph"/>
              <w:spacing w:line="241" w:lineRule="exact"/>
              <w:ind w:left="156"/>
              <w:rPr>
                <w:sz w:val="22"/>
              </w:rPr>
            </w:pPr>
            <w:r>
              <w:rPr>
                <w:w w:val="85"/>
                <w:sz w:val="22"/>
              </w:rPr>
              <w:t>Muy bajo</w:t>
            </w:r>
          </w:p>
        </w:tc>
        <w:tc>
          <w:tcPr>
            <w:tcW w:w="1316" w:type="dxa"/>
            <w:tcBorders>
              <w:top w:val="nil"/>
              <w:left w:val="nil"/>
              <w:bottom w:val="nil"/>
              <w:right w:val="nil"/>
            </w:tcBorders>
          </w:tcPr>
          <w:p>
            <w:pPr>
              <w:pStyle w:val="TableParagraph"/>
              <w:spacing w:line="241" w:lineRule="exact"/>
              <w:ind w:left="548"/>
              <w:rPr>
                <w:sz w:val="22"/>
              </w:rPr>
            </w:pPr>
            <w:r>
              <w:rPr>
                <w:w w:val="90"/>
                <w:sz w:val="22"/>
              </w:rPr>
              <w:t>11.963</w:t>
            </w:r>
          </w:p>
        </w:tc>
        <w:tc>
          <w:tcPr>
            <w:tcW w:w="1629" w:type="dxa"/>
            <w:tcBorders>
              <w:top w:val="nil"/>
              <w:left w:val="nil"/>
              <w:bottom w:val="nil"/>
              <w:right w:val="nil"/>
            </w:tcBorders>
          </w:tcPr>
          <w:p>
            <w:pPr>
              <w:pStyle w:val="TableParagraph"/>
              <w:spacing w:line="241" w:lineRule="exact"/>
              <w:ind w:left="241"/>
              <w:rPr>
                <w:sz w:val="22"/>
              </w:rPr>
            </w:pPr>
            <w:r>
              <w:rPr>
                <w:w w:val="90"/>
                <w:sz w:val="22"/>
              </w:rPr>
              <w:t>101</w:t>
            </w:r>
          </w:p>
        </w:tc>
      </w:tr>
      <w:tr>
        <w:trPr>
          <w:trHeight w:val="254" w:hRule="exact"/>
        </w:trPr>
        <w:tc>
          <w:tcPr>
            <w:tcW w:w="1553" w:type="dxa"/>
            <w:tcBorders>
              <w:top w:val="nil"/>
              <w:left w:val="nil"/>
              <w:bottom w:val="nil"/>
              <w:right w:val="nil"/>
            </w:tcBorders>
          </w:tcPr>
          <w:p>
            <w:pPr>
              <w:pStyle w:val="TableParagraph"/>
              <w:spacing w:line="243" w:lineRule="exact"/>
              <w:ind w:left="105" w:right="48"/>
              <w:rPr>
                <w:sz w:val="22"/>
              </w:rPr>
            </w:pPr>
            <w:r>
              <w:rPr>
                <w:w w:val="90"/>
                <w:sz w:val="22"/>
              </w:rPr>
              <w:t>Lerma</w:t>
            </w:r>
          </w:p>
        </w:tc>
        <w:tc>
          <w:tcPr>
            <w:tcW w:w="1676" w:type="dxa"/>
            <w:tcBorders>
              <w:top w:val="nil"/>
              <w:left w:val="nil"/>
              <w:bottom w:val="nil"/>
              <w:right w:val="nil"/>
            </w:tcBorders>
          </w:tcPr>
          <w:p>
            <w:pPr>
              <w:pStyle w:val="TableParagraph"/>
              <w:spacing w:line="243" w:lineRule="exact"/>
              <w:ind w:left="358" w:right="76"/>
              <w:rPr>
                <w:sz w:val="22"/>
              </w:rPr>
            </w:pPr>
            <w:r>
              <w:rPr>
                <w:w w:val="85"/>
                <w:sz w:val="22"/>
              </w:rPr>
              <w:t>134 799</w:t>
            </w:r>
          </w:p>
        </w:tc>
        <w:tc>
          <w:tcPr>
            <w:tcW w:w="1637" w:type="dxa"/>
            <w:tcBorders>
              <w:top w:val="nil"/>
              <w:left w:val="nil"/>
              <w:bottom w:val="nil"/>
              <w:right w:val="nil"/>
            </w:tcBorders>
          </w:tcPr>
          <w:p>
            <w:pPr>
              <w:pStyle w:val="TableParagraph"/>
              <w:spacing w:line="243" w:lineRule="exact"/>
              <w:ind w:left="410"/>
              <w:rPr>
                <w:sz w:val="22"/>
              </w:rPr>
            </w:pPr>
            <w:r>
              <w:rPr>
                <w:w w:val="90"/>
                <w:sz w:val="22"/>
              </w:rPr>
              <w:t>-1.28106</w:t>
            </w:r>
          </w:p>
        </w:tc>
        <w:tc>
          <w:tcPr>
            <w:tcW w:w="1395" w:type="dxa"/>
            <w:tcBorders>
              <w:top w:val="nil"/>
              <w:left w:val="nil"/>
              <w:bottom w:val="nil"/>
              <w:right w:val="nil"/>
            </w:tcBorders>
          </w:tcPr>
          <w:p>
            <w:pPr>
              <w:pStyle w:val="TableParagraph"/>
              <w:spacing w:line="243" w:lineRule="exact"/>
              <w:ind w:left="156"/>
              <w:rPr>
                <w:sz w:val="22"/>
              </w:rPr>
            </w:pPr>
            <w:r>
              <w:rPr>
                <w:w w:val="90"/>
                <w:sz w:val="22"/>
              </w:rPr>
              <w:t>Medio</w:t>
            </w:r>
          </w:p>
        </w:tc>
        <w:tc>
          <w:tcPr>
            <w:tcW w:w="1316" w:type="dxa"/>
            <w:tcBorders>
              <w:top w:val="nil"/>
              <w:left w:val="nil"/>
              <w:bottom w:val="nil"/>
              <w:right w:val="nil"/>
            </w:tcBorders>
          </w:tcPr>
          <w:p>
            <w:pPr>
              <w:pStyle w:val="TableParagraph"/>
              <w:spacing w:line="243" w:lineRule="exact"/>
              <w:ind w:left="548"/>
              <w:rPr>
                <w:sz w:val="22"/>
              </w:rPr>
            </w:pPr>
            <w:r>
              <w:rPr>
                <w:w w:val="90"/>
                <w:sz w:val="22"/>
              </w:rPr>
              <w:t>23.197</w:t>
            </w:r>
          </w:p>
        </w:tc>
        <w:tc>
          <w:tcPr>
            <w:tcW w:w="1629" w:type="dxa"/>
            <w:tcBorders>
              <w:top w:val="nil"/>
              <w:left w:val="nil"/>
              <w:bottom w:val="nil"/>
              <w:right w:val="nil"/>
            </w:tcBorders>
          </w:tcPr>
          <w:p>
            <w:pPr>
              <w:pStyle w:val="TableParagraph"/>
              <w:spacing w:line="243" w:lineRule="exact"/>
              <w:ind w:left="241"/>
              <w:rPr>
                <w:sz w:val="22"/>
              </w:rPr>
            </w:pPr>
            <w:r>
              <w:rPr>
                <w:w w:val="90"/>
                <w:sz w:val="22"/>
              </w:rPr>
              <w:t>91</w:t>
            </w:r>
          </w:p>
        </w:tc>
      </w:tr>
      <w:tr>
        <w:trPr>
          <w:trHeight w:val="379" w:hRule="exact"/>
        </w:trPr>
        <w:tc>
          <w:tcPr>
            <w:tcW w:w="1553" w:type="dxa"/>
            <w:tcBorders>
              <w:top w:val="nil"/>
              <w:left w:val="nil"/>
              <w:bottom w:val="nil"/>
              <w:right w:val="nil"/>
            </w:tcBorders>
          </w:tcPr>
          <w:p>
            <w:pPr>
              <w:pStyle w:val="TableParagraph"/>
              <w:spacing w:line="243" w:lineRule="exact"/>
              <w:ind w:left="105" w:right="48"/>
              <w:rPr>
                <w:sz w:val="22"/>
              </w:rPr>
            </w:pPr>
            <w:r>
              <w:rPr>
                <w:w w:val="90"/>
                <w:sz w:val="22"/>
              </w:rPr>
              <w:t>Metepec</w:t>
            </w:r>
          </w:p>
        </w:tc>
        <w:tc>
          <w:tcPr>
            <w:tcW w:w="1676" w:type="dxa"/>
            <w:tcBorders>
              <w:top w:val="nil"/>
              <w:left w:val="nil"/>
              <w:bottom w:val="nil"/>
              <w:right w:val="nil"/>
            </w:tcBorders>
          </w:tcPr>
          <w:p>
            <w:pPr>
              <w:pStyle w:val="TableParagraph"/>
              <w:spacing w:line="243" w:lineRule="exact"/>
              <w:ind w:left="358" w:right="76"/>
              <w:rPr>
                <w:sz w:val="22"/>
              </w:rPr>
            </w:pPr>
            <w:r>
              <w:rPr>
                <w:w w:val="85"/>
                <w:sz w:val="22"/>
              </w:rPr>
              <w:t>214 162</w:t>
            </w:r>
          </w:p>
        </w:tc>
        <w:tc>
          <w:tcPr>
            <w:tcW w:w="1637" w:type="dxa"/>
            <w:tcBorders>
              <w:top w:val="nil"/>
              <w:left w:val="nil"/>
              <w:bottom w:val="nil"/>
              <w:right w:val="nil"/>
            </w:tcBorders>
          </w:tcPr>
          <w:p>
            <w:pPr>
              <w:pStyle w:val="TableParagraph"/>
              <w:spacing w:line="243" w:lineRule="exact"/>
              <w:ind w:left="410"/>
              <w:rPr>
                <w:sz w:val="22"/>
              </w:rPr>
            </w:pPr>
            <w:r>
              <w:rPr>
                <w:w w:val="90"/>
                <w:sz w:val="22"/>
              </w:rPr>
              <w:t>-1.96475</w:t>
            </w:r>
          </w:p>
        </w:tc>
        <w:tc>
          <w:tcPr>
            <w:tcW w:w="1395" w:type="dxa"/>
            <w:tcBorders>
              <w:top w:val="nil"/>
              <w:left w:val="nil"/>
              <w:bottom w:val="nil"/>
              <w:right w:val="nil"/>
            </w:tcBorders>
          </w:tcPr>
          <w:p>
            <w:pPr>
              <w:pStyle w:val="TableParagraph"/>
              <w:spacing w:line="243" w:lineRule="exact"/>
              <w:ind w:left="156"/>
              <w:rPr>
                <w:sz w:val="22"/>
              </w:rPr>
            </w:pPr>
            <w:r>
              <w:rPr>
                <w:w w:val="85"/>
                <w:sz w:val="22"/>
              </w:rPr>
              <w:t>Muy bajo</w:t>
            </w:r>
          </w:p>
        </w:tc>
        <w:tc>
          <w:tcPr>
            <w:tcW w:w="1316" w:type="dxa"/>
            <w:tcBorders>
              <w:top w:val="nil"/>
              <w:left w:val="nil"/>
              <w:bottom w:val="nil"/>
              <w:right w:val="nil"/>
            </w:tcBorders>
          </w:tcPr>
          <w:p>
            <w:pPr>
              <w:pStyle w:val="TableParagraph"/>
              <w:spacing w:line="243" w:lineRule="exact"/>
              <w:ind w:left="548"/>
              <w:rPr>
                <w:sz w:val="22"/>
              </w:rPr>
            </w:pPr>
            <w:r>
              <w:rPr>
                <w:w w:val="90"/>
                <w:sz w:val="22"/>
              </w:rPr>
              <w:t>5.471</w:t>
            </w:r>
          </w:p>
        </w:tc>
        <w:tc>
          <w:tcPr>
            <w:tcW w:w="1629" w:type="dxa"/>
            <w:tcBorders>
              <w:top w:val="nil"/>
              <w:left w:val="nil"/>
              <w:bottom w:val="nil"/>
              <w:right w:val="nil"/>
            </w:tcBorders>
          </w:tcPr>
          <w:p>
            <w:pPr>
              <w:pStyle w:val="TableParagraph"/>
              <w:spacing w:line="243" w:lineRule="exact"/>
              <w:ind w:left="241"/>
              <w:rPr>
                <w:sz w:val="22"/>
              </w:rPr>
            </w:pPr>
            <w:r>
              <w:rPr>
                <w:w w:val="90"/>
                <w:sz w:val="22"/>
              </w:rPr>
              <w:t>124</w:t>
            </w:r>
          </w:p>
        </w:tc>
      </w:tr>
      <w:tr>
        <w:trPr>
          <w:trHeight w:val="377" w:hRule="exact"/>
        </w:trPr>
        <w:tc>
          <w:tcPr>
            <w:tcW w:w="1553" w:type="dxa"/>
            <w:tcBorders>
              <w:top w:val="nil"/>
              <w:left w:val="nil"/>
              <w:bottom w:val="nil"/>
              <w:right w:val="nil"/>
            </w:tcBorders>
          </w:tcPr>
          <w:p>
            <w:pPr>
              <w:pStyle w:val="TableParagraph"/>
              <w:spacing w:before="115"/>
              <w:ind w:left="105" w:right="48"/>
              <w:rPr>
                <w:sz w:val="22"/>
              </w:rPr>
            </w:pPr>
            <w:r>
              <w:rPr>
                <w:w w:val="90"/>
                <w:sz w:val="22"/>
              </w:rPr>
              <w:t>Mexicaltzingo</w:t>
            </w:r>
          </w:p>
        </w:tc>
        <w:tc>
          <w:tcPr>
            <w:tcW w:w="1676" w:type="dxa"/>
            <w:tcBorders>
              <w:top w:val="nil"/>
              <w:left w:val="nil"/>
              <w:bottom w:val="nil"/>
              <w:right w:val="nil"/>
            </w:tcBorders>
          </w:tcPr>
          <w:p>
            <w:pPr>
              <w:pStyle w:val="TableParagraph"/>
              <w:spacing w:before="115"/>
              <w:ind w:left="358" w:right="76"/>
              <w:rPr>
                <w:sz w:val="22"/>
              </w:rPr>
            </w:pPr>
            <w:r>
              <w:rPr>
                <w:w w:val="85"/>
                <w:sz w:val="22"/>
              </w:rPr>
              <w:t>11 712</w:t>
            </w:r>
          </w:p>
        </w:tc>
        <w:tc>
          <w:tcPr>
            <w:tcW w:w="1637" w:type="dxa"/>
            <w:tcBorders>
              <w:top w:val="nil"/>
              <w:left w:val="nil"/>
              <w:bottom w:val="nil"/>
              <w:right w:val="nil"/>
            </w:tcBorders>
          </w:tcPr>
          <w:p>
            <w:pPr>
              <w:pStyle w:val="TableParagraph"/>
              <w:spacing w:before="115"/>
              <w:ind w:left="410"/>
              <w:rPr>
                <w:sz w:val="22"/>
              </w:rPr>
            </w:pPr>
            <w:r>
              <w:rPr>
                <w:w w:val="90"/>
                <w:sz w:val="22"/>
              </w:rPr>
              <w:t>-1.42266</w:t>
            </w:r>
          </w:p>
        </w:tc>
        <w:tc>
          <w:tcPr>
            <w:tcW w:w="1395" w:type="dxa"/>
            <w:tcBorders>
              <w:top w:val="nil"/>
              <w:left w:val="nil"/>
              <w:bottom w:val="nil"/>
              <w:right w:val="nil"/>
            </w:tcBorders>
          </w:tcPr>
          <w:p>
            <w:pPr>
              <w:pStyle w:val="TableParagraph"/>
              <w:spacing w:before="115"/>
              <w:ind w:left="156"/>
              <w:rPr>
                <w:sz w:val="22"/>
              </w:rPr>
            </w:pPr>
            <w:r>
              <w:rPr>
                <w:w w:val="85"/>
                <w:sz w:val="22"/>
              </w:rPr>
              <w:t>Muy bajo</w:t>
            </w:r>
          </w:p>
        </w:tc>
        <w:tc>
          <w:tcPr>
            <w:tcW w:w="1316" w:type="dxa"/>
            <w:tcBorders>
              <w:top w:val="nil"/>
              <w:left w:val="nil"/>
              <w:bottom w:val="nil"/>
              <w:right w:val="nil"/>
            </w:tcBorders>
          </w:tcPr>
          <w:p>
            <w:pPr>
              <w:pStyle w:val="TableParagraph"/>
              <w:spacing w:before="115"/>
              <w:ind w:left="548"/>
              <w:rPr>
                <w:sz w:val="22"/>
              </w:rPr>
            </w:pPr>
            <w:r>
              <w:rPr>
                <w:w w:val="90"/>
                <w:sz w:val="22"/>
              </w:rPr>
              <w:t>11.597</w:t>
            </w:r>
          </w:p>
        </w:tc>
        <w:tc>
          <w:tcPr>
            <w:tcW w:w="1629" w:type="dxa"/>
            <w:tcBorders>
              <w:top w:val="nil"/>
              <w:left w:val="nil"/>
              <w:bottom w:val="nil"/>
              <w:right w:val="nil"/>
            </w:tcBorders>
          </w:tcPr>
          <w:p>
            <w:pPr>
              <w:pStyle w:val="TableParagraph"/>
              <w:spacing w:before="115"/>
              <w:ind w:left="241"/>
              <w:rPr>
                <w:sz w:val="22"/>
              </w:rPr>
            </w:pPr>
            <w:r>
              <w:rPr>
                <w:w w:val="90"/>
                <w:sz w:val="22"/>
              </w:rPr>
              <w:t>103</w:t>
            </w:r>
          </w:p>
        </w:tc>
      </w:tr>
      <w:tr>
        <w:trPr>
          <w:trHeight w:val="252" w:hRule="exact"/>
        </w:trPr>
        <w:tc>
          <w:tcPr>
            <w:tcW w:w="1553" w:type="dxa"/>
            <w:tcBorders>
              <w:top w:val="nil"/>
              <w:left w:val="nil"/>
              <w:bottom w:val="nil"/>
              <w:right w:val="nil"/>
            </w:tcBorders>
          </w:tcPr>
          <w:p>
            <w:pPr>
              <w:pStyle w:val="TableParagraph"/>
              <w:spacing w:line="241" w:lineRule="exact"/>
              <w:ind w:left="105" w:right="48"/>
              <w:rPr>
                <w:sz w:val="22"/>
              </w:rPr>
            </w:pPr>
            <w:r>
              <w:rPr>
                <w:w w:val="90"/>
                <w:sz w:val="22"/>
              </w:rPr>
              <w:t>Ocoyoacac</w:t>
            </w:r>
          </w:p>
        </w:tc>
        <w:tc>
          <w:tcPr>
            <w:tcW w:w="1676" w:type="dxa"/>
            <w:tcBorders>
              <w:top w:val="nil"/>
              <w:left w:val="nil"/>
              <w:bottom w:val="nil"/>
              <w:right w:val="nil"/>
            </w:tcBorders>
          </w:tcPr>
          <w:p>
            <w:pPr>
              <w:pStyle w:val="TableParagraph"/>
              <w:spacing w:line="241" w:lineRule="exact"/>
              <w:ind w:left="358" w:right="76"/>
              <w:rPr>
                <w:sz w:val="22"/>
              </w:rPr>
            </w:pPr>
            <w:r>
              <w:rPr>
                <w:w w:val="85"/>
                <w:sz w:val="22"/>
              </w:rPr>
              <w:t>61 805</w:t>
            </w:r>
          </w:p>
        </w:tc>
        <w:tc>
          <w:tcPr>
            <w:tcW w:w="1637" w:type="dxa"/>
            <w:tcBorders>
              <w:top w:val="nil"/>
              <w:left w:val="nil"/>
              <w:bottom w:val="nil"/>
              <w:right w:val="nil"/>
            </w:tcBorders>
          </w:tcPr>
          <w:p>
            <w:pPr>
              <w:pStyle w:val="TableParagraph"/>
              <w:spacing w:line="241" w:lineRule="exact"/>
              <w:ind w:left="410"/>
              <w:rPr>
                <w:sz w:val="22"/>
              </w:rPr>
            </w:pPr>
            <w:r>
              <w:rPr>
                <w:w w:val="90"/>
                <w:sz w:val="22"/>
              </w:rPr>
              <w:t>-1.33385</w:t>
            </w:r>
          </w:p>
        </w:tc>
        <w:tc>
          <w:tcPr>
            <w:tcW w:w="1395" w:type="dxa"/>
            <w:tcBorders>
              <w:top w:val="nil"/>
              <w:left w:val="nil"/>
              <w:bottom w:val="nil"/>
              <w:right w:val="nil"/>
            </w:tcBorders>
          </w:tcPr>
          <w:p>
            <w:pPr>
              <w:pStyle w:val="TableParagraph"/>
              <w:spacing w:line="241" w:lineRule="exact"/>
              <w:ind w:left="156"/>
              <w:rPr>
                <w:sz w:val="22"/>
              </w:rPr>
            </w:pPr>
            <w:r>
              <w:rPr>
                <w:w w:val="85"/>
                <w:sz w:val="22"/>
              </w:rPr>
              <w:t>Muy bajo</w:t>
            </w:r>
          </w:p>
        </w:tc>
        <w:tc>
          <w:tcPr>
            <w:tcW w:w="1316" w:type="dxa"/>
            <w:tcBorders>
              <w:top w:val="nil"/>
              <w:left w:val="nil"/>
              <w:bottom w:val="nil"/>
              <w:right w:val="nil"/>
            </w:tcBorders>
          </w:tcPr>
          <w:p>
            <w:pPr>
              <w:pStyle w:val="TableParagraph"/>
              <w:spacing w:line="241" w:lineRule="exact"/>
              <w:ind w:left="548"/>
              <w:rPr>
                <w:sz w:val="22"/>
              </w:rPr>
            </w:pPr>
            <w:r>
              <w:rPr>
                <w:w w:val="90"/>
                <w:sz w:val="22"/>
              </w:rPr>
              <w:t>12.600</w:t>
            </w:r>
          </w:p>
        </w:tc>
        <w:tc>
          <w:tcPr>
            <w:tcW w:w="1629" w:type="dxa"/>
            <w:tcBorders>
              <w:top w:val="nil"/>
              <w:left w:val="nil"/>
              <w:bottom w:val="nil"/>
              <w:right w:val="nil"/>
            </w:tcBorders>
          </w:tcPr>
          <w:p>
            <w:pPr>
              <w:pStyle w:val="TableParagraph"/>
              <w:spacing w:line="241" w:lineRule="exact"/>
              <w:ind w:left="241"/>
              <w:rPr>
                <w:sz w:val="22"/>
              </w:rPr>
            </w:pPr>
            <w:r>
              <w:rPr>
                <w:w w:val="90"/>
                <w:sz w:val="22"/>
              </w:rPr>
              <w:t>96</w:t>
            </w:r>
          </w:p>
        </w:tc>
      </w:tr>
      <w:tr>
        <w:trPr>
          <w:trHeight w:val="255" w:hRule="exact"/>
        </w:trPr>
        <w:tc>
          <w:tcPr>
            <w:tcW w:w="1553" w:type="dxa"/>
            <w:tcBorders>
              <w:top w:val="nil"/>
              <w:left w:val="nil"/>
              <w:bottom w:val="nil"/>
              <w:right w:val="nil"/>
            </w:tcBorders>
          </w:tcPr>
          <w:p>
            <w:pPr>
              <w:pStyle w:val="TableParagraph"/>
              <w:spacing w:line="244" w:lineRule="exact"/>
              <w:ind w:left="105" w:right="48"/>
              <w:rPr>
                <w:sz w:val="22"/>
              </w:rPr>
            </w:pPr>
            <w:r>
              <w:rPr>
                <w:w w:val="90"/>
                <w:sz w:val="22"/>
              </w:rPr>
              <w:t>Otzolotepec</w:t>
            </w:r>
          </w:p>
        </w:tc>
        <w:tc>
          <w:tcPr>
            <w:tcW w:w="1676" w:type="dxa"/>
            <w:tcBorders>
              <w:top w:val="nil"/>
              <w:left w:val="nil"/>
              <w:bottom w:val="nil"/>
              <w:right w:val="nil"/>
            </w:tcBorders>
          </w:tcPr>
          <w:p>
            <w:pPr>
              <w:pStyle w:val="TableParagraph"/>
              <w:spacing w:line="244" w:lineRule="exact"/>
              <w:ind w:left="358" w:right="76"/>
              <w:rPr>
                <w:sz w:val="22"/>
              </w:rPr>
            </w:pPr>
            <w:r>
              <w:rPr>
                <w:w w:val="85"/>
                <w:sz w:val="22"/>
              </w:rPr>
              <w:t>78 146</w:t>
            </w:r>
          </w:p>
        </w:tc>
        <w:tc>
          <w:tcPr>
            <w:tcW w:w="1637" w:type="dxa"/>
            <w:tcBorders>
              <w:top w:val="nil"/>
              <w:left w:val="nil"/>
              <w:bottom w:val="nil"/>
              <w:right w:val="nil"/>
            </w:tcBorders>
          </w:tcPr>
          <w:p>
            <w:pPr>
              <w:pStyle w:val="TableParagraph"/>
              <w:spacing w:line="244" w:lineRule="exact"/>
              <w:ind w:left="410"/>
              <w:rPr>
                <w:sz w:val="22"/>
              </w:rPr>
            </w:pPr>
            <w:r>
              <w:rPr>
                <w:w w:val="90"/>
                <w:sz w:val="22"/>
              </w:rPr>
              <w:t>-0.53777</w:t>
            </w:r>
          </w:p>
        </w:tc>
        <w:tc>
          <w:tcPr>
            <w:tcW w:w="1395" w:type="dxa"/>
            <w:tcBorders>
              <w:top w:val="nil"/>
              <w:left w:val="nil"/>
              <w:bottom w:val="nil"/>
              <w:right w:val="nil"/>
            </w:tcBorders>
          </w:tcPr>
          <w:p>
            <w:pPr>
              <w:pStyle w:val="TableParagraph"/>
              <w:spacing w:line="244" w:lineRule="exact"/>
              <w:ind w:left="156"/>
              <w:rPr>
                <w:sz w:val="22"/>
              </w:rPr>
            </w:pPr>
            <w:r>
              <w:rPr>
                <w:w w:val="90"/>
                <w:sz w:val="22"/>
              </w:rPr>
              <w:t>Medio</w:t>
            </w:r>
          </w:p>
        </w:tc>
        <w:tc>
          <w:tcPr>
            <w:tcW w:w="1316" w:type="dxa"/>
            <w:tcBorders>
              <w:top w:val="nil"/>
              <w:left w:val="nil"/>
              <w:bottom w:val="nil"/>
              <w:right w:val="nil"/>
            </w:tcBorders>
          </w:tcPr>
          <w:p>
            <w:pPr>
              <w:pStyle w:val="TableParagraph"/>
              <w:spacing w:line="244" w:lineRule="exact"/>
              <w:ind w:left="548"/>
              <w:rPr>
                <w:sz w:val="22"/>
              </w:rPr>
            </w:pPr>
            <w:r>
              <w:rPr>
                <w:w w:val="90"/>
                <w:sz w:val="22"/>
              </w:rPr>
              <w:t>21.596</w:t>
            </w:r>
          </w:p>
        </w:tc>
        <w:tc>
          <w:tcPr>
            <w:tcW w:w="1629" w:type="dxa"/>
            <w:tcBorders>
              <w:top w:val="nil"/>
              <w:left w:val="nil"/>
              <w:bottom w:val="nil"/>
              <w:right w:val="nil"/>
            </w:tcBorders>
          </w:tcPr>
          <w:p>
            <w:pPr>
              <w:pStyle w:val="TableParagraph"/>
              <w:spacing w:line="244" w:lineRule="exact"/>
              <w:ind w:left="241"/>
              <w:rPr>
                <w:sz w:val="22"/>
              </w:rPr>
            </w:pPr>
            <w:r>
              <w:rPr>
                <w:w w:val="90"/>
                <w:sz w:val="22"/>
              </w:rPr>
              <w:t>43</w:t>
            </w:r>
          </w:p>
        </w:tc>
      </w:tr>
      <w:tr>
        <w:trPr>
          <w:trHeight w:val="252" w:hRule="exact"/>
        </w:trPr>
        <w:tc>
          <w:tcPr>
            <w:tcW w:w="1553" w:type="dxa"/>
            <w:tcBorders>
              <w:top w:val="nil"/>
              <w:left w:val="nil"/>
              <w:bottom w:val="nil"/>
              <w:right w:val="nil"/>
            </w:tcBorders>
          </w:tcPr>
          <w:p>
            <w:pPr>
              <w:pStyle w:val="TableParagraph"/>
              <w:spacing w:line="243" w:lineRule="exact"/>
              <w:ind w:left="105" w:right="48"/>
              <w:rPr>
                <w:sz w:val="22"/>
              </w:rPr>
            </w:pPr>
            <w:r>
              <w:rPr>
                <w:w w:val="90"/>
                <w:sz w:val="22"/>
              </w:rPr>
              <w:t>Rayón</w:t>
            </w:r>
          </w:p>
        </w:tc>
        <w:tc>
          <w:tcPr>
            <w:tcW w:w="1676" w:type="dxa"/>
            <w:tcBorders>
              <w:top w:val="nil"/>
              <w:left w:val="nil"/>
              <w:bottom w:val="nil"/>
              <w:right w:val="nil"/>
            </w:tcBorders>
          </w:tcPr>
          <w:p>
            <w:pPr>
              <w:pStyle w:val="TableParagraph"/>
              <w:spacing w:line="243" w:lineRule="exact"/>
              <w:ind w:left="358" w:right="76"/>
              <w:rPr>
                <w:sz w:val="22"/>
              </w:rPr>
            </w:pPr>
            <w:r>
              <w:rPr>
                <w:w w:val="85"/>
                <w:sz w:val="22"/>
              </w:rPr>
              <w:t>12 748</w:t>
            </w:r>
          </w:p>
        </w:tc>
        <w:tc>
          <w:tcPr>
            <w:tcW w:w="1637" w:type="dxa"/>
            <w:tcBorders>
              <w:top w:val="nil"/>
              <w:left w:val="nil"/>
              <w:bottom w:val="nil"/>
              <w:right w:val="nil"/>
            </w:tcBorders>
          </w:tcPr>
          <w:p>
            <w:pPr>
              <w:pStyle w:val="TableParagraph"/>
              <w:spacing w:line="243" w:lineRule="exact"/>
              <w:ind w:left="410"/>
              <w:rPr>
                <w:sz w:val="22"/>
              </w:rPr>
            </w:pPr>
            <w:r>
              <w:rPr>
                <w:w w:val="90"/>
                <w:sz w:val="22"/>
              </w:rPr>
              <w:t>-1.25237</w:t>
            </w:r>
          </w:p>
        </w:tc>
        <w:tc>
          <w:tcPr>
            <w:tcW w:w="1395" w:type="dxa"/>
            <w:tcBorders>
              <w:top w:val="nil"/>
              <w:left w:val="nil"/>
              <w:bottom w:val="nil"/>
              <w:right w:val="nil"/>
            </w:tcBorders>
          </w:tcPr>
          <w:p>
            <w:pPr>
              <w:pStyle w:val="TableParagraph"/>
              <w:spacing w:line="243" w:lineRule="exact"/>
              <w:ind w:left="156"/>
              <w:rPr>
                <w:sz w:val="22"/>
              </w:rPr>
            </w:pPr>
            <w:r>
              <w:rPr>
                <w:w w:val="85"/>
                <w:sz w:val="22"/>
              </w:rPr>
              <w:t>Muy bajo</w:t>
            </w:r>
          </w:p>
        </w:tc>
        <w:tc>
          <w:tcPr>
            <w:tcW w:w="1316" w:type="dxa"/>
            <w:tcBorders>
              <w:top w:val="nil"/>
              <w:left w:val="nil"/>
              <w:bottom w:val="nil"/>
              <w:right w:val="nil"/>
            </w:tcBorders>
          </w:tcPr>
          <w:p>
            <w:pPr>
              <w:pStyle w:val="TableParagraph"/>
              <w:spacing w:line="243" w:lineRule="exact"/>
              <w:ind w:left="548"/>
              <w:rPr>
                <w:sz w:val="22"/>
              </w:rPr>
            </w:pPr>
            <w:r>
              <w:rPr>
                <w:w w:val="90"/>
                <w:sz w:val="22"/>
              </w:rPr>
              <w:t>13.521</w:t>
            </w:r>
          </w:p>
        </w:tc>
        <w:tc>
          <w:tcPr>
            <w:tcW w:w="1629" w:type="dxa"/>
            <w:tcBorders>
              <w:top w:val="nil"/>
              <w:left w:val="nil"/>
              <w:bottom w:val="nil"/>
              <w:right w:val="nil"/>
            </w:tcBorders>
          </w:tcPr>
          <w:p>
            <w:pPr>
              <w:pStyle w:val="TableParagraph"/>
              <w:spacing w:line="243" w:lineRule="exact"/>
              <w:ind w:left="241"/>
              <w:rPr>
                <w:sz w:val="22"/>
              </w:rPr>
            </w:pPr>
            <w:r>
              <w:rPr>
                <w:w w:val="90"/>
                <w:sz w:val="22"/>
              </w:rPr>
              <w:t>88</w:t>
            </w:r>
          </w:p>
        </w:tc>
      </w:tr>
      <w:tr>
        <w:trPr>
          <w:trHeight w:val="756" w:hRule="exact"/>
        </w:trPr>
        <w:tc>
          <w:tcPr>
            <w:tcW w:w="1553" w:type="dxa"/>
            <w:tcBorders>
              <w:top w:val="nil"/>
              <w:left w:val="nil"/>
              <w:bottom w:val="nil"/>
              <w:right w:val="nil"/>
            </w:tcBorders>
          </w:tcPr>
          <w:p>
            <w:pPr>
              <w:pStyle w:val="TableParagraph"/>
              <w:spacing w:line="242" w:lineRule="auto"/>
              <w:ind w:left="105" w:right="363"/>
              <w:rPr>
                <w:sz w:val="22"/>
              </w:rPr>
            </w:pPr>
            <w:r>
              <w:rPr>
                <w:w w:val="80"/>
                <w:sz w:val="22"/>
              </w:rPr>
              <w:t>San Antonio </w:t>
            </w:r>
            <w:r>
              <w:rPr>
                <w:w w:val="85"/>
                <w:sz w:val="22"/>
              </w:rPr>
              <w:t>la Isla</w:t>
            </w:r>
          </w:p>
          <w:p>
            <w:pPr>
              <w:pStyle w:val="TableParagraph"/>
              <w:spacing w:line="247" w:lineRule="exact"/>
              <w:ind w:left="105" w:right="48"/>
              <w:rPr>
                <w:sz w:val="22"/>
              </w:rPr>
            </w:pPr>
            <w:r>
              <w:rPr>
                <w:w w:val="80"/>
                <w:sz w:val="22"/>
              </w:rPr>
              <w:t>San Mateo</w:t>
            </w:r>
          </w:p>
        </w:tc>
        <w:tc>
          <w:tcPr>
            <w:tcW w:w="1676" w:type="dxa"/>
            <w:tcBorders>
              <w:top w:val="nil"/>
              <w:left w:val="nil"/>
              <w:bottom w:val="nil"/>
              <w:right w:val="nil"/>
            </w:tcBorders>
          </w:tcPr>
          <w:p>
            <w:pPr>
              <w:pStyle w:val="TableParagraph"/>
              <w:spacing w:line="241" w:lineRule="exact"/>
              <w:ind w:left="358" w:right="76"/>
              <w:rPr>
                <w:sz w:val="22"/>
              </w:rPr>
            </w:pPr>
            <w:r>
              <w:rPr>
                <w:w w:val="85"/>
                <w:sz w:val="22"/>
              </w:rPr>
              <w:t>22 152</w:t>
            </w:r>
          </w:p>
          <w:p>
            <w:pPr>
              <w:pStyle w:val="TableParagraph"/>
              <w:spacing w:before="9"/>
              <w:rPr>
                <w:sz w:val="21"/>
              </w:rPr>
            </w:pPr>
          </w:p>
          <w:p>
            <w:pPr>
              <w:pStyle w:val="TableParagraph"/>
              <w:ind w:left="358" w:right="76"/>
              <w:rPr>
                <w:sz w:val="22"/>
              </w:rPr>
            </w:pPr>
            <w:r>
              <w:rPr>
                <w:w w:val="85"/>
                <w:sz w:val="22"/>
              </w:rPr>
              <w:t>72 579</w:t>
            </w:r>
          </w:p>
        </w:tc>
        <w:tc>
          <w:tcPr>
            <w:tcW w:w="1637" w:type="dxa"/>
            <w:tcBorders>
              <w:top w:val="nil"/>
              <w:left w:val="nil"/>
              <w:bottom w:val="nil"/>
              <w:right w:val="nil"/>
            </w:tcBorders>
          </w:tcPr>
          <w:p>
            <w:pPr>
              <w:pStyle w:val="TableParagraph"/>
              <w:spacing w:line="241" w:lineRule="exact"/>
              <w:ind w:left="410"/>
              <w:rPr>
                <w:sz w:val="22"/>
              </w:rPr>
            </w:pPr>
            <w:r>
              <w:rPr>
                <w:w w:val="90"/>
                <w:sz w:val="22"/>
              </w:rPr>
              <w:t>-1.51339</w:t>
            </w:r>
          </w:p>
          <w:p>
            <w:pPr>
              <w:pStyle w:val="TableParagraph"/>
              <w:spacing w:before="9"/>
              <w:rPr>
                <w:sz w:val="21"/>
              </w:rPr>
            </w:pPr>
          </w:p>
          <w:p>
            <w:pPr>
              <w:pStyle w:val="TableParagraph"/>
              <w:ind w:left="410"/>
              <w:rPr>
                <w:sz w:val="22"/>
              </w:rPr>
            </w:pPr>
            <w:r>
              <w:rPr>
                <w:w w:val="90"/>
                <w:sz w:val="22"/>
              </w:rPr>
              <w:t>-1.33584</w:t>
            </w:r>
          </w:p>
        </w:tc>
        <w:tc>
          <w:tcPr>
            <w:tcW w:w="1395" w:type="dxa"/>
            <w:tcBorders>
              <w:top w:val="nil"/>
              <w:left w:val="nil"/>
              <w:bottom w:val="nil"/>
              <w:right w:val="nil"/>
            </w:tcBorders>
          </w:tcPr>
          <w:p>
            <w:pPr>
              <w:pStyle w:val="TableParagraph"/>
              <w:spacing w:line="241" w:lineRule="exact"/>
              <w:ind w:left="156"/>
              <w:rPr>
                <w:sz w:val="22"/>
              </w:rPr>
            </w:pPr>
            <w:r>
              <w:rPr>
                <w:w w:val="85"/>
                <w:sz w:val="22"/>
              </w:rPr>
              <w:t>Muy bajo</w:t>
            </w:r>
          </w:p>
          <w:p>
            <w:pPr>
              <w:pStyle w:val="TableParagraph"/>
              <w:spacing w:before="9"/>
              <w:rPr>
                <w:sz w:val="21"/>
              </w:rPr>
            </w:pPr>
          </w:p>
          <w:p>
            <w:pPr>
              <w:pStyle w:val="TableParagraph"/>
              <w:ind w:left="156"/>
              <w:rPr>
                <w:sz w:val="22"/>
              </w:rPr>
            </w:pPr>
            <w:r>
              <w:rPr>
                <w:w w:val="85"/>
                <w:sz w:val="22"/>
              </w:rPr>
              <w:t>Muy bajo</w:t>
            </w:r>
          </w:p>
        </w:tc>
        <w:tc>
          <w:tcPr>
            <w:tcW w:w="1316" w:type="dxa"/>
            <w:tcBorders>
              <w:top w:val="nil"/>
              <w:left w:val="nil"/>
              <w:bottom w:val="nil"/>
              <w:right w:val="nil"/>
            </w:tcBorders>
          </w:tcPr>
          <w:p>
            <w:pPr>
              <w:pStyle w:val="TableParagraph"/>
              <w:spacing w:line="241" w:lineRule="exact"/>
              <w:ind w:left="548"/>
              <w:rPr>
                <w:sz w:val="22"/>
              </w:rPr>
            </w:pPr>
            <w:r>
              <w:rPr>
                <w:w w:val="90"/>
                <w:sz w:val="22"/>
              </w:rPr>
              <w:t>10.572</w:t>
            </w:r>
          </w:p>
          <w:p>
            <w:pPr>
              <w:pStyle w:val="TableParagraph"/>
              <w:spacing w:before="9"/>
              <w:rPr>
                <w:sz w:val="21"/>
              </w:rPr>
            </w:pPr>
          </w:p>
          <w:p>
            <w:pPr>
              <w:pStyle w:val="TableParagraph"/>
              <w:ind w:left="548"/>
              <w:rPr>
                <w:sz w:val="22"/>
              </w:rPr>
            </w:pPr>
            <w:r>
              <w:rPr>
                <w:w w:val="90"/>
                <w:sz w:val="22"/>
              </w:rPr>
              <w:t>12.578</w:t>
            </w:r>
          </w:p>
        </w:tc>
        <w:tc>
          <w:tcPr>
            <w:tcW w:w="1629" w:type="dxa"/>
            <w:tcBorders>
              <w:top w:val="nil"/>
              <w:left w:val="nil"/>
              <w:bottom w:val="nil"/>
              <w:right w:val="nil"/>
            </w:tcBorders>
          </w:tcPr>
          <w:p>
            <w:pPr>
              <w:pStyle w:val="TableParagraph"/>
              <w:spacing w:line="241" w:lineRule="exact"/>
              <w:ind w:left="241"/>
              <w:rPr>
                <w:sz w:val="22"/>
              </w:rPr>
            </w:pPr>
            <w:r>
              <w:rPr>
                <w:w w:val="90"/>
                <w:sz w:val="22"/>
              </w:rPr>
              <w:t>108</w:t>
            </w:r>
          </w:p>
          <w:p>
            <w:pPr>
              <w:pStyle w:val="TableParagraph"/>
              <w:spacing w:before="9"/>
              <w:rPr>
                <w:sz w:val="21"/>
              </w:rPr>
            </w:pPr>
          </w:p>
          <w:p>
            <w:pPr>
              <w:pStyle w:val="TableParagraph"/>
              <w:ind w:left="241"/>
              <w:rPr>
                <w:sz w:val="22"/>
              </w:rPr>
            </w:pPr>
            <w:r>
              <w:rPr>
                <w:w w:val="90"/>
                <w:sz w:val="22"/>
              </w:rPr>
              <w:t>97</w:t>
            </w:r>
          </w:p>
        </w:tc>
      </w:tr>
      <w:tr>
        <w:trPr>
          <w:trHeight w:val="634" w:hRule="exact"/>
        </w:trPr>
        <w:tc>
          <w:tcPr>
            <w:tcW w:w="1553" w:type="dxa"/>
            <w:tcBorders>
              <w:top w:val="nil"/>
              <w:left w:val="nil"/>
              <w:bottom w:val="nil"/>
              <w:right w:val="nil"/>
            </w:tcBorders>
          </w:tcPr>
          <w:p>
            <w:pPr>
              <w:pStyle w:val="TableParagraph"/>
              <w:spacing w:line="242" w:lineRule="auto"/>
              <w:ind w:left="105" w:right="879"/>
              <w:rPr>
                <w:sz w:val="22"/>
              </w:rPr>
            </w:pPr>
            <w:r>
              <w:rPr>
                <w:w w:val="80"/>
                <w:sz w:val="22"/>
              </w:rPr>
              <w:t>Atenco Toluca</w:t>
            </w:r>
          </w:p>
        </w:tc>
        <w:tc>
          <w:tcPr>
            <w:tcW w:w="1676" w:type="dxa"/>
            <w:tcBorders>
              <w:top w:val="nil"/>
              <w:left w:val="nil"/>
              <w:bottom w:val="nil"/>
              <w:right w:val="nil"/>
            </w:tcBorders>
          </w:tcPr>
          <w:p>
            <w:pPr>
              <w:pStyle w:val="TableParagraph"/>
              <w:spacing w:before="3"/>
              <w:rPr>
                <w:sz w:val="21"/>
              </w:rPr>
            </w:pPr>
          </w:p>
          <w:p>
            <w:pPr>
              <w:pStyle w:val="TableParagraph"/>
              <w:ind w:left="358" w:right="76"/>
              <w:rPr>
                <w:sz w:val="22"/>
              </w:rPr>
            </w:pPr>
            <w:r>
              <w:rPr>
                <w:w w:val="85"/>
                <w:sz w:val="22"/>
              </w:rPr>
              <w:t>819 561</w:t>
            </w:r>
          </w:p>
        </w:tc>
        <w:tc>
          <w:tcPr>
            <w:tcW w:w="1637" w:type="dxa"/>
            <w:tcBorders>
              <w:top w:val="nil"/>
              <w:left w:val="nil"/>
              <w:bottom w:val="nil"/>
              <w:right w:val="nil"/>
            </w:tcBorders>
          </w:tcPr>
          <w:p>
            <w:pPr>
              <w:pStyle w:val="TableParagraph"/>
              <w:spacing w:before="3"/>
              <w:rPr>
                <w:sz w:val="21"/>
              </w:rPr>
            </w:pPr>
          </w:p>
          <w:p>
            <w:pPr>
              <w:pStyle w:val="TableParagraph"/>
              <w:ind w:left="410"/>
              <w:rPr>
                <w:sz w:val="22"/>
              </w:rPr>
            </w:pPr>
            <w:r>
              <w:rPr>
                <w:w w:val="90"/>
                <w:sz w:val="22"/>
              </w:rPr>
              <w:t>-1.60430</w:t>
            </w:r>
          </w:p>
        </w:tc>
        <w:tc>
          <w:tcPr>
            <w:tcW w:w="1395" w:type="dxa"/>
            <w:tcBorders>
              <w:top w:val="nil"/>
              <w:left w:val="nil"/>
              <w:bottom w:val="nil"/>
              <w:right w:val="nil"/>
            </w:tcBorders>
          </w:tcPr>
          <w:p>
            <w:pPr>
              <w:pStyle w:val="TableParagraph"/>
              <w:spacing w:before="3"/>
              <w:rPr>
                <w:sz w:val="21"/>
              </w:rPr>
            </w:pPr>
          </w:p>
          <w:p>
            <w:pPr>
              <w:pStyle w:val="TableParagraph"/>
              <w:ind w:left="156"/>
              <w:rPr>
                <w:sz w:val="22"/>
              </w:rPr>
            </w:pPr>
            <w:r>
              <w:rPr>
                <w:w w:val="85"/>
                <w:sz w:val="22"/>
              </w:rPr>
              <w:t>Muy bajo</w:t>
            </w:r>
          </w:p>
        </w:tc>
        <w:tc>
          <w:tcPr>
            <w:tcW w:w="1316" w:type="dxa"/>
            <w:tcBorders>
              <w:top w:val="nil"/>
              <w:left w:val="nil"/>
              <w:bottom w:val="nil"/>
              <w:right w:val="nil"/>
            </w:tcBorders>
          </w:tcPr>
          <w:p>
            <w:pPr>
              <w:pStyle w:val="TableParagraph"/>
              <w:spacing w:before="3"/>
              <w:rPr>
                <w:sz w:val="21"/>
              </w:rPr>
            </w:pPr>
          </w:p>
          <w:p>
            <w:pPr>
              <w:pStyle w:val="TableParagraph"/>
              <w:ind w:left="548"/>
              <w:rPr>
                <w:sz w:val="22"/>
              </w:rPr>
            </w:pPr>
            <w:r>
              <w:rPr>
                <w:w w:val="90"/>
                <w:sz w:val="22"/>
              </w:rPr>
              <w:t>9.544</w:t>
            </w:r>
          </w:p>
        </w:tc>
        <w:tc>
          <w:tcPr>
            <w:tcW w:w="1629" w:type="dxa"/>
            <w:tcBorders>
              <w:top w:val="nil"/>
              <w:left w:val="nil"/>
              <w:bottom w:val="nil"/>
              <w:right w:val="nil"/>
            </w:tcBorders>
          </w:tcPr>
          <w:p>
            <w:pPr>
              <w:pStyle w:val="TableParagraph"/>
              <w:spacing w:before="3"/>
              <w:rPr>
                <w:sz w:val="21"/>
              </w:rPr>
            </w:pPr>
          </w:p>
          <w:p>
            <w:pPr>
              <w:pStyle w:val="TableParagraph"/>
              <w:ind w:left="241"/>
              <w:rPr>
                <w:sz w:val="22"/>
              </w:rPr>
            </w:pPr>
            <w:r>
              <w:rPr>
                <w:w w:val="90"/>
                <w:sz w:val="22"/>
              </w:rPr>
              <w:t>112</w:t>
            </w:r>
          </w:p>
        </w:tc>
      </w:tr>
      <w:tr>
        <w:trPr>
          <w:trHeight w:val="377" w:hRule="exact"/>
        </w:trPr>
        <w:tc>
          <w:tcPr>
            <w:tcW w:w="1553" w:type="dxa"/>
            <w:tcBorders>
              <w:top w:val="nil"/>
              <w:left w:val="nil"/>
              <w:bottom w:val="nil"/>
              <w:right w:val="nil"/>
            </w:tcBorders>
          </w:tcPr>
          <w:p>
            <w:pPr>
              <w:pStyle w:val="TableParagraph"/>
              <w:spacing w:before="115"/>
              <w:ind w:left="105" w:right="48"/>
              <w:rPr>
                <w:sz w:val="22"/>
              </w:rPr>
            </w:pPr>
            <w:r>
              <w:rPr>
                <w:w w:val="90"/>
                <w:sz w:val="22"/>
              </w:rPr>
              <w:t>Xonacatlán</w:t>
            </w:r>
          </w:p>
        </w:tc>
        <w:tc>
          <w:tcPr>
            <w:tcW w:w="1676" w:type="dxa"/>
            <w:tcBorders>
              <w:top w:val="nil"/>
              <w:left w:val="nil"/>
              <w:bottom w:val="nil"/>
              <w:right w:val="nil"/>
            </w:tcBorders>
          </w:tcPr>
          <w:p>
            <w:pPr>
              <w:pStyle w:val="TableParagraph"/>
              <w:spacing w:before="115"/>
              <w:ind w:left="358" w:right="76"/>
              <w:rPr>
                <w:sz w:val="22"/>
              </w:rPr>
            </w:pPr>
            <w:r>
              <w:rPr>
                <w:w w:val="85"/>
                <w:sz w:val="22"/>
              </w:rPr>
              <w:t>46 331</w:t>
            </w:r>
          </w:p>
        </w:tc>
        <w:tc>
          <w:tcPr>
            <w:tcW w:w="1637" w:type="dxa"/>
            <w:tcBorders>
              <w:top w:val="nil"/>
              <w:left w:val="nil"/>
              <w:bottom w:val="nil"/>
              <w:right w:val="nil"/>
            </w:tcBorders>
          </w:tcPr>
          <w:p>
            <w:pPr>
              <w:pStyle w:val="TableParagraph"/>
              <w:spacing w:before="115"/>
              <w:ind w:left="410"/>
              <w:rPr>
                <w:sz w:val="22"/>
              </w:rPr>
            </w:pPr>
            <w:r>
              <w:rPr>
                <w:w w:val="90"/>
                <w:sz w:val="22"/>
              </w:rPr>
              <w:t>-1.14703</w:t>
            </w:r>
          </w:p>
        </w:tc>
        <w:tc>
          <w:tcPr>
            <w:tcW w:w="1395" w:type="dxa"/>
            <w:tcBorders>
              <w:top w:val="nil"/>
              <w:left w:val="nil"/>
              <w:bottom w:val="nil"/>
              <w:right w:val="nil"/>
            </w:tcBorders>
          </w:tcPr>
          <w:p>
            <w:pPr>
              <w:pStyle w:val="TableParagraph"/>
              <w:spacing w:before="115"/>
              <w:ind w:left="156"/>
              <w:rPr>
                <w:sz w:val="22"/>
              </w:rPr>
            </w:pPr>
            <w:r>
              <w:rPr>
                <w:w w:val="90"/>
                <w:sz w:val="22"/>
              </w:rPr>
              <w:t>Bajo</w:t>
            </w:r>
          </w:p>
        </w:tc>
        <w:tc>
          <w:tcPr>
            <w:tcW w:w="1316" w:type="dxa"/>
            <w:tcBorders>
              <w:top w:val="nil"/>
              <w:left w:val="nil"/>
              <w:bottom w:val="nil"/>
              <w:right w:val="nil"/>
            </w:tcBorders>
          </w:tcPr>
          <w:p>
            <w:pPr>
              <w:pStyle w:val="TableParagraph"/>
              <w:spacing w:before="115"/>
              <w:ind w:left="548"/>
              <w:rPr>
                <w:sz w:val="22"/>
              </w:rPr>
            </w:pPr>
            <w:r>
              <w:rPr>
                <w:w w:val="90"/>
                <w:sz w:val="22"/>
              </w:rPr>
              <w:t>14.711</w:t>
            </w:r>
          </w:p>
        </w:tc>
        <w:tc>
          <w:tcPr>
            <w:tcW w:w="1629" w:type="dxa"/>
            <w:tcBorders>
              <w:top w:val="nil"/>
              <w:left w:val="nil"/>
              <w:bottom w:val="nil"/>
              <w:right w:val="nil"/>
            </w:tcBorders>
          </w:tcPr>
          <w:p>
            <w:pPr>
              <w:pStyle w:val="TableParagraph"/>
              <w:spacing w:before="115"/>
              <w:ind w:left="241"/>
              <w:rPr>
                <w:sz w:val="22"/>
              </w:rPr>
            </w:pPr>
            <w:r>
              <w:rPr>
                <w:w w:val="90"/>
                <w:sz w:val="22"/>
              </w:rPr>
              <w:t>76</w:t>
            </w:r>
          </w:p>
        </w:tc>
      </w:tr>
      <w:tr>
        <w:trPr>
          <w:trHeight w:val="262" w:hRule="exact"/>
        </w:trPr>
        <w:tc>
          <w:tcPr>
            <w:tcW w:w="1553" w:type="dxa"/>
            <w:tcBorders>
              <w:top w:val="nil"/>
              <w:left w:val="nil"/>
              <w:right w:val="nil"/>
            </w:tcBorders>
          </w:tcPr>
          <w:p>
            <w:pPr>
              <w:pStyle w:val="TableParagraph"/>
              <w:spacing w:line="241" w:lineRule="exact"/>
              <w:ind w:left="105" w:right="48"/>
              <w:rPr>
                <w:sz w:val="22"/>
              </w:rPr>
            </w:pPr>
            <w:r>
              <w:rPr>
                <w:w w:val="90"/>
                <w:sz w:val="22"/>
              </w:rPr>
              <w:t>Zinacantepec</w:t>
            </w:r>
          </w:p>
        </w:tc>
        <w:tc>
          <w:tcPr>
            <w:tcW w:w="1676" w:type="dxa"/>
            <w:tcBorders>
              <w:top w:val="nil"/>
              <w:left w:val="nil"/>
              <w:right w:val="nil"/>
            </w:tcBorders>
          </w:tcPr>
          <w:p>
            <w:pPr>
              <w:pStyle w:val="TableParagraph"/>
              <w:spacing w:line="241" w:lineRule="exact"/>
              <w:ind w:left="358" w:right="76"/>
              <w:rPr>
                <w:sz w:val="22"/>
              </w:rPr>
            </w:pPr>
            <w:r>
              <w:rPr>
                <w:w w:val="85"/>
                <w:sz w:val="22"/>
              </w:rPr>
              <w:t>167 759</w:t>
            </w:r>
          </w:p>
        </w:tc>
        <w:tc>
          <w:tcPr>
            <w:tcW w:w="1637" w:type="dxa"/>
            <w:tcBorders>
              <w:top w:val="nil"/>
              <w:left w:val="nil"/>
              <w:right w:val="nil"/>
            </w:tcBorders>
          </w:tcPr>
          <w:p>
            <w:pPr>
              <w:pStyle w:val="TableParagraph"/>
              <w:spacing w:line="241" w:lineRule="exact"/>
              <w:ind w:left="410"/>
              <w:rPr>
                <w:sz w:val="22"/>
              </w:rPr>
            </w:pPr>
            <w:r>
              <w:rPr>
                <w:w w:val="90"/>
                <w:sz w:val="22"/>
              </w:rPr>
              <w:t>-1.04388</w:t>
            </w:r>
          </w:p>
        </w:tc>
        <w:tc>
          <w:tcPr>
            <w:tcW w:w="1395" w:type="dxa"/>
            <w:tcBorders>
              <w:top w:val="nil"/>
              <w:left w:val="nil"/>
              <w:right w:val="nil"/>
            </w:tcBorders>
          </w:tcPr>
          <w:p>
            <w:pPr>
              <w:pStyle w:val="TableParagraph"/>
              <w:spacing w:line="241" w:lineRule="exact"/>
              <w:ind w:left="156"/>
              <w:rPr>
                <w:sz w:val="22"/>
              </w:rPr>
            </w:pPr>
            <w:r>
              <w:rPr>
                <w:w w:val="90"/>
                <w:sz w:val="22"/>
              </w:rPr>
              <w:t>Bajo</w:t>
            </w:r>
          </w:p>
        </w:tc>
        <w:tc>
          <w:tcPr>
            <w:tcW w:w="1316" w:type="dxa"/>
            <w:tcBorders>
              <w:top w:val="nil"/>
              <w:left w:val="nil"/>
              <w:right w:val="nil"/>
            </w:tcBorders>
          </w:tcPr>
          <w:p>
            <w:pPr>
              <w:pStyle w:val="TableParagraph"/>
              <w:spacing w:line="241" w:lineRule="exact"/>
              <w:ind w:left="548"/>
              <w:rPr>
                <w:sz w:val="22"/>
              </w:rPr>
            </w:pPr>
            <w:r>
              <w:rPr>
                <w:w w:val="90"/>
                <w:sz w:val="22"/>
              </w:rPr>
              <w:t>15.877</w:t>
            </w:r>
          </w:p>
        </w:tc>
        <w:tc>
          <w:tcPr>
            <w:tcW w:w="1629" w:type="dxa"/>
            <w:tcBorders>
              <w:top w:val="nil"/>
              <w:left w:val="nil"/>
              <w:right w:val="nil"/>
            </w:tcBorders>
          </w:tcPr>
          <w:p>
            <w:pPr>
              <w:pStyle w:val="TableParagraph"/>
              <w:spacing w:line="241" w:lineRule="exact"/>
              <w:ind w:left="241"/>
              <w:rPr>
                <w:sz w:val="22"/>
              </w:rPr>
            </w:pPr>
            <w:r>
              <w:rPr>
                <w:w w:val="90"/>
                <w:sz w:val="22"/>
              </w:rPr>
              <w:t>68</w:t>
            </w:r>
          </w:p>
        </w:tc>
      </w:tr>
    </w:tbl>
    <w:p>
      <w:pPr>
        <w:spacing w:line="215" w:lineRule="exact" w:before="0"/>
        <w:ind w:left="279" w:right="0" w:firstLine="0"/>
        <w:jc w:val="both"/>
        <w:rPr>
          <w:sz w:val="20"/>
        </w:rPr>
      </w:pPr>
      <w:r>
        <w:rPr>
          <w:sz w:val="20"/>
        </w:rPr>
        <w:t>Fuente: Estimaciones del CONAPO con base en INEGI, Censo de Población y Vivienda 2010.</w:t>
      </w:r>
    </w:p>
    <w:p>
      <w:pPr>
        <w:pStyle w:val="BodyText"/>
        <w:rPr>
          <w:sz w:val="20"/>
        </w:rPr>
      </w:pPr>
    </w:p>
    <w:p>
      <w:pPr>
        <w:pStyle w:val="BodyText"/>
        <w:rPr>
          <w:sz w:val="16"/>
        </w:rPr>
      </w:pPr>
    </w:p>
    <w:p>
      <w:pPr>
        <w:pStyle w:val="BodyText"/>
        <w:spacing w:line="360" w:lineRule="auto"/>
        <w:ind w:left="279" w:right="296"/>
        <w:jc w:val="both"/>
      </w:pPr>
      <w:r>
        <w:rPr/>
        <w:t>En el cuadro anterior se observa que nueve municipios (64%) de la ZMT se clasificaron con un nivel de marginación </w:t>
      </w:r>
      <w:r>
        <w:rPr>
          <w:spacing w:val="-3"/>
        </w:rPr>
        <w:t>muy </w:t>
      </w:r>
      <w:r>
        <w:rPr/>
        <w:t>bajo y tres (21%) con un nivel bajo, por el contrario los municipios de Lerma, Otzolotepec y Almoloya de Juárez se clasificaron un nivel medio lo que significa que son los municipios de la ZMT cuyo acceso a la educación es difícil por varias circunstancias; donde los indicadores señalan</w:t>
      </w:r>
      <w:r>
        <w:rPr>
          <w:spacing w:val="-9"/>
        </w:rPr>
        <w:t> </w:t>
      </w:r>
      <w:r>
        <w:rPr/>
        <w:t>que</w:t>
      </w:r>
      <w:r>
        <w:rPr>
          <w:spacing w:val="-10"/>
        </w:rPr>
        <w:t> </w:t>
      </w:r>
      <w:r>
        <w:rPr>
          <w:spacing w:val="-3"/>
        </w:rPr>
        <w:t>su</w:t>
      </w:r>
      <w:r>
        <w:rPr>
          <w:spacing w:val="-10"/>
        </w:rPr>
        <w:t> </w:t>
      </w:r>
      <w:r>
        <w:rPr/>
        <w:t>población</w:t>
      </w:r>
      <w:r>
        <w:rPr>
          <w:spacing w:val="-15"/>
        </w:rPr>
        <w:t> </w:t>
      </w:r>
      <w:r>
        <w:rPr/>
        <w:t>tiene</w:t>
      </w:r>
      <w:r>
        <w:rPr>
          <w:spacing w:val="-10"/>
        </w:rPr>
        <w:t> </w:t>
      </w:r>
      <w:r>
        <w:rPr/>
        <w:t>niveles</w:t>
      </w:r>
      <w:r>
        <w:rPr>
          <w:spacing w:val="-11"/>
        </w:rPr>
        <w:t> </w:t>
      </w:r>
      <w:r>
        <w:rPr/>
        <w:t>mínimos</w:t>
      </w:r>
      <w:r>
        <w:rPr>
          <w:spacing w:val="-11"/>
        </w:rPr>
        <w:t> </w:t>
      </w:r>
      <w:r>
        <w:rPr/>
        <w:t>de</w:t>
      </w:r>
      <w:r>
        <w:rPr>
          <w:spacing w:val="-10"/>
        </w:rPr>
        <w:t> </w:t>
      </w:r>
      <w:r>
        <w:rPr/>
        <w:t>estudios;</w:t>
      </w:r>
      <w:r>
        <w:rPr>
          <w:spacing w:val="-15"/>
        </w:rPr>
        <w:t> </w:t>
      </w:r>
      <w:r>
        <w:rPr/>
        <w:t>de</w:t>
      </w:r>
      <w:r>
        <w:rPr>
          <w:spacing w:val="-15"/>
        </w:rPr>
        <w:t> </w:t>
      </w:r>
      <w:r>
        <w:rPr/>
        <w:t>igual</w:t>
      </w:r>
      <w:r>
        <w:rPr>
          <w:spacing w:val="-6"/>
        </w:rPr>
        <w:t> </w:t>
      </w:r>
      <w:r>
        <w:rPr/>
        <w:t>forma,</w:t>
      </w:r>
      <w:r>
        <w:rPr>
          <w:spacing w:val="-10"/>
        </w:rPr>
        <w:t> </w:t>
      </w:r>
      <w:r>
        <w:rPr/>
        <w:t>que</w:t>
      </w:r>
      <w:r>
        <w:rPr>
          <w:spacing w:val="-10"/>
        </w:rPr>
        <w:t> </w:t>
      </w:r>
      <w:r>
        <w:rPr/>
        <w:t>las condiciones</w:t>
      </w:r>
      <w:r>
        <w:rPr>
          <w:spacing w:val="-11"/>
        </w:rPr>
        <w:t> </w:t>
      </w:r>
      <w:r>
        <w:rPr/>
        <w:t>de</w:t>
      </w:r>
      <w:r>
        <w:rPr>
          <w:spacing w:val="-10"/>
        </w:rPr>
        <w:t> </w:t>
      </w:r>
      <w:r>
        <w:rPr/>
        <w:t>sus</w:t>
      </w:r>
      <w:r>
        <w:rPr>
          <w:spacing w:val="-11"/>
        </w:rPr>
        <w:t> </w:t>
      </w:r>
      <w:r>
        <w:rPr/>
        <w:t>viviendas</w:t>
      </w:r>
      <w:r>
        <w:rPr>
          <w:spacing w:val="-11"/>
        </w:rPr>
        <w:t> </w:t>
      </w:r>
      <w:r>
        <w:rPr/>
        <w:t>son</w:t>
      </w:r>
      <w:r>
        <w:rPr>
          <w:spacing w:val="-10"/>
        </w:rPr>
        <w:t> </w:t>
      </w:r>
      <w:r>
        <w:rPr/>
        <w:t>malas</w:t>
      </w:r>
      <w:r>
        <w:rPr>
          <w:spacing w:val="-11"/>
        </w:rPr>
        <w:t> </w:t>
      </w:r>
      <w:r>
        <w:rPr/>
        <w:t>sea</w:t>
      </w:r>
      <w:r>
        <w:rPr>
          <w:spacing w:val="-10"/>
        </w:rPr>
        <w:t> </w:t>
      </w:r>
      <w:r>
        <w:rPr/>
        <w:t>por</w:t>
      </w:r>
      <w:r>
        <w:rPr>
          <w:spacing w:val="-9"/>
        </w:rPr>
        <w:t> </w:t>
      </w:r>
      <w:r>
        <w:rPr/>
        <w:t>la</w:t>
      </w:r>
      <w:r>
        <w:rPr>
          <w:spacing w:val="-10"/>
        </w:rPr>
        <w:t> </w:t>
      </w:r>
      <w:r>
        <w:rPr/>
        <w:t>falta</w:t>
      </w:r>
      <w:r>
        <w:rPr>
          <w:spacing w:val="-10"/>
        </w:rPr>
        <w:t> </w:t>
      </w:r>
      <w:r>
        <w:rPr/>
        <w:t>de</w:t>
      </w:r>
      <w:r>
        <w:rPr>
          <w:spacing w:val="-10"/>
        </w:rPr>
        <w:t> </w:t>
      </w:r>
      <w:r>
        <w:rPr/>
        <w:t>espacio</w:t>
      </w:r>
      <w:r>
        <w:rPr>
          <w:spacing w:val="-10"/>
        </w:rPr>
        <w:t> </w:t>
      </w:r>
      <w:r>
        <w:rPr/>
        <w:t>o</w:t>
      </w:r>
      <w:r>
        <w:rPr>
          <w:spacing w:val="-10"/>
        </w:rPr>
        <w:t> </w:t>
      </w:r>
      <w:r>
        <w:rPr/>
        <w:t>por</w:t>
      </w:r>
      <w:r>
        <w:rPr>
          <w:spacing w:val="-9"/>
        </w:rPr>
        <w:t> </w:t>
      </w:r>
      <w:r>
        <w:rPr/>
        <w:t>carecer</w:t>
      </w:r>
      <w:r>
        <w:rPr>
          <w:spacing w:val="-9"/>
        </w:rPr>
        <w:t> </w:t>
      </w:r>
      <w:r>
        <w:rPr/>
        <w:t>de los servicios básicos como drenaje, luz, agua y piso de cemento; referente a sus ingresos económicos, que éstos no son suficientes para sostener una vida digna; y por lo general, poseen una localidades pequeñas alejadas de los grandes centros comerciales  y  de  servicios.  En  términos  porcentuales  los  municipios  que  </w:t>
      </w:r>
      <w:r>
        <w:rPr>
          <w:spacing w:val="55"/>
        </w:rPr>
        <w:t> </w:t>
      </w:r>
      <w:r>
        <w:rPr/>
        <w:t>se</w:t>
      </w:r>
    </w:p>
    <w:p>
      <w:pPr>
        <w:spacing w:after="0" w:line="360" w:lineRule="auto"/>
        <w:jc w:val="both"/>
        <w:sectPr>
          <w:footerReference w:type="default" r:id="rId51"/>
          <w:pgSz w:w="12240" w:h="15840"/>
          <w:pgMar w:footer="1031" w:header="0" w:top="1360" w:bottom="1220" w:left="1420" w:right="1400"/>
          <w:pgNumType w:start="86"/>
        </w:sectPr>
      </w:pPr>
    </w:p>
    <w:p>
      <w:pPr>
        <w:pStyle w:val="BodyText"/>
        <w:spacing w:line="360" w:lineRule="auto" w:before="52"/>
        <w:ind w:left="119" w:right="114"/>
        <w:jc w:val="both"/>
      </w:pPr>
      <w:r>
        <w:rPr/>
        <w:t>clasificaron</w:t>
      </w:r>
      <w:r>
        <w:rPr>
          <w:spacing w:val="-7"/>
        </w:rPr>
        <w:t> </w:t>
      </w:r>
      <w:r>
        <w:rPr/>
        <w:t>con</w:t>
      </w:r>
      <w:r>
        <w:rPr>
          <w:spacing w:val="-12"/>
        </w:rPr>
        <w:t> </w:t>
      </w:r>
      <w:r>
        <w:rPr/>
        <w:t>un</w:t>
      </w:r>
      <w:r>
        <w:rPr>
          <w:spacing w:val="-7"/>
        </w:rPr>
        <w:t> </w:t>
      </w:r>
      <w:r>
        <w:rPr/>
        <w:t>mayor</w:t>
      </w:r>
      <w:r>
        <w:rPr>
          <w:spacing w:val="-6"/>
        </w:rPr>
        <w:t> </w:t>
      </w:r>
      <w:r>
        <w:rPr/>
        <w:t>índice</w:t>
      </w:r>
      <w:r>
        <w:rPr>
          <w:spacing w:val="-7"/>
        </w:rPr>
        <w:t> </w:t>
      </w:r>
      <w:r>
        <w:rPr/>
        <w:t>de</w:t>
      </w:r>
      <w:r>
        <w:rPr>
          <w:spacing w:val="-7"/>
        </w:rPr>
        <w:t> </w:t>
      </w:r>
      <w:r>
        <w:rPr/>
        <w:t>marginación</w:t>
      </w:r>
      <w:r>
        <w:rPr>
          <w:spacing w:val="-7"/>
        </w:rPr>
        <w:t> </w:t>
      </w:r>
      <w:r>
        <w:rPr/>
        <w:t>solo</w:t>
      </w:r>
      <w:r>
        <w:rPr>
          <w:spacing w:val="-7"/>
        </w:rPr>
        <w:t> </w:t>
      </w:r>
      <w:r>
        <w:rPr/>
        <w:t>representa</w:t>
      </w:r>
      <w:r>
        <w:rPr>
          <w:spacing w:val="-7"/>
        </w:rPr>
        <w:t> </w:t>
      </w:r>
      <w:r>
        <w:rPr/>
        <w:t>el</w:t>
      </w:r>
      <w:r>
        <w:rPr>
          <w:spacing w:val="-4"/>
        </w:rPr>
        <w:t> </w:t>
      </w:r>
      <w:r>
        <w:rPr/>
        <w:t>15%</w:t>
      </w:r>
      <w:r>
        <w:rPr>
          <w:spacing w:val="-10"/>
        </w:rPr>
        <w:t> </w:t>
      </w:r>
      <w:r>
        <w:rPr/>
        <w:t>del</w:t>
      </w:r>
      <w:r>
        <w:rPr>
          <w:spacing w:val="-8"/>
        </w:rPr>
        <w:t> </w:t>
      </w:r>
      <w:r>
        <w:rPr/>
        <w:t>total</w:t>
      </w:r>
      <w:r>
        <w:rPr>
          <w:spacing w:val="8"/>
        </w:rPr>
        <w:t> </w:t>
      </w:r>
      <w:r>
        <w:rPr/>
        <w:t>de los municipios pero en términos de superficie territorial representa el 35% de del ZMT.</w:t>
      </w:r>
      <w:r>
        <w:rPr>
          <w:spacing w:val="-6"/>
        </w:rPr>
        <w:t> </w:t>
      </w:r>
      <w:r>
        <w:rPr/>
        <w:t>Al</w:t>
      </w:r>
      <w:r>
        <w:rPr>
          <w:spacing w:val="-7"/>
        </w:rPr>
        <w:t> </w:t>
      </w:r>
      <w:r>
        <w:rPr/>
        <w:t>aplicar</w:t>
      </w:r>
      <w:r>
        <w:rPr>
          <w:spacing w:val="-10"/>
        </w:rPr>
        <w:t> </w:t>
      </w:r>
      <w:r>
        <w:rPr/>
        <w:t>el</w:t>
      </w:r>
      <w:r>
        <w:rPr>
          <w:spacing w:val="-7"/>
        </w:rPr>
        <w:t> </w:t>
      </w:r>
      <w:r>
        <w:rPr/>
        <w:t>método</w:t>
      </w:r>
      <w:r>
        <w:rPr>
          <w:spacing w:val="-5"/>
        </w:rPr>
        <w:t> </w:t>
      </w:r>
      <w:r>
        <w:rPr>
          <w:spacing w:val="-2"/>
        </w:rPr>
        <w:t>EMC</w:t>
      </w:r>
      <w:r>
        <w:rPr>
          <w:spacing w:val="-7"/>
        </w:rPr>
        <w:t> </w:t>
      </w:r>
      <w:r>
        <w:rPr/>
        <w:t>involucrando</w:t>
      </w:r>
      <w:r>
        <w:rPr>
          <w:spacing w:val="-11"/>
        </w:rPr>
        <w:t> </w:t>
      </w:r>
      <w:r>
        <w:rPr/>
        <w:t>dichos</w:t>
      </w:r>
      <w:r>
        <w:rPr>
          <w:spacing w:val="-12"/>
        </w:rPr>
        <w:t> </w:t>
      </w:r>
      <w:r>
        <w:rPr/>
        <w:t>valores</w:t>
      </w:r>
      <w:r>
        <w:rPr>
          <w:spacing w:val="-7"/>
        </w:rPr>
        <w:t> </w:t>
      </w:r>
      <w:r>
        <w:rPr/>
        <w:t>cambian</w:t>
      </w:r>
      <w:r>
        <w:rPr>
          <w:spacing w:val="-6"/>
        </w:rPr>
        <w:t> </w:t>
      </w:r>
      <w:r>
        <w:rPr/>
        <w:t>totalmente</w:t>
      </w:r>
      <w:r>
        <w:rPr>
          <w:spacing w:val="-6"/>
        </w:rPr>
        <w:t> </w:t>
      </w:r>
      <w:r>
        <w:rPr/>
        <w:t>las zonas vulnerables ya que los municipios antes mencionados cubren una superficie considerable de la ZMT y tenderán a modificarse significativamente las zonas de riesgo a</w:t>
      </w:r>
      <w:r>
        <w:rPr>
          <w:spacing w:val="-10"/>
        </w:rPr>
        <w:t> </w:t>
      </w:r>
      <w:r>
        <w:rPr/>
        <w:t>inundación.</w:t>
      </w:r>
    </w:p>
    <w:p>
      <w:pPr>
        <w:pStyle w:val="BodyText"/>
        <w:spacing w:before="7"/>
        <w:rPr>
          <w:sz w:val="21"/>
        </w:rPr>
      </w:pPr>
    </w:p>
    <w:p>
      <w:pPr>
        <w:pStyle w:val="Heading2"/>
        <w:numPr>
          <w:ilvl w:val="1"/>
          <w:numId w:val="21"/>
        </w:numPr>
        <w:tabs>
          <w:tab w:pos="522" w:val="left" w:leader="none"/>
        </w:tabs>
        <w:spacing w:line="268" w:lineRule="exact" w:before="0" w:after="0"/>
        <w:ind w:left="119" w:right="528" w:firstLine="0"/>
        <w:jc w:val="left"/>
      </w:pPr>
      <w:bookmarkStart w:name="_TOC_250015" w:id="39"/>
      <w:r>
        <w:rPr/>
        <w:t>Integración de indicadores físico-naturales para determinar el riesgo</w:t>
      </w:r>
      <w:r>
        <w:rPr>
          <w:spacing w:val="-36"/>
        </w:rPr>
        <w:t> </w:t>
      </w:r>
      <w:r>
        <w:rPr/>
        <w:t>a inundaciones en la</w:t>
      </w:r>
      <w:r>
        <w:rPr>
          <w:spacing w:val="-3"/>
        </w:rPr>
        <w:t> </w:t>
      </w:r>
      <w:bookmarkEnd w:id="39"/>
      <w:r>
        <w:rPr/>
        <w:t>ZMT.</w:t>
      </w:r>
    </w:p>
    <w:p>
      <w:pPr>
        <w:pStyle w:val="BodyText"/>
        <w:rPr>
          <w:b/>
          <w:sz w:val="25"/>
        </w:rPr>
      </w:pPr>
    </w:p>
    <w:p>
      <w:pPr>
        <w:pStyle w:val="BodyText"/>
        <w:spacing w:line="362" w:lineRule="auto"/>
        <w:ind w:left="119" w:right="121"/>
        <w:jc w:val="both"/>
      </w:pPr>
      <w:r>
        <w:rPr/>
        <w:t>La integración de los indicadores analizados anteriormente se realizó mediante la aplicación del método EMC a resultados obtenidos de los mismos, esto permitió obtener el mapa siguiente en el que se refleja el riesgo biofísico de la ZMT.</w:t>
      </w:r>
    </w:p>
    <w:p>
      <w:pPr>
        <w:pStyle w:val="BodyText"/>
        <w:spacing w:before="2"/>
      </w:pPr>
    </w:p>
    <w:p>
      <w:pPr>
        <w:spacing w:before="0"/>
        <w:ind w:left="1656" w:right="70" w:firstLine="0"/>
        <w:jc w:val="left"/>
        <w:rPr>
          <w:sz w:val="22"/>
        </w:rPr>
      </w:pPr>
      <w:r>
        <w:rPr>
          <w:sz w:val="22"/>
        </w:rPr>
        <w:t>Mapa 9. Clasificación del riesgo a inundaciones en la ZMT.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spacing w:before="76"/>
        <w:ind w:left="825" w:right="70" w:firstLine="0"/>
        <w:jc w:val="left"/>
        <w:rPr>
          <w:sz w:val="20"/>
        </w:rPr>
      </w:pPr>
      <w:r>
        <w:rPr/>
        <w:pict>
          <v:group style="position:absolute;margin-left:103.400002pt;margin-top:-312.020111pt;width:415.05pt;height:319.8pt;mso-position-horizontal-relative:page;mso-position-vertical-relative:paragraph;z-index:-119800" coordorigin="2068,-6240" coordsize="8301,6396">
            <v:shape style="position:absolute;left:2068;top:-6240;width:8301;height:6396" type="#_x0000_t75" stroked="false">
              <v:imagedata r:id="rId52" o:title=""/>
            </v:shape>
            <v:shape style="position:absolute;left:6439;top:-4872;width:61;height:240" type="#_x0000_t202" filled="false" stroked="false">
              <v:textbox inset="0,0,0,0">
                <w:txbxContent>
                  <w:p>
                    <w:pPr>
                      <w:spacing w:line="240" w:lineRule="exact" w:before="0"/>
                      <w:ind w:left="0" w:right="0" w:firstLine="0"/>
                      <w:jc w:val="left"/>
                      <w:rPr>
                        <w:rFonts w:ascii="Calibri"/>
                        <w:i/>
                        <w:sz w:val="24"/>
                      </w:rPr>
                    </w:pPr>
                    <w:r>
                      <w:rPr>
                        <w:rFonts w:ascii="Calibri"/>
                        <w:i/>
                        <w:sz w:val="24"/>
                      </w:rPr>
                      <w:t>.</w:t>
                    </w:r>
                  </w:p>
                </w:txbxContent>
              </v:textbox>
              <w10:wrap type="none"/>
            </v:shape>
            <w10:wrap type="none"/>
          </v:group>
        </w:pict>
      </w:r>
      <w:r>
        <w:rPr>
          <w:sz w:val="20"/>
        </w:rPr>
        <w:t>Fuente: Elaboración propia con base en INEGI (2005)</w:t>
      </w:r>
    </w:p>
    <w:p>
      <w:pPr>
        <w:spacing w:after="0"/>
        <w:jc w:val="left"/>
        <w:rPr>
          <w:sz w:val="20"/>
        </w:rPr>
        <w:sectPr>
          <w:pgSz w:w="12240" w:h="15840"/>
          <w:pgMar w:header="0" w:footer="1031" w:top="1360" w:bottom="1220" w:left="1580" w:right="1580"/>
        </w:sectPr>
      </w:pPr>
    </w:p>
    <w:p>
      <w:pPr>
        <w:pStyle w:val="BodyText"/>
        <w:spacing w:line="360" w:lineRule="auto" w:before="137"/>
        <w:ind w:left="119" w:right="116"/>
        <w:jc w:val="both"/>
      </w:pPr>
      <w:r>
        <w:rPr/>
        <w:t>En el mapa anterior se observa que en términos generales la mitad de la ZMT presenta un riesgo alto con un valor de 55%, este porcentaje comprende los municipios de Lerma, Toluca, San Mateo Atenco y Metepec y cubre una superficie de 1032.73 km</w:t>
      </w:r>
      <w:r>
        <w:rPr>
          <w:position w:val="8"/>
          <w:sz w:val="16"/>
        </w:rPr>
        <w:t>2</w:t>
      </w:r>
      <w:r>
        <w:rPr/>
        <w:t>. En cuanto a la clasificación del riesgo biofísico medio, éste representa</w:t>
      </w:r>
      <w:r>
        <w:rPr>
          <w:spacing w:val="-6"/>
        </w:rPr>
        <w:t> </w:t>
      </w:r>
      <w:r>
        <w:rPr/>
        <w:t>una</w:t>
      </w:r>
      <w:r>
        <w:rPr>
          <w:spacing w:val="-6"/>
        </w:rPr>
        <w:t> </w:t>
      </w:r>
      <w:r>
        <w:rPr/>
        <w:t>superficie</w:t>
      </w:r>
      <w:r>
        <w:rPr>
          <w:spacing w:val="-6"/>
        </w:rPr>
        <w:t> </w:t>
      </w:r>
      <w:r>
        <w:rPr/>
        <w:t>considerable</w:t>
      </w:r>
      <w:r>
        <w:rPr>
          <w:spacing w:val="-6"/>
        </w:rPr>
        <w:t> </w:t>
      </w:r>
      <w:r>
        <w:rPr/>
        <w:t>de</w:t>
      </w:r>
      <w:r>
        <w:rPr>
          <w:spacing w:val="-11"/>
        </w:rPr>
        <w:t> </w:t>
      </w:r>
      <w:r>
        <w:rPr/>
        <w:t>la</w:t>
      </w:r>
      <w:r>
        <w:rPr>
          <w:spacing w:val="-11"/>
        </w:rPr>
        <w:t> </w:t>
      </w:r>
      <w:r>
        <w:rPr/>
        <w:t>ZMT</w:t>
      </w:r>
      <w:r>
        <w:rPr>
          <w:spacing w:val="-5"/>
        </w:rPr>
        <w:t> </w:t>
      </w:r>
      <w:r>
        <w:rPr/>
        <w:t>ya</w:t>
      </w:r>
      <w:r>
        <w:rPr>
          <w:spacing w:val="-6"/>
        </w:rPr>
        <w:t> </w:t>
      </w:r>
      <w:r>
        <w:rPr/>
        <w:t>que</w:t>
      </w:r>
      <w:r>
        <w:rPr>
          <w:spacing w:val="-6"/>
        </w:rPr>
        <w:t> </w:t>
      </w:r>
      <w:r>
        <w:rPr/>
        <w:t>la</w:t>
      </w:r>
      <w:r>
        <w:rPr>
          <w:spacing w:val="-6"/>
        </w:rPr>
        <w:t> </w:t>
      </w:r>
      <w:r>
        <w:rPr/>
        <w:t>superficie</w:t>
      </w:r>
      <w:r>
        <w:rPr>
          <w:spacing w:val="-6"/>
        </w:rPr>
        <w:t> </w:t>
      </w:r>
      <w:r>
        <w:rPr/>
        <w:t>que</w:t>
      </w:r>
      <w:r>
        <w:rPr>
          <w:spacing w:val="-6"/>
        </w:rPr>
        <w:t> </w:t>
      </w:r>
      <w:r>
        <w:rPr/>
        <w:t>cubre</w:t>
      </w:r>
      <w:r>
        <w:rPr>
          <w:spacing w:val="-6"/>
        </w:rPr>
        <w:t> </w:t>
      </w:r>
      <w:r>
        <w:rPr/>
        <w:t>es de 687.20 km</w:t>
      </w:r>
      <w:r>
        <w:rPr>
          <w:position w:val="8"/>
          <w:sz w:val="16"/>
        </w:rPr>
        <w:t>2 </w:t>
      </w:r>
      <w:r>
        <w:rPr/>
        <w:t>y representa 30% del total de la zona. A diferencia de las dos anteriores el riesgo biofísico bajo cubre sólo el 15% del total de la ZMT la cual corresponde a una superficie de 13.71</w:t>
      </w:r>
      <w:r>
        <w:rPr>
          <w:spacing w:val="-27"/>
        </w:rPr>
        <w:t> </w:t>
      </w:r>
      <w:r>
        <w:rPr/>
        <w:t>km2.</w:t>
      </w:r>
    </w:p>
    <w:p>
      <w:pPr>
        <w:pStyle w:val="BodyText"/>
        <w:spacing w:before="8"/>
        <w:rPr>
          <w:sz w:val="25"/>
        </w:rPr>
      </w:pPr>
    </w:p>
    <w:p>
      <w:pPr>
        <w:pStyle w:val="BodyText"/>
        <w:spacing w:line="360" w:lineRule="auto"/>
        <w:ind w:left="119" w:right="122"/>
        <w:jc w:val="both"/>
      </w:pPr>
      <w:r>
        <w:rPr/>
        <w:t>Los valores antes mencionados son el resultado de clasificaciones de alta vulnerabilidad que presentaron los factores del uso de suelo y vegetación, la población y la hidrología, a excepción </w:t>
      </w:r>
      <w:r>
        <w:rPr>
          <w:spacing w:val="-3"/>
        </w:rPr>
        <w:t>del </w:t>
      </w:r>
      <w:r>
        <w:rPr/>
        <w:t>factor edafológico que presentó un 39.80%</w:t>
      </w:r>
      <w:r>
        <w:rPr>
          <w:spacing w:val="44"/>
        </w:rPr>
        <w:t> </w:t>
      </w:r>
      <w:r>
        <w:rPr/>
        <w:t>del</w:t>
      </w:r>
      <w:r>
        <w:rPr>
          <w:spacing w:val="-11"/>
        </w:rPr>
        <w:t> </w:t>
      </w:r>
      <w:r>
        <w:rPr/>
        <w:t>total</w:t>
      </w:r>
      <w:r>
        <w:rPr>
          <w:spacing w:val="-11"/>
        </w:rPr>
        <w:t> </w:t>
      </w:r>
      <w:r>
        <w:rPr/>
        <w:t>de</w:t>
      </w:r>
      <w:r>
        <w:rPr>
          <w:spacing w:val="-15"/>
        </w:rPr>
        <w:t> </w:t>
      </w:r>
      <w:r>
        <w:rPr/>
        <w:t>la</w:t>
      </w:r>
      <w:r>
        <w:rPr>
          <w:spacing w:val="-14"/>
        </w:rPr>
        <w:t> </w:t>
      </w:r>
      <w:r>
        <w:rPr/>
        <w:t>ZMT,</w:t>
      </w:r>
      <w:r>
        <w:rPr>
          <w:spacing w:val="-10"/>
        </w:rPr>
        <w:t> </w:t>
      </w:r>
      <w:r>
        <w:rPr/>
        <w:t>sin</w:t>
      </w:r>
      <w:r>
        <w:rPr>
          <w:spacing w:val="-14"/>
        </w:rPr>
        <w:t> </w:t>
      </w:r>
      <w:r>
        <w:rPr/>
        <w:t>embargo</w:t>
      </w:r>
      <w:r>
        <w:rPr>
          <w:spacing w:val="-10"/>
        </w:rPr>
        <w:t> </w:t>
      </w:r>
      <w:r>
        <w:rPr/>
        <w:t>este</w:t>
      </w:r>
      <w:r>
        <w:rPr>
          <w:spacing w:val="-19"/>
        </w:rPr>
        <w:t> </w:t>
      </w:r>
      <w:r>
        <w:rPr/>
        <w:t>valor</w:t>
      </w:r>
      <w:r>
        <w:rPr>
          <w:spacing w:val="-9"/>
        </w:rPr>
        <w:t> </w:t>
      </w:r>
      <w:r>
        <w:rPr/>
        <w:t>no</w:t>
      </w:r>
      <w:r>
        <w:rPr>
          <w:spacing w:val="-14"/>
        </w:rPr>
        <w:t> </w:t>
      </w:r>
      <w:r>
        <w:rPr/>
        <w:t>está</w:t>
      </w:r>
      <w:r>
        <w:rPr>
          <w:spacing w:val="-9"/>
        </w:rPr>
        <w:t> </w:t>
      </w:r>
      <w:r>
        <w:rPr>
          <w:spacing w:val="-3"/>
        </w:rPr>
        <w:t>muy</w:t>
      </w:r>
      <w:r>
        <w:rPr>
          <w:spacing w:val="-11"/>
        </w:rPr>
        <w:t> </w:t>
      </w:r>
      <w:r>
        <w:rPr/>
        <w:t>alejado</w:t>
      </w:r>
      <w:r>
        <w:rPr>
          <w:spacing w:val="-10"/>
        </w:rPr>
        <w:t> </w:t>
      </w:r>
      <w:r>
        <w:rPr/>
        <w:t>de</w:t>
      </w:r>
      <w:r>
        <w:rPr>
          <w:spacing w:val="-15"/>
        </w:rPr>
        <w:t> </w:t>
      </w:r>
      <w:r>
        <w:rPr/>
        <w:t>los</w:t>
      </w:r>
      <w:r>
        <w:rPr>
          <w:spacing w:val="-15"/>
        </w:rPr>
        <w:t> </w:t>
      </w:r>
      <w:r>
        <w:rPr/>
        <w:t>otros factores clasificados como altos, lo cual significa que tiene una tendencia a convertirse en valor</w:t>
      </w:r>
      <w:r>
        <w:rPr>
          <w:spacing w:val="-6"/>
        </w:rPr>
        <w:t> </w:t>
      </w:r>
      <w:r>
        <w:rPr/>
        <w:t>alto.</w:t>
      </w:r>
    </w:p>
    <w:p>
      <w:pPr>
        <w:pStyle w:val="BodyText"/>
        <w:spacing w:line="360" w:lineRule="auto" w:before="209"/>
        <w:ind w:left="119" w:right="121"/>
        <w:jc w:val="both"/>
      </w:pPr>
      <w:r>
        <w:rPr/>
        <w:t>Con</w:t>
      </w:r>
      <w:r>
        <w:rPr>
          <w:spacing w:val="-6"/>
        </w:rPr>
        <w:t> </w:t>
      </w:r>
      <w:r>
        <w:rPr/>
        <w:t>el</w:t>
      </w:r>
      <w:r>
        <w:rPr>
          <w:spacing w:val="-3"/>
        </w:rPr>
        <w:t> </w:t>
      </w:r>
      <w:r>
        <w:rPr/>
        <w:t>análisis</w:t>
      </w:r>
      <w:r>
        <w:rPr>
          <w:spacing w:val="-7"/>
        </w:rPr>
        <w:t> </w:t>
      </w:r>
      <w:r>
        <w:rPr/>
        <w:t>se</w:t>
      </w:r>
      <w:r>
        <w:rPr>
          <w:spacing w:val="-6"/>
        </w:rPr>
        <w:t> </w:t>
      </w:r>
      <w:r>
        <w:rPr/>
        <w:t>puede</w:t>
      </w:r>
      <w:r>
        <w:rPr>
          <w:spacing w:val="-6"/>
        </w:rPr>
        <w:t> </w:t>
      </w:r>
      <w:r>
        <w:rPr/>
        <w:t>afirmar</w:t>
      </w:r>
      <w:r>
        <w:rPr>
          <w:spacing w:val="-5"/>
        </w:rPr>
        <w:t> </w:t>
      </w:r>
      <w:r>
        <w:rPr/>
        <w:t>que</w:t>
      </w:r>
      <w:r>
        <w:rPr>
          <w:spacing w:val="-6"/>
        </w:rPr>
        <w:t> </w:t>
      </w:r>
      <w:r>
        <w:rPr/>
        <w:t>la</w:t>
      </w:r>
      <w:r>
        <w:rPr>
          <w:spacing w:val="-11"/>
        </w:rPr>
        <w:t> </w:t>
      </w:r>
      <w:r>
        <w:rPr/>
        <w:t>ZMT</w:t>
      </w:r>
      <w:r>
        <w:rPr>
          <w:spacing w:val="-5"/>
        </w:rPr>
        <w:t> </w:t>
      </w:r>
      <w:r>
        <w:rPr/>
        <w:t>se</w:t>
      </w:r>
      <w:r>
        <w:rPr>
          <w:spacing w:val="-6"/>
        </w:rPr>
        <w:t> </w:t>
      </w:r>
      <w:r>
        <w:rPr/>
        <w:t>encuentra</w:t>
      </w:r>
      <w:r>
        <w:rPr>
          <w:spacing w:val="-6"/>
        </w:rPr>
        <w:t> </w:t>
      </w:r>
      <w:r>
        <w:rPr/>
        <w:t>dentro</w:t>
      </w:r>
      <w:r>
        <w:rPr>
          <w:spacing w:val="-6"/>
        </w:rPr>
        <w:t> </w:t>
      </w:r>
      <w:r>
        <w:rPr/>
        <w:t>de</w:t>
      </w:r>
      <w:r>
        <w:rPr>
          <w:spacing w:val="-6"/>
        </w:rPr>
        <w:t> </w:t>
      </w:r>
      <w:r>
        <w:rPr/>
        <w:t>una</w:t>
      </w:r>
      <w:r>
        <w:rPr>
          <w:spacing w:val="-6"/>
        </w:rPr>
        <w:t> </w:t>
      </w:r>
      <w:r>
        <w:rPr/>
        <w:t>cuenca</w:t>
      </w:r>
      <w:r>
        <w:rPr>
          <w:spacing w:val="-6"/>
        </w:rPr>
        <w:t> </w:t>
      </w:r>
      <w:r>
        <w:rPr/>
        <w:t>de tipo C, (de acuerdo a la curva hipsométrica resultante de la morfometría), geológicamente</w:t>
      </w:r>
      <w:r>
        <w:rPr>
          <w:spacing w:val="-12"/>
        </w:rPr>
        <w:t> </w:t>
      </w:r>
      <w:r>
        <w:rPr/>
        <w:t>representa</w:t>
      </w:r>
      <w:r>
        <w:rPr>
          <w:spacing w:val="-12"/>
        </w:rPr>
        <w:t> </w:t>
      </w:r>
      <w:r>
        <w:rPr/>
        <w:t>una</w:t>
      </w:r>
      <w:r>
        <w:rPr>
          <w:spacing w:val="-13"/>
        </w:rPr>
        <w:t> </w:t>
      </w:r>
      <w:r>
        <w:rPr/>
        <w:t>cuenca</w:t>
      </w:r>
      <w:r>
        <w:rPr>
          <w:spacing w:val="-13"/>
        </w:rPr>
        <w:t> </w:t>
      </w:r>
      <w:r>
        <w:rPr/>
        <w:t>con</w:t>
      </w:r>
      <w:r>
        <w:rPr>
          <w:spacing w:val="-13"/>
        </w:rPr>
        <w:t> </w:t>
      </w:r>
      <w:r>
        <w:rPr/>
        <w:t>valles</w:t>
      </w:r>
      <w:r>
        <w:rPr>
          <w:spacing w:val="-17"/>
        </w:rPr>
        <w:t> </w:t>
      </w:r>
      <w:r>
        <w:rPr/>
        <w:t>extensos</w:t>
      </w:r>
      <w:r>
        <w:rPr>
          <w:spacing w:val="-14"/>
        </w:rPr>
        <w:t> </w:t>
      </w:r>
      <w:r>
        <w:rPr/>
        <w:t>y</w:t>
      </w:r>
      <w:r>
        <w:rPr>
          <w:spacing w:val="-14"/>
        </w:rPr>
        <w:t> </w:t>
      </w:r>
      <w:r>
        <w:rPr/>
        <w:t>cumbres</w:t>
      </w:r>
      <w:r>
        <w:rPr>
          <w:spacing w:val="-14"/>
        </w:rPr>
        <w:t> </w:t>
      </w:r>
      <w:r>
        <w:rPr/>
        <w:t>escarpadas, por  lo que ha sido sometida a un proceso intenso de</w:t>
      </w:r>
      <w:r>
        <w:rPr>
          <w:spacing w:val="-27"/>
        </w:rPr>
        <w:t> </w:t>
      </w:r>
      <w:r>
        <w:rPr/>
        <w:t>erosión.</w:t>
      </w:r>
    </w:p>
    <w:p>
      <w:pPr>
        <w:pStyle w:val="BodyText"/>
      </w:pPr>
    </w:p>
    <w:p>
      <w:pPr>
        <w:pStyle w:val="BodyText"/>
        <w:spacing w:line="360" w:lineRule="auto" w:before="140"/>
        <w:ind w:left="119" w:right="120"/>
        <w:jc w:val="both"/>
      </w:pPr>
      <w:r>
        <w:rPr/>
        <w:t>Lo anterior está estrechamente relacionado con el tipo de vegetación, la cual ha disminuido en un 10% en los últimos 10 años. Esta ausencia de cubierta vegetal suele incrementar las velocidades con que se mueve el agua en la cuenca, reduce la cantidad de agua infiltrada en el suelo y la interceptada por la vegetación.</w:t>
      </w:r>
    </w:p>
    <w:p>
      <w:pPr>
        <w:pStyle w:val="BodyText"/>
      </w:pPr>
    </w:p>
    <w:p>
      <w:pPr>
        <w:pStyle w:val="BodyText"/>
        <w:spacing w:line="362" w:lineRule="auto" w:before="139"/>
        <w:ind w:left="119" w:right="115"/>
        <w:jc w:val="both"/>
      </w:pPr>
      <w:r>
        <w:rPr/>
        <w:t>Otro</w:t>
      </w:r>
      <w:r>
        <w:rPr>
          <w:spacing w:val="-6"/>
        </w:rPr>
        <w:t> </w:t>
      </w:r>
      <w:r>
        <w:rPr/>
        <w:t>factor</w:t>
      </w:r>
      <w:r>
        <w:rPr>
          <w:spacing w:val="-10"/>
        </w:rPr>
        <w:t> </w:t>
      </w:r>
      <w:r>
        <w:rPr/>
        <w:t>importante</w:t>
      </w:r>
      <w:r>
        <w:rPr>
          <w:spacing w:val="-6"/>
        </w:rPr>
        <w:t> </w:t>
      </w:r>
      <w:r>
        <w:rPr/>
        <w:t>es</w:t>
      </w:r>
      <w:r>
        <w:rPr>
          <w:spacing w:val="-12"/>
        </w:rPr>
        <w:t> </w:t>
      </w:r>
      <w:r>
        <w:rPr/>
        <w:t>la</w:t>
      </w:r>
      <w:r>
        <w:rPr>
          <w:spacing w:val="-6"/>
        </w:rPr>
        <w:t> </w:t>
      </w:r>
      <w:r>
        <w:rPr/>
        <w:t>textura</w:t>
      </w:r>
      <w:r>
        <w:rPr>
          <w:spacing w:val="-6"/>
        </w:rPr>
        <w:t> </w:t>
      </w:r>
      <w:r>
        <w:rPr>
          <w:spacing w:val="-3"/>
        </w:rPr>
        <w:t>del </w:t>
      </w:r>
      <w:r>
        <w:rPr/>
        <w:t>suelo,</w:t>
      </w:r>
      <w:r>
        <w:rPr>
          <w:spacing w:val="-11"/>
        </w:rPr>
        <w:t> </w:t>
      </w:r>
      <w:r>
        <w:rPr/>
        <w:t>la</w:t>
      </w:r>
      <w:r>
        <w:rPr>
          <w:spacing w:val="-6"/>
        </w:rPr>
        <w:t> </w:t>
      </w:r>
      <w:r>
        <w:rPr/>
        <w:t>cual</w:t>
      </w:r>
      <w:r>
        <w:rPr>
          <w:spacing w:val="-3"/>
        </w:rPr>
        <w:t> </w:t>
      </w:r>
      <w:r>
        <w:rPr/>
        <w:t>también</w:t>
      </w:r>
      <w:r>
        <w:rPr>
          <w:spacing w:val="-11"/>
        </w:rPr>
        <w:t> </w:t>
      </w:r>
      <w:r>
        <w:rPr/>
        <w:t>influye</w:t>
      </w:r>
      <w:r>
        <w:rPr>
          <w:spacing w:val="5"/>
        </w:rPr>
        <w:t> </w:t>
      </w:r>
      <w:r>
        <w:rPr/>
        <w:t>en</w:t>
      </w:r>
      <w:r>
        <w:rPr>
          <w:spacing w:val="-11"/>
        </w:rPr>
        <w:t> </w:t>
      </w:r>
      <w:r>
        <w:rPr/>
        <w:t>la</w:t>
      </w:r>
      <w:r>
        <w:rPr>
          <w:spacing w:val="-6"/>
        </w:rPr>
        <w:t> </w:t>
      </w:r>
      <w:r>
        <w:rPr/>
        <w:t>velocidad de infiltración del agua. En este caso en la ZMT contiene texturas arcillosas, las cuales originan </w:t>
      </w:r>
      <w:r>
        <w:rPr>
          <w:spacing w:val="-3"/>
        </w:rPr>
        <w:t>más</w:t>
      </w:r>
      <w:r>
        <w:rPr>
          <w:spacing w:val="-5"/>
        </w:rPr>
        <w:t> </w:t>
      </w:r>
      <w:r>
        <w:rPr/>
        <w:t>encharcamientos.</w:t>
      </w:r>
    </w:p>
    <w:p>
      <w:pPr>
        <w:spacing w:after="0" w:line="362" w:lineRule="auto"/>
        <w:jc w:val="both"/>
        <w:sectPr>
          <w:pgSz w:w="12240" w:h="15840"/>
          <w:pgMar w:header="0" w:footer="1031" w:top="1500" w:bottom="1220" w:left="1580" w:right="1580"/>
        </w:sectPr>
      </w:pPr>
    </w:p>
    <w:p>
      <w:pPr>
        <w:pStyle w:val="Heading2"/>
        <w:numPr>
          <w:ilvl w:val="1"/>
          <w:numId w:val="21"/>
        </w:numPr>
        <w:tabs>
          <w:tab w:pos="524" w:val="left" w:leader="none"/>
        </w:tabs>
        <w:spacing w:line="240" w:lineRule="auto" w:before="42" w:after="0"/>
        <w:ind w:left="523" w:right="0" w:hanging="404"/>
        <w:jc w:val="both"/>
      </w:pPr>
      <w:bookmarkStart w:name="_TOC_250014" w:id="40"/>
      <w:r>
        <w:rPr/>
        <w:t>Aplicación del método </w:t>
      </w:r>
      <w:r>
        <w:rPr>
          <w:spacing w:val="-2"/>
        </w:rPr>
        <w:t>EMC </w:t>
      </w:r>
      <w:r>
        <w:rPr/>
        <w:t>en un municipio de la</w:t>
      </w:r>
      <w:r>
        <w:rPr>
          <w:spacing w:val="-14"/>
        </w:rPr>
        <w:t> </w:t>
      </w:r>
      <w:bookmarkEnd w:id="40"/>
      <w:r>
        <w:rPr/>
        <w:t>ZMT.</w:t>
      </w:r>
    </w:p>
    <w:p>
      <w:pPr>
        <w:pStyle w:val="BodyText"/>
        <w:rPr>
          <w:b/>
        </w:rPr>
      </w:pPr>
    </w:p>
    <w:p>
      <w:pPr>
        <w:pStyle w:val="BodyText"/>
        <w:spacing w:before="4"/>
        <w:rPr>
          <w:b/>
          <w:sz w:val="26"/>
        </w:rPr>
      </w:pPr>
    </w:p>
    <w:p>
      <w:pPr>
        <w:pStyle w:val="BodyText"/>
        <w:spacing w:line="360" w:lineRule="auto"/>
        <w:ind w:left="119" w:right="114"/>
        <w:jc w:val="both"/>
      </w:pPr>
      <w:r>
        <w:rPr/>
        <w:t>Una vez clasificado el riesgo a nivel municipal con el método </w:t>
      </w:r>
      <w:r>
        <w:rPr>
          <w:spacing w:val="-2"/>
        </w:rPr>
        <w:t>EMC </w:t>
      </w:r>
      <w:r>
        <w:rPr/>
        <w:t>se eligió un municipio</w:t>
      </w:r>
      <w:r>
        <w:rPr>
          <w:spacing w:val="-6"/>
        </w:rPr>
        <w:t> </w:t>
      </w:r>
      <w:r>
        <w:rPr/>
        <w:t>de</w:t>
      </w:r>
      <w:r>
        <w:rPr>
          <w:spacing w:val="-11"/>
        </w:rPr>
        <w:t> </w:t>
      </w:r>
      <w:r>
        <w:rPr/>
        <w:t>la</w:t>
      </w:r>
      <w:r>
        <w:rPr>
          <w:spacing w:val="-6"/>
        </w:rPr>
        <w:t> </w:t>
      </w:r>
      <w:r>
        <w:rPr/>
        <w:t>ZMT</w:t>
      </w:r>
      <w:r>
        <w:rPr>
          <w:spacing w:val="-5"/>
        </w:rPr>
        <w:t> </w:t>
      </w:r>
      <w:r>
        <w:rPr/>
        <w:t>para</w:t>
      </w:r>
      <w:r>
        <w:rPr>
          <w:spacing w:val="-11"/>
        </w:rPr>
        <w:t> </w:t>
      </w:r>
      <w:r>
        <w:rPr/>
        <w:t>la</w:t>
      </w:r>
      <w:r>
        <w:rPr>
          <w:spacing w:val="-6"/>
        </w:rPr>
        <w:t> </w:t>
      </w:r>
      <w:r>
        <w:rPr/>
        <w:t>corroboración</w:t>
      </w:r>
      <w:r>
        <w:rPr>
          <w:spacing w:val="-11"/>
        </w:rPr>
        <w:t> </w:t>
      </w:r>
      <w:r>
        <w:rPr/>
        <w:t>del</w:t>
      </w:r>
      <w:r>
        <w:rPr>
          <w:spacing w:val="-2"/>
        </w:rPr>
        <w:t> mismo.</w:t>
      </w:r>
      <w:r>
        <w:rPr>
          <w:spacing w:val="-6"/>
        </w:rPr>
        <w:t> </w:t>
      </w:r>
      <w:r>
        <w:rPr/>
        <w:t>Cabe</w:t>
      </w:r>
      <w:r>
        <w:rPr>
          <w:spacing w:val="9"/>
        </w:rPr>
        <w:t> </w:t>
      </w:r>
      <w:r>
        <w:rPr/>
        <w:t>mencionar</w:t>
      </w:r>
      <w:r>
        <w:rPr>
          <w:spacing w:val="-5"/>
        </w:rPr>
        <w:t> </w:t>
      </w:r>
      <w:r>
        <w:rPr/>
        <w:t>el</w:t>
      </w:r>
      <w:r>
        <w:rPr>
          <w:spacing w:val="-3"/>
        </w:rPr>
        <w:t> </w:t>
      </w:r>
      <w:r>
        <w:rPr/>
        <w:t>municipio de Lema se clasifico con un alto riesgo a inundaciones, razón por la cual se realizó la evaluación </w:t>
      </w:r>
      <w:r>
        <w:rPr>
          <w:spacing w:val="-3"/>
        </w:rPr>
        <w:t>del </w:t>
      </w:r>
      <w:r>
        <w:rPr/>
        <w:t>método en dicho</w:t>
      </w:r>
      <w:r>
        <w:rPr>
          <w:spacing w:val="4"/>
        </w:rPr>
        <w:t> </w:t>
      </w:r>
      <w:r>
        <w:rPr/>
        <w:t>municipio.</w:t>
      </w:r>
    </w:p>
    <w:p>
      <w:pPr>
        <w:pStyle w:val="BodyText"/>
      </w:pPr>
    </w:p>
    <w:p>
      <w:pPr>
        <w:pStyle w:val="BodyText"/>
        <w:spacing w:line="360" w:lineRule="auto" w:before="144"/>
        <w:ind w:left="119" w:right="116"/>
        <w:jc w:val="both"/>
      </w:pPr>
      <w:r>
        <w:rPr/>
        <w:t>Se utilizó la información del Instituto Federal Electoral (IFE) y el Instituto Electoral del Estado de México (IEEM) para el análisis del municipio ya que tienen una cobertura total del mismo y se encuentran actualizadas con la información del Censo de Población y Vivienda 2010, por el contrario las Áreas Geoestadísticas Básicas (AGEBS) solo cubren las áreas urbanas lo que representa el 30% del municipio de Lerma, razón por la cual se optó por utilizar las secciones electorales.</w:t>
      </w:r>
    </w:p>
    <w:p>
      <w:pPr>
        <w:pStyle w:val="BodyText"/>
      </w:pPr>
    </w:p>
    <w:p>
      <w:pPr>
        <w:pStyle w:val="BodyText"/>
        <w:spacing w:line="360" w:lineRule="auto" w:before="140"/>
        <w:ind w:left="119" w:right="115"/>
        <w:jc w:val="both"/>
      </w:pPr>
      <w:r>
        <w:rPr/>
        <w:t>Las variables e indicadores que se analizaron por medio del método EMC, para elaborar el mapa de riesgo a inundaciones en el municipio de Lerma, fueron las mismas que se utilizaron para elaborar el mapa de riesgos de la ZMT, dichas variables se encuentran en la tabla 2 llamada “Síntesis de las variables e indicadores”, la cual contiene las temáticas físico-naturales, características hidrológicas y socioeconómicas.</w:t>
      </w:r>
    </w:p>
    <w:p>
      <w:pPr>
        <w:pStyle w:val="BodyText"/>
      </w:pPr>
    </w:p>
    <w:p>
      <w:pPr>
        <w:pStyle w:val="BodyText"/>
        <w:spacing w:line="360" w:lineRule="auto" w:before="140"/>
        <w:ind w:left="119" w:right="121"/>
        <w:jc w:val="both"/>
      </w:pPr>
      <w:r>
        <w:rPr/>
        <w:t>El resultado se encuentra en el siguiente mapa, en él </w:t>
      </w:r>
      <w:r>
        <w:rPr>
          <w:spacing w:val="-3"/>
        </w:rPr>
        <w:t>se </w:t>
      </w:r>
      <w:r>
        <w:rPr/>
        <w:t>puede observar que el municipio</w:t>
      </w:r>
      <w:r>
        <w:rPr>
          <w:spacing w:val="-5"/>
        </w:rPr>
        <w:t> </w:t>
      </w:r>
      <w:r>
        <w:rPr/>
        <w:t>presenta</w:t>
      </w:r>
      <w:r>
        <w:rPr>
          <w:spacing w:val="-5"/>
        </w:rPr>
        <w:t> </w:t>
      </w:r>
      <w:r>
        <w:rPr/>
        <w:t>un</w:t>
      </w:r>
      <w:r>
        <w:rPr>
          <w:spacing w:val="-10"/>
        </w:rPr>
        <w:t> </w:t>
      </w:r>
      <w:r>
        <w:rPr/>
        <w:t>riesgo</w:t>
      </w:r>
      <w:r>
        <w:rPr>
          <w:spacing w:val="-5"/>
        </w:rPr>
        <w:t> </w:t>
      </w:r>
      <w:r>
        <w:rPr/>
        <w:t>a</w:t>
      </w:r>
      <w:r>
        <w:rPr>
          <w:spacing w:val="-10"/>
        </w:rPr>
        <w:t> </w:t>
      </w:r>
      <w:r>
        <w:rPr/>
        <w:t>inundaciones</w:t>
      </w:r>
      <w:r>
        <w:rPr>
          <w:spacing w:val="-11"/>
        </w:rPr>
        <w:t> </w:t>
      </w:r>
      <w:r>
        <w:rPr/>
        <w:t>alto,</w:t>
      </w:r>
      <w:r>
        <w:rPr>
          <w:spacing w:val="-5"/>
        </w:rPr>
        <w:t> </w:t>
      </w:r>
      <w:r>
        <w:rPr/>
        <w:t>lo</w:t>
      </w:r>
      <w:r>
        <w:rPr>
          <w:spacing w:val="-10"/>
        </w:rPr>
        <w:t> </w:t>
      </w:r>
      <w:r>
        <w:rPr/>
        <w:t>que</w:t>
      </w:r>
      <w:r>
        <w:rPr>
          <w:spacing w:val="-5"/>
        </w:rPr>
        <w:t> </w:t>
      </w:r>
      <w:r>
        <w:rPr/>
        <w:t>representa</w:t>
      </w:r>
      <w:r>
        <w:rPr>
          <w:spacing w:val="-5"/>
        </w:rPr>
        <w:t> </w:t>
      </w:r>
      <w:r>
        <w:rPr/>
        <w:t>que</w:t>
      </w:r>
      <w:r>
        <w:rPr>
          <w:spacing w:val="-5"/>
        </w:rPr>
        <w:t> </w:t>
      </w:r>
      <w:r>
        <w:rPr/>
        <w:t>un</w:t>
      </w:r>
      <w:r>
        <w:rPr>
          <w:spacing w:val="-5"/>
        </w:rPr>
        <w:t> </w:t>
      </w:r>
      <w:r>
        <w:rPr/>
        <w:t>51%</w:t>
      </w:r>
      <w:r>
        <w:rPr>
          <w:spacing w:val="-8"/>
        </w:rPr>
        <w:t> </w:t>
      </w:r>
      <w:r>
        <w:rPr/>
        <w:t>de la población total del municipio se está viendo afectada, esto equivaldría a 72,000 habitantes</w:t>
      </w:r>
      <w:r>
        <w:rPr>
          <w:spacing w:val="-20"/>
        </w:rPr>
        <w:t> </w:t>
      </w:r>
      <w:r>
        <w:rPr/>
        <w:t>aproximadamente.</w:t>
      </w:r>
    </w:p>
    <w:p>
      <w:pPr>
        <w:pStyle w:val="BodyText"/>
        <w:spacing w:before="3"/>
        <w:rPr>
          <w:sz w:val="25"/>
        </w:rPr>
      </w:pPr>
    </w:p>
    <w:p>
      <w:pPr>
        <w:pStyle w:val="BodyText"/>
        <w:spacing w:line="357" w:lineRule="auto"/>
        <w:ind w:left="119" w:right="121"/>
        <w:jc w:val="both"/>
      </w:pPr>
      <w:r>
        <w:rPr/>
        <w:t>En cuanto a la clasificación media, esta corresponde al 12 % del municipio, </w:t>
      </w:r>
      <w:r>
        <w:rPr>
          <w:spacing w:val="-3"/>
        </w:rPr>
        <w:t>si </w:t>
      </w:r>
      <w:r>
        <w:rPr/>
        <w:t>bien en</w:t>
      </w:r>
      <w:r>
        <w:rPr>
          <w:spacing w:val="-11"/>
        </w:rPr>
        <w:t> </w:t>
      </w:r>
      <w:r>
        <w:rPr/>
        <w:t>términos</w:t>
      </w:r>
      <w:r>
        <w:rPr>
          <w:spacing w:val="-12"/>
        </w:rPr>
        <w:t> </w:t>
      </w:r>
      <w:r>
        <w:rPr/>
        <w:t>de</w:t>
      </w:r>
      <w:r>
        <w:rPr>
          <w:spacing w:val="-11"/>
        </w:rPr>
        <w:t> </w:t>
      </w:r>
      <w:r>
        <w:rPr/>
        <w:t>superficie</w:t>
      </w:r>
      <w:r>
        <w:rPr>
          <w:spacing w:val="-11"/>
        </w:rPr>
        <w:t> </w:t>
      </w:r>
      <w:r>
        <w:rPr/>
        <w:t>no</w:t>
      </w:r>
      <w:r>
        <w:rPr>
          <w:spacing w:val="-11"/>
        </w:rPr>
        <w:t> </w:t>
      </w:r>
      <w:r>
        <w:rPr/>
        <w:t>es</w:t>
      </w:r>
      <w:r>
        <w:rPr>
          <w:spacing w:val="-12"/>
        </w:rPr>
        <w:t> </w:t>
      </w:r>
      <w:r>
        <w:rPr/>
        <w:t>representativo,</w:t>
      </w:r>
      <w:r>
        <w:rPr>
          <w:spacing w:val="-11"/>
        </w:rPr>
        <w:t> </w:t>
      </w:r>
      <w:r>
        <w:rPr/>
        <w:t>en</w:t>
      </w:r>
      <w:r>
        <w:rPr>
          <w:spacing w:val="-11"/>
        </w:rPr>
        <w:t> </w:t>
      </w:r>
      <w:r>
        <w:rPr/>
        <w:t>términos</w:t>
      </w:r>
      <w:r>
        <w:rPr>
          <w:spacing w:val="-12"/>
        </w:rPr>
        <w:t> </w:t>
      </w:r>
      <w:r>
        <w:rPr/>
        <w:t>poblacionales</w:t>
      </w:r>
      <w:r>
        <w:rPr>
          <w:spacing w:val="-11"/>
        </w:rPr>
        <w:t> </w:t>
      </w:r>
      <w:r>
        <w:rPr/>
        <w:t>si,</w:t>
      </w:r>
      <w:r>
        <w:rPr>
          <w:spacing w:val="-11"/>
        </w:rPr>
        <w:t> </w:t>
      </w:r>
      <w:r>
        <w:rPr>
          <w:spacing w:val="-3"/>
        </w:rPr>
        <w:t>ya</w:t>
      </w:r>
      <w:r>
        <w:rPr>
          <w:spacing w:val="-11"/>
        </w:rPr>
        <w:t> </w:t>
      </w:r>
      <w:r>
        <w:rPr/>
        <w:t>que afecta a 20,000 habitantes</w:t>
      </w:r>
      <w:r>
        <w:rPr>
          <w:spacing w:val="-20"/>
        </w:rPr>
        <w:t> </w:t>
      </w:r>
      <w:r>
        <w:rPr/>
        <w:t>aproximadamente.</w:t>
      </w:r>
    </w:p>
    <w:p>
      <w:pPr>
        <w:spacing w:after="0" w:line="357" w:lineRule="auto"/>
        <w:jc w:val="both"/>
        <w:sectPr>
          <w:pgSz w:w="12240" w:h="15840"/>
          <w:pgMar w:header="0" w:footer="1031" w:top="1360" w:bottom="1220" w:left="1580" w:right="1580"/>
        </w:sectPr>
      </w:pPr>
    </w:p>
    <w:p>
      <w:pPr>
        <w:spacing w:before="51"/>
        <w:ind w:left="1535" w:right="0" w:firstLine="0"/>
        <w:jc w:val="left"/>
        <w:rPr>
          <w:sz w:val="22"/>
        </w:rPr>
      </w:pPr>
      <w:r>
        <w:rPr>
          <w:sz w:val="22"/>
        </w:rPr>
        <w:t>Mapa 10. Riesgo a inundaciones en el municipio de Lerma</w:t>
      </w:r>
    </w:p>
    <w:p>
      <w:pPr>
        <w:pStyle w:val="BodyText"/>
        <w:rPr>
          <w:sz w:val="9"/>
        </w:rPr>
      </w:pPr>
      <w:r>
        <w:rPr/>
        <w:drawing>
          <wp:anchor distT="0" distB="0" distL="0" distR="0" allowOverlap="1" layoutInCell="1" locked="0" behindDoc="0" simplePos="0" relativeHeight="1816">
            <wp:simplePos x="0" y="0"/>
            <wp:positionH relativeFrom="page">
              <wp:posOffset>1647825</wp:posOffset>
            </wp:positionH>
            <wp:positionV relativeFrom="paragraph">
              <wp:posOffset>91045</wp:posOffset>
            </wp:positionV>
            <wp:extent cx="4485896" cy="6815613"/>
            <wp:effectExtent l="0" t="0" r="0" b="0"/>
            <wp:wrapTopAndBottom/>
            <wp:docPr id="33" name="image38.jpeg" descr=""/>
            <wp:cNvGraphicFramePr>
              <a:graphicFrameLocks noChangeAspect="1"/>
            </wp:cNvGraphicFramePr>
            <a:graphic>
              <a:graphicData uri="http://schemas.openxmlformats.org/drawingml/2006/picture">
                <pic:pic>
                  <pic:nvPicPr>
                    <pic:cNvPr id="34" name="image38.jpeg"/>
                    <pic:cNvPicPr/>
                  </pic:nvPicPr>
                  <pic:blipFill>
                    <a:blip r:embed="rId53" cstate="print"/>
                    <a:stretch>
                      <a:fillRect/>
                    </a:stretch>
                  </pic:blipFill>
                  <pic:spPr>
                    <a:xfrm>
                      <a:off x="0" y="0"/>
                      <a:ext cx="4485896" cy="6815613"/>
                    </a:xfrm>
                    <a:prstGeom prst="rect">
                      <a:avLst/>
                    </a:prstGeom>
                  </pic:spPr>
                </pic:pic>
              </a:graphicData>
            </a:graphic>
          </wp:anchor>
        </w:drawing>
      </w:r>
    </w:p>
    <w:p>
      <w:pPr>
        <w:spacing w:before="0"/>
        <w:ind w:left="685" w:right="0" w:firstLine="0"/>
        <w:jc w:val="left"/>
        <w:rPr>
          <w:sz w:val="20"/>
        </w:rPr>
      </w:pPr>
      <w:r>
        <w:rPr>
          <w:sz w:val="20"/>
        </w:rPr>
        <w:t>Fuente: Elaboración propia con base en INEGI (2005)</w:t>
      </w:r>
    </w:p>
    <w:p>
      <w:pPr>
        <w:spacing w:after="0"/>
        <w:jc w:val="left"/>
        <w:rPr>
          <w:sz w:val="20"/>
        </w:rPr>
        <w:sectPr>
          <w:pgSz w:w="12240" w:h="15840"/>
          <w:pgMar w:header="0" w:footer="1031" w:top="1360" w:bottom="1220" w:left="1720" w:right="1720"/>
        </w:sectPr>
      </w:pPr>
    </w:p>
    <w:p>
      <w:pPr>
        <w:pStyle w:val="BodyText"/>
        <w:spacing w:line="362" w:lineRule="auto" w:before="52"/>
        <w:ind w:left="119" w:right="124"/>
        <w:jc w:val="both"/>
      </w:pPr>
      <w:r>
        <w:rPr/>
        <w:t>Con el método EMC se detectaron cinco zonas vulnerables a inundaciones en el municipio, las cuales son:</w:t>
      </w:r>
    </w:p>
    <w:p>
      <w:pPr>
        <w:pStyle w:val="BodyText"/>
        <w:spacing w:before="11"/>
        <w:rPr>
          <w:sz w:val="35"/>
        </w:rPr>
      </w:pPr>
    </w:p>
    <w:p>
      <w:pPr>
        <w:pStyle w:val="BodyText"/>
        <w:spacing w:line="360" w:lineRule="auto"/>
        <w:ind w:left="119" w:right="125"/>
        <w:jc w:val="both"/>
      </w:pPr>
      <w:r>
        <w:rPr/>
        <w:t>San Pedro Tultepec: Principalmente en la periferia de esta comunidad y las calles Guerrero norte y Lázaro Cárdenas sur, cabe mencionar que la población se ha asentado dentro de lo que es la Ciénega de Tultepec,</w:t>
      </w:r>
    </w:p>
    <w:p>
      <w:pPr>
        <w:pStyle w:val="BodyText"/>
      </w:pPr>
    </w:p>
    <w:p>
      <w:pPr>
        <w:pStyle w:val="BodyText"/>
        <w:spacing w:line="362" w:lineRule="auto" w:before="140"/>
        <w:ind w:left="119" w:right="116"/>
        <w:jc w:val="both"/>
      </w:pPr>
      <w:r>
        <w:rPr/>
        <w:t>Colonia</w:t>
      </w:r>
      <w:r>
        <w:rPr>
          <w:spacing w:val="-15"/>
        </w:rPr>
        <w:t> </w:t>
      </w:r>
      <w:r>
        <w:rPr/>
        <w:t>Tomapa</w:t>
      </w:r>
      <w:r>
        <w:rPr>
          <w:spacing w:val="-11"/>
        </w:rPr>
        <w:t> </w:t>
      </w:r>
      <w:r>
        <w:rPr/>
        <w:t>Tultepec:</w:t>
      </w:r>
      <w:r>
        <w:rPr>
          <w:spacing w:val="-7"/>
        </w:rPr>
        <w:t> </w:t>
      </w:r>
      <w:r>
        <w:rPr/>
        <w:t>Esta</w:t>
      </w:r>
      <w:r>
        <w:rPr>
          <w:spacing w:val="-15"/>
        </w:rPr>
        <w:t> </w:t>
      </w:r>
      <w:r>
        <w:rPr/>
        <w:t>población</w:t>
      </w:r>
      <w:r>
        <w:rPr>
          <w:spacing w:val="-15"/>
        </w:rPr>
        <w:t> </w:t>
      </w:r>
      <w:r>
        <w:rPr/>
        <w:t>se</w:t>
      </w:r>
      <w:r>
        <w:rPr>
          <w:spacing w:val="-16"/>
        </w:rPr>
        <w:t> </w:t>
      </w:r>
      <w:r>
        <w:rPr/>
        <w:t>encuentra</w:t>
      </w:r>
      <w:r>
        <w:rPr>
          <w:spacing w:val="-11"/>
        </w:rPr>
        <w:t> </w:t>
      </w:r>
      <w:r>
        <w:rPr/>
        <w:t>asentada</w:t>
      </w:r>
      <w:r>
        <w:rPr>
          <w:spacing w:val="-16"/>
        </w:rPr>
        <w:t> </w:t>
      </w:r>
      <w:r>
        <w:rPr>
          <w:spacing w:val="3"/>
        </w:rPr>
        <w:t>en</w:t>
      </w:r>
      <w:r>
        <w:rPr>
          <w:spacing w:val="-16"/>
        </w:rPr>
        <w:t> </w:t>
      </w:r>
      <w:r>
        <w:rPr/>
        <w:t>los</w:t>
      </w:r>
      <w:r>
        <w:rPr>
          <w:spacing w:val="-16"/>
        </w:rPr>
        <w:t> </w:t>
      </w:r>
      <w:r>
        <w:rPr/>
        <w:t>terrenos</w:t>
      </w:r>
      <w:r>
        <w:rPr>
          <w:spacing w:val="-16"/>
        </w:rPr>
        <w:t> </w:t>
      </w:r>
      <w:r>
        <w:rPr/>
        <w:t>de la</w:t>
      </w:r>
      <w:r>
        <w:rPr>
          <w:spacing w:val="-6"/>
        </w:rPr>
        <w:t> </w:t>
      </w:r>
      <w:r>
        <w:rPr/>
        <w:t>desecación</w:t>
      </w:r>
      <w:r>
        <w:rPr>
          <w:spacing w:val="-6"/>
        </w:rPr>
        <w:t> </w:t>
      </w:r>
      <w:r>
        <w:rPr/>
        <w:t>de</w:t>
      </w:r>
      <w:r>
        <w:rPr>
          <w:spacing w:val="-11"/>
        </w:rPr>
        <w:t> </w:t>
      </w:r>
      <w:r>
        <w:rPr/>
        <w:t>la</w:t>
      </w:r>
      <w:r>
        <w:rPr>
          <w:spacing w:val="-6"/>
        </w:rPr>
        <w:t> </w:t>
      </w:r>
      <w:r>
        <w:rPr/>
        <w:t>Ciénega</w:t>
      </w:r>
      <w:r>
        <w:rPr>
          <w:spacing w:val="-6"/>
        </w:rPr>
        <w:t> </w:t>
      </w:r>
      <w:r>
        <w:rPr/>
        <w:t>de</w:t>
      </w:r>
      <w:r>
        <w:rPr>
          <w:spacing w:val="-6"/>
        </w:rPr>
        <w:t> </w:t>
      </w:r>
      <w:r>
        <w:rPr/>
        <w:t>Tultepec,</w:t>
      </w:r>
      <w:r>
        <w:rPr>
          <w:spacing w:val="-11"/>
        </w:rPr>
        <w:t> </w:t>
      </w:r>
      <w:r>
        <w:rPr/>
        <w:t>por</w:t>
      </w:r>
      <w:r>
        <w:rPr>
          <w:spacing w:val="-10"/>
        </w:rPr>
        <w:t> </w:t>
      </w:r>
      <w:r>
        <w:rPr/>
        <w:t>lo</w:t>
      </w:r>
      <w:r>
        <w:rPr>
          <w:spacing w:val="-6"/>
        </w:rPr>
        <w:t> </w:t>
      </w:r>
      <w:r>
        <w:rPr/>
        <w:t>que</w:t>
      </w:r>
      <w:r>
        <w:rPr>
          <w:spacing w:val="-6"/>
        </w:rPr>
        <w:t> </w:t>
      </w:r>
      <w:r>
        <w:rPr/>
        <w:t>no</w:t>
      </w:r>
      <w:r>
        <w:rPr>
          <w:spacing w:val="-6"/>
        </w:rPr>
        <w:t> </w:t>
      </w:r>
      <w:r>
        <w:rPr/>
        <w:t>están</w:t>
      </w:r>
      <w:r>
        <w:rPr>
          <w:spacing w:val="-6"/>
        </w:rPr>
        <w:t> </w:t>
      </w:r>
      <w:r>
        <w:rPr/>
        <w:t>consolidados</w:t>
      </w:r>
      <w:r>
        <w:rPr>
          <w:spacing w:val="-7"/>
        </w:rPr>
        <w:t> </w:t>
      </w:r>
      <w:r>
        <w:rPr/>
        <w:t>con</w:t>
      </w:r>
      <w:r>
        <w:rPr>
          <w:spacing w:val="-6"/>
        </w:rPr>
        <w:t> </w:t>
      </w:r>
      <w:r>
        <w:rPr/>
        <w:t>alto nivel</w:t>
      </w:r>
      <w:r>
        <w:rPr>
          <w:spacing w:val="-1"/>
        </w:rPr>
        <w:t> </w:t>
      </w:r>
      <w:r>
        <w:rPr/>
        <w:t>freático.</w:t>
      </w:r>
    </w:p>
    <w:p>
      <w:pPr>
        <w:pStyle w:val="BodyText"/>
        <w:spacing w:before="10"/>
        <w:rPr>
          <w:sz w:val="35"/>
        </w:rPr>
      </w:pPr>
    </w:p>
    <w:p>
      <w:pPr>
        <w:pStyle w:val="BodyText"/>
        <w:spacing w:line="360" w:lineRule="auto"/>
        <w:ind w:left="119" w:right="123"/>
        <w:jc w:val="both"/>
      </w:pPr>
      <w:r>
        <w:rPr/>
        <w:t>Colonia Guadalupe la Ciénega: La población de este lugar surge de igual manera por la desecación de la laguna, por lo que padecen continuamente inundaciones.</w:t>
      </w:r>
    </w:p>
    <w:p>
      <w:pPr>
        <w:pStyle w:val="BodyText"/>
      </w:pPr>
    </w:p>
    <w:p>
      <w:pPr>
        <w:pStyle w:val="BodyText"/>
        <w:spacing w:line="360" w:lineRule="auto" w:before="144"/>
        <w:ind w:left="119" w:right="123"/>
        <w:jc w:val="both"/>
      </w:pPr>
      <w:r>
        <w:rPr/>
        <w:t>Parque industrial Lerma: En esta zona, el principal problema son las lluvias torrenciales, lo que ocasiona que se sature la red de drenaje y aguas pluviales, sin embargo se normaliza la situación en un tiempo aproximado de dos horas como máximo.</w:t>
      </w:r>
    </w:p>
    <w:p>
      <w:pPr>
        <w:pStyle w:val="BodyText"/>
      </w:pPr>
    </w:p>
    <w:p>
      <w:pPr>
        <w:pStyle w:val="BodyText"/>
        <w:spacing w:line="360" w:lineRule="auto" w:before="139"/>
        <w:ind w:left="119" w:right="120"/>
        <w:jc w:val="both"/>
      </w:pPr>
      <w:r>
        <w:rPr/>
        <w:t>Santa Cruz Chignahuapan: Esta comunidad era proclive a las inundaciones, situación</w:t>
      </w:r>
      <w:r>
        <w:rPr>
          <w:spacing w:val="-12"/>
        </w:rPr>
        <w:t> </w:t>
      </w:r>
      <w:r>
        <w:rPr/>
        <w:t>superada</w:t>
      </w:r>
      <w:r>
        <w:rPr>
          <w:spacing w:val="-12"/>
        </w:rPr>
        <w:t> </w:t>
      </w:r>
      <w:r>
        <w:rPr/>
        <w:t>por</w:t>
      </w:r>
      <w:r>
        <w:rPr>
          <w:spacing w:val="-11"/>
        </w:rPr>
        <w:t> </w:t>
      </w:r>
      <w:r>
        <w:rPr/>
        <w:t>el</w:t>
      </w:r>
      <w:r>
        <w:rPr>
          <w:spacing w:val="-8"/>
        </w:rPr>
        <w:t> </w:t>
      </w:r>
      <w:r>
        <w:rPr/>
        <w:t>cárcamo</w:t>
      </w:r>
      <w:r>
        <w:rPr>
          <w:spacing w:val="-12"/>
        </w:rPr>
        <w:t> </w:t>
      </w:r>
      <w:r>
        <w:rPr/>
        <w:t>que</w:t>
      </w:r>
      <w:r>
        <w:rPr>
          <w:spacing w:val="-12"/>
        </w:rPr>
        <w:t> </w:t>
      </w:r>
      <w:r>
        <w:rPr/>
        <w:t>se</w:t>
      </w:r>
      <w:r>
        <w:rPr>
          <w:spacing w:val="-12"/>
        </w:rPr>
        <w:t> </w:t>
      </w:r>
      <w:r>
        <w:rPr/>
        <w:t>construyó</w:t>
      </w:r>
      <w:r>
        <w:rPr>
          <w:spacing w:val="-12"/>
        </w:rPr>
        <w:t> </w:t>
      </w:r>
      <w:r>
        <w:rPr/>
        <w:t>para</w:t>
      </w:r>
      <w:r>
        <w:rPr>
          <w:spacing w:val="-12"/>
        </w:rPr>
        <w:t> </w:t>
      </w:r>
      <w:r>
        <w:rPr/>
        <w:t>bombear</w:t>
      </w:r>
      <w:r>
        <w:rPr>
          <w:spacing w:val="-11"/>
        </w:rPr>
        <w:t> </w:t>
      </w:r>
      <w:r>
        <w:rPr/>
        <w:t>las</w:t>
      </w:r>
      <w:r>
        <w:rPr>
          <w:spacing w:val="-13"/>
        </w:rPr>
        <w:t> </w:t>
      </w:r>
      <w:r>
        <w:rPr/>
        <w:t>aguas</w:t>
      </w:r>
      <w:r>
        <w:rPr>
          <w:spacing w:val="-13"/>
        </w:rPr>
        <w:t> </w:t>
      </w:r>
      <w:r>
        <w:rPr/>
        <w:t>del</w:t>
      </w:r>
      <w:r>
        <w:rPr>
          <w:spacing w:val="-8"/>
        </w:rPr>
        <w:t> </w:t>
      </w:r>
      <w:r>
        <w:rPr/>
        <w:t>rio Ameyalco al rio Lerma, no obstante aún no se descarta la posibilidad de desbordamiento.</w:t>
      </w:r>
    </w:p>
    <w:p>
      <w:pPr>
        <w:pStyle w:val="BodyText"/>
      </w:pPr>
    </w:p>
    <w:p>
      <w:pPr>
        <w:pStyle w:val="BodyText"/>
        <w:spacing w:line="360" w:lineRule="auto" w:before="140"/>
        <w:ind w:left="119" w:right="118"/>
        <w:jc w:val="both"/>
      </w:pPr>
      <w:r>
        <w:rPr/>
        <w:t>Además</w:t>
      </w:r>
      <w:r>
        <w:rPr>
          <w:spacing w:val="-12"/>
        </w:rPr>
        <w:t> </w:t>
      </w:r>
      <w:r>
        <w:rPr/>
        <w:t>de</w:t>
      </w:r>
      <w:r>
        <w:rPr>
          <w:spacing w:val="-15"/>
        </w:rPr>
        <w:t> </w:t>
      </w:r>
      <w:r>
        <w:rPr/>
        <w:t>lo</w:t>
      </w:r>
      <w:r>
        <w:rPr>
          <w:spacing w:val="-15"/>
        </w:rPr>
        <w:t> </w:t>
      </w:r>
      <w:r>
        <w:rPr/>
        <w:t>anterior</w:t>
      </w:r>
      <w:r>
        <w:rPr>
          <w:spacing w:val="42"/>
        </w:rPr>
        <w:t> </w:t>
      </w:r>
      <w:r>
        <w:rPr/>
        <w:t>existen</w:t>
      </w:r>
      <w:r>
        <w:rPr>
          <w:spacing w:val="-14"/>
        </w:rPr>
        <w:t> </w:t>
      </w:r>
      <w:r>
        <w:rPr/>
        <w:t>cuatro</w:t>
      </w:r>
      <w:r>
        <w:rPr>
          <w:spacing w:val="-11"/>
        </w:rPr>
        <w:t> </w:t>
      </w:r>
      <w:r>
        <w:rPr/>
        <w:t>ríos</w:t>
      </w:r>
      <w:r>
        <w:rPr>
          <w:spacing w:val="-12"/>
        </w:rPr>
        <w:t> </w:t>
      </w:r>
      <w:r>
        <w:rPr/>
        <w:t>que</w:t>
      </w:r>
      <w:r>
        <w:rPr>
          <w:spacing w:val="-14"/>
        </w:rPr>
        <w:t> </w:t>
      </w:r>
      <w:r>
        <w:rPr/>
        <w:t>podrían</w:t>
      </w:r>
      <w:r>
        <w:rPr>
          <w:spacing w:val="-14"/>
        </w:rPr>
        <w:t> </w:t>
      </w:r>
      <w:r>
        <w:rPr/>
        <w:t>afectar</w:t>
      </w:r>
      <w:r>
        <w:rPr>
          <w:spacing w:val="-14"/>
        </w:rPr>
        <w:t> </w:t>
      </w:r>
      <w:r>
        <w:rPr/>
        <w:t>a</w:t>
      </w:r>
      <w:r>
        <w:rPr>
          <w:spacing w:val="-15"/>
        </w:rPr>
        <w:t> </w:t>
      </w:r>
      <w:r>
        <w:rPr/>
        <w:t>la</w:t>
      </w:r>
      <w:r>
        <w:rPr>
          <w:spacing w:val="-14"/>
        </w:rPr>
        <w:t> </w:t>
      </w:r>
      <w:r>
        <w:rPr/>
        <w:t>población,</w:t>
      </w:r>
      <w:r>
        <w:rPr>
          <w:spacing w:val="-11"/>
        </w:rPr>
        <w:t> </w:t>
      </w:r>
      <w:r>
        <w:rPr/>
        <w:t>debido a</w:t>
      </w:r>
      <w:r>
        <w:rPr>
          <w:spacing w:val="-6"/>
        </w:rPr>
        <w:t> </w:t>
      </w:r>
      <w:r>
        <w:rPr/>
        <w:t>asentamientos</w:t>
      </w:r>
      <w:r>
        <w:rPr>
          <w:spacing w:val="-13"/>
        </w:rPr>
        <w:t> </w:t>
      </w:r>
      <w:r>
        <w:rPr/>
        <w:t>irregulares</w:t>
      </w:r>
      <w:r>
        <w:rPr>
          <w:spacing w:val="-13"/>
        </w:rPr>
        <w:t> </w:t>
      </w:r>
      <w:r>
        <w:rPr/>
        <w:t>ubicados</w:t>
      </w:r>
      <w:r>
        <w:rPr>
          <w:spacing w:val="-13"/>
        </w:rPr>
        <w:t> </w:t>
      </w:r>
      <w:r>
        <w:rPr/>
        <w:t>a</w:t>
      </w:r>
      <w:r>
        <w:rPr>
          <w:spacing w:val="-7"/>
        </w:rPr>
        <w:t> </w:t>
      </w:r>
      <w:r>
        <w:rPr/>
        <w:t>sus</w:t>
      </w:r>
      <w:r>
        <w:rPr>
          <w:spacing w:val="-8"/>
        </w:rPr>
        <w:t> </w:t>
      </w:r>
      <w:r>
        <w:rPr/>
        <w:t>orillas,</w:t>
      </w:r>
      <w:r>
        <w:rPr>
          <w:spacing w:val="-7"/>
        </w:rPr>
        <w:t> </w:t>
      </w:r>
      <w:r>
        <w:rPr/>
        <w:t>no</w:t>
      </w:r>
      <w:r>
        <w:rPr>
          <w:spacing w:val="-7"/>
        </w:rPr>
        <w:t> </w:t>
      </w:r>
      <w:r>
        <w:rPr/>
        <w:t>respetando</w:t>
      </w:r>
      <w:r>
        <w:rPr>
          <w:spacing w:val="-7"/>
        </w:rPr>
        <w:t> </w:t>
      </w:r>
      <w:r>
        <w:rPr/>
        <w:t>el</w:t>
      </w:r>
      <w:r>
        <w:rPr>
          <w:spacing w:val="-4"/>
        </w:rPr>
        <w:t> </w:t>
      </w:r>
      <w:r>
        <w:rPr/>
        <w:t>derecho</w:t>
      </w:r>
      <w:r>
        <w:rPr>
          <w:spacing w:val="-12"/>
        </w:rPr>
        <w:t> </w:t>
      </w:r>
      <w:r>
        <w:rPr/>
        <w:t>de</w:t>
      </w:r>
      <w:r>
        <w:rPr>
          <w:spacing w:val="-7"/>
        </w:rPr>
        <w:t> </w:t>
      </w:r>
      <w:r>
        <w:rPr/>
        <w:t>vía de los</w:t>
      </w:r>
      <w:r>
        <w:rPr>
          <w:spacing w:val="-7"/>
        </w:rPr>
        <w:t> </w:t>
      </w:r>
      <w:r>
        <w:rPr/>
        <w:t>siguientes:</w:t>
      </w:r>
    </w:p>
    <w:p>
      <w:pPr>
        <w:pStyle w:val="BodyText"/>
      </w:pPr>
    </w:p>
    <w:p>
      <w:pPr>
        <w:pStyle w:val="BodyText"/>
        <w:spacing w:line="360" w:lineRule="auto" w:before="140"/>
        <w:ind w:left="119" w:right="121"/>
        <w:jc w:val="both"/>
      </w:pPr>
      <w:r>
        <w:rPr/>
        <w:t>Río Lerma, en 1998 su desbordamiento inundó la parte norte de la colonia Guadalupe la Ciénega, por lo que en coordinación con las autoridades estatales y municipales se le aumentó el bordo de ambos lados además se rehabilitaron los</w:t>
      </w:r>
    </w:p>
    <w:p>
      <w:pPr>
        <w:spacing w:after="0" w:line="360" w:lineRule="auto"/>
        <w:jc w:val="both"/>
        <w:sectPr>
          <w:pgSz w:w="12240" w:h="15840"/>
          <w:pgMar w:header="0" w:footer="1031" w:top="1360" w:bottom="1220" w:left="1580" w:right="1580"/>
        </w:sectPr>
      </w:pPr>
    </w:p>
    <w:p>
      <w:pPr>
        <w:pStyle w:val="BodyText"/>
        <w:spacing w:line="360" w:lineRule="auto" w:before="52"/>
        <w:ind w:left="119" w:right="128"/>
        <w:jc w:val="both"/>
      </w:pPr>
      <w:r>
        <w:rPr/>
        <w:t>sitios más bajos, por lo que es monitoreado diariamente para realizar los trabajos de mantenimiento, para evitar un suceso como el anterior. Las áreas de mayor susceptibilidad son las colonias de Isidro Fabela, Guadalupe Victoria y Alfredo del Mazo.</w:t>
      </w:r>
    </w:p>
    <w:p>
      <w:pPr>
        <w:pStyle w:val="BodyText"/>
      </w:pPr>
    </w:p>
    <w:p>
      <w:pPr>
        <w:pStyle w:val="BodyText"/>
        <w:spacing w:line="360" w:lineRule="auto" w:before="144"/>
        <w:ind w:left="119" w:right="124"/>
        <w:jc w:val="both"/>
      </w:pPr>
      <w:r>
        <w:rPr/>
        <w:t>Río Ocoyoacac los problemas que se presentan son originados por el exceso de agua que transita y la gran cantidad de basura que arrastra, lo que origina obstrucciones que podrían ocasionar una inundación fluvial que afectaría la parte sur de Amomolulco.</w:t>
      </w:r>
    </w:p>
    <w:p>
      <w:pPr>
        <w:pStyle w:val="BodyText"/>
      </w:pPr>
    </w:p>
    <w:p>
      <w:pPr>
        <w:pStyle w:val="BodyText"/>
        <w:spacing w:line="360" w:lineRule="auto" w:before="145"/>
        <w:ind w:left="119" w:right="130"/>
        <w:jc w:val="both"/>
      </w:pPr>
      <w:r>
        <w:rPr/>
        <w:t>Río Ameyalco: este río podría inundar al sur de San Miguel Ameyalco debido al exceso de agua y de basura que impide su libre circulación.</w:t>
      </w:r>
    </w:p>
    <w:p>
      <w:pPr>
        <w:pStyle w:val="BodyText"/>
      </w:pPr>
    </w:p>
    <w:p>
      <w:pPr>
        <w:pStyle w:val="BodyText"/>
        <w:spacing w:line="360" w:lineRule="auto" w:before="144"/>
        <w:ind w:left="119" w:right="124"/>
        <w:jc w:val="both"/>
      </w:pPr>
      <w:r>
        <w:rPr/>
        <w:t>Río Salto del Agua: el principal problema de este río son los asentamientos humanos</w:t>
      </w:r>
      <w:r>
        <w:rPr>
          <w:spacing w:val="-7"/>
        </w:rPr>
        <w:t> </w:t>
      </w:r>
      <w:r>
        <w:rPr/>
        <w:t>a</w:t>
      </w:r>
      <w:r>
        <w:rPr>
          <w:spacing w:val="-6"/>
        </w:rPr>
        <w:t> </w:t>
      </w:r>
      <w:r>
        <w:rPr/>
        <w:t>la</w:t>
      </w:r>
      <w:r>
        <w:rPr>
          <w:spacing w:val="-6"/>
        </w:rPr>
        <w:t> </w:t>
      </w:r>
      <w:r>
        <w:rPr/>
        <w:t>orilla</w:t>
      </w:r>
      <w:r>
        <w:rPr>
          <w:spacing w:val="-11"/>
        </w:rPr>
        <w:t> </w:t>
      </w:r>
      <w:r>
        <w:rPr/>
        <w:t>del</w:t>
      </w:r>
      <w:r>
        <w:rPr>
          <w:spacing w:val="-4"/>
        </w:rPr>
        <w:t> </w:t>
      </w:r>
      <w:r>
        <w:rPr/>
        <w:t>mismo,</w:t>
      </w:r>
      <w:r>
        <w:rPr>
          <w:spacing w:val="-6"/>
        </w:rPr>
        <w:t> </w:t>
      </w:r>
      <w:r>
        <w:rPr/>
        <w:t>siendo</w:t>
      </w:r>
      <w:r>
        <w:rPr>
          <w:spacing w:val="-11"/>
        </w:rPr>
        <w:t> </w:t>
      </w:r>
      <w:r>
        <w:rPr/>
        <w:t>las</w:t>
      </w:r>
      <w:r>
        <w:rPr>
          <w:spacing w:val="-7"/>
        </w:rPr>
        <w:t> </w:t>
      </w:r>
      <w:r>
        <w:rPr/>
        <w:t>localidades</w:t>
      </w:r>
      <w:r>
        <w:rPr>
          <w:spacing w:val="-7"/>
        </w:rPr>
        <w:t> </w:t>
      </w:r>
      <w:r>
        <w:rPr/>
        <w:t>de</w:t>
      </w:r>
      <w:r>
        <w:rPr>
          <w:spacing w:val="-6"/>
        </w:rPr>
        <w:t> </w:t>
      </w:r>
      <w:r>
        <w:rPr/>
        <w:t>Las</w:t>
      </w:r>
      <w:r>
        <w:rPr>
          <w:spacing w:val="-7"/>
        </w:rPr>
        <w:t> </w:t>
      </w:r>
      <w:r>
        <w:rPr/>
        <w:t>Rajas</w:t>
      </w:r>
      <w:r>
        <w:rPr>
          <w:spacing w:val="-7"/>
        </w:rPr>
        <w:t> </w:t>
      </w:r>
      <w:r>
        <w:rPr/>
        <w:t>y</w:t>
      </w:r>
      <w:r>
        <w:rPr>
          <w:spacing w:val="-7"/>
        </w:rPr>
        <w:t> </w:t>
      </w:r>
      <w:r>
        <w:rPr/>
        <w:t>la</w:t>
      </w:r>
      <w:r>
        <w:rPr>
          <w:spacing w:val="-6"/>
        </w:rPr>
        <w:t> </w:t>
      </w:r>
      <w:r>
        <w:rPr/>
        <w:t>parte</w:t>
      </w:r>
      <w:r>
        <w:rPr>
          <w:spacing w:val="-6"/>
        </w:rPr>
        <w:t> </w:t>
      </w:r>
      <w:r>
        <w:rPr/>
        <w:t>sur</w:t>
      </w:r>
      <w:r>
        <w:rPr>
          <w:spacing w:val="-5"/>
        </w:rPr>
        <w:t> </w:t>
      </w:r>
      <w:r>
        <w:rPr/>
        <w:t>de las Mesas Huitzizilapan las de mayor</w:t>
      </w:r>
      <w:r>
        <w:rPr>
          <w:spacing w:val="-14"/>
        </w:rPr>
        <w:t> </w:t>
      </w:r>
      <w:r>
        <w:rPr/>
        <w:t>riesgo.</w:t>
      </w:r>
    </w:p>
    <w:p>
      <w:pPr>
        <w:pStyle w:val="BodyText"/>
      </w:pPr>
    </w:p>
    <w:p>
      <w:pPr>
        <w:pStyle w:val="BodyText"/>
        <w:spacing w:line="360" w:lineRule="auto" w:before="144"/>
        <w:ind w:left="119" w:right="117"/>
        <w:jc w:val="both"/>
      </w:pPr>
      <w:r>
        <w:rPr/>
        <w:t>Cabe</w:t>
      </w:r>
      <w:r>
        <w:rPr>
          <w:spacing w:val="-12"/>
        </w:rPr>
        <w:t> </w:t>
      </w:r>
      <w:r>
        <w:rPr/>
        <w:t>mencionar</w:t>
      </w:r>
      <w:r>
        <w:rPr>
          <w:spacing w:val="-12"/>
        </w:rPr>
        <w:t> </w:t>
      </w:r>
      <w:r>
        <w:rPr/>
        <w:t>que</w:t>
      </w:r>
      <w:r>
        <w:rPr>
          <w:spacing w:val="-16"/>
        </w:rPr>
        <w:t> </w:t>
      </w:r>
      <w:r>
        <w:rPr/>
        <w:t>el</w:t>
      </w:r>
      <w:r>
        <w:rPr>
          <w:spacing w:val="-13"/>
        </w:rPr>
        <w:t> </w:t>
      </w:r>
      <w:r>
        <w:rPr/>
        <w:t>60%</w:t>
      </w:r>
      <w:r>
        <w:rPr>
          <w:spacing w:val="-20"/>
        </w:rPr>
        <w:t> </w:t>
      </w:r>
      <w:r>
        <w:rPr/>
        <w:t>de</w:t>
      </w:r>
      <w:r>
        <w:rPr>
          <w:spacing w:val="-15"/>
        </w:rPr>
        <w:t> </w:t>
      </w:r>
      <w:r>
        <w:rPr/>
        <w:t>las</w:t>
      </w:r>
      <w:r>
        <w:rPr>
          <w:spacing w:val="-17"/>
        </w:rPr>
        <w:t> </w:t>
      </w:r>
      <w:r>
        <w:rPr/>
        <w:t>localidades</w:t>
      </w:r>
      <w:r>
        <w:rPr>
          <w:spacing w:val="-12"/>
        </w:rPr>
        <w:t> </w:t>
      </w:r>
      <w:r>
        <w:rPr/>
        <w:t>pertenecientes</w:t>
      </w:r>
      <w:r>
        <w:rPr>
          <w:spacing w:val="-13"/>
        </w:rPr>
        <w:t> </w:t>
      </w:r>
      <w:r>
        <w:rPr/>
        <w:t>al</w:t>
      </w:r>
      <w:r>
        <w:rPr>
          <w:spacing w:val="-13"/>
        </w:rPr>
        <w:t> </w:t>
      </w:r>
      <w:r>
        <w:rPr/>
        <w:t>municipio</w:t>
      </w:r>
      <w:r>
        <w:rPr>
          <w:spacing w:val="-12"/>
        </w:rPr>
        <w:t> </w:t>
      </w:r>
      <w:r>
        <w:rPr/>
        <w:t>de</w:t>
      </w:r>
      <w:r>
        <w:rPr>
          <w:spacing w:val="-12"/>
        </w:rPr>
        <w:t> </w:t>
      </w:r>
      <w:r>
        <w:rPr>
          <w:spacing w:val="-3"/>
        </w:rPr>
        <w:t>Lema </w:t>
      </w:r>
      <w:r>
        <w:rPr/>
        <w:t>se clasificaron con un una vulnerabilidad media en base al índice de marginación del CONAPO e INEGI, Censo de Población y Vivienda 2010. Lo anterior significa que claramente, factores </w:t>
      </w:r>
      <w:r>
        <w:rPr>
          <w:spacing w:val="-4"/>
        </w:rPr>
        <w:t>como </w:t>
      </w:r>
      <w:r>
        <w:rPr/>
        <w:t>la marginalidad que </w:t>
      </w:r>
      <w:r>
        <w:rPr>
          <w:spacing w:val="-3"/>
        </w:rPr>
        <w:t>se </w:t>
      </w:r>
      <w:r>
        <w:rPr/>
        <w:t>manifiesta en condiciones sociales de desigualdad, la fragilidad física de las viviendas, son determinantes de los desastres y no solamente los fenómenos</w:t>
      </w:r>
      <w:r>
        <w:rPr>
          <w:spacing w:val="-25"/>
        </w:rPr>
        <w:t> </w:t>
      </w:r>
      <w:r>
        <w:rPr/>
        <w:t>climáticos.</w:t>
      </w:r>
    </w:p>
    <w:p>
      <w:pPr>
        <w:pStyle w:val="BodyText"/>
      </w:pPr>
    </w:p>
    <w:p>
      <w:pPr>
        <w:pStyle w:val="BodyText"/>
        <w:spacing w:line="360" w:lineRule="auto" w:before="140"/>
        <w:ind w:left="119" w:right="116"/>
        <w:jc w:val="both"/>
      </w:pPr>
      <w:r>
        <w:rPr/>
        <w:t>Con lo mencionado anteriormente podría decirse que la combinación de todos los factores antes mencionados contribuyen a provocar zonas inundables, aunado a otros factores como las precipitaciones extraordinarias.</w:t>
      </w:r>
    </w:p>
    <w:p>
      <w:pPr>
        <w:spacing w:after="0" w:line="360" w:lineRule="auto"/>
        <w:jc w:val="both"/>
        <w:sectPr>
          <w:pgSz w:w="12240" w:h="15840"/>
          <w:pgMar w:header="0" w:footer="1031" w:top="1360" w:bottom="1220" w:left="1580" w:right="1580"/>
        </w:sectPr>
      </w:pPr>
    </w:p>
    <w:p>
      <w:pPr>
        <w:pStyle w:val="Heading2"/>
        <w:spacing w:line="276" w:lineRule="auto" w:before="47"/>
        <w:ind w:right="321"/>
      </w:pPr>
      <w:bookmarkStart w:name="_TOC_250013" w:id="41"/>
      <w:bookmarkEnd w:id="41"/>
      <w:r>
        <w:rPr/>
        <w:t>CAPÍTULO 5. VULNERABILIDAD FÍSICA Y SOCIAL ANTE LAS INUNDACIONES, EN ASENTAMIENTOS HUMANOS DEL MUNICIPIO DE LERMA, ESTADO DE MÉXICO</w:t>
      </w:r>
    </w:p>
    <w:p>
      <w:pPr>
        <w:pStyle w:val="BodyText"/>
        <w:rPr>
          <w:b/>
        </w:rPr>
      </w:pPr>
    </w:p>
    <w:p>
      <w:pPr>
        <w:pStyle w:val="BodyText"/>
        <w:spacing w:before="11"/>
        <w:rPr>
          <w:b/>
          <w:sz w:val="26"/>
        </w:rPr>
      </w:pPr>
    </w:p>
    <w:p>
      <w:pPr>
        <w:pStyle w:val="BodyText"/>
        <w:spacing w:line="360" w:lineRule="auto"/>
        <w:ind w:left="119" w:right="314"/>
        <w:jc w:val="both"/>
      </w:pPr>
      <w:r>
        <w:rPr/>
        <w:t>En este capítulo el trabajo partió del diseño de un cuestionario que consta de 30 reactivos distribuidos en cinco apartados: perfil socio demográfico, daños físicos, impacto socioeconómico, presencia de las instituciones gubernamentales y percepción del riesgo. Antes de aplicar el cuestionario se realiza en una pequeña muestra de los habitantes para ensayar su funcionamiento; la prueba permitió corregir la redacción de las preguntas para </w:t>
      </w:r>
      <w:r>
        <w:rPr>
          <w:spacing w:val="-3"/>
        </w:rPr>
        <w:t>su </w:t>
      </w:r>
      <w:r>
        <w:rPr/>
        <w:t>comprensión, evitar la redundancia  y detectar valores inesperados de las variables, preguntas poco claras así como la duración en la aplicación del cuestionario. (Tabla</w:t>
      </w:r>
      <w:r>
        <w:rPr>
          <w:spacing w:val="-12"/>
        </w:rPr>
        <w:t> </w:t>
      </w:r>
      <w:r>
        <w:rPr/>
        <w:t>12).</w:t>
      </w:r>
    </w:p>
    <w:p>
      <w:pPr>
        <w:pStyle w:val="BodyText"/>
        <w:spacing w:before="9"/>
        <w:rPr>
          <w:sz w:val="29"/>
        </w:rPr>
      </w:pPr>
    </w:p>
    <w:p>
      <w:pPr>
        <w:spacing w:after="0"/>
        <w:rPr>
          <w:sz w:val="29"/>
        </w:rPr>
        <w:sectPr>
          <w:pgSz w:w="12240" w:h="15840"/>
          <w:pgMar w:header="0" w:footer="1031" w:top="1360" w:bottom="1220" w:left="1580" w:right="1380"/>
        </w:sectPr>
      </w:pPr>
    </w:p>
    <w:p>
      <w:pPr>
        <w:spacing w:before="73"/>
        <w:ind w:left="2275" w:right="-12" w:firstLine="0"/>
        <w:jc w:val="left"/>
        <w:rPr>
          <w:sz w:val="22"/>
        </w:rPr>
      </w:pPr>
      <w:r>
        <w:rPr/>
        <w:pict>
          <v:group style="position:absolute;margin-left:97.237999pt;margin-top:16.597878pt;width:440.15pt;height:.5pt;mso-position-horizontal-relative:page;mso-position-vertical-relative:paragraph;z-index:-119752" coordorigin="1945,332" coordsize="8803,10">
            <v:line style="position:absolute" from="1950,337" to="3649,337" stroked="true" strokeweight=".48001pt" strokecolor="#000000"/>
            <v:line style="position:absolute" from="3649,337" to="3659,337" stroked="true" strokeweight=".48001pt" strokecolor="#000000"/>
            <v:line style="position:absolute" from="3659,337" to="5354,337" stroked="true" strokeweight=".48001pt" strokecolor="#000000"/>
            <v:line style="position:absolute" from="5354,337" to="5364,337" stroked="true" strokeweight=".48001pt" strokecolor="#000000"/>
            <v:line style="position:absolute" from="5364,337" to="7481,337" stroked="true" strokeweight=".48001pt" strokecolor="#000000"/>
            <v:line style="position:absolute" from="7481,337" to="7491,337" stroked="true" strokeweight=".48001pt" strokecolor="#000000"/>
            <v:line style="position:absolute" from="7491,337" to="9181,337" stroked="true" strokeweight=".48001pt" strokecolor="#000000"/>
            <v:line style="position:absolute" from="9181,337" to="9191,337" stroked="true" strokeweight=".48001pt" strokecolor="#000000"/>
            <v:line style="position:absolute" from="9191,337" to="10742,337" stroked="true" strokeweight=".48001pt" strokecolor="#000000"/>
            <w10:wrap type="none"/>
          </v:group>
        </w:pict>
      </w:r>
      <w:r>
        <w:rPr>
          <w:sz w:val="22"/>
        </w:rPr>
        <w:t>Tabla 13. Temas abordados en las encuestas.</w:t>
      </w:r>
    </w:p>
    <w:p>
      <w:pPr>
        <w:pStyle w:val="BodyText"/>
        <w:rPr>
          <w:sz w:val="16"/>
        </w:rPr>
      </w:pPr>
      <w:r>
        <w:rPr/>
        <w:br w:type="column"/>
      </w:r>
      <w:r>
        <w:rPr>
          <w:sz w:val="16"/>
        </w:rPr>
      </w:r>
    </w:p>
    <w:p>
      <w:pPr>
        <w:pStyle w:val="BodyText"/>
        <w:spacing w:before="7"/>
        <w:rPr>
          <w:sz w:val="13"/>
        </w:rPr>
      </w:pPr>
    </w:p>
    <w:p>
      <w:pPr>
        <w:spacing w:line="110" w:lineRule="exact" w:before="0"/>
        <w:ind w:left="931" w:right="0" w:firstLine="0"/>
        <w:jc w:val="left"/>
        <w:rPr>
          <w:b/>
          <w:sz w:val="16"/>
        </w:rPr>
      </w:pPr>
      <w:r>
        <w:rPr>
          <w:b/>
          <w:w w:val="105"/>
          <w:sz w:val="16"/>
        </w:rPr>
        <w:t>Percepción del</w:t>
      </w:r>
    </w:p>
    <w:p>
      <w:pPr>
        <w:spacing w:after="0" w:line="110" w:lineRule="exact"/>
        <w:jc w:val="left"/>
        <w:rPr>
          <w:sz w:val="16"/>
        </w:rPr>
        <w:sectPr>
          <w:type w:val="continuous"/>
          <w:pgSz w:w="12240" w:h="15840"/>
          <w:pgMar w:top="1500" w:bottom="280" w:left="1580" w:right="1380"/>
          <w:cols w:num="2" w:equalWidth="0">
            <w:col w:w="6808" w:space="40"/>
            <w:col w:w="2432"/>
          </w:cols>
        </w:sectPr>
      </w:pPr>
    </w:p>
    <w:p>
      <w:pPr>
        <w:spacing w:line="144" w:lineRule="exact" w:before="77"/>
        <w:ind w:left="1008" w:right="0" w:firstLine="0"/>
        <w:jc w:val="left"/>
        <w:rPr>
          <w:b/>
          <w:sz w:val="17"/>
        </w:rPr>
      </w:pPr>
      <w:r>
        <w:rPr>
          <w:b/>
          <w:sz w:val="17"/>
        </w:rPr>
        <w:t>Perfil</w:t>
      </w:r>
    </w:p>
    <w:p>
      <w:pPr>
        <w:tabs>
          <w:tab w:pos="2366" w:val="left" w:leader="none"/>
        </w:tabs>
        <w:spacing w:line="242" w:lineRule="exact" w:before="0"/>
        <w:ind w:left="480" w:right="0" w:firstLine="0"/>
        <w:jc w:val="left"/>
        <w:rPr>
          <w:b/>
          <w:sz w:val="17"/>
        </w:rPr>
      </w:pPr>
      <w:r>
        <w:rPr>
          <w:b/>
          <w:sz w:val="16"/>
        </w:rPr>
        <w:t>Sociodemográfico</w:t>
        <w:tab/>
      </w:r>
      <w:r>
        <w:rPr>
          <w:b/>
          <w:position w:val="10"/>
          <w:sz w:val="17"/>
        </w:rPr>
        <w:t>Daños</w:t>
      </w:r>
      <w:r>
        <w:rPr>
          <w:b/>
          <w:spacing w:val="-10"/>
          <w:position w:val="10"/>
          <w:sz w:val="17"/>
        </w:rPr>
        <w:t> </w:t>
      </w:r>
      <w:r>
        <w:rPr>
          <w:b/>
          <w:position w:val="10"/>
          <w:sz w:val="17"/>
        </w:rPr>
        <w:t>físicos</w:t>
      </w:r>
    </w:p>
    <w:p>
      <w:pPr>
        <w:spacing w:before="214"/>
        <w:ind w:left="2179" w:right="219" w:firstLine="0"/>
        <w:jc w:val="left"/>
        <w:rPr>
          <w:sz w:val="17"/>
        </w:rPr>
      </w:pPr>
      <w:r>
        <w:rPr>
          <w:sz w:val="17"/>
        </w:rPr>
        <w:t>Porcentaje de habitantes</w:t>
      </w:r>
    </w:p>
    <w:p>
      <w:pPr>
        <w:spacing w:line="247" w:lineRule="auto" w:before="77"/>
        <w:ind w:left="660" w:right="-13" w:firstLine="345"/>
        <w:jc w:val="left"/>
        <w:rPr>
          <w:b/>
          <w:sz w:val="16"/>
        </w:rPr>
      </w:pPr>
      <w:r>
        <w:rPr/>
        <w:br w:type="column"/>
      </w:r>
      <w:r>
        <w:rPr>
          <w:b/>
          <w:sz w:val="17"/>
        </w:rPr>
        <w:t>Impacto </w:t>
      </w:r>
      <w:r>
        <w:rPr>
          <w:b/>
          <w:sz w:val="16"/>
        </w:rPr>
        <w:t>socioeconómico</w:t>
      </w:r>
    </w:p>
    <w:p>
      <w:pPr>
        <w:pStyle w:val="BodyText"/>
        <w:spacing w:before="2"/>
        <w:rPr>
          <w:b/>
          <w:sz w:val="18"/>
        </w:rPr>
      </w:pPr>
    </w:p>
    <w:p>
      <w:pPr>
        <w:spacing w:before="0"/>
        <w:ind w:left="377" w:right="-13" w:firstLine="0"/>
        <w:jc w:val="left"/>
        <w:rPr>
          <w:sz w:val="17"/>
        </w:rPr>
      </w:pPr>
      <w:r>
        <w:rPr>
          <w:sz w:val="17"/>
        </w:rPr>
        <w:t>Cantidad aproximada que gasto y/o dejo</w:t>
      </w:r>
      <w:r>
        <w:rPr>
          <w:spacing w:val="-13"/>
          <w:sz w:val="17"/>
        </w:rPr>
        <w:t> </w:t>
      </w:r>
      <w:r>
        <w:rPr>
          <w:sz w:val="17"/>
        </w:rPr>
        <w:t>de</w:t>
      </w:r>
    </w:p>
    <w:p>
      <w:pPr>
        <w:spacing w:line="172" w:lineRule="exact" w:before="0"/>
        <w:ind w:left="686" w:right="42" w:hanging="5"/>
        <w:jc w:val="left"/>
        <w:rPr>
          <w:b/>
          <w:sz w:val="17"/>
        </w:rPr>
      </w:pPr>
      <w:r>
        <w:rPr/>
        <w:br w:type="column"/>
      </w:r>
      <w:r>
        <w:rPr>
          <w:b/>
          <w:sz w:val="17"/>
        </w:rPr>
        <w:t>Presencia de</w:t>
      </w:r>
    </w:p>
    <w:p>
      <w:pPr>
        <w:spacing w:line="252" w:lineRule="auto" w:before="1"/>
        <w:ind w:left="465" w:right="42" w:firstLine="220"/>
        <w:jc w:val="left"/>
        <w:rPr>
          <w:b/>
          <w:sz w:val="16"/>
        </w:rPr>
      </w:pPr>
      <w:r>
        <w:rPr>
          <w:b/>
          <w:sz w:val="17"/>
        </w:rPr>
        <w:t>instituciones </w:t>
      </w:r>
      <w:r>
        <w:rPr>
          <w:b/>
          <w:sz w:val="16"/>
        </w:rPr>
        <w:t>gubernamentales</w:t>
      </w:r>
    </w:p>
    <w:p>
      <w:pPr>
        <w:spacing w:before="105"/>
        <w:ind w:left="465" w:right="42" w:firstLine="0"/>
        <w:jc w:val="left"/>
        <w:rPr>
          <w:sz w:val="17"/>
        </w:rPr>
      </w:pPr>
      <w:r>
        <w:rPr/>
        <w:pict>
          <v:group style="position:absolute;margin-left:97.237999pt;margin-top:5.052898pt;width:440.15pt;height:.5pt;mso-position-horizontal-relative:page;mso-position-vertical-relative:paragraph;z-index:-119728" coordorigin="1945,101" coordsize="8803,10">
            <v:line style="position:absolute" from="1950,106" to="3649,106" stroked="true" strokeweight=".47998pt" strokecolor="#000000"/>
            <v:line style="position:absolute" from="3649,106" to="3659,106" stroked="true" strokeweight=".47998pt" strokecolor="#000000"/>
            <v:line style="position:absolute" from="3659,106" to="5354,106" stroked="true" strokeweight=".47998pt" strokecolor="#000000"/>
            <v:line style="position:absolute" from="5354,106" to="5364,106" stroked="true" strokeweight=".47998pt" strokecolor="#000000"/>
            <v:line style="position:absolute" from="5364,106" to="7481,106" stroked="true" strokeweight=".47998pt" strokecolor="#000000"/>
            <v:line style="position:absolute" from="7481,106" to="7491,106" stroked="true" strokeweight=".47998pt" strokecolor="#000000"/>
            <v:line style="position:absolute" from="7491,106" to="9181,106" stroked="true" strokeweight=".47998pt" strokecolor="#000000"/>
            <v:line style="position:absolute" from="9181,106" to="9191,106" stroked="true" strokeweight=".47998pt" strokecolor="#000000"/>
            <v:line style="position:absolute" from="9191,106" to="10742,106" stroked="true" strokeweight=".47998pt" strokecolor="#000000"/>
            <w10:wrap type="none"/>
          </v:group>
        </w:pict>
      </w:r>
      <w:r>
        <w:rPr>
          <w:sz w:val="17"/>
        </w:rPr>
        <w:t>Conocimiento de la población sobre</w:t>
      </w:r>
    </w:p>
    <w:p>
      <w:pPr>
        <w:spacing w:line="244" w:lineRule="auto" w:before="77"/>
        <w:ind w:left="416" w:right="417" w:hanging="9"/>
        <w:jc w:val="center"/>
        <w:rPr>
          <w:b/>
          <w:sz w:val="17"/>
        </w:rPr>
      </w:pPr>
      <w:r>
        <w:rPr/>
        <w:br w:type="column"/>
      </w:r>
      <w:r>
        <w:rPr>
          <w:b/>
          <w:sz w:val="17"/>
        </w:rPr>
        <w:t>riesgo y </w:t>
      </w:r>
      <w:r>
        <w:rPr>
          <w:b/>
          <w:sz w:val="16"/>
        </w:rPr>
        <w:t>tipología de </w:t>
      </w:r>
      <w:r>
        <w:rPr>
          <w:b/>
          <w:sz w:val="17"/>
        </w:rPr>
        <w:t>vivienda</w:t>
      </w:r>
    </w:p>
    <w:p>
      <w:pPr>
        <w:spacing w:before="12"/>
        <w:ind w:left="219" w:right="74" w:firstLine="0"/>
        <w:jc w:val="left"/>
        <w:rPr>
          <w:sz w:val="17"/>
        </w:rPr>
      </w:pPr>
      <w:r>
        <w:rPr>
          <w:sz w:val="17"/>
        </w:rPr>
        <w:t>Como se consideran los</w:t>
      </w:r>
    </w:p>
    <w:p>
      <w:pPr>
        <w:spacing w:after="0"/>
        <w:jc w:val="left"/>
        <w:rPr>
          <w:sz w:val="17"/>
        </w:rPr>
        <w:sectPr>
          <w:type w:val="continuous"/>
          <w:pgSz w:w="12240" w:h="15840"/>
          <w:pgMar w:top="1500" w:bottom="280" w:left="1580" w:right="1380"/>
          <w:cols w:num="4" w:equalWidth="0">
            <w:col w:w="3468" w:space="40"/>
            <w:col w:w="2000" w:space="40"/>
            <w:col w:w="1907" w:space="40"/>
            <w:col w:w="1785"/>
          </w:cols>
        </w:sectPr>
      </w:pPr>
    </w:p>
    <w:p>
      <w:pPr>
        <w:spacing w:before="97"/>
        <w:ind w:left="480" w:right="0" w:firstLine="0"/>
        <w:jc w:val="left"/>
        <w:rPr>
          <w:sz w:val="17"/>
        </w:rPr>
      </w:pPr>
      <w:r>
        <w:rPr>
          <w:w w:val="95"/>
          <w:sz w:val="17"/>
        </w:rPr>
        <w:t>Genero</w:t>
      </w:r>
    </w:p>
    <w:p>
      <w:pPr>
        <w:spacing w:line="192" w:lineRule="exact" w:before="0"/>
        <w:ind w:left="480" w:right="-14" w:firstLine="0"/>
        <w:jc w:val="left"/>
        <w:rPr>
          <w:sz w:val="17"/>
        </w:rPr>
      </w:pPr>
      <w:r>
        <w:rPr/>
        <w:br w:type="column"/>
      </w:r>
      <w:r>
        <w:rPr>
          <w:sz w:val="17"/>
        </w:rPr>
        <w:t>afectados</w:t>
      </w:r>
    </w:p>
    <w:p>
      <w:pPr>
        <w:pStyle w:val="BodyText"/>
        <w:rPr>
          <w:sz w:val="16"/>
        </w:rPr>
      </w:pPr>
    </w:p>
    <w:p>
      <w:pPr>
        <w:pStyle w:val="BodyText"/>
        <w:rPr>
          <w:sz w:val="16"/>
        </w:rPr>
      </w:pPr>
    </w:p>
    <w:p>
      <w:pPr>
        <w:pStyle w:val="BodyText"/>
        <w:spacing w:before="10"/>
        <w:rPr>
          <w:sz w:val="19"/>
        </w:rPr>
      </w:pPr>
    </w:p>
    <w:p>
      <w:pPr>
        <w:spacing w:before="0"/>
        <w:ind w:left="480" w:right="-14" w:firstLine="0"/>
        <w:jc w:val="left"/>
        <w:rPr>
          <w:sz w:val="17"/>
        </w:rPr>
      </w:pPr>
      <w:r>
        <w:rPr/>
        <w:pict>
          <v:group style="position:absolute;margin-left:97.237999pt;margin-top:-.197114pt;width:440.15pt;height:.5pt;mso-position-horizontal-relative:page;mso-position-vertical-relative:paragraph;z-index:-119704" coordorigin="1945,-4" coordsize="8803,10">
            <v:line style="position:absolute" from="1950,1" to="3649,1" stroked="true" strokeweight=".48001pt" strokecolor="#000000"/>
            <v:line style="position:absolute" from="3649,1" to="3659,1" stroked="true" strokeweight=".48001pt" strokecolor="#000000"/>
            <v:line style="position:absolute" from="3659,1" to="5354,1" stroked="true" strokeweight=".48001pt" strokecolor="#000000"/>
            <v:line style="position:absolute" from="5354,1" to="5364,1" stroked="true" strokeweight=".48001pt" strokecolor="#000000"/>
            <v:line style="position:absolute" from="5364,1" to="7481,1" stroked="true" strokeweight=".48001pt" strokecolor="#000000"/>
            <v:line style="position:absolute" from="7481,1" to="7491,1" stroked="true" strokeweight=".48001pt" strokecolor="#000000"/>
            <v:line style="position:absolute" from="7491,1" to="9181,1" stroked="true" strokeweight=".48001pt" strokecolor="#000000"/>
            <v:line style="position:absolute" from="9181,1" to="9191,1" stroked="true" strokeweight=".48001pt" strokecolor="#000000"/>
            <v:line style="position:absolute" from="9191,1" to="10742,1" stroked="true" strokeweight=".48001pt" strokecolor="#000000"/>
            <w10:wrap type="none"/>
          </v:group>
        </w:pict>
      </w:r>
      <w:r>
        <w:rPr>
          <w:sz w:val="17"/>
        </w:rPr>
        <w:t>Tipo de daños</w:t>
      </w:r>
      <w:r>
        <w:rPr>
          <w:spacing w:val="-13"/>
          <w:sz w:val="17"/>
        </w:rPr>
        <w:t> </w:t>
      </w:r>
      <w:r>
        <w:rPr>
          <w:sz w:val="17"/>
        </w:rPr>
        <w:t>en la</w:t>
      </w:r>
      <w:r>
        <w:rPr>
          <w:spacing w:val="-4"/>
          <w:sz w:val="17"/>
        </w:rPr>
        <w:t> </w:t>
      </w:r>
      <w:r>
        <w:rPr>
          <w:sz w:val="17"/>
        </w:rPr>
        <w:t>vivienda</w:t>
      </w:r>
    </w:p>
    <w:p>
      <w:pPr>
        <w:spacing w:before="1"/>
        <w:ind w:left="480" w:right="-14" w:firstLine="0"/>
        <w:jc w:val="left"/>
        <w:rPr>
          <w:sz w:val="17"/>
        </w:rPr>
      </w:pPr>
      <w:r>
        <w:rPr>
          <w:sz w:val="17"/>
        </w:rPr>
        <w:t>-Humedad,</w:t>
      </w:r>
    </w:p>
    <w:p>
      <w:pPr>
        <w:spacing w:line="184" w:lineRule="exact" w:before="10"/>
        <w:ind w:left="480" w:right="-14" w:firstLine="0"/>
        <w:jc w:val="left"/>
        <w:rPr>
          <w:sz w:val="16"/>
        </w:rPr>
      </w:pPr>
      <w:r>
        <w:rPr>
          <w:w w:val="105"/>
          <w:sz w:val="16"/>
        </w:rPr>
        <w:t>-Goteras</w:t>
      </w:r>
    </w:p>
    <w:p>
      <w:pPr>
        <w:spacing w:line="195" w:lineRule="exact" w:before="0"/>
        <w:ind w:left="480" w:right="-14" w:firstLine="0"/>
        <w:jc w:val="left"/>
        <w:rPr>
          <w:sz w:val="17"/>
        </w:rPr>
      </w:pPr>
      <w:r>
        <w:rPr>
          <w:sz w:val="17"/>
        </w:rPr>
        <w:t>-Cuarteaduras</w:t>
      </w:r>
    </w:p>
    <w:p>
      <w:pPr>
        <w:spacing w:line="192" w:lineRule="exact" w:before="0"/>
        <w:ind w:left="358" w:right="-12" w:firstLine="0"/>
        <w:jc w:val="left"/>
        <w:rPr>
          <w:sz w:val="17"/>
        </w:rPr>
      </w:pPr>
      <w:r>
        <w:rPr/>
        <w:br w:type="column"/>
      </w:r>
      <w:r>
        <w:rPr>
          <w:sz w:val="17"/>
        </w:rPr>
        <w:t>percibir</w:t>
      </w:r>
    </w:p>
    <w:p>
      <w:pPr>
        <w:pStyle w:val="BodyText"/>
        <w:rPr>
          <w:sz w:val="16"/>
        </w:rPr>
      </w:pPr>
    </w:p>
    <w:p>
      <w:pPr>
        <w:pStyle w:val="BodyText"/>
        <w:rPr>
          <w:sz w:val="16"/>
        </w:rPr>
      </w:pPr>
    </w:p>
    <w:p>
      <w:pPr>
        <w:pStyle w:val="BodyText"/>
        <w:spacing w:before="10"/>
        <w:rPr>
          <w:sz w:val="19"/>
        </w:rPr>
      </w:pPr>
    </w:p>
    <w:p>
      <w:pPr>
        <w:spacing w:before="0"/>
        <w:ind w:left="358" w:right="-12" w:firstLine="0"/>
        <w:jc w:val="left"/>
        <w:rPr>
          <w:sz w:val="17"/>
        </w:rPr>
      </w:pPr>
      <w:r>
        <w:rPr>
          <w:sz w:val="17"/>
        </w:rPr>
        <w:t>Afectaciones que implicaron gasto económico:</w:t>
      </w:r>
    </w:p>
    <w:p>
      <w:pPr>
        <w:pStyle w:val="BodyText"/>
        <w:spacing w:before="9"/>
        <w:rPr>
          <w:sz w:val="16"/>
        </w:rPr>
      </w:pPr>
    </w:p>
    <w:p>
      <w:pPr>
        <w:spacing w:before="1"/>
        <w:ind w:left="358" w:right="-12" w:firstLine="0"/>
        <w:jc w:val="left"/>
        <w:rPr>
          <w:sz w:val="17"/>
        </w:rPr>
      </w:pPr>
      <w:r>
        <w:rPr>
          <w:sz w:val="17"/>
        </w:rPr>
        <w:t>-La casa sufrió</w:t>
      </w:r>
      <w:r>
        <w:rPr>
          <w:spacing w:val="-15"/>
          <w:sz w:val="17"/>
        </w:rPr>
        <w:t> </w:t>
      </w:r>
      <w:r>
        <w:rPr>
          <w:sz w:val="17"/>
        </w:rPr>
        <w:t>daños</w:t>
      </w:r>
    </w:p>
    <w:p>
      <w:pPr>
        <w:spacing w:line="247" w:lineRule="auto" w:before="0"/>
        <w:ind w:left="469" w:right="0" w:firstLine="0"/>
        <w:jc w:val="left"/>
        <w:rPr>
          <w:sz w:val="16"/>
        </w:rPr>
      </w:pPr>
      <w:r>
        <w:rPr/>
        <w:br w:type="column"/>
      </w:r>
      <w:r>
        <w:rPr>
          <w:sz w:val="17"/>
        </w:rPr>
        <w:t>las instituciones que ayudan en </w:t>
      </w:r>
      <w:r>
        <w:rPr>
          <w:sz w:val="16"/>
        </w:rPr>
        <w:t>caso  de inundación</w:t>
      </w:r>
    </w:p>
    <w:p>
      <w:pPr>
        <w:pStyle w:val="BodyText"/>
        <w:spacing w:before="4"/>
        <w:rPr>
          <w:sz w:val="17"/>
        </w:rPr>
      </w:pPr>
    </w:p>
    <w:p>
      <w:pPr>
        <w:spacing w:before="0"/>
        <w:ind w:left="469" w:right="31" w:firstLine="0"/>
        <w:jc w:val="left"/>
        <w:rPr>
          <w:sz w:val="17"/>
        </w:rPr>
      </w:pPr>
      <w:r>
        <w:rPr>
          <w:sz w:val="17"/>
        </w:rPr>
        <w:t>Tipo de ayuda que prestan las instituciones</w:t>
      </w:r>
    </w:p>
    <w:p>
      <w:pPr>
        <w:tabs>
          <w:tab w:pos="661" w:val="left" w:leader="none"/>
          <w:tab w:pos="1351" w:val="left" w:leader="none"/>
        </w:tabs>
        <w:spacing w:line="247" w:lineRule="auto" w:before="0"/>
        <w:ind w:left="201" w:right="226" w:firstLine="0"/>
        <w:jc w:val="left"/>
        <w:rPr>
          <w:sz w:val="17"/>
        </w:rPr>
      </w:pPr>
      <w:r>
        <w:rPr/>
        <w:br w:type="column"/>
      </w:r>
      <w:r>
        <w:rPr>
          <w:sz w:val="17"/>
        </w:rPr>
        <w:t>habitantes  s/ nivel de </w:t>
      </w:r>
      <w:r>
        <w:rPr>
          <w:sz w:val="16"/>
        </w:rPr>
        <w:t>vulnerabilidad a inundaciones </w:t>
      </w:r>
      <w:r>
        <w:rPr>
          <w:sz w:val="17"/>
        </w:rPr>
        <w:t>Clasificación </w:t>
      </w:r>
      <w:r>
        <w:rPr>
          <w:spacing w:val="-3"/>
          <w:sz w:val="17"/>
        </w:rPr>
        <w:t>las </w:t>
      </w:r>
      <w:r>
        <w:rPr>
          <w:sz w:val="17"/>
        </w:rPr>
        <w:t>viviendas a partir del</w:t>
        <w:tab/>
        <w:t>Índice</w:t>
        <w:tab/>
        <w:t>de</w:t>
      </w:r>
      <w:r>
        <w:rPr>
          <w:w w:val="98"/>
          <w:sz w:val="17"/>
        </w:rPr>
        <w:t> </w:t>
      </w:r>
      <w:r>
        <w:rPr>
          <w:sz w:val="16"/>
        </w:rPr>
        <w:t>vulnerabilidad del </w:t>
      </w:r>
      <w:r>
        <w:rPr>
          <w:sz w:val="17"/>
        </w:rPr>
        <w:t>CENAPRED</w:t>
      </w:r>
    </w:p>
    <w:p>
      <w:pPr>
        <w:spacing w:after="0" w:line="247" w:lineRule="auto"/>
        <w:jc w:val="left"/>
        <w:rPr>
          <w:sz w:val="17"/>
        </w:rPr>
        <w:sectPr>
          <w:type w:val="continuous"/>
          <w:pgSz w:w="12240" w:h="15840"/>
          <w:pgMar w:top="1500" w:bottom="280" w:left="1580" w:right="1380"/>
          <w:cols w:num="5" w:equalWidth="0">
            <w:col w:w="1044" w:space="656"/>
            <w:col w:w="1787" w:space="40"/>
            <w:col w:w="1977" w:space="40"/>
            <w:col w:w="1929" w:space="40"/>
            <w:col w:w="1767"/>
          </w:cols>
        </w:sectPr>
      </w:pPr>
    </w:p>
    <w:tbl>
      <w:tblPr>
        <w:tblW w:w="0" w:type="auto"/>
        <w:jc w:val="left"/>
        <w:tblInd w:w="36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87"/>
        <w:gridCol w:w="1745"/>
        <w:gridCol w:w="2172"/>
        <w:gridCol w:w="1662"/>
        <w:gridCol w:w="1625"/>
      </w:tblGrid>
      <w:tr>
        <w:trPr>
          <w:trHeight w:val="574" w:hRule="exact"/>
        </w:trPr>
        <w:tc>
          <w:tcPr>
            <w:tcW w:w="1587" w:type="dxa"/>
          </w:tcPr>
          <w:p>
            <w:pPr>
              <w:pStyle w:val="TableParagraph"/>
              <w:spacing w:before="10"/>
              <w:rPr>
                <w:sz w:val="15"/>
              </w:rPr>
            </w:pPr>
          </w:p>
          <w:p>
            <w:pPr>
              <w:pStyle w:val="TableParagraph"/>
              <w:spacing w:line="256" w:lineRule="auto"/>
              <w:ind w:left="110" w:right="280"/>
              <w:rPr>
                <w:sz w:val="16"/>
              </w:rPr>
            </w:pPr>
            <w:r>
              <w:rPr>
                <w:w w:val="105"/>
                <w:sz w:val="16"/>
              </w:rPr>
              <w:t>Estructura de la población por</w:t>
            </w:r>
          </w:p>
        </w:tc>
        <w:tc>
          <w:tcPr>
            <w:tcW w:w="1745" w:type="dxa"/>
          </w:tcPr>
          <w:p>
            <w:pPr>
              <w:pStyle w:val="TableParagraph"/>
              <w:spacing w:line="172" w:lineRule="exact"/>
              <w:ind w:left="314"/>
              <w:rPr>
                <w:sz w:val="16"/>
              </w:rPr>
            </w:pPr>
            <w:r>
              <w:rPr>
                <w:sz w:val="17"/>
              </w:rPr>
              <w:t>-Afectacio</w:t>
            </w:r>
            <w:r>
              <w:rPr>
                <w:sz w:val="16"/>
              </w:rPr>
              <w:t>n</w:t>
            </w:r>
            <w:r>
              <w:rPr>
                <w:sz w:val="17"/>
              </w:rPr>
              <w:t>es e</w:t>
            </w:r>
            <w:r>
              <w:rPr>
                <w:sz w:val="16"/>
              </w:rPr>
              <w:t>n</w:t>
            </w:r>
          </w:p>
          <w:p>
            <w:pPr>
              <w:pStyle w:val="TableParagraph"/>
              <w:spacing w:before="10"/>
              <w:ind w:left="314"/>
              <w:rPr>
                <w:sz w:val="16"/>
              </w:rPr>
            </w:pPr>
            <w:r>
              <w:rPr>
                <w:w w:val="105"/>
                <w:sz w:val="16"/>
              </w:rPr>
              <w:t>los techos</w:t>
            </w:r>
          </w:p>
          <w:p>
            <w:pPr>
              <w:pStyle w:val="TableParagraph"/>
              <w:spacing w:before="13"/>
              <w:ind w:left="222"/>
              <w:rPr>
                <w:sz w:val="16"/>
              </w:rPr>
            </w:pPr>
            <w:r>
              <w:rPr>
                <w:w w:val="105"/>
                <w:sz w:val="16"/>
              </w:rPr>
              <w:t>-Afectaciones en</w:t>
            </w:r>
          </w:p>
        </w:tc>
        <w:tc>
          <w:tcPr>
            <w:tcW w:w="2172" w:type="dxa"/>
          </w:tcPr>
          <w:p>
            <w:pPr>
              <w:pStyle w:val="TableParagraph"/>
              <w:spacing w:line="172" w:lineRule="exact"/>
              <w:ind w:left="182"/>
              <w:rPr>
                <w:sz w:val="17"/>
              </w:rPr>
            </w:pPr>
            <w:r>
              <w:rPr>
                <w:sz w:val="17"/>
              </w:rPr>
              <w:t>-Su auto se averió</w:t>
            </w:r>
          </w:p>
          <w:p>
            <w:pPr>
              <w:pStyle w:val="TableParagraph"/>
              <w:spacing w:before="10"/>
              <w:ind w:left="182"/>
              <w:rPr>
                <w:sz w:val="16"/>
              </w:rPr>
            </w:pPr>
            <w:r>
              <w:rPr>
                <w:w w:val="105"/>
                <w:sz w:val="16"/>
              </w:rPr>
              <w:t>-Cerraron su negocio</w:t>
            </w:r>
          </w:p>
          <w:p>
            <w:pPr>
              <w:pStyle w:val="TableParagraph"/>
              <w:spacing w:before="13"/>
              <w:ind w:left="167"/>
              <w:rPr>
                <w:sz w:val="16"/>
              </w:rPr>
            </w:pPr>
            <w:r>
              <w:rPr>
                <w:w w:val="105"/>
                <w:sz w:val="16"/>
              </w:rPr>
              <w:t>-Dejaron de percibir</w:t>
            </w:r>
          </w:p>
        </w:tc>
        <w:tc>
          <w:tcPr>
            <w:tcW w:w="3288" w:type="dxa"/>
            <w:gridSpan w:val="2"/>
            <w:vMerge w:val="restart"/>
          </w:tcPr>
          <w:p>
            <w:pPr/>
          </w:p>
        </w:tc>
      </w:tr>
      <w:tr>
        <w:trPr>
          <w:trHeight w:val="194" w:hRule="exact"/>
        </w:trPr>
        <w:tc>
          <w:tcPr>
            <w:tcW w:w="1587" w:type="dxa"/>
          </w:tcPr>
          <w:p>
            <w:pPr>
              <w:pStyle w:val="TableParagraph"/>
              <w:spacing w:line="182" w:lineRule="exact"/>
              <w:ind w:left="110" w:right="280"/>
              <w:rPr>
                <w:sz w:val="16"/>
              </w:rPr>
            </w:pPr>
            <w:r>
              <w:rPr>
                <w:w w:val="105"/>
                <w:sz w:val="16"/>
              </w:rPr>
              <w:t>edades</w:t>
            </w:r>
          </w:p>
        </w:tc>
        <w:tc>
          <w:tcPr>
            <w:tcW w:w="1745" w:type="dxa"/>
          </w:tcPr>
          <w:p>
            <w:pPr>
              <w:pStyle w:val="TableParagraph"/>
              <w:spacing w:line="182" w:lineRule="exact"/>
              <w:ind w:left="314"/>
              <w:rPr>
                <w:sz w:val="16"/>
              </w:rPr>
            </w:pPr>
            <w:r>
              <w:rPr>
                <w:w w:val="105"/>
                <w:sz w:val="16"/>
              </w:rPr>
              <w:t>los pisos</w:t>
            </w:r>
          </w:p>
        </w:tc>
        <w:tc>
          <w:tcPr>
            <w:tcW w:w="2172" w:type="dxa"/>
          </w:tcPr>
          <w:p>
            <w:pPr>
              <w:pStyle w:val="TableParagraph"/>
              <w:spacing w:line="182" w:lineRule="exact"/>
              <w:ind w:left="263"/>
              <w:rPr>
                <w:sz w:val="16"/>
              </w:rPr>
            </w:pPr>
            <w:r>
              <w:rPr>
                <w:w w:val="105"/>
                <w:sz w:val="16"/>
              </w:rPr>
              <w:t>salario por faltar al</w:t>
            </w:r>
          </w:p>
        </w:tc>
        <w:tc>
          <w:tcPr>
            <w:tcW w:w="3288" w:type="dxa"/>
            <w:gridSpan w:val="2"/>
            <w:vMerge/>
          </w:tcPr>
          <w:p>
            <w:pPr/>
          </w:p>
        </w:tc>
      </w:tr>
      <w:tr>
        <w:trPr>
          <w:trHeight w:val="197" w:hRule="exact"/>
        </w:trPr>
        <w:tc>
          <w:tcPr>
            <w:tcW w:w="1587" w:type="dxa"/>
          </w:tcPr>
          <w:p>
            <w:pPr/>
          </w:p>
        </w:tc>
        <w:tc>
          <w:tcPr>
            <w:tcW w:w="1745" w:type="dxa"/>
          </w:tcPr>
          <w:p>
            <w:pPr>
              <w:pStyle w:val="TableParagraph"/>
              <w:ind w:left="222"/>
              <w:rPr>
                <w:sz w:val="16"/>
              </w:rPr>
            </w:pPr>
            <w:r>
              <w:rPr>
                <w:w w:val="105"/>
                <w:sz w:val="16"/>
              </w:rPr>
              <w:t>-Hundimientos</w:t>
            </w:r>
          </w:p>
        </w:tc>
        <w:tc>
          <w:tcPr>
            <w:tcW w:w="2172" w:type="dxa"/>
          </w:tcPr>
          <w:p>
            <w:pPr>
              <w:pStyle w:val="TableParagraph"/>
              <w:ind w:left="263"/>
              <w:rPr>
                <w:sz w:val="16"/>
              </w:rPr>
            </w:pPr>
            <w:r>
              <w:rPr>
                <w:w w:val="105"/>
                <w:sz w:val="16"/>
              </w:rPr>
              <w:t>trabajo.</w:t>
            </w:r>
          </w:p>
        </w:tc>
        <w:tc>
          <w:tcPr>
            <w:tcW w:w="3288" w:type="dxa"/>
            <w:gridSpan w:val="2"/>
            <w:vMerge/>
          </w:tcPr>
          <w:p>
            <w:pPr/>
          </w:p>
        </w:tc>
      </w:tr>
      <w:tr>
        <w:trPr>
          <w:trHeight w:val="389" w:hRule="exact"/>
        </w:trPr>
        <w:tc>
          <w:tcPr>
            <w:tcW w:w="1587" w:type="dxa"/>
          </w:tcPr>
          <w:p>
            <w:pPr/>
          </w:p>
        </w:tc>
        <w:tc>
          <w:tcPr>
            <w:tcW w:w="1745" w:type="dxa"/>
          </w:tcPr>
          <w:p>
            <w:pPr>
              <w:pStyle w:val="TableParagraph"/>
              <w:spacing w:line="247" w:lineRule="auto"/>
              <w:ind w:left="342" w:hanging="120"/>
              <w:rPr>
                <w:sz w:val="16"/>
              </w:rPr>
            </w:pPr>
            <w:r>
              <w:rPr>
                <w:sz w:val="17"/>
              </w:rPr>
              <w:t>-Afectación al </w:t>
            </w:r>
            <w:r>
              <w:rPr>
                <w:sz w:val="16"/>
              </w:rPr>
              <w:t>mobiliario</w:t>
            </w:r>
          </w:p>
        </w:tc>
        <w:tc>
          <w:tcPr>
            <w:tcW w:w="2172" w:type="dxa"/>
          </w:tcPr>
          <w:p>
            <w:pPr>
              <w:pStyle w:val="TableParagraph"/>
              <w:spacing w:line="247" w:lineRule="auto"/>
              <w:ind w:left="278" w:hanging="97"/>
              <w:rPr>
                <w:sz w:val="16"/>
              </w:rPr>
            </w:pPr>
            <w:r>
              <w:rPr>
                <w:sz w:val="17"/>
              </w:rPr>
              <w:t>-No pudieron vender sus </w:t>
            </w:r>
            <w:r>
              <w:rPr>
                <w:sz w:val="16"/>
              </w:rPr>
              <w:t>productos</w:t>
            </w:r>
          </w:p>
        </w:tc>
        <w:tc>
          <w:tcPr>
            <w:tcW w:w="3288" w:type="dxa"/>
            <w:gridSpan w:val="2"/>
            <w:vMerge/>
          </w:tcPr>
          <w:p>
            <w:pPr/>
          </w:p>
        </w:tc>
      </w:tr>
      <w:tr>
        <w:trPr>
          <w:trHeight w:val="197" w:hRule="exact"/>
        </w:trPr>
        <w:tc>
          <w:tcPr>
            <w:tcW w:w="1587" w:type="dxa"/>
          </w:tcPr>
          <w:p>
            <w:pPr/>
          </w:p>
        </w:tc>
        <w:tc>
          <w:tcPr>
            <w:tcW w:w="1745" w:type="dxa"/>
          </w:tcPr>
          <w:p>
            <w:pPr>
              <w:pStyle w:val="TableParagraph"/>
              <w:ind w:left="222"/>
              <w:rPr>
                <w:sz w:val="16"/>
              </w:rPr>
            </w:pPr>
            <w:r>
              <w:rPr>
                <w:w w:val="105"/>
                <w:sz w:val="16"/>
              </w:rPr>
              <w:t>-Derrumbe de</w:t>
            </w:r>
          </w:p>
        </w:tc>
        <w:tc>
          <w:tcPr>
            <w:tcW w:w="2172" w:type="dxa"/>
          </w:tcPr>
          <w:p>
            <w:pPr>
              <w:pStyle w:val="TableParagraph"/>
              <w:ind w:left="182"/>
              <w:rPr>
                <w:sz w:val="16"/>
              </w:rPr>
            </w:pPr>
            <w:r>
              <w:rPr>
                <w:w w:val="105"/>
                <w:sz w:val="16"/>
              </w:rPr>
              <w:t>-Tuvieron problemas de</w:t>
            </w:r>
          </w:p>
        </w:tc>
        <w:tc>
          <w:tcPr>
            <w:tcW w:w="3288" w:type="dxa"/>
            <w:gridSpan w:val="2"/>
            <w:vMerge/>
          </w:tcPr>
          <w:p>
            <w:pPr/>
          </w:p>
        </w:tc>
      </w:tr>
      <w:tr>
        <w:trPr>
          <w:trHeight w:val="197" w:hRule="exact"/>
        </w:trPr>
        <w:tc>
          <w:tcPr>
            <w:tcW w:w="1587" w:type="dxa"/>
          </w:tcPr>
          <w:p>
            <w:pPr/>
          </w:p>
        </w:tc>
        <w:tc>
          <w:tcPr>
            <w:tcW w:w="1745" w:type="dxa"/>
          </w:tcPr>
          <w:p>
            <w:pPr>
              <w:pStyle w:val="TableParagraph"/>
              <w:ind w:left="342"/>
              <w:rPr>
                <w:sz w:val="16"/>
              </w:rPr>
            </w:pPr>
            <w:r>
              <w:rPr>
                <w:w w:val="105"/>
                <w:sz w:val="16"/>
              </w:rPr>
              <w:t>muros</w:t>
            </w:r>
          </w:p>
        </w:tc>
        <w:tc>
          <w:tcPr>
            <w:tcW w:w="2172" w:type="dxa"/>
          </w:tcPr>
          <w:p>
            <w:pPr>
              <w:pStyle w:val="TableParagraph"/>
              <w:ind w:left="182"/>
              <w:rPr>
                <w:sz w:val="16"/>
              </w:rPr>
            </w:pPr>
            <w:r>
              <w:rPr>
                <w:w w:val="105"/>
                <w:sz w:val="16"/>
              </w:rPr>
              <w:t>salud.</w:t>
            </w:r>
          </w:p>
        </w:tc>
        <w:tc>
          <w:tcPr>
            <w:tcW w:w="3288" w:type="dxa"/>
            <w:gridSpan w:val="2"/>
            <w:vMerge/>
          </w:tcPr>
          <w:p>
            <w:pPr/>
          </w:p>
        </w:tc>
      </w:tr>
      <w:tr>
        <w:trPr>
          <w:trHeight w:val="194" w:hRule="exact"/>
        </w:trPr>
        <w:tc>
          <w:tcPr>
            <w:tcW w:w="1587" w:type="dxa"/>
            <w:tcBorders>
              <w:bottom w:val="single" w:sz="4" w:space="0" w:color="000000"/>
            </w:tcBorders>
          </w:tcPr>
          <w:p>
            <w:pPr/>
          </w:p>
        </w:tc>
        <w:tc>
          <w:tcPr>
            <w:tcW w:w="1745" w:type="dxa"/>
            <w:tcBorders>
              <w:bottom w:val="single" w:sz="4" w:space="0" w:color="000000"/>
            </w:tcBorders>
          </w:tcPr>
          <w:p>
            <w:pPr>
              <w:pStyle w:val="TableParagraph"/>
              <w:spacing w:line="187" w:lineRule="exact"/>
              <w:ind w:left="222"/>
              <w:rPr>
                <w:sz w:val="17"/>
              </w:rPr>
            </w:pPr>
            <w:r>
              <w:rPr>
                <w:sz w:val="17"/>
              </w:rPr>
              <w:t>-Pérdida total</w:t>
            </w:r>
          </w:p>
        </w:tc>
        <w:tc>
          <w:tcPr>
            <w:tcW w:w="2172" w:type="dxa"/>
            <w:tcBorders>
              <w:bottom w:val="single" w:sz="4" w:space="0" w:color="000000"/>
            </w:tcBorders>
          </w:tcPr>
          <w:p>
            <w:pPr/>
          </w:p>
        </w:tc>
        <w:tc>
          <w:tcPr>
            <w:tcW w:w="3288" w:type="dxa"/>
            <w:gridSpan w:val="2"/>
            <w:vMerge/>
            <w:tcBorders>
              <w:bottom w:val="single" w:sz="4" w:space="0" w:color="000000"/>
            </w:tcBorders>
          </w:tcPr>
          <w:p>
            <w:pPr/>
          </w:p>
        </w:tc>
      </w:tr>
      <w:tr>
        <w:trPr>
          <w:trHeight w:val="205" w:hRule="exact"/>
        </w:trPr>
        <w:tc>
          <w:tcPr>
            <w:tcW w:w="1587" w:type="dxa"/>
            <w:tcBorders>
              <w:top w:val="single" w:sz="4" w:space="0" w:color="000000"/>
            </w:tcBorders>
          </w:tcPr>
          <w:p>
            <w:pPr/>
          </w:p>
        </w:tc>
        <w:tc>
          <w:tcPr>
            <w:tcW w:w="1745" w:type="dxa"/>
            <w:tcBorders>
              <w:top w:val="single" w:sz="4" w:space="0" w:color="000000"/>
            </w:tcBorders>
          </w:tcPr>
          <w:p>
            <w:pPr>
              <w:pStyle w:val="TableParagraph"/>
              <w:spacing w:before="3"/>
              <w:ind w:left="222"/>
              <w:rPr>
                <w:sz w:val="16"/>
              </w:rPr>
            </w:pPr>
            <w:r>
              <w:rPr>
                <w:w w:val="105"/>
                <w:sz w:val="16"/>
              </w:rPr>
              <w:t>Fechas de</w:t>
            </w:r>
          </w:p>
        </w:tc>
        <w:tc>
          <w:tcPr>
            <w:tcW w:w="2172" w:type="dxa"/>
            <w:tcBorders>
              <w:top w:val="single" w:sz="4" w:space="0" w:color="000000"/>
            </w:tcBorders>
          </w:tcPr>
          <w:p>
            <w:pPr/>
          </w:p>
        </w:tc>
        <w:tc>
          <w:tcPr>
            <w:tcW w:w="1662" w:type="dxa"/>
            <w:tcBorders>
              <w:top w:val="single" w:sz="4" w:space="0" w:color="000000"/>
            </w:tcBorders>
          </w:tcPr>
          <w:p>
            <w:pPr>
              <w:pStyle w:val="TableParagraph"/>
              <w:spacing w:before="3"/>
              <w:ind w:left="137"/>
              <w:rPr>
                <w:sz w:val="16"/>
              </w:rPr>
            </w:pPr>
            <w:r>
              <w:rPr>
                <w:w w:val="105"/>
                <w:sz w:val="16"/>
              </w:rPr>
              <w:t>Campañas de</w:t>
            </w:r>
          </w:p>
        </w:tc>
        <w:tc>
          <w:tcPr>
            <w:tcW w:w="1625" w:type="dxa"/>
            <w:tcBorders>
              <w:top w:val="single" w:sz="4" w:space="0" w:color="000000"/>
            </w:tcBorders>
          </w:tcPr>
          <w:p>
            <w:pPr>
              <w:pStyle w:val="TableParagraph"/>
              <w:spacing w:before="3"/>
              <w:ind w:left="175"/>
              <w:rPr>
                <w:sz w:val="16"/>
              </w:rPr>
            </w:pPr>
            <w:r>
              <w:rPr>
                <w:w w:val="105"/>
                <w:sz w:val="16"/>
              </w:rPr>
              <w:t>Disposición de la</w:t>
            </w:r>
          </w:p>
        </w:tc>
      </w:tr>
      <w:tr>
        <w:trPr>
          <w:trHeight w:val="197" w:hRule="exact"/>
        </w:trPr>
        <w:tc>
          <w:tcPr>
            <w:tcW w:w="1587" w:type="dxa"/>
          </w:tcPr>
          <w:p>
            <w:pPr>
              <w:pStyle w:val="TableParagraph"/>
              <w:spacing w:line="187" w:lineRule="exact"/>
              <w:ind w:left="110" w:right="280"/>
              <w:rPr>
                <w:sz w:val="17"/>
              </w:rPr>
            </w:pPr>
            <w:r>
              <w:rPr>
                <w:sz w:val="17"/>
              </w:rPr>
              <w:t>Número de</w:t>
            </w:r>
          </w:p>
        </w:tc>
        <w:tc>
          <w:tcPr>
            <w:tcW w:w="1745" w:type="dxa"/>
          </w:tcPr>
          <w:p>
            <w:pPr>
              <w:pStyle w:val="TableParagraph"/>
              <w:spacing w:line="187" w:lineRule="exact"/>
              <w:ind w:left="222"/>
              <w:rPr>
                <w:sz w:val="17"/>
              </w:rPr>
            </w:pPr>
            <w:r>
              <w:rPr>
                <w:sz w:val="17"/>
              </w:rPr>
              <w:t>inundación</w:t>
            </w:r>
          </w:p>
        </w:tc>
        <w:tc>
          <w:tcPr>
            <w:tcW w:w="2172" w:type="dxa"/>
          </w:tcPr>
          <w:p>
            <w:pPr/>
          </w:p>
        </w:tc>
        <w:tc>
          <w:tcPr>
            <w:tcW w:w="1662" w:type="dxa"/>
          </w:tcPr>
          <w:p>
            <w:pPr>
              <w:pStyle w:val="TableParagraph"/>
              <w:spacing w:line="187" w:lineRule="exact"/>
              <w:ind w:left="137"/>
              <w:rPr>
                <w:sz w:val="17"/>
              </w:rPr>
            </w:pPr>
            <w:r>
              <w:rPr>
                <w:sz w:val="17"/>
              </w:rPr>
              <w:t>información, años</w:t>
            </w:r>
          </w:p>
        </w:tc>
        <w:tc>
          <w:tcPr>
            <w:tcW w:w="1625" w:type="dxa"/>
          </w:tcPr>
          <w:p>
            <w:pPr>
              <w:pStyle w:val="TableParagraph"/>
              <w:spacing w:line="187" w:lineRule="exact"/>
              <w:ind w:left="175"/>
              <w:rPr>
                <w:sz w:val="17"/>
              </w:rPr>
            </w:pPr>
            <w:r>
              <w:rPr>
                <w:sz w:val="17"/>
              </w:rPr>
              <w:t>gente a cambiar</w:t>
            </w:r>
          </w:p>
        </w:tc>
      </w:tr>
      <w:tr>
        <w:trPr>
          <w:trHeight w:val="197" w:hRule="exact"/>
        </w:trPr>
        <w:tc>
          <w:tcPr>
            <w:tcW w:w="1587" w:type="dxa"/>
          </w:tcPr>
          <w:p>
            <w:pPr>
              <w:pStyle w:val="TableParagraph"/>
              <w:spacing w:line="187" w:lineRule="exact"/>
              <w:ind w:left="110"/>
              <w:rPr>
                <w:sz w:val="17"/>
              </w:rPr>
            </w:pPr>
            <w:r>
              <w:rPr>
                <w:sz w:val="17"/>
              </w:rPr>
              <w:t>integrantes en la</w:t>
            </w:r>
          </w:p>
        </w:tc>
        <w:tc>
          <w:tcPr>
            <w:tcW w:w="1745" w:type="dxa"/>
          </w:tcPr>
          <w:p>
            <w:pPr/>
          </w:p>
        </w:tc>
        <w:tc>
          <w:tcPr>
            <w:tcW w:w="2172" w:type="dxa"/>
          </w:tcPr>
          <w:p>
            <w:pPr/>
          </w:p>
        </w:tc>
        <w:tc>
          <w:tcPr>
            <w:tcW w:w="1662" w:type="dxa"/>
          </w:tcPr>
          <w:p>
            <w:pPr>
              <w:pStyle w:val="TableParagraph"/>
              <w:spacing w:line="187" w:lineRule="exact"/>
              <w:ind w:left="137"/>
              <w:rPr>
                <w:sz w:val="17"/>
              </w:rPr>
            </w:pPr>
            <w:r>
              <w:rPr>
                <w:sz w:val="17"/>
              </w:rPr>
              <w:t>en las que se</w:t>
            </w:r>
          </w:p>
        </w:tc>
        <w:tc>
          <w:tcPr>
            <w:tcW w:w="1625" w:type="dxa"/>
          </w:tcPr>
          <w:p>
            <w:pPr>
              <w:pStyle w:val="TableParagraph"/>
              <w:spacing w:line="187" w:lineRule="exact"/>
              <w:ind w:left="175"/>
              <w:rPr>
                <w:sz w:val="17"/>
              </w:rPr>
            </w:pPr>
            <w:r>
              <w:rPr>
                <w:sz w:val="17"/>
              </w:rPr>
              <w:t>su lugar de</w:t>
            </w:r>
          </w:p>
        </w:tc>
      </w:tr>
      <w:tr>
        <w:trPr>
          <w:trHeight w:val="391" w:hRule="exact"/>
        </w:trPr>
        <w:tc>
          <w:tcPr>
            <w:tcW w:w="1587" w:type="dxa"/>
            <w:tcBorders>
              <w:bottom w:val="single" w:sz="4" w:space="0" w:color="000000"/>
            </w:tcBorders>
          </w:tcPr>
          <w:p>
            <w:pPr>
              <w:pStyle w:val="TableParagraph"/>
              <w:ind w:left="110" w:right="280"/>
              <w:rPr>
                <w:sz w:val="16"/>
              </w:rPr>
            </w:pPr>
            <w:r>
              <w:rPr>
                <w:w w:val="105"/>
                <w:sz w:val="16"/>
              </w:rPr>
              <w:t>familia</w:t>
            </w:r>
          </w:p>
        </w:tc>
        <w:tc>
          <w:tcPr>
            <w:tcW w:w="1745" w:type="dxa"/>
            <w:tcBorders>
              <w:bottom w:val="single" w:sz="4" w:space="0" w:color="000000"/>
            </w:tcBorders>
          </w:tcPr>
          <w:p>
            <w:pPr/>
          </w:p>
        </w:tc>
        <w:tc>
          <w:tcPr>
            <w:tcW w:w="2172" w:type="dxa"/>
            <w:tcBorders>
              <w:bottom w:val="single" w:sz="4" w:space="0" w:color="000000"/>
            </w:tcBorders>
          </w:tcPr>
          <w:p>
            <w:pPr/>
          </w:p>
        </w:tc>
        <w:tc>
          <w:tcPr>
            <w:tcW w:w="1662" w:type="dxa"/>
            <w:tcBorders>
              <w:bottom w:val="single" w:sz="4" w:space="0" w:color="000000"/>
            </w:tcBorders>
          </w:tcPr>
          <w:p>
            <w:pPr>
              <w:pStyle w:val="TableParagraph"/>
              <w:ind w:left="137"/>
              <w:rPr>
                <w:sz w:val="17"/>
              </w:rPr>
            </w:pPr>
            <w:r>
              <w:rPr>
                <w:sz w:val="16"/>
              </w:rPr>
              <w:t>realizó y quien las </w:t>
            </w:r>
            <w:r>
              <w:rPr>
                <w:sz w:val="17"/>
              </w:rPr>
              <w:t>proporciono</w:t>
            </w:r>
          </w:p>
        </w:tc>
        <w:tc>
          <w:tcPr>
            <w:tcW w:w="1625" w:type="dxa"/>
            <w:tcBorders>
              <w:bottom w:val="single" w:sz="4" w:space="0" w:color="000000"/>
            </w:tcBorders>
          </w:tcPr>
          <w:p>
            <w:pPr>
              <w:pStyle w:val="TableParagraph"/>
              <w:ind w:left="175"/>
              <w:rPr>
                <w:sz w:val="16"/>
              </w:rPr>
            </w:pPr>
            <w:r>
              <w:rPr>
                <w:w w:val="105"/>
                <w:sz w:val="16"/>
              </w:rPr>
              <w:t>residencia</w:t>
            </w:r>
          </w:p>
        </w:tc>
      </w:tr>
      <w:tr>
        <w:trPr>
          <w:trHeight w:val="206" w:hRule="exact"/>
        </w:trPr>
        <w:tc>
          <w:tcPr>
            <w:tcW w:w="1587" w:type="dxa"/>
            <w:tcBorders>
              <w:top w:val="single" w:sz="4" w:space="0" w:color="000000"/>
              <w:bottom w:val="single" w:sz="4" w:space="0" w:color="000000"/>
            </w:tcBorders>
          </w:tcPr>
          <w:p>
            <w:pPr>
              <w:pStyle w:val="TableParagraph"/>
              <w:spacing w:before="3"/>
              <w:ind w:left="110" w:right="280"/>
              <w:rPr>
                <w:sz w:val="16"/>
              </w:rPr>
            </w:pPr>
            <w:r>
              <w:rPr>
                <w:w w:val="105"/>
                <w:sz w:val="16"/>
              </w:rPr>
              <w:t>Nivel educativo</w:t>
            </w:r>
          </w:p>
        </w:tc>
        <w:tc>
          <w:tcPr>
            <w:tcW w:w="1745" w:type="dxa"/>
            <w:tcBorders>
              <w:top w:val="single" w:sz="4" w:space="0" w:color="000000"/>
              <w:bottom w:val="single" w:sz="4" w:space="0" w:color="000000"/>
            </w:tcBorders>
          </w:tcPr>
          <w:p>
            <w:pPr>
              <w:pStyle w:val="TableParagraph"/>
              <w:spacing w:before="3"/>
              <w:ind w:left="222"/>
              <w:rPr>
                <w:sz w:val="16"/>
              </w:rPr>
            </w:pPr>
            <w:r>
              <w:rPr>
                <w:w w:val="105"/>
                <w:sz w:val="16"/>
              </w:rPr>
              <w:t>Tipo de vivienda</w:t>
            </w:r>
          </w:p>
        </w:tc>
        <w:tc>
          <w:tcPr>
            <w:tcW w:w="2172" w:type="dxa"/>
            <w:tcBorders>
              <w:top w:val="single" w:sz="4" w:space="0" w:color="000000"/>
              <w:bottom w:val="single" w:sz="4" w:space="0" w:color="000000"/>
            </w:tcBorders>
          </w:tcPr>
          <w:p>
            <w:pPr/>
          </w:p>
        </w:tc>
        <w:tc>
          <w:tcPr>
            <w:tcW w:w="1662" w:type="dxa"/>
            <w:tcBorders>
              <w:top w:val="single" w:sz="4" w:space="0" w:color="000000"/>
              <w:bottom w:val="single" w:sz="4" w:space="0" w:color="000000"/>
            </w:tcBorders>
          </w:tcPr>
          <w:p>
            <w:pPr/>
          </w:p>
        </w:tc>
        <w:tc>
          <w:tcPr>
            <w:tcW w:w="1625" w:type="dxa"/>
            <w:tcBorders>
              <w:top w:val="single" w:sz="4" w:space="0" w:color="000000"/>
              <w:bottom w:val="single" w:sz="4" w:space="0" w:color="000000"/>
            </w:tcBorders>
          </w:tcPr>
          <w:p>
            <w:pPr/>
          </w:p>
        </w:tc>
      </w:tr>
    </w:tbl>
    <w:p>
      <w:pPr>
        <w:spacing w:before="8"/>
        <w:ind w:left="480" w:right="0" w:firstLine="0"/>
        <w:jc w:val="left"/>
        <w:rPr>
          <w:sz w:val="17"/>
        </w:rPr>
      </w:pPr>
      <w:r>
        <w:rPr>
          <w:sz w:val="17"/>
        </w:rPr>
        <w:t>Tiempo de residir</w:t>
      </w:r>
    </w:p>
    <w:p>
      <w:pPr>
        <w:tabs>
          <w:tab w:pos="9161" w:val="left" w:leader="none"/>
        </w:tabs>
        <w:spacing w:before="10"/>
        <w:ind w:left="355" w:right="0" w:firstLine="0"/>
        <w:jc w:val="left"/>
        <w:rPr>
          <w:sz w:val="16"/>
        </w:rPr>
      </w:pPr>
      <w:r>
        <w:rPr>
          <w:w w:val="105"/>
          <w:sz w:val="16"/>
          <w:u w:val="single"/>
        </w:rPr>
        <w:t> </w:t>
      </w:r>
      <w:r>
        <w:rPr>
          <w:sz w:val="16"/>
          <w:u w:val="single"/>
        </w:rPr>
        <w:t> </w:t>
      </w:r>
      <w:r>
        <w:rPr>
          <w:spacing w:val="-11"/>
          <w:sz w:val="16"/>
          <w:u w:val="single"/>
        </w:rPr>
        <w:t> </w:t>
      </w:r>
      <w:r>
        <w:rPr>
          <w:w w:val="105"/>
          <w:sz w:val="16"/>
          <w:u w:val="single"/>
        </w:rPr>
        <w:t>en el</w:t>
      </w:r>
      <w:r>
        <w:rPr>
          <w:spacing w:val="7"/>
          <w:w w:val="105"/>
          <w:sz w:val="16"/>
          <w:u w:val="single"/>
        </w:rPr>
        <w:t> </w:t>
      </w:r>
      <w:r>
        <w:rPr>
          <w:w w:val="105"/>
          <w:sz w:val="16"/>
          <w:u w:val="single"/>
        </w:rPr>
        <w:t>municipio</w:t>
      </w:r>
      <w:r>
        <w:rPr>
          <w:sz w:val="16"/>
          <w:u w:val="single"/>
        </w:rPr>
        <w:tab/>
      </w:r>
    </w:p>
    <w:p>
      <w:pPr>
        <w:pStyle w:val="BodyText"/>
        <w:spacing w:before="3"/>
        <w:rPr>
          <w:sz w:val="21"/>
        </w:rPr>
      </w:pPr>
    </w:p>
    <w:p>
      <w:pPr>
        <w:spacing w:before="76"/>
        <w:ind w:left="119" w:right="0" w:firstLine="0"/>
        <w:jc w:val="left"/>
        <w:rPr>
          <w:sz w:val="20"/>
        </w:rPr>
      </w:pPr>
      <w:r>
        <w:rPr>
          <w:sz w:val="20"/>
        </w:rPr>
        <w:t>Fuente: Mendoza Baruch, sobre la  base de encuestas, 2013.</w:t>
      </w:r>
    </w:p>
    <w:p>
      <w:pPr>
        <w:spacing w:after="0"/>
        <w:jc w:val="left"/>
        <w:rPr>
          <w:sz w:val="20"/>
        </w:rPr>
        <w:sectPr>
          <w:type w:val="continuous"/>
          <w:pgSz w:w="12240" w:h="15840"/>
          <w:pgMar w:top="1500" w:bottom="280" w:left="1580" w:right="1380"/>
        </w:sectPr>
      </w:pPr>
    </w:p>
    <w:p>
      <w:pPr>
        <w:pStyle w:val="BodyText"/>
        <w:spacing w:line="360" w:lineRule="auto" w:before="52"/>
        <w:ind w:left="119" w:right="120"/>
        <w:jc w:val="both"/>
      </w:pPr>
      <w:r>
        <w:rPr/>
        <w:t>El universo de la muestra se conformó por 100 viviendas habitadas en la zona de estudio (INEGI, 2010). En total se aplicaron 111 cuestionarios que representan el 1.5% de las viviendas habitadas en las localidades de San Pedro Tultepec, Lerma, La</w:t>
      </w:r>
      <w:r>
        <w:rPr>
          <w:spacing w:val="-17"/>
        </w:rPr>
        <w:t> </w:t>
      </w:r>
      <w:r>
        <w:rPr/>
        <w:t>Ciénega,</w:t>
      </w:r>
      <w:r>
        <w:rPr>
          <w:spacing w:val="-17"/>
        </w:rPr>
        <w:t> </w:t>
      </w:r>
      <w:r>
        <w:rPr/>
        <w:t>Isidro</w:t>
      </w:r>
      <w:r>
        <w:rPr>
          <w:spacing w:val="-17"/>
        </w:rPr>
        <w:t> </w:t>
      </w:r>
      <w:r>
        <w:rPr/>
        <w:t>Fabela</w:t>
      </w:r>
      <w:r>
        <w:rPr>
          <w:spacing w:val="-17"/>
        </w:rPr>
        <w:t> </w:t>
      </w:r>
      <w:r>
        <w:rPr/>
        <w:t>y</w:t>
      </w:r>
      <w:r>
        <w:rPr>
          <w:spacing w:val="-22"/>
        </w:rPr>
        <w:t> </w:t>
      </w:r>
      <w:r>
        <w:rPr/>
        <w:t>la</w:t>
      </w:r>
      <w:r>
        <w:rPr>
          <w:spacing w:val="-21"/>
        </w:rPr>
        <w:t> </w:t>
      </w:r>
      <w:r>
        <w:rPr/>
        <w:t>Bomba.</w:t>
      </w:r>
      <w:r>
        <w:rPr>
          <w:spacing w:val="-17"/>
        </w:rPr>
        <w:t> </w:t>
      </w:r>
      <w:r>
        <w:rPr/>
        <w:t>Estas</w:t>
      </w:r>
      <w:r>
        <w:rPr>
          <w:spacing w:val="-17"/>
        </w:rPr>
        <w:t> </w:t>
      </w:r>
      <w:r>
        <w:rPr/>
        <w:t>localidades</w:t>
      </w:r>
      <w:r>
        <w:rPr>
          <w:spacing w:val="-17"/>
        </w:rPr>
        <w:t> </w:t>
      </w:r>
      <w:r>
        <w:rPr/>
        <w:t>se</w:t>
      </w:r>
      <w:r>
        <w:rPr>
          <w:spacing w:val="-21"/>
        </w:rPr>
        <w:t> </w:t>
      </w:r>
      <w:r>
        <w:rPr/>
        <w:t>eligieron</w:t>
      </w:r>
      <w:r>
        <w:rPr>
          <w:spacing w:val="-21"/>
        </w:rPr>
        <w:t> </w:t>
      </w:r>
      <w:r>
        <w:rPr/>
        <w:t>como</w:t>
      </w:r>
      <w:r>
        <w:rPr>
          <w:spacing w:val="-17"/>
        </w:rPr>
        <w:t> </w:t>
      </w:r>
      <w:r>
        <w:rPr/>
        <w:t>resultado de la identificación de las zonas de riesgos por inundaciones en la</w:t>
      </w:r>
      <w:r>
        <w:rPr>
          <w:spacing w:val="-31"/>
        </w:rPr>
        <w:t> </w:t>
      </w:r>
      <w:r>
        <w:rPr/>
        <w:t>ZMT.</w:t>
      </w:r>
    </w:p>
    <w:p>
      <w:pPr>
        <w:pStyle w:val="BodyText"/>
        <w:spacing w:line="360" w:lineRule="auto" w:before="7"/>
        <w:ind w:left="119" w:right="122"/>
        <w:jc w:val="both"/>
      </w:pPr>
      <w:r>
        <w:rPr/>
        <w:t>La zona de muestreo se dividió en cuatro cuadrantes, donde se entrevistaron a personas mayores a 15 años, aquellas que tienen la capacidad de percibir la problemática en estudio. Las entrevistas se aplicaron una vez por semana en los meses de agosto y septiembre de 2013y se combinan preguntas abiertas y cerradas.</w:t>
      </w:r>
    </w:p>
    <w:p>
      <w:pPr>
        <w:pStyle w:val="BodyText"/>
        <w:spacing w:before="3"/>
        <w:rPr>
          <w:sz w:val="20"/>
        </w:rPr>
      </w:pPr>
    </w:p>
    <w:p>
      <w:pPr>
        <w:pStyle w:val="Heading2"/>
        <w:numPr>
          <w:ilvl w:val="1"/>
          <w:numId w:val="22"/>
        </w:numPr>
        <w:tabs>
          <w:tab w:pos="524" w:val="left" w:leader="none"/>
        </w:tabs>
        <w:spacing w:line="240" w:lineRule="auto" w:before="0" w:after="0"/>
        <w:ind w:left="840" w:right="0" w:hanging="721"/>
        <w:jc w:val="both"/>
      </w:pPr>
      <w:bookmarkStart w:name="_TOC_250012" w:id="42"/>
      <w:r>
        <w:rPr/>
        <w:t>Perfil sociodemográfico en el municipio de</w:t>
      </w:r>
      <w:r>
        <w:rPr>
          <w:spacing w:val="-30"/>
        </w:rPr>
        <w:t> </w:t>
      </w:r>
      <w:bookmarkEnd w:id="42"/>
      <w:r>
        <w:rPr/>
        <w:t>Lema.</w:t>
      </w:r>
    </w:p>
    <w:p>
      <w:pPr>
        <w:pStyle w:val="BodyText"/>
        <w:rPr>
          <w:b/>
        </w:rPr>
      </w:pPr>
    </w:p>
    <w:p>
      <w:pPr>
        <w:pStyle w:val="BodyText"/>
        <w:spacing w:line="360" w:lineRule="auto" w:before="207"/>
        <w:ind w:left="119" w:right="114"/>
        <w:jc w:val="both"/>
      </w:pPr>
      <w:r>
        <w:rPr/>
        <w:t>En los últimos 50 años el municipio de Lerma ha tenido un crecimiento variable. La tasa de crecimiento media anual de población (TCMAP) en el período 1970–1980 registró un incremento de 4.56%; en el lapso de 1990-1995 aumentó a 3.4%; en tanto que de 1995–2000 se posicionó en 4.96%; finalmente para el período 2000- 2005 disminuyó a 0.98%. No obstante que en el municipio de Lerma, se rige por una política de consolidación, que plantea el ordenamiento, mejoramiento de la estructura básica y cuyo crecimiento poblacional y urbano es significativo y no es conveniente impulsar. El aumento de la población es producto de la ineficacia de las políticas en materia urbana y la demanda de un lugar para vivir de la población de bajos recursos y que constantemente direcciona el crecimiento hacia esta zona. La ggráfica 3 se muestra un comparativo de la dinámica poblacional estatal con respecto al municipio de Lerma:</w:t>
      </w:r>
    </w:p>
    <w:p>
      <w:pPr>
        <w:spacing w:after="0" w:line="360" w:lineRule="auto"/>
        <w:jc w:val="both"/>
        <w:sectPr>
          <w:pgSz w:w="12240" w:h="15840"/>
          <w:pgMar w:header="0" w:footer="1031" w:top="1360" w:bottom="1220" w:left="1580" w:right="1580"/>
        </w:sectPr>
      </w:pPr>
    </w:p>
    <w:p>
      <w:pPr>
        <w:spacing w:before="51" w:after="5"/>
        <w:ind w:left="376" w:right="388" w:firstLine="0"/>
        <w:jc w:val="center"/>
        <w:rPr>
          <w:sz w:val="22"/>
        </w:rPr>
      </w:pPr>
      <w:r>
        <w:rPr>
          <w:sz w:val="22"/>
        </w:rPr>
        <w:t>Gráfica 3. Tasas de crecimiento intercensal en el Estado de México y el municipio de Lerma.1950-2010.</w:t>
      </w:r>
    </w:p>
    <w:p>
      <w:pPr>
        <w:pStyle w:val="BodyText"/>
        <w:ind w:left="774"/>
        <w:rPr>
          <w:sz w:val="20"/>
        </w:rPr>
      </w:pPr>
      <w:r>
        <w:rPr>
          <w:sz w:val="20"/>
        </w:rPr>
        <w:drawing>
          <wp:inline distT="0" distB="0" distL="0" distR="0">
            <wp:extent cx="4763236" cy="2496312"/>
            <wp:effectExtent l="0" t="0" r="0" b="0"/>
            <wp:docPr id="35" name="image39.jpeg" descr=""/>
            <wp:cNvGraphicFramePr>
              <a:graphicFrameLocks noChangeAspect="1"/>
            </wp:cNvGraphicFramePr>
            <a:graphic>
              <a:graphicData uri="http://schemas.openxmlformats.org/drawingml/2006/picture">
                <pic:pic>
                  <pic:nvPicPr>
                    <pic:cNvPr id="36" name="image39.jpeg"/>
                    <pic:cNvPicPr/>
                  </pic:nvPicPr>
                  <pic:blipFill>
                    <a:blip r:embed="rId54" cstate="print"/>
                    <a:stretch>
                      <a:fillRect/>
                    </a:stretch>
                  </pic:blipFill>
                  <pic:spPr>
                    <a:xfrm>
                      <a:off x="0" y="0"/>
                      <a:ext cx="4763236" cy="2496312"/>
                    </a:xfrm>
                    <a:prstGeom prst="rect">
                      <a:avLst/>
                    </a:prstGeom>
                  </pic:spPr>
                </pic:pic>
              </a:graphicData>
            </a:graphic>
          </wp:inline>
        </w:drawing>
      </w:r>
      <w:r>
        <w:rPr>
          <w:sz w:val="20"/>
        </w:rPr>
      </w:r>
    </w:p>
    <w:p>
      <w:pPr>
        <w:spacing w:before="11"/>
        <w:ind w:left="119" w:right="117" w:firstLine="0"/>
        <w:jc w:val="both"/>
        <w:rPr>
          <w:sz w:val="20"/>
        </w:rPr>
      </w:pPr>
      <w:r>
        <w:rPr>
          <w:sz w:val="20"/>
        </w:rPr>
        <w:t>Fuente:</w:t>
      </w:r>
      <w:r>
        <w:rPr>
          <w:spacing w:val="-9"/>
          <w:sz w:val="20"/>
        </w:rPr>
        <w:t> </w:t>
      </w:r>
      <w:r>
        <w:rPr>
          <w:sz w:val="20"/>
        </w:rPr>
        <w:t>INEGI.</w:t>
      </w:r>
      <w:r>
        <w:rPr>
          <w:spacing w:val="-8"/>
          <w:sz w:val="20"/>
        </w:rPr>
        <w:t> </w:t>
      </w:r>
      <w:r>
        <w:rPr>
          <w:spacing w:val="-3"/>
          <w:sz w:val="20"/>
        </w:rPr>
        <w:t>Censo</w:t>
      </w:r>
      <w:r>
        <w:rPr>
          <w:spacing w:val="-7"/>
          <w:sz w:val="20"/>
        </w:rPr>
        <w:t> </w:t>
      </w:r>
      <w:r>
        <w:rPr>
          <w:sz w:val="20"/>
        </w:rPr>
        <w:t>General</w:t>
      </w:r>
      <w:r>
        <w:rPr>
          <w:spacing w:val="-2"/>
          <w:sz w:val="20"/>
        </w:rPr>
        <w:t> </w:t>
      </w:r>
      <w:r>
        <w:rPr>
          <w:sz w:val="20"/>
        </w:rPr>
        <w:t>de</w:t>
      </w:r>
      <w:r>
        <w:rPr>
          <w:spacing w:val="-12"/>
          <w:sz w:val="20"/>
        </w:rPr>
        <w:t> </w:t>
      </w:r>
      <w:r>
        <w:rPr>
          <w:sz w:val="20"/>
        </w:rPr>
        <w:t>Población</w:t>
      </w:r>
      <w:r>
        <w:rPr>
          <w:spacing w:val="-7"/>
          <w:sz w:val="20"/>
        </w:rPr>
        <w:t> </w:t>
      </w:r>
      <w:r>
        <w:rPr>
          <w:sz w:val="20"/>
        </w:rPr>
        <w:t>y</w:t>
      </w:r>
      <w:r>
        <w:rPr>
          <w:spacing w:val="-10"/>
          <w:sz w:val="20"/>
        </w:rPr>
        <w:t> </w:t>
      </w:r>
      <w:r>
        <w:rPr>
          <w:sz w:val="20"/>
        </w:rPr>
        <w:t>Vivienda</w:t>
      </w:r>
      <w:r>
        <w:rPr>
          <w:spacing w:val="-12"/>
          <w:sz w:val="20"/>
        </w:rPr>
        <w:t> </w:t>
      </w:r>
      <w:r>
        <w:rPr>
          <w:sz w:val="20"/>
        </w:rPr>
        <w:t>1950,</w:t>
      </w:r>
      <w:r>
        <w:rPr>
          <w:spacing w:val="-4"/>
          <w:sz w:val="20"/>
        </w:rPr>
        <w:t> </w:t>
      </w:r>
      <w:r>
        <w:rPr>
          <w:sz w:val="20"/>
        </w:rPr>
        <w:t>1960,</w:t>
      </w:r>
      <w:r>
        <w:rPr>
          <w:spacing w:val="-4"/>
          <w:sz w:val="20"/>
        </w:rPr>
        <w:t> </w:t>
      </w:r>
      <w:r>
        <w:rPr>
          <w:sz w:val="20"/>
        </w:rPr>
        <w:t>1970,</w:t>
      </w:r>
      <w:r>
        <w:rPr>
          <w:spacing w:val="-4"/>
          <w:sz w:val="20"/>
        </w:rPr>
        <w:t> </w:t>
      </w:r>
      <w:r>
        <w:rPr>
          <w:sz w:val="20"/>
        </w:rPr>
        <w:t>1980,</w:t>
      </w:r>
      <w:r>
        <w:rPr>
          <w:spacing w:val="-8"/>
          <w:sz w:val="20"/>
        </w:rPr>
        <w:t> </w:t>
      </w:r>
      <w:r>
        <w:rPr>
          <w:sz w:val="20"/>
        </w:rPr>
        <w:t>1990,</w:t>
      </w:r>
      <w:r>
        <w:rPr>
          <w:spacing w:val="-4"/>
          <w:sz w:val="20"/>
        </w:rPr>
        <w:t> </w:t>
      </w:r>
      <w:r>
        <w:rPr>
          <w:sz w:val="20"/>
        </w:rPr>
        <w:t>2000</w:t>
      </w:r>
      <w:r>
        <w:rPr>
          <w:spacing w:val="-7"/>
          <w:sz w:val="20"/>
        </w:rPr>
        <w:t> </w:t>
      </w:r>
      <w:r>
        <w:rPr>
          <w:sz w:val="20"/>
        </w:rPr>
        <w:t>y</w:t>
      </w:r>
      <w:r>
        <w:rPr>
          <w:spacing w:val="-5"/>
          <w:sz w:val="20"/>
        </w:rPr>
        <w:t> </w:t>
      </w:r>
      <w:r>
        <w:rPr>
          <w:sz w:val="20"/>
        </w:rPr>
        <w:t>2010. Conteo de Población y Vivienda 1995 y</w:t>
      </w:r>
      <w:r>
        <w:rPr>
          <w:spacing w:val="-11"/>
          <w:sz w:val="20"/>
        </w:rPr>
        <w:t> </w:t>
      </w:r>
      <w:r>
        <w:rPr>
          <w:sz w:val="20"/>
        </w:rPr>
        <w:t>2005.</w:t>
      </w:r>
    </w:p>
    <w:p>
      <w:pPr>
        <w:pStyle w:val="BodyText"/>
        <w:spacing w:before="2"/>
        <w:rPr>
          <w:sz w:val="20"/>
        </w:rPr>
      </w:pPr>
    </w:p>
    <w:p>
      <w:pPr>
        <w:pStyle w:val="BodyText"/>
        <w:spacing w:line="360" w:lineRule="auto"/>
        <w:ind w:left="119" w:right="129"/>
        <w:jc w:val="both"/>
      </w:pPr>
      <w:r>
        <w:rPr/>
        <w:t>La composición poblacional de acuerdo a la encuesta, muestra la estructura por género de la zona de estudio, siendo predominante femenino con 67% (Gráfica 4).</w:t>
      </w:r>
    </w:p>
    <w:p>
      <w:pPr>
        <w:pStyle w:val="BodyText"/>
      </w:pPr>
    </w:p>
    <w:p>
      <w:pPr>
        <w:spacing w:before="139"/>
        <w:ind w:left="96" w:right="97" w:firstLine="0"/>
        <w:jc w:val="center"/>
        <w:rPr>
          <w:sz w:val="22"/>
        </w:rPr>
      </w:pPr>
      <w:r>
        <w:rPr>
          <w:sz w:val="22"/>
        </w:rPr>
        <w:t>Gráfica 4. Género de los encuestados en porcentaje en el municipio de Lerma.</w:t>
      </w:r>
    </w:p>
    <w:p>
      <w:pPr>
        <w:pStyle w:val="BodyText"/>
        <w:rPr>
          <w:sz w:val="20"/>
        </w:rPr>
      </w:pPr>
    </w:p>
    <w:p>
      <w:pPr>
        <w:pStyle w:val="BodyText"/>
        <w:spacing w:before="10"/>
        <w:rPr>
          <w:sz w:val="13"/>
        </w:rPr>
      </w:pPr>
      <w:r>
        <w:rPr/>
        <w:pict>
          <v:group style="position:absolute;margin-left:226.574997pt;margin-top:9.93491pt;width:194.8pt;height:138.450pt;mso-position-horizontal-relative:page;mso-position-vertical-relative:paragraph;z-index:1936;mso-wrap-distance-left:0;mso-wrap-distance-right:0" coordorigin="4531,199" coordsize="3896,2769">
            <v:shape style="position:absolute;left:4694;top:628;width:2966;height:2146" type="#_x0000_t75" stroked="false">
              <v:imagedata r:id="rId55" o:title=""/>
            </v:shape>
            <v:line style="position:absolute" from="5817,2748" to="5817,2847" stroked="true" strokeweight="4.9433pt" strokecolor="#e36c09"/>
            <v:line style="position:absolute" from="6776,2748" to="6776,2847" stroked="true" strokeweight="4.9433pt" strokecolor="#ff3300"/>
            <v:shape style="position:absolute;left:4539;top:206;width:3881;height:2754" type="#_x0000_t202" filled="false" stroked="true" strokeweight=".75pt" strokecolor="#7e7e7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1"/>
                      <w:rPr>
                        <w:sz w:val="26"/>
                      </w:rPr>
                    </w:pPr>
                  </w:p>
                  <w:p>
                    <w:pPr>
                      <w:spacing w:before="0"/>
                      <w:ind w:left="576" w:right="0" w:firstLine="0"/>
                      <w:jc w:val="center"/>
                      <w:rPr>
                        <w:rFonts w:ascii="Calibri"/>
                        <w:b/>
                        <w:sz w:val="18"/>
                      </w:rPr>
                    </w:pPr>
                    <w:r>
                      <w:rPr>
                        <w:rFonts w:ascii="Calibri"/>
                        <w:b/>
                        <w:sz w:val="18"/>
                      </w:rPr>
                      <w:t>33%</w:t>
                    </w:r>
                  </w:p>
                  <w:p>
                    <w:pPr>
                      <w:spacing w:before="115"/>
                      <w:ind w:left="836" w:right="0" w:firstLine="0"/>
                      <w:jc w:val="left"/>
                      <w:rPr>
                        <w:rFonts w:ascii="Calibri"/>
                        <w:b/>
                        <w:sz w:val="18"/>
                      </w:rPr>
                    </w:pPr>
                    <w:r>
                      <w:rPr>
                        <w:rFonts w:ascii="Calibri"/>
                        <w:b/>
                        <w:sz w:val="18"/>
                      </w:rPr>
                      <w:t>67%</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4"/>
                      <w:rPr>
                        <w:sz w:val="14"/>
                      </w:rPr>
                    </w:pPr>
                  </w:p>
                  <w:p>
                    <w:pPr>
                      <w:tabs>
                        <w:tab w:pos="1516" w:val="left" w:leader="none"/>
                      </w:tabs>
                      <w:spacing w:before="0"/>
                      <w:ind w:left="556" w:right="0" w:firstLine="0"/>
                      <w:jc w:val="center"/>
                      <w:rPr>
                        <w:rFonts w:ascii="Calibri"/>
                        <w:sz w:val="18"/>
                      </w:rPr>
                    </w:pPr>
                    <w:r>
                      <w:rPr>
                        <w:rFonts w:ascii="Calibri"/>
                        <w:color w:val="1F487C"/>
                        <w:sz w:val="18"/>
                      </w:rPr>
                      <w:t>Masculino</w:t>
                      <w:tab/>
                      <w:t>Femenino</w:t>
                    </w:r>
                  </w:p>
                </w:txbxContent>
              </v:textbox>
              <w10:wrap type="none"/>
            </v:shape>
            <w10:wrap type="topAndBottom"/>
          </v:group>
        </w:pict>
      </w:r>
    </w:p>
    <w:p>
      <w:pPr>
        <w:pStyle w:val="BodyText"/>
        <w:rPr>
          <w:sz w:val="22"/>
        </w:rPr>
      </w:pPr>
    </w:p>
    <w:p>
      <w:pPr>
        <w:pStyle w:val="BodyText"/>
        <w:spacing w:before="6"/>
        <w:rPr>
          <w:sz w:val="21"/>
        </w:rPr>
      </w:pPr>
    </w:p>
    <w:p>
      <w:pPr>
        <w:spacing w:before="0"/>
        <w:ind w:left="119" w:right="0" w:firstLine="0"/>
        <w:jc w:val="both"/>
        <w:rPr>
          <w:sz w:val="20"/>
        </w:rPr>
      </w:pPr>
      <w:r>
        <w:rPr>
          <w:sz w:val="20"/>
        </w:rPr>
        <w:t>Fuente: Mendoza Baruch, sobre la base de encuestas, 2013.</w:t>
      </w:r>
    </w:p>
    <w:p>
      <w:pPr>
        <w:pStyle w:val="BodyText"/>
        <w:rPr>
          <w:sz w:val="20"/>
        </w:rPr>
      </w:pPr>
    </w:p>
    <w:p>
      <w:pPr>
        <w:pStyle w:val="BodyText"/>
        <w:rPr>
          <w:sz w:val="16"/>
        </w:rPr>
      </w:pPr>
    </w:p>
    <w:p>
      <w:pPr>
        <w:pStyle w:val="BodyText"/>
        <w:spacing w:line="360" w:lineRule="auto"/>
        <w:ind w:left="119" w:right="122"/>
        <w:jc w:val="both"/>
      </w:pPr>
      <w:r>
        <w:rPr/>
        <w:t>Las mujeres presentaron mayor disposición para contestar la entrevista y comúnmente se encontraban en la vivienda. La estructura por edades es relativamente</w:t>
      </w:r>
      <w:r>
        <w:rPr>
          <w:spacing w:val="-9"/>
        </w:rPr>
        <w:t> </w:t>
      </w:r>
      <w:r>
        <w:rPr/>
        <w:t>homogénea,</w:t>
      </w:r>
      <w:r>
        <w:rPr>
          <w:spacing w:val="-9"/>
        </w:rPr>
        <w:t> </w:t>
      </w:r>
      <w:r>
        <w:rPr/>
        <w:t>el</w:t>
      </w:r>
      <w:r>
        <w:rPr>
          <w:spacing w:val="-10"/>
        </w:rPr>
        <w:t> </w:t>
      </w:r>
      <w:r>
        <w:rPr/>
        <w:t>porcentaje</w:t>
      </w:r>
      <w:r>
        <w:rPr>
          <w:spacing w:val="-6"/>
        </w:rPr>
        <w:t> </w:t>
      </w:r>
      <w:r>
        <w:rPr/>
        <w:t>mayor</w:t>
      </w:r>
      <w:r>
        <w:rPr>
          <w:spacing w:val="-8"/>
        </w:rPr>
        <w:t> </w:t>
      </w:r>
      <w:r>
        <w:rPr/>
        <w:t>correspondió</w:t>
      </w:r>
      <w:r>
        <w:rPr>
          <w:spacing w:val="-9"/>
        </w:rPr>
        <w:t> </w:t>
      </w:r>
      <w:r>
        <w:rPr/>
        <w:t>a</w:t>
      </w:r>
      <w:r>
        <w:rPr>
          <w:spacing w:val="-14"/>
        </w:rPr>
        <w:t> </w:t>
      </w:r>
      <w:r>
        <w:rPr>
          <w:spacing w:val="5"/>
        </w:rPr>
        <w:t>las</w:t>
      </w:r>
      <w:r>
        <w:rPr>
          <w:spacing w:val="-10"/>
        </w:rPr>
        <w:t> </w:t>
      </w:r>
      <w:r>
        <w:rPr/>
        <w:t>personas</w:t>
      </w:r>
      <w:r>
        <w:rPr>
          <w:spacing w:val="-10"/>
        </w:rPr>
        <w:t> </w:t>
      </w:r>
      <w:r>
        <w:rPr/>
        <w:t>con</w:t>
      </w:r>
      <w:r>
        <w:rPr>
          <w:spacing w:val="-9"/>
        </w:rPr>
        <w:t> </w:t>
      </w:r>
      <w:r>
        <w:rPr/>
        <w:t>60 y </w:t>
      </w:r>
      <w:r>
        <w:rPr>
          <w:spacing w:val="-3"/>
        </w:rPr>
        <w:t>más </w:t>
      </w:r>
      <w:r>
        <w:rPr/>
        <w:t>años, la menor participación la tuvieron las personas en edades de 15 a 30 años.</w:t>
      </w:r>
    </w:p>
    <w:p>
      <w:pPr>
        <w:spacing w:after="0" w:line="360" w:lineRule="auto"/>
        <w:jc w:val="both"/>
        <w:sectPr>
          <w:pgSz w:w="12240" w:h="15840"/>
          <w:pgMar w:header="0" w:footer="1031" w:top="1360" w:bottom="1220" w:left="1580" w:right="1580"/>
        </w:sectPr>
      </w:pPr>
    </w:p>
    <w:p>
      <w:pPr>
        <w:pStyle w:val="BodyText"/>
        <w:spacing w:line="362" w:lineRule="auto" w:before="52"/>
        <w:ind w:left="119" w:right="572"/>
        <w:jc w:val="both"/>
      </w:pPr>
      <w:r>
        <w:rPr/>
        <w:t>En cuanto al nivel educativo la mayoría de la población presenta un nivel de educación básica y media superior, estos niveles se centran en el 92% de los encuestados</w:t>
      </w:r>
      <w:r>
        <w:rPr>
          <w:spacing w:val="-7"/>
        </w:rPr>
        <w:t> </w:t>
      </w:r>
      <w:r>
        <w:rPr/>
        <w:t>y</w:t>
      </w:r>
      <w:r>
        <w:rPr>
          <w:spacing w:val="-7"/>
        </w:rPr>
        <w:t> </w:t>
      </w:r>
      <w:r>
        <w:rPr/>
        <w:t>solo</w:t>
      </w:r>
      <w:r>
        <w:rPr>
          <w:spacing w:val="-6"/>
        </w:rPr>
        <w:t> </w:t>
      </w:r>
      <w:r>
        <w:rPr/>
        <w:t>el</w:t>
      </w:r>
      <w:r>
        <w:rPr>
          <w:spacing w:val="-3"/>
        </w:rPr>
        <w:t> </w:t>
      </w:r>
      <w:r>
        <w:rPr/>
        <w:t>4%</w:t>
      </w:r>
      <w:r>
        <w:rPr>
          <w:spacing w:val="-9"/>
        </w:rPr>
        <w:t> </w:t>
      </w:r>
      <w:r>
        <w:rPr/>
        <w:t>cuenta</w:t>
      </w:r>
      <w:r>
        <w:rPr>
          <w:spacing w:val="-6"/>
        </w:rPr>
        <w:t> </w:t>
      </w:r>
      <w:r>
        <w:rPr/>
        <w:t>con</w:t>
      </w:r>
      <w:r>
        <w:rPr>
          <w:spacing w:val="-6"/>
        </w:rPr>
        <w:t> </w:t>
      </w:r>
      <w:r>
        <w:rPr/>
        <w:t>estudios</w:t>
      </w:r>
      <w:r>
        <w:rPr>
          <w:spacing w:val="-12"/>
        </w:rPr>
        <w:t> </w:t>
      </w:r>
      <w:r>
        <w:rPr/>
        <w:t>universitarios</w:t>
      </w:r>
      <w:r>
        <w:rPr>
          <w:spacing w:val="-7"/>
        </w:rPr>
        <w:t> </w:t>
      </w:r>
      <w:r>
        <w:rPr/>
        <w:t>concluidos</w:t>
      </w:r>
      <w:r>
        <w:rPr>
          <w:spacing w:val="4"/>
        </w:rPr>
        <w:t> </w:t>
      </w:r>
      <w:r>
        <w:rPr/>
        <w:t>(Gráfica</w:t>
      </w:r>
      <w:r>
        <w:rPr>
          <w:spacing w:val="-5"/>
        </w:rPr>
        <w:t> </w:t>
      </w:r>
      <w:r>
        <w:rPr/>
        <w:t>5).</w:t>
      </w:r>
    </w:p>
    <w:p>
      <w:pPr>
        <w:pStyle w:val="BodyText"/>
        <w:spacing w:before="9"/>
        <w:rPr>
          <w:sz w:val="35"/>
        </w:rPr>
      </w:pPr>
    </w:p>
    <w:p>
      <w:pPr>
        <w:spacing w:before="1"/>
        <w:ind w:left="1296" w:right="0" w:firstLine="0"/>
        <w:jc w:val="left"/>
        <w:rPr>
          <w:sz w:val="22"/>
        </w:rPr>
      </w:pPr>
      <w:r>
        <w:rPr>
          <w:sz w:val="22"/>
        </w:rPr>
        <w:t>Gráfica 5. Nivel educativo en porcentaje en el municipio de Lerma.</w:t>
      </w:r>
    </w:p>
    <w:p>
      <w:pPr>
        <w:pStyle w:val="BodyText"/>
        <w:spacing w:before="5"/>
        <w:rPr>
          <w:sz w:val="18"/>
        </w:rPr>
      </w:pPr>
      <w:r>
        <w:rPr/>
        <w:pict>
          <v:group style="position:absolute;margin-left:84.675003pt;margin-top:12.553965pt;width:466.05pt;height:178.5pt;mso-position-horizontal-relative:page;mso-position-vertical-relative:paragraph;z-index:2248;mso-wrap-distance-left:0;mso-wrap-distance-right:0" coordorigin="1694,251" coordsize="9321,3570">
            <v:line style="position:absolute" from="2182,1817" to="10788,1817" stroked="true" strokeweight=".72pt" strokecolor="#858585"/>
            <v:line style="position:absolute" from="2182,1481" to="10788,1481" stroked="true" strokeweight=".72pt" strokecolor="#858585"/>
            <v:line style="position:absolute" from="2182,1150" to="10788,1150" stroked="true" strokeweight=".72pt" strokecolor="#858585"/>
            <v:line style="position:absolute" from="2182,814" to="10788,814" stroked="true" strokeweight=".72pt" strokecolor="#858585"/>
            <v:shape style="position:absolute;left:2366;top:711;width:8237;height:1454" type="#_x0000_t75" stroked="false">
              <v:imagedata r:id="rId56" o:title=""/>
            </v:shape>
            <v:shape style="position:absolute;left:2429;top:730;width:8112;height:1435" type="#_x0000_t75" stroked="false">
              <v:imagedata r:id="rId57" o:title=""/>
            </v:shape>
            <v:line style="position:absolute" from="2182,478" to="10788,478" stroked="true" strokeweight=".72pt" strokecolor="#858585"/>
            <v:line style="position:absolute" from="2182,2153" to="2182,478" stroked="true" strokeweight=".72pt" strokecolor="#858585"/>
            <v:line style="position:absolute" from="2124,2153" to="2182,2153" stroked="true" strokeweight=".72pt" strokecolor="#858585"/>
            <v:line style="position:absolute" from="2124,1817" to="2182,1817" stroked="true" strokeweight=".72pt" strokecolor="#858585"/>
            <v:line style="position:absolute" from="2124,1481" to="2182,1481" stroked="true" strokeweight=".72pt" strokecolor="#858585"/>
            <v:line style="position:absolute" from="2124,1150" to="2182,1150" stroked="true" strokeweight=".72pt" strokecolor="#858585"/>
            <v:line style="position:absolute" from="2124,814" to="2182,814" stroked="true" strokeweight=".72pt" strokecolor="#858585"/>
            <v:line style="position:absolute" from="2124,478" to="2182,478" stroked="true" strokeweight=".72pt" strokecolor="#858585"/>
            <v:line style="position:absolute" from="2182,2153" to="10788,2153" stroked="true" strokeweight=".72pt" strokecolor="#858585"/>
            <v:line style="position:absolute" from="2182,2153" to="2182,2211" stroked="true" strokeweight=".72pt" strokecolor="#858585"/>
            <v:line style="position:absolute" from="3041,2153" to="3041,2211" stroked="true" strokeweight=".72pt" strokecolor="#858585"/>
            <v:line style="position:absolute" from="3900,2153" to="3900,2211" stroked="true" strokeweight=".72pt" strokecolor="#858585"/>
            <v:line style="position:absolute" from="4764,2153" to="4764,2211" stroked="true" strokeweight=".72pt" strokecolor="#858585"/>
            <v:line style="position:absolute" from="5623,2153" to="5623,2211" stroked="true" strokeweight=".72pt" strokecolor="#858585"/>
            <v:line style="position:absolute" from="6482,2153" to="6482,2211" stroked="true" strokeweight=".72pt" strokecolor="#858585"/>
            <v:line style="position:absolute" from="7346,2153" to="7346,2211" stroked="true" strokeweight=".72pt" strokecolor="#858585"/>
            <v:line style="position:absolute" from="8206,2153" to="8206,2211" stroked="true" strokeweight=".72pt" strokecolor="#858585"/>
            <v:line style="position:absolute" from="9065,2153" to="9065,2211" stroked="true" strokeweight=".72pt" strokecolor="#858585"/>
            <v:line style="position:absolute" from="9924,2153" to="9924,2211" stroked="true" strokeweight=".72pt" strokecolor="#858585"/>
            <v:line style="position:absolute" from="10788,2153" to="10788,2211" stroked="true" strokeweight=".72pt" strokecolor="#858585"/>
            <v:shape style="position:absolute;left:1972;top:2341;width:6699;height:1297" type="#_x0000_t75" stroked="false">
              <v:imagedata r:id="rId58" o:title=""/>
            </v:shape>
            <v:shape style="position:absolute;left:9065;top:2348;width:456;height:410" type="#_x0000_t75" stroked="false">
              <v:imagedata r:id="rId59" o:title=""/>
            </v:shape>
            <v:shape style="position:absolute;left:9715;top:2312;width:677;height:668" coordorigin="9715,2312" coordsize="677,668" path="m9726,2904l9723,2904,9722,2906,9721,2906,9720,2908,9719,2908,9718,2910,9717,2910,9716,2912,9715,2912,9715,2916,9715,2916,9771,2972,9776,2976,9786,2980,9807,2980,9817,2974,9822,2972,9827,2966,9794,2966,9790,2964,9779,2958,9775,2954,9726,2906,9726,2904xm9777,2854l9773,2854,9771,2856,9769,2858,9768,2858,9767,2860,9766,2862,9766,2862,9765,2864,9766,2864,9766,2866,9816,2914,9819,2918,9822,2922,9826,2930,9827,2934,9827,2936,9827,2940,9826,2944,9825,2948,9823,2950,9821,2954,9815,2960,9812,2962,9805,2966,9827,2966,9831,2962,9835,2956,9837,2952,9840,2946,9841,2940,9841,2930,9840,2924,9838,2920,9835,2914,9831,2910,9826,2904,9777,2854xm9862,2816l9858,2816,9854,2818,9847,2822,9840,2830,9837,2834,9836,2838,9834,2842,9834,2846,9834,2852,9834,2856,9817,2856,9874,2914,9878,2914,9879,2912,9881,2910,9882,2910,9883,2908,9884,2908,9885,2906,9885,2904,9884,2904,9845,2864,9844,2858,9844,2852,9846,2844,9847,2840,9852,2834,9854,2834,9856,2832,9890,2832,9884,2826,9880,2824,9873,2818,9870,2818,9862,2816xm9890,2832l9866,2832,9871,2836,9873,2836,9876,2840,9912,2876,9916,2876,9919,2874,9920,2872,9921,2870,9923,2868,9923,2868,9923,2866,9923,2864,9890,2832xm9827,2848l9822,2848,9821,2850,9819,2852,9818,2852,9817,2854,9817,2854,9817,2856,9834,2856,9827,2848xm9896,2778l9892,2778,9892,2780,9889,2780,9887,2784,9886,2784,9885,2786,9885,2786,9884,2788,9885,2790,9885,2790,9942,2846,9946,2846,9946,2844,9948,2844,9951,2840,9952,2840,9952,2838,9953,2836,9952,2836,9896,2778xm9916,2758l9912,2758,9912,2760,9910,2760,9909,2762,9906,2764,9906,2764,9905,2766,9904,2766,9904,2768,9904,2768,9904,2770,9907,2770,9907,2772,9908,2772,9981,2806,9985,2806,9986,2804,9988,2804,9990,2802,9992,2800,9993,2798,9994,2798,9995,2796,9996,2794,9996,2794,9995,2792,9994,2790,9979,2790,9916,2758xm9961,2718l9952,2718,9951,2720,9949,2722,9948,2722,9948,2724,9948,2726,9979,2788,9980,2790,9994,2790,9961,2718xm9873,2754l9870,2754,9868,2756,9865,2758,9861,2764,9861,2766,9862,2770,9867,2774,9875,2774,9880,2768,9881,2766,9881,2764,9880,2760,9875,2756,9873,2754xm10026,2668l10004,2668,10000,2670,9995,2674,9986,2682,9983,2686,9982,2692,9980,2696,9979,2702,9979,2706,9979,2712,9981,2716,9984,2722,9986,2726,9990,2732,9995,2736,10000,2742,10005,2746,10010,2748,10020,2752,10035,2752,10045,2748,10049,2744,10054,2740,10030,2740,10027,2738,10020,2738,10017,2736,10014,2734,10011,2730,10007,2728,10015,2720,10000,2720,9998,2718,9996,2716,9994,2712,9993,2710,9992,2704,9992,2698,9993,2694,9994,2692,9996,2690,10003,2682,10009,2680,10042,2680,10039,2676,10035,2674,10031,2670,10026,2668xm10065,2708l10060,2708,10058,2714,10056,2718,10055,2720,10053,2722,10051,2724,10049,2728,10043,2734,10036,2738,10033,2738,10030,2740,10054,2740,10057,2736,10059,2734,10063,2728,10065,2726,10066,2724,10067,2722,10068,2720,10069,2718,10070,2714,10069,2712,10069,2712,10068,2710,10068,2710,10065,2708xm10042,2680l10020,2680,10025,2684,10031,2690,10000,2720,10015,2720,10046,2690,10046,2688,10047,2684,10046,2684,10044,2682,10042,2680xm9959,2716l9954,2716,9953,2718,9960,2718,9959,2716xm9957,2714l9956,2716,9958,2716,9957,2714xm10064,2706l10061,2706,10061,2708,10065,2708,10064,2706xm10094,2696l10092,2696,10093,2698,10094,2696xm10044,2630l10040,2630,10039,2632,10038,2632,10037,2634,10036,2634,10035,2636,10034,2636,10034,2638,10034,2640,10035,2640,10091,2696,10096,2696,10097,2694,10098,2694,10099,2692,10100,2692,10101,2690,10102,2690,10102,2688,10102,2686,10102,2686,10064,2648,10063,2644,10063,2642,10062,2638,10052,2638,10044,2630xm10013,2666l10009,2668,10022,2668,10013,2666xm10135,2652l10127,2652,10128,2654,10134,2654,10135,2652xm10139,2650l10124,2650,10125,2652,10137,2652,10139,2650xm10143,2648l10123,2648,10123,2650,10141,2650,10143,2648xm10161,2610l10144,2610,10148,2614,10149,2616,10150,2620,10150,2622,10149,2624,10149,2626,10148,2628,10146,2630,10145,2632,10143,2634,10139,2638,10136,2638,10134,2640,10132,2640,10128,2642,10126,2642,10124,2644,10121,2644,10121,2646,10121,2648,10145,2648,10147,2646,10151,2642,10155,2638,10157,2636,10159,2632,10161,2628,10162,2624,10163,2618,10163,2614,10161,2610xm10075,2614l10054,2614,10052,2620,10051,2624,10051,2632,10052,2638,10062,2638,10062,2630,10063,2628,10064,2624,10065,2624,10066,2622,10067,2622,10067,2620,10069,2620,10073,2618,10074,2618,10075,2616,10075,2614xm10117,2568l10103,2568,10100,2570,10098,2572,10095,2574,10093,2576,10090,2578,10087,2582,10086,2586,10084,2590,10083,2592,10083,2600,10084,2606,10086,2608,10092,2616,10095,2618,10100,2620,10110,2620,10118,2616,10121,2616,10123,2614,10126,2614,10128,2612,10130,2612,10132,2610,10161,2610,10160,2608,10159,2606,10106,2606,10102,2604,10100,2604,10098,2602,10097,2600,10096,2598,10096,2592,10096,2590,10097,2588,10098,2588,10099,2586,10103,2582,10105,2580,10109,2578,10111,2578,10113,2576,10116,2576,10118,2574,10120,2574,10120,2572,10119,2572,10119,2570,10118,2570,10117,2568xm10074,2612l10057,2612,10055,2614,10074,2614,10074,2612xm10071,2610l10059,2610,10057,2612,10072,2612,10071,2610xm10070,2608l10062,2608,10060,2610,10070,2610,10070,2608xm10067,2606l10064,2606,10063,2608,10068,2608,10067,2606xm10148,2596l10132,2596,10130,2598,10127,2598,10125,2600,10122,2600,10120,2602,10117,2602,10115,2604,10110,2604,10108,2606,10159,2606,10158,2604,10155,2602,10151,2598,10148,2596xm10140,2534l10136,2534,10135,2536,10134,2536,10133,2538,10131,2540,10130,2542,10129,2542,10129,2544,10130,2544,10186,2602,10190,2602,10191,2600,10192,2600,10193,2598,10195,2596,10196,2594,10197,2594,10197,2592,10197,2592,10140,2534xm10143,2594l10138,2596,10145,2596,10143,2594xm10114,2566l10106,2566,10105,2568,10116,2568,10114,2566xm10178,2442l10173,2442,10173,2444,10172,2444,10169,2448,10168,2448,10167,2450,10167,2450,10167,2452,10201,2486,10190,2486,10186,2488,10182,2488,10178,2490,10175,2494,10171,2498,10168,2502,10165,2512,10164,2516,10165,2520,10166,2526,10168,2530,10171,2536,10173,2540,10177,2546,10182,2550,10186,2554,10191,2558,10195,2560,10200,2564,10204,2566,10209,2566,10213,2568,10218,2568,10223,2566,10231,2562,10239,2554,10241,2552,10214,2552,10210,2550,10207,2550,10198,2544,10195,2542,10192,2538,10189,2536,10187,2532,10185,2530,10183,2526,10181,2524,10180,2520,10179,2518,10179,2514,10180,2508,10182,2504,10187,2500,10191,2498,10200,2496,10232,2496,10178,2442xm10232,2496l10212,2496,10234,2520,10235,2522,10235,2532,10234,2538,10232,2542,10230,2546,10229,2548,10223,2552,10241,2552,10242,2550,10245,2540,10245,2536,10245,2528,10262,2528,10262,2526,10262,2526,10232,2496xm10262,2528l10245,2528,10253,2536,10256,2536,10257,2534,10258,2534,10260,2532,10261,2530,10261,2530,10262,2528xm10118,2510l10114,2510,10112,2512,10107,2516,10106,2520,10106,2520,10106,2522,10107,2524,10112,2530,10119,2530,10122,2526,10124,2524,10126,2522,10126,2518,10124,2516,10120,2512,10118,2510xm10290,2430l10267,2430,10272,2432,10280,2440,10273,2448,10268,2454,10265,2458,10259,2466,10257,2470,10256,2474,10255,2478,10256,2482,10258,2490,10260,2492,10263,2496,10266,2498,10272,2502,10275,2504,10284,2504,10294,2498,10297,2496,10303,2490,10279,2490,10276,2488,10271,2484,10270,2482,10269,2480,10269,2478,10269,2474,10269,2472,10270,2470,10271,2468,10274,2462,10276,2460,10279,2458,10288,2448,10308,2448,10290,2430xm10308,2448l10288,2448,10300,2460,10300,2468,10300,2470,10299,2474,10298,2478,10296,2480,10290,2488,10287,2488,10283,2490,10303,2490,10306,2486,10307,2482,10309,2478,10310,2472,10309,2468,10324,2468,10324,2466,10325,2466,10325,2464,10324,2464,10308,2448xm10323,2468l10309,2468,10315,2472,10316,2474,10318,2474,10320,2472,10323,2468xm10268,2414l10261,2414,10246,2422,10242,2426,10240,2428,10238,2432,10234,2436,10233,2438,10231,2444,10230,2446,10228,2450,10228,2452,10228,2454,10228,2454,10229,2456,10230,2458,10231,2458,10232,2460,10238,2460,10238,2458,10239,2456,10239,2454,10241,2450,10242,2446,10245,2442,10247,2438,10252,2434,10254,2432,10259,2430,10290,2430,10282,2422,10275,2418,10272,2416,10268,2414xm10307,2312l10304,2312,10303,2314,10302,2314,10299,2318,10297,2318,10297,2320,10296,2320,10296,2322,10296,2324,10297,2324,10330,2356,10319,2356,10311,2360,10307,2362,10304,2364,10300,2370,10297,2374,10294,2382,10293,2388,10294,2392,10295,2396,10297,2402,10299,2406,10302,2412,10306,2416,10315,2426,10320,2430,10324,2432,10329,2434,10338,2438,10352,2438,10356,2436,10360,2432,10368,2424,10343,2424,10336,2420,10333,2420,10330,2418,10327,2414,10324,2412,10321,2410,10318,2406,10316,2404,10314,2400,10312,2398,10309,2392,10308,2388,10308,2384,10309,2378,10311,2376,10316,2370,10320,2368,10329,2366,10360,2366,10307,2314,10307,2312xm10360,2366l10334,2366,10341,2368,10363,2390,10364,2394,10364,2404,10363,2406,10363,2410,10361,2414,10359,2416,10355,2420,10352,2422,10349,2422,10346,2424,10368,2424,10371,2420,10374,2410,10374,2406,10374,2398,10391,2398,10391,2396,10360,2366xm10391,2398l10374,2398,10382,2406,10386,2406,10387,2404,10388,2404,10389,2402,10390,2402,10390,2400,10391,2400,10391,2398xe" filled="true" fillcolor="#000000" stroked="false">
              <v:path arrowok="t"/>
              <v:fill type="solid"/>
            </v:shape>
            <v:rect style="position:absolute;left:1701;top:259;width:9306;height:3555" filled="false" stroked="true" strokeweight=".75pt" strokecolor="#858585"/>
            <v:shape style="position:absolute;left:1832;top:396;width:183;height:518" type="#_x0000_t202" filled="false" stroked="false">
              <v:textbox inset="0,0,0,0">
                <w:txbxContent>
                  <w:p>
                    <w:pPr>
                      <w:spacing w:line="185" w:lineRule="exact" w:before="0"/>
                      <w:ind w:left="0" w:right="-20" w:firstLine="0"/>
                      <w:jc w:val="left"/>
                      <w:rPr>
                        <w:rFonts w:ascii="Calibri"/>
                        <w:sz w:val="18"/>
                      </w:rPr>
                    </w:pPr>
                    <w:r>
                      <w:rPr>
                        <w:rFonts w:ascii="Calibri"/>
                        <w:sz w:val="18"/>
                      </w:rPr>
                      <w:t>25</w:t>
                    </w:r>
                  </w:p>
                  <w:p>
                    <w:pPr>
                      <w:spacing w:line="217" w:lineRule="exact" w:before="115"/>
                      <w:ind w:left="0" w:right="-20" w:firstLine="0"/>
                      <w:jc w:val="left"/>
                      <w:rPr>
                        <w:rFonts w:ascii="Calibri"/>
                        <w:sz w:val="18"/>
                      </w:rPr>
                    </w:pPr>
                    <w:r>
                      <w:rPr>
                        <w:rFonts w:ascii="Calibri"/>
                        <w:sz w:val="18"/>
                      </w:rPr>
                      <w:t>20</w:t>
                    </w:r>
                  </w:p>
                </w:txbxContent>
              </v:textbox>
              <w10:wrap type="none"/>
            </v:shape>
            <v:shape style="position:absolute;left:6824;top:474;width:183;height:183" type="#_x0000_t202" filled="false" stroked="false">
              <v:textbox inset="0,0,0,0">
                <w:txbxContent>
                  <w:p>
                    <w:pPr>
                      <w:spacing w:line="182" w:lineRule="exact" w:before="0"/>
                      <w:ind w:left="0" w:right="-20" w:firstLine="0"/>
                      <w:jc w:val="left"/>
                      <w:rPr>
                        <w:rFonts w:ascii="Calibri"/>
                        <w:sz w:val="18"/>
                      </w:rPr>
                    </w:pPr>
                    <w:r>
                      <w:rPr>
                        <w:rFonts w:ascii="Calibri"/>
                        <w:sz w:val="18"/>
                      </w:rPr>
                      <w:t>21</w:t>
                    </w:r>
                  </w:p>
                </w:txbxContent>
              </v:textbox>
              <w10:wrap type="none"/>
            </v:shape>
            <v:shape style="position:absolute;left:7685;top:675;width:183;height:183" type="#_x0000_t202" filled="false" stroked="false">
              <v:textbox inset="0,0,0,0">
                <w:txbxContent>
                  <w:p>
                    <w:pPr>
                      <w:spacing w:line="182" w:lineRule="exact" w:before="0"/>
                      <w:ind w:left="0" w:right="-20" w:firstLine="0"/>
                      <w:jc w:val="left"/>
                      <w:rPr>
                        <w:rFonts w:ascii="Calibri"/>
                        <w:sz w:val="18"/>
                      </w:rPr>
                    </w:pPr>
                    <w:r>
                      <w:rPr>
                        <w:rFonts w:ascii="Calibri"/>
                        <w:sz w:val="18"/>
                      </w:rPr>
                      <w:t>18</w:t>
                    </w:r>
                  </w:p>
                </w:txbxContent>
              </v:textbox>
              <w10:wrap type="none"/>
            </v:shape>
            <v:shape style="position:absolute;left:8545;top:876;width:184;height:183" type="#_x0000_t202" filled="false" stroked="false">
              <v:textbox inset="0,0,0,0">
                <w:txbxContent>
                  <w:p>
                    <w:pPr>
                      <w:spacing w:line="182" w:lineRule="exact" w:before="0"/>
                      <w:ind w:left="0" w:right="-19" w:firstLine="0"/>
                      <w:jc w:val="left"/>
                      <w:rPr>
                        <w:rFonts w:ascii="Calibri"/>
                        <w:sz w:val="18"/>
                      </w:rPr>
                    </w:pPr>
                    <w:r>
                      <w:rPr>
                        <w:rFonts w:ascii="Calibri"/>
                        <w:sz w:val="18"/>
                      </w:rPr>
                      <w:t>15</w:t>
                    </w:r>
                  </w:p>
                </w:txbxContent>
              </v:textbox>
              <w10:wrap type="none"/>
            </v:shape>
            <v:shape style="position:absolute;left:1832;top:1066;width:184;height:1187" type="#_x0000_t202" filled="false" stroked="false">
              <v:textbox inset="0,0,0,0">
                <w:txbxContent>
                  <w:p>
                    <w:pPr>
                      <w:spacing w:line="185" w:lineRule="exact" w:before="0"/>
                      <w:ind w:left="0" w:right="-19" w:firstLine="0"/>
                      <w:jc w:val="left"/>
                      <w:rPr>
                        <w:rFonts w:ascii="Calibri"/>
                        <w:sz w:val="18"/>
                      </w:rPr>
                    </w:pPr>
                    <w:r>
                      <w:rPr>
                        <w:rFonts w:ascii="Calibri"/>
                        <w:sz w:val="18"/>
                      </w:rPr>
                      <w:t>15</w:t>
                    </w:r>
                  </w:p>
                  <w:p>
                    <w:pPr>
                      <w:spacing w:before="115"/>
                      <w:ind w:left="0" w:right="-19" w:firstLine="0"/>
                      <w:jc w:val="left"/>
                      <w:rPr>
                        <w:rFonts w:ascii="Calibri"/>
                        <w:sz w:val="18"/>
                      </w:rPr>
                    </w:pPr>
                    <w:r>
                      <w:rPr>
                        <w:rFonts w:ascii="Calibri"/>
                        <w:sz w:val="18"/>
                      </w:rPr>
                      <w:t>10</w:t>
                    </w:r>
                  </w:p>
                  <w:p>
                    <w:pPr>
                      <w:spacing w:before="115"/>
                      <w:ind w:left="91" w:right="0" w:firstLine="0"/>
                      <w:jc w:val="left"/>
                      <w:rPr>
                        <w:rFonts w:ascii="Calibri"/>
                        <w:sz w:val="18"/>
                      </w:rPr>
                    </w:pPr>
                    <w:r>
                      <w:rPr>
                        <w:rFonts w:ascii="Calibri"/>
                        <w:w w:val="101"/>
                        <w:sz w:val="18"/>
                      </w:rPr>
                      <w:t>5</w:t>
                    </w:r>
                  </w:p>
                  <w:p>
                    <w:pPr>
                      <w:spacing w:line="217" w:lineRule="exact" w:before="115"/>
                      <w:ind w:left="91" w:right="0" w:firstLine="0"/>
                      <w:jc w:val="left"/>
                      <w:rPr>
                        <w:rFonts w:ascii="Calibri"/>
                        <w:sz w:val="18"/>
                      </w:rPr>
                    </w:pPr>
                    <w:r>
                      <w:rPr>
                        <w:rFonts w:ascii="Calibri"/>
                        <w:w w:val="101"/>
                        <w:sz w:val="18"/>
                      </w:rPr>
                      <w:t>0</w:t>
                    </w:r>
                  </w:p>
                </w:txbxContent>
              </v:textbox>
              <w10:wrap type="none"/>
            </v:shape>
            <v:shape style="position:absolute;left:3380;top:1210;width:183;height:183" type="#_x0000_t202" filled="false" stroked="false">
              <v:textbox inset="0,0,0,0">
                <w:txbxContent>
                  <w:p>
                    <w:pPr>
                      <w:spacing w:line="183" w:lineRule="exact" w:before="0"/>
                      <w:ind w:left="0" w:right="-20" w:firstLine="0"/>
                      <w:jc w:val="left"/>
                      <w:rPr>
                        <w:rFonts w:ascii="Calibri"/>
                        <w:sz w:val="18"/>
                      </w:rPr>
                    </w:pPr>
                    <w:r>
                      <w:rPr>
                        <w:rFonts w:ascii="Calibri"/>
                        <w:sz w:val="18"/>
                      </w:rPr>
                      <w:t>10</w:t>
                    </w:r>
                  </w:p>
                </w:txbxContent>
              </v:textbox>
              <w10:wrap type="none"/>
            </v:shape>
            <v:shape style="position:absolute;left:5102;top:1210;width:183;height:183" type="#_x0000_t202" filled="false" stroked="false">
              <v:textbox inset="0,0,0,0">
                <w:txbxContent>
                  <w:p>
                    <w:pPr>
                      <w:spacing w:line="183" w:lineRule="exact" w:before="0"/>
                      <w:ind w:left="0" w:right="-20" w:firstLine="0"/>
                      <w:jc w:val="left"/>
                      <w:rPr>
                        <w:rFonts w:ascii="Calibri"/>
                        <w:sz w:val="18"/>
                      </w:rPr>
                    </w:pPr>
                    <w:r>
                      <w:rPr>
                        <w:rFonts w:ascii="Calibri"/>
                        <w:sz w:val="18"/>
                      </w:rPr>
                      <w:t>10</w:t>
                    </w:r>
                  </w:p>
                </w:txbxContent>
              </v:textbox>
              <w10:wrap type="none"/>
            </v:shape>
            <v:shape style="position:absolute;left:9407;top:1099;width:183;height:183" type="#_x0000_t202" filled="false" stroked="false">
              <v:textbox inset="0,0,0,0">
                <w:txbxContent>
                  <w:p>
                    <w:pPr>
                      <w:spacing w:line="182" w:lineRule="exact" w:before="0"/>
                      <w:ind w:left="0" w:right="-20" w:firstLine="0"/>
                      <w:jc w:val="left"/>
                      <w:rPr>
                        <w:rFonts w:ascii="Calibri"/>
                        <w:sz w:val="18"/>
                      </w:rPr>
                    </w:pPr>
                    <w:r>
                      <w:rPr>
                        <w:rFonts w:ascii="Calibri"/>
                        <w:sz w:val="18"/>
                      </w:rPr>
                      <w:t>12</w:t>
                    </w:r>
                  </w:p>
                </w:txbxContent>
              </v:textbox>
              <w10:wrap type="none"/>
            </v:shape>
            <v:shape style="position:absolute;left:2567;top:1613;width:93;height:183" type="#_x0000_t202" filled="false" stroked="false">
              <v:textbox inset="0,0,0,0">
                <w:txbxContent>
                  <w:p>
                    <w:pPr>
                      <w:spacing w:line="182" w:lineRule="exact" w:before="0"/>
                      <w:ind w:left="0" w:right="0" w:firstLine="0"/>
                      <w:jc w:val="left"/>
                      <w:rPr>
                        <w:rFonts w:ascii="Calibri"/>
                        <w:sz w:val="18"/>
                      </w:rPr>
                    </w:pPr>
                    <w:r>
                      <w:rPr>
                        <w:rFonts w:ascii="Calibri"/>
                        <w:w w:val="101"/>
                        <w:sz w:val="18"/>
                      </w:rPr>
                      <w:t>4</w:t>
                    </w:r>
                  </w:p>
                </w:txbxContent>
              </v:textbox>
              <w10:wrap type="none"/>
            </v:shape>
            <v:shape style="position:absolute;left:6011;top:1546;width:93;height:183" type="#_x0000_t202" filled="false" stroked="false">
              <v:textbox inset="0,0,0,0">
                <w:txbxContent>
                  <w:p>
                    <w:pPr>
                      <w:spacing w:line="182" w:lineRule="exact" w:before="0"/>
                      <w:ind w:left="0" w:right="0" w:firstLine="0"/>
                      <w:jc w:val="left"/>
                      <w:rPr>
                        <w:rFonts w:ascii="Calibri"/>
                        <w:sz w:val="18"/>
                      </w:rPr>
                    </w:pPr>
                    <w:r>
                      <w:rPr>
                        <w:rFonts w:ascii="Calibri"/>
                        <w:w w:val="101"/>
                        <w:sz w:val="18"/>
                      </w:rPr>
                      <w:t>5</w:t>
                    </w:r>
                  </w:p>
                </w:txbxContent>
              </v:textbox>
              <w10:wrap type="none"/>
            </v:shape>
            <v:shape style="position:absolute;left:10316;top:1613;width:93;height:183" type="#_x0000_t202" filled="false" stroked="false">
              <v:textbox inset="0,0,0,0">
                <w:txbxContent>
                  <w:p>
                    <w:pPr>
                      <w:spacing w:line="182" w:lineRule="exact" w:before="0"/>
                      <w:ind w:left="0" w:right="0" w:firstLine="0"/>
                      <w:jc w:val="left"/>
                      <w:rPr>
                        <w:rFonts w:ascii="Calibri"/>
                        <w:sz w:val="18"/>
                      </w:rPr>
                    </w:pPr>
                    <w:r>
                      <w:rPr>
                        <w:rFonts w:ascii="Calibri"/>
                        <w:w w:val="101"/>
                        <w:sz w:val="18"/>
                      </w:rPr>
                      <w:t>4</w:t>
                    </w:r>
                  </w:p>
                </w:txbxContent>
              </v:textbox>
              <w10:wrap type="none"/>
            </v:shape>
            <v:shape style="position:absolute;left:4289;top:1813;width:93;height:183" type="#_x0000_t202" filled="false" stroked="false">
              <v:textbox inset="0,0,0,0">
                <w:txbxContent>
                  <w:p>
                    <w:pPr>
                      <w:spacing w:line="182" w:lineRule="exact" w:before="0"/>
                      <w:ind w:left="0" w:right="0" w:firstLine="0"/>
                      <w:jc w:val="left"/>
                      <w:rPr>
                        <w:rFonts w:ascii="Calibri"/>
                        <w:sz w:val="18"/>
                      </w:rPr>
                    </w:pPr>
                    <w:r>
                      <w:rPr>
                        <w:rFonts w:ascii="Calibri"/>
                        <w:w w:val="101"/>
                        <w:sz w:val="18"/>
                      </w:rPr>
                      <w:t>1</w:t>
                    </w:r>
                  </w:p>
                </w:txbxContent>
              </v:textbox>
              <w10:wrap type="none"/>
            </v:shape>
            <w10:wrap type="topAndBottom"/>
          </v:group>
        </w:pict>
      </w:r>
    </w:p>
    <w:p>
      <w:pPr>
        <w:spacing w:before="98"/>
        <w:ind w:left="119" w:right="0" w:firstLine="0"/>
        <w:jc w:val="both"/>
        <w:rPr>
          <w:sz w:val="20"/>
        </w:rPr>
      </w:pPr>
      <w:r>
        <w:rPr>
          <w:sz w:val="20"/>
        </w:rPr>
        <w:t>Fuente: Mendoza Baruch, sobre la base de encuestas, 2013.</w:t>
      </w:r>
    </w:p>
    <w:p>
      <w:pPr>
        <w:pStyle w:val="BodyText"/>
        <w:rPr>
          <w:sz w:val="20"/>
        </w:rPr>
      </w:pPr>
    </w:p>
    <w:p>
      <w:pPr>
        <w:pStyle w:val="BodyText"/>
        <w:rPr>
          <w:sz w:val="16"/>
        </w:rPr>
      </w:pPr>
    </w:p>
    <w:p>
      <w:pPr>
        <w:pStyle w:val="BodyText"/>
        <w:spacing w:line="360" w:lineRule="auto"/>
        <w:ind w:left="119" w:right="573"/>
        <w:jc w:val="both"/>
      </w:pPr>
      <w:r>
        <w:rPr/>
        <w:t>En</w:t>
      </w:r>
      <w:r>
        <w:rPr>
          <w:spacing w:val="-6"/>
        </w:rPr>
        <w:t> </w:t>
      </w:r>
      <w:r>
        <w:rPr/>
        <w:t>cuanto</w:t>
      </w:r>
      <w:r>
        <w:rPr>
          <w:spacing w:val="-10"/>
        </w:rPr>
        <w:t> </w:t>
      </w:r>
      <w:r>
        <w:rPr/>
        <w:t>al</w:t>
      </w:r>
      <w:r>
        <w:rPr>
          <w:spacing w:val="-7"/>
        </w:rPr>
        <w:t> </w:t>
      </w:r>
      <w:r>
        <w:rPr/>
        <w:t>tiempo</w:t>
      </w:r>
      <w:r>
        <w:rPr>
          <w:spacing w:val="-6"/>
        </w:rPr>
        <w:t> </w:t>
      </w:r>
      <w:r>
        <w:rPr/>
        <w:t>de</w:t>
      </w:r>
      <w:r>
        <w:rPr>
          <w:spacing w:val="-6"/>
        </w:rPr>
        <w:t> </w:t>
      </w:r>
      <w:r>
        <w:rPr/>
        <w:t>vivir</w:t>
      </w:r>
      <w:r>
        <w:rPr>
          <w:spacing w:val="-10"/>
        </w:rPr>
        <w:t> </w:t>
      </w:r>
      <w:r>
        <w:rPr/>
        <w:t>en</w:t>
      </w:r>
      <w:r>
        <w:rPr>
          <w:spacing w:val="-15"/>
        </w:rPr>
        <w:t> </w:t>
      </w:r>
      <w:r>
        <w:rPr/>
        <w:t>la</w:t>
      </w:r>
      <w:r>
        <w:rPr>
          <w:spacing w:val="-15"/>
        </w:rPr>
        <w:t> </w:t>
      </w:r>
      <w:r>
        <w:rPr/>
        <w:t>localidad,</w:t>
      </w:r>
      <w:r>
        <w:rPr>
          <w:spacing w:val="-11"/>
        </w:rPr>
        <w:t> </w:t>
      </w:r>
      <w:r>
        <w:rPr/>
        <w:t>64%</w:t>
      </w:r>
      <w:r>
        <w:rPr>
          <w:spacing w:val="-9"/>
        </w:rPr>
        <w:t> </w:t>
      </w:r>
      <w:r>
        <w:rPr/>
        <w:t>de</w:t>
      </w:r>
      <w:r>
        <w:rPr>
          <w:spacing w:val="-11"/>
        </w:rPr>
        <w:t> </w:t>
      </w:r>
      <w:r>
        <w:rPr/>
        <w:t>los</w:t>
      </w:r>
      <w:r>
        <w:rPr>
          <w:spacing w:val="-12"/>
        </w:rPr>
        <w:t> </w:t>
      </w:r>
      <w:r>
        <w:rPr/>
        <w:t>entrevistados</w:t>
      </w:r>
      <w:r>
        <w:rPr>
          <w:spacing w:val="-7"/>
        </w:rPr>
        <w:t> </w:t>
      </w:r>
      <w:r>
        <w:rPr/>
        <w:t>menciono</w:t>
      </w:r>
      <w:r>
        <w:rPr>
          <w:spacing w:val="-11"/>
        </w:rPr>
        <w:t> </w:t>
      </w:r>
      <w:r>
        <w:rPr/>
        <w:t>que tiene </w:t>
      </w:r>
      <w:r>
        <w:rPr>
          <w:spacing w:val="-3"/>
        </w:rPr>
        <w:t>más </w:t>
      </w:r>
      <w:r>
        <w:rPr/>
        <w:t>5 años, el 28% de 1 a 5 años y el 8% restante menos de 1 año. Con respecto</w:t>
      </w:r>
      <w:r>
        <w:rPr>
          <w:spacing w:val="-10"/>
        </w:rPr>
        <w:t> </w:t>
      </w:r>
      <w:r>
        <w:rPr/>
        <w:t>al</w:t>
      </w:r>
      <w:r>
        <w:rPr>
          <w:spacing w:val="-7"/>
        </w:rPr>
        <w:t> </w:t>
      </w:r>
      <w:r>
        <w:rPr/>
        <w:t>núcleo</w:t>
      </w:r>
      <w:r>
        <w:rPr>
          <w:spacing w:val="-11"/>
        </w:rPr>
        <w:t> </w:t>
      </w:r>
      <w:r>
        <w:rPr/>
        <w:t>familiar</w:t>
      </w:r>
      <w:r>
        <w:rPr>
          <w:spacing w:val="-10"/>
        </w:rPr>
        <w:t> </w:t>
      </w:r>
      <w:r>
        <w:rPr/>
        <w:t>se</w:t>
      </w:r>
      <w:r>
        <w:rPr>
          <w:spacing w:val="-11"/>
        </w:rPr>
        <w:t> </w:t>
      </w:r>
      <w:r>
        <w:rPr/>
        <w:t>le</w:t>
      </w:r>
      <w:r>
        <w:rPr>
          <w:spacing w:val="-11"/>
        </w:rPr>
        <w:t> </w:t>
      </w:r>
      <w:r>
        <w:rPr/>
        <w:t>pregunto</w:t>
      </w:r>
      <w:r>
        <w:rPr>
          <w:spacing w:val="-11"/>
        </w:rPr>
        <w:t> </w:t>
      </w:r>
      <w:r>
        <w:rPr/>
        <w:t>su</w:t>
      </w:r>
      <w:r>
        <w:rPr>
          <w:spacing w:val="-11"/>
        </w:rPr>
        <w:t> </w:t>
      </w:r>
      <w:r>
        <w:rPr/>
        <w:t>lugar</w:t>
      </w:r>
      <w:r>
        <w:rPr>
          <w:spacing w:val="-10"/>
        </w:rPr>
        <w:t> </w:t>
      </w:r>
      <w:r>
        <w:rPr/>
        <w:t>de</w:t>
      </w:r>
      <w:r>
        <w:rPr>
          <w:spacing w:val="-11"/>
        </w:rPr>
        <w:t> </w:t>
      </w:r>
      <w:r>
        <w:rPr/>
        <w:t>procedencia,</w:t>
      </w:r>
      <w:r>
        <w:rPr>
          <w:spacing w:val="-11"/>
        </w:rPr>
        <w:t> </w:t>
      </w:r>
      <w:r>
        <w:rPr/>
        <w:t>en</w:t>
      </w:r>
      <w:r>
        <w:rPr>
          <w:spacing w:val="-11"/>
        </w:rPr>
        <w:t> </w:t>
      </w:r>
      <w:r>
        <w:rPr/>
        <w:t>donde</w:t>
      </w:r>
      <w:r>
        <w:rPr>
          <w:spacing w:val="-11"/>
        </w:rPr>
        <w:t> </w:t>
      </w:r>
      <w:r>
        <w:rPr/>
        <w:t>el</w:t>
      </w:r>
      <w:r>
        <w:rPr>
          <w:spacing w:val="-7"/>
        </w:rPr>
        <w:t> </w:t>
      </w:r>
      <w:r>
        <w:rPr/>
        <w:t>35% proviene del Distrito Federal, el 60% son originarios del municipio y 5% de otros estados de la República Mexicana. La elevada tasa de población que no es originaria de la entidad, expone el papel de la inmigración, como causa del incremento de población y la presión que ejerce en las zonas no aptas para el desarrollo</w:t>
      </w:r>
      <w:r>
        <w:rPr>
          <w:spacing w:val="-6"/>
        </w:rPr>
        <w:t> </w:t>
      </w:r>
      <w:r>
        <w:rPr/>
        <w:t>urbano.</w:t>
      </w:r>
    </w:p>
    <w:p>
      <w:pPr>
        <w:spacing w:after="0" w:line="360" w:lineRule="auto"/>
        <w:jc w:val="both"/>
        <w:sectPr>
          <w:pgSz w:w="12240" w:h="15840"/>
          <w:pgMar w:header="0" w:footer="1031" w:top="1360" w:bottom="1220" w:left="1580" w:right="1120"/>
        </w:sectPr>
      </w:pPr>
    </w:p>
    <w:p>
      <w:pPr>
        <w:pStyle w:val="BodyText"/>
        <w:rPr>
          <w:sz w:val="20"/>
        </w:rPr>
      </w:pPr>
    </w:p>
    <w:p>
      <w:pPr>
        <w:pStyle w:val="BodyText"/>
        <w:spacing w:before="11"/>
        <w:rPr>
          <w:sz w:val="21"/>
        </w:rPr>
      </w:pPr>
    </w:p>
    <w:p>
      <w:pPr>
        <w:spacing w:before="73"/>
        <w:ind w:left="409" w:right="0" w:firstLine="0"/>
        <w:jc w:val="left"/>
        <w:rPr>
          <w:sz w:val="22"/>
        </w:rPr>
      </w:pPr>
      <w:r>
        <w:rPr>
          <w:sz w:val="22"/>
        </w:rPr>
        <w:t>Tabla 14. Características de los servicios e infraestructura en la vivienda en las localidades de estudio del municipio de Lerma.</w:t>
      </w:r>
    </w:p>
    <w:p>
      <w:pPr>
        <w:pStyle w:val="BodyText"/>
        <w:spacing w:before="2"/>
        <w:rPr>
          <w:sz w:val="22"/>
        </w:rPr>
      </w:pPr>
    </w:p>
    <w:tbl>
      <w:tblPr>
        <w:tblW w:w="0" w:type="auto"/>
        <w:jc w:val="left"/>
        <w:tblInd w:w="4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58"/>
        <w:gridCol w:w="1209"/>
        <w:gridCol w:w="1385"/>
        <w:gridCol w:w="1858"/>
        <w:gridCol w:w="2092"/>
        <w:gridCol w:w="2431"/>
        <w:gridCol w:w="1603"/>
      </w:tblGrid>
      <w:tr>
        <w:trPr>
          <w:trHeight w:val="297" w:hRule="exact"/>
        </w:trPr>
        <w:tc>
          <w:tcPr>
            <w:tcW w:w="1858" w:type="dxa"/>
            <w:tcBorders>
              <w:left w:val="nil"/>
              <w:bottom w:val="nil"/>
              <w:right w:val="nil"/>
            </w:tcBorders>
          </w:tcPr>
          <w:p>
            <w:pPr>
              <w:pStyle w:val="TableParagraph"/>
              <w:spacing w:line="220" w:lineRule="exact"/>
              <w:ind w:left="121" w:right="102"/>
              <w:jc w:val="center"/>
              <w:rPr>
                <w:b/>
                <w:sz w:val="20"/>
              </w:rPr>
            </w:pPr>
            <w:r>
              <w:rPr>
                <w:b/>
                <w:sz w:val="20"/>
              </w:rPr>
              <w:t>Nombre de la</w:t>
            </w:r>
          </w:p>
        </w:tc>
        <w:tc>
          <w:tcPr>
            <w:tcW w:w="1209" w:type="dxa"/>
            <w:tcBorders>
              <w:left w:val="nil"/>
              <w:bottom w:val="nil"/>
              <w:right w:val="nil"/>
            </w:tcBorders>
          </w:tcPr>
          <w:p>
            <w:pPr>
              <w:pStyle w:val="TableParagraph"/>
              <w:spacing w:line="220" w:lineRule="exact"/>
              <w:ind w:left="106" w:right="107"/>
              <w:jc w:val="center"/>
              <w:rPr>
                <w:b/>
                <w:sz w:val="20"/>
              </w:rPr>
            </w:pPr>
            <w:r>
              <w:rPr>
                <w:b/>
                <w:sz w:val="20"/>
              </w:rPr>
              <w:t>Población</w:t>
            </w:r>
          </w:p>
        </w:tc>
        <w:tc>
          <w:tcPr>
            <w:tcW w:w="1385" w:type="dxa"/>
            <w:tcBorders>
              <w:left w:val="nil"/>
              <w:bottom w:val="nil"/>
              <w:right w:val="nil"/>
            </w:tcBorders>
          </w:tcPr>
          <w:p>
            <w:pPr>
              <w:pStyle w:val="TableParagraph"/>
              <w:spacing w:line="220" w:lineRule="exact"/>
              <w:ind w:left="105" w:right="100"/>
              <w:jc w:val="center"/>
              <w:rPr>
                <w:b/>
                <w:sz w:val="20"/>
              </w:rPr>
            </w:pPr>
            <w:r>
              <w:rPr>
                <w:b/>
                <w:sz w:val="20"/>
              </w:rPr>
              <w:t>Total de</w:t>
            </w:r>
          </w:p>
        </w:tc>
        <w:tc>
          <w:tcPr>
            <w:tcW w:w="1858" w:type="dxa"/>
            <w:tcBorders>
              <w:left w:val="nil"/>
              <w:bottom w:val="nil"/>
              <w:right w:val="nil"/>
            </w:tcBorders>
          </w:tcPr>
          <w:p>
            <w:pPr>
              <w:pStyle w:val="TableParagraph"/>
              <w:spacing w:line="220" w:lineRule="exact"/>
              <w:ind w:left="105" w:right="110"/>
              <w:jc w:val="center"/>
              <w:rPr>
                <w:b/>
                <w:sz w:val="20"/>
              </w:rPr>
            </w:pPr>
            <w:r>
              <w:rPr>
                <w:b/>
                <w:sz w:val="20"/>
              </w:rPr>
              <w:t>Población</w:t>
            </w:r>
          </w:p>
        </w:tc>
        <w:tc>
          <w:tcPr>
            <w:tcW w:w="2092" w:type="dxa"/>
            <w:tcBorders>
              <w:left w:val="nil"/>
              <w:bottom w:val="nil"/>
              <w:right w:val="nil"/>
            </w:tcBorders>
          </w:tcPr>
          <w:p>
            <w:pPr>
              <w:pStyle w:val="TableParagraph"/>
              <w:spacing w:line="220" w:lineRule="exact"/>
              <w:ind w:left="110" w:right="129"/>
              <w:jc w:val="center"/>
              <w:rPr>
                <w:b/>
                <w:sz w:val="20"/>
              </w:rPr>
            </w:pPr>
            <w:r>
              <w:rPr>
                <w:b/>
                <w:sz w:val="20"/>
              </w:rPr>
              <w:t>*Viviendas</w:t>
            </w:r>
          </w:p>
        </w:tc>
        <w:tc>
          <w:tcPr>
            <w:tcW w:w="2431" w:type="dxa"/>
            <w:tcBorders>
              <w:left w:val="nil"/>
              <w:bottom w:val="nil"/>
              <w:right w:val="nil"/>
            </w:tcBorders>
          </w:tcPr>
          <w:p>
            <w:pPr>
              <w:pStyle w:val="TableParagraph"/>
              <w:spacing w:line="220" w:lineRule="exact"/>
              <w:ind w:left="134" w:right="134"/>
              <w:jc w:val="center"/>
              <w:rPr>
                <w:b/>
                <w:sz w:val="20"/>
              </w:rPr>
            </w:pPr>
            <w:r>
              <w:rPr>
                <w:b/>
                <w:sz w:val="20"/>
              </w:rPr>
              <w:t>Viviendas particulares</w:t>
            </w:r>
          </w:p>
        </w:tc>
        <w:tc>
          <w:tcPr>
            <w:tcW w:w="1603" w:type="dxa"/>
            <w:tcBorders>
              <w:left w:val="nil"/>
              <w:bottom w:val="nil"/>
              <w:right w:val="nil"/>
            </w:tcBorders>
          </w:tcPr>
          <w:p>
            <w:pPr>
              <w:pStyle w:val="TableParagraph"/>
              <w:spacing w:line="220" w:lineRule="exact"/>
              <w:ind w:left="135" w:right="145"/>
              <w:jc w:val="center"/>
              <w:rPr>
                <w:b/>
                <w:sz w:val="20"/>
              </w:rPr>
            </w:pPr>
            <w:r>
              <w:rPr>
                <w:b/>
                <w:sz w:val="20"/>
              </w:rPr>
              <w:t>Viviendas</w:t>
            </w:r>
          </w:p>
        </w:tc>
      </w:tr>
      <w:tr>
        <w:trPr>
          <w:trHeight w:val="346" w:hRule="exact"/>
        </w:trPr>
        <w:tc>
          <w:tcPr>
            <w:tcW w:w="1858" w:type="dxa"/>
            <w:tcBorders>
              <w:top w:val="nil"/>
              <w:left w:val="nil"/>
              <w:bottom w:val="nil"/>
              <w:right w:val="nil"/>
            </w:tcBorders>
          </w:tcPr>
          <w:p>
            <w:pPr>
              <w:pStyle w:val="TableParagraph"/>
              <w:spacing w:before="47"/>
              <w:ind w:left="118" w:right="107"/>
              <w:jc w:val="center"/>
              <w:rPr>
                <w:b/>
                <w:sz w:val="20"/>
              </w:rPr>
            </w:pPr>
            <w:r>
              <w:rPr>
                <w:b/>
                <w:sz w:val="20"/>
              </w:rPr>
              <w:t>localidad</w:t>
            </w:r>
          </w:p>
        </w:tc>
        <w:tc>
          <w:tcPr>
            <w:tcW w:w="1209" w:type="dxa"/>
            <w:tcBorders>
              <w:top w:val="nil"/>
              <w:left w:val="nil"/>
              <w:bottom w:val="nil"/>
              <w:right w:val="nil"/>
            </w:tcBorders>
          </w:tcPr>
          <w:p>
            <w:pPr>
              <w:pStyle w:val="TableParagraph"/>
              <w:spacing w:before="47"/>
              <w:ind w:left="104" w:right="107"/>
              <w:jc w:val="center"/>
              <w:rPr>
                <w:b/>
                <w:sz w:val="20"/>
              </w:rPr>
            </w:pPr>
            <w:r>
              <w:rPr>
                <w:b/>
                <w:sz w:val="20"/>
              </w:rPr>
              <w:t>total</w:t>
            </w:r>
          </w:p>
        </w:tc>
        <w:tc>
          <w:tcPr>
            <w:tcW w:w="1385" w:type="dxa"/>
            <w:tcBorders>
              <w:top w:val="nil"/>
              <w:left w:val="nil"/>
              <w:bottom w:val="nil"/>
              <w:right w:val="nil"/>
            </w:tcBorders>
          </w:tcPr>
          <w:p>
            <w:pPr>
              <w:pStyle w:val="TableParagraph"/>
              <w:spacing w:before="47"/>
              <w:ind w:left="105" w:right="99"/>
              <w:jc w:val="center"/>
              <w:rPr>
                <w:b/>
                <w:sz w:val="20"/>
              </w:rPr>
            </w:pPr>
            <w:r>
              <w:rPr>
                <w:b/>
                <w:sz w:val="20"/>
              </w:rPr>
              <w:t>viviendas</w:t>
            </w:r>
          </w:p>
        </w:tc>
        <w:tc>
          <w:tcPr>
            <w:tcW w:w="1858" w:type="dxa"/>
            <w:tcBorders>
              <w:top w:val="nil"/>
              <w:left w:val="nil"/>
              <w:bottom w:val="nil"/>
              <w:right w:val="nil"/>
            </w:tcBorders>
          </w:tcPr>
          <w:p>
            <w:pPr>
              <w:pStyle w:val="TableParagraph"/>
              <w:spacing w:before="47"/>
              <w:ind w:left="107" w:right="110"/>
              <w:jc w:val="center"/>
              <w:rPr>
                <w:b/>
                <w:sz w:val="20"/>
              </w:rPr>
            </w:pPr>
            <w:r>
              <w:rPr>
                <w:b/>
                <w:sz w:val="20"/>
              </w:rPr>
              <w:t>derechohabiente</w:t>
            </w:r>
          </w:p>
        </w:tc>
        <w:tc>
          <w:tcPr>
            <w:tcW w:w="2092" w:type="dxa"/>
            <w:tcBorders>
              <w:top w:val="nil"/>
              <w:left w:val="nil"/>
              <w:bottom w:val="nil"/>
              <w:right w:val="nil"/>
            </w:tcBorders>
          </w:tcPr>
          <w:p>
            <w:pPr>
              <w:pStyle w:val="TableParagraph"/>
              <w:spacing w:before="47"/>
              <w:ind w:left="110" w:right="124"/>
              <w:jc w:val="center"/>
              <w:rPr>
                <w:b/>
                <w:sz w:val="20"/>
              </w:rPr>
            </w:pPr>
            <w:r>
              <w:rPr>
                <w:b/>
                <w:sz w:val="20"/>
              </w:rPr>
              <w:t>particulares</w:t>
            </w:r>
          </w:p>
        </w:tc>
        <w:tc>
          <w:tcPr>
            <w:tcW w:w="2431" w:type="dxa"/>
            <w:tcBorders>
              <w:top w:val="nil"/>
              <w:left w:val="nil"/>
              <w:bottom w:val="nil"/>
              <w:right w:val="nil"/>
            </w:tcBorders>
          </w:tcPr>
          <w:p>
            <w:pPr>
              <w:pStyle w:val="TableParagraph"/>
              <w:spacing w:before="47"/>
              <w:ind w:left="134" w:right="134"/>
              <w:jc w:val="center"/>
              <w:rPr>
                <w:b/>
                <w:sz w:val="20"/>
              </w:rPr>
            </w:pPr>
            <w:r>
              <w:rPr>
                <w:b/>
                <w:sz w:val="20"/>
              </w:rPr>
              <w:t>habitadas que</w:t>
            </w:r>
          </w:p>
        </w:tc>
        <w:tc>
          <w:tcPr>
            <w:tcW w:w="1603" w:type="dxa"/>
            <w:tcBorders>
              <w:top w:val="nil"/>
              <w:left w:val="nil"/>
              <w:bottom w:val="nil"/>
              <w:right w:val="nil"/>
            </w:tcBorders>
          </w:tcPr>
          <w:p>
            <w:pPr>
              <w:pStyle w:val="TableParagraph"/>
              <w:spacing w:before="47"/>
              <w:ind w:left="134" w:right="150"/>
              <w:jc w:val="center"/>
              <w:rPr>
                <w:b/>
                <w:sz w:val="20"/>
              </w:rPr>
            </w:pPr>
            <w:r>
              <w:rPr>
                <w:b/>
                <w:sz w:val="20"/>
              </w:rPr>
              <w:t>particulares</w:t>
            </w:r>
          </w:p>
        </w:tc>
      </w:tr>
      <w:tr>
        <w:trPr>
          <w:trHeight w:val="343" w:hRule="exact"/>
        </w:trPr>
        <w:tc>
          <w:tcPr>
            <w:tcW w:w="1858" w:type="dxa"/>
            <w:tcBorders>
              <w:top w:val="nil"/>
              <w:left w:val="nil"/>
              <w:bottom w:val="nil"/>
              <w:right w:val="nil"/>
            </w:tcBorders>
          </w:tcPr>
          <w:p>
            <w:pPr/>
          </w:p>
        </w:tc>
        <w:tc>
          <w:tcPr>
            <w:tcW w:w="1209" w:type="dxa"/>
            <w:tcBorders>
              <w:top w:val="nil"/>
              <w:left w:val="nil"/>
              <w:bottom w:val="nil"/>
              <w:right w:val="nil"/>
            </w:tcBorders>
          </w:tcPr>
          <w:p>
            <w:pPr/>
          </w:p>
        </w:tc>
        <w:tc>
          <w:tcPr>
            <w:tcW w:w="1385" w:type="dxa"/>
            <w:tcBorders>
              <w:top w:val="nil"/>
              <w:left w:val="nil"/>
              <w:bottom w:val="nil"/>
              <w:right w:val="nil"/>
            </w:tcBorders>
          </w:tcPr>
          <w:p>
            <w:pPr>
              <w:pStyle w:val="TableParagraph"/>
              <w:spacing w:before="48"/>
              <w:ind w:left="105" w:right="104"/>
              <w:jc w:val="center"/>
              <w:rPr>
                <w:b/>
                <w:sz w:val="20"/>
              </w:rPr>
            </w:pPr>
            <w:r>
              <w:rPr>
                <w:b/>
                <w:sz w:val="20"/>
              </w:rPr>
              <w:t>particulares</w:t>
            </w:r>
          </w:p>
        </w:tc>
        <w:tc>
          <w:tcPr>
            <w:tcW w:w="1858" w:type="dxa"/>
            <w:tcBorders>
              <w:top w:val="nil"/>
              <w:left w:val="nil"/>
              <w:bottom w:val="nil"/>
              <w:right w:val="nil"/>
            </w:tcBorders>
          </w:tcPr>
          <w:p>
            <w:pPr>
              <w:pStyle w:val="TableParagraph"/>
              <w:spacing w:before="48"/>
              <w:ind w:left="107" w:right="109"/>
              <w:jc w:val="center"/>
              <w:rPr>
                <w:b/>
                <w:sz w:val="20"/>
              </w:rPr>
            </w:pPr>
            <w:r>
              <w:rPr>
                <w:b/>
                <w:sz w:val="20"/>
              </w:rPr>
              <w:t>a servicios de</w:t>
            </w:r>
          </w:p>
        </w:tc>
        <w:tc>
          <w:tcPr>
            <w:tcW w:w="2092" w:type="dxa"/>
            <w:tcBorders>
              <w:top w:val="nil"/>
              <w:left w:val="nil"/>
              <w:bottom w:val="nil"/>
              <w:right w:val="nil"/>
            </w:tcBorders>
          </w:tcPr>
          <w:p>
            <w:pPr>
              <w:pStyle w:val="TableParagraph"/>
              <w:spacing w:before="48"/>
              <w:ind w:left="110" w:right="129"/>
              <w:jc w:val="center"/>
              <w:rPr>
                <w:b/>
                <w:sz w:val="20"/>
              </w:rPr>
            </w:pPr>
            <w:r>
              <w:rPr>
                <w:b/>
                <w:sz w:val="20"/>
              </w:rPr>
              <w:t>habitadas con piso</w:t>
            </w:r>
          </w:p>
        </w:tc>
        <w:tc>
          <w:tcPr>
            <w:tcW w:w="2431" w:type="dxa"/>
            <w:tcBorders>
              <w:top w:val="nil"/>
              <w:left w:val="nil"/>
              <w:bottom w:val="nil"/>
              <w:right w:val="nil"/>
            </w:tcBorders>
          </w:tcPr>
          <w:p>
            <w:pPr>
              <w:pStyle w:val="TableParagraph"/>
              <w:spacing w:before="48"/>
              <w:ind w:left="134" w:right="134"/>
              <w:jc w:val="center"/>
              <w:rPr>
                <w:b/>
                <w:sz w:val="20"/>
              </w:rPr>
            </w:pPr>
            <w:r>
              <w:rPr>
                <w:b/>
                <w:sz w:val="20"/>
              </w:rPr>
              <w:t>disponen de luz</w:t>
            </w:r>
          </w:p>
        </w:tc>
        <w:tc>
          <w:tcPr>
            <w:tcW w:w="1603" w:type="dxa"/>
            <w:tcBorders>
              <w:top w:val="nil"/>
              <w:left w:val="nil"/>
              <w:bottom w:val="nil"/>
              <w:right w:val="nil"/>
            </w:tcBorders>
          </w:tcPr>
          <w:p>
            <w:pPr>
              <w:pStyle w:val="TableParagraph"/>
              <w:spacing w:before="48"/>
              <w:ind w:left="135" w:right="150"/>
              <w:jc w:val="center"/>
              <w:rPr>
                <w:b/>
                <w:sz w:val="20"/>
              </w:rPr>
            </w:pPr>
            <w:r>
              <w:rPr>
                <w:b/>
                <w:sz w:val="20"/>
              </w:rPr>
              <w:t>habitadas sin</w:t>
            </w:r>
          </w:p>
        </w:tc>
      </w:tr>
      <w:tr>
        <w:trPr>
          <w:trHeight w:val="343" w:hRule="exact"/>
        </w:trPr>
        <w:tc>
          <w:tcPr>
            <w:tcW w:w="1858" w:type="dxa"/>
            <w:tcBorders>
              <w:top w:val="nil"/>
              <w:left w:val="nil"/>
              <w:bottom w:val="nil"/>
              <w:right w:val="nil"/>
            </w:tcBorders>
          </w:tcPr>
          <w:p>
            <w:pPr/>
          </w:p>
        </w:tc>
        <w:tc>
          <w:tcPr>
            <w:tcW w:w="1209" w:type="dxa"/>
            <w:tcBorders>
              <w:top w:val="nil"/>
              <w:left w:val="nil"/>
              <w:bottom w:val="nil"/>
              <w:right w:val="nil"/>
            </w:tcBorders>
          </w:tcPr>
          <w:p>
            <w:pPr/>
          </w:p>
        </w:tc>
        <w:tc>
          <w:tcPr>
            <w:tcW w:w="1385" w:type="dxa"/>
            <w:tcBorders>
              <w:top w:val="nil"/>
              <w:left w:val="nil"/>
              <w:bottom w:val="nil"/>
              <w:right w:val="nil"/>
            </w:tcBorders>
          </w:tcPr>
          <w:p>
            <w:pPr>
              <w:pStyle w:val="TableParagraph"/>
              <w:spacing w:before="45"/>
              <w:ind w:left="105" w:right="99"/>
              <w:jc w:val="center"/>
              <w:rPr>
                <w:b/>
                <w:sz w:val="20"/>
              </w:rPr>
            </w:pPr>
            <w:r>
              <w:rPr>
                <w:b/>
                <w:sz w:val="20"/>
              </w:rPr>
              <w:t>habitadas</w:t>
            </w:r>
          </w:p>
        </w:tc>
        <w:tc>
          <w:tcPr>
            <w:tcW w:w="1858" w:type="dxa"/>
            <w:tcBorders>
              <w:top w:val="nil"/>
              <w:left w:val="nil"/>
              <w:bottom w:val="nil"/>
              <w:right w:val="nil"/>
            </w:tcBorders>
          </w:tcPr>
          <w:p>
            <w:pPr>
              <w:pStyle w:val="TableParagraph"/>
              <w:spacing w:before="45"/>
              <w:ind w:left="106" w:right="110"/>
              <w:jc w:val="center"/>
              <w:rPr>
                <w:b/>
                <w:sz w:val="20"/>
              </w:rPr>
            </w:pPr>
            <w:r>
              <w:rPr>
                <w:b/>
                <w:sz w:val="20"/>
              </w:rPr>
              <w:t>salud</w:t>
            </w:r>
          </w:p>
        </w:tc>
        <w:tc>
          <w:tcPr>
            <w:tcW w:w="2092" w:type="dxa"/>
            <w:tcBorders>
              <w:top w:val="nil"/>
              <w:left w:val="nil"/>
              <w:bottom w:val="nil"/>
              <w:right w:val="nil"/>
            </w:tcBorders>
          </w:tcPr>
          <w:p>
            <w:pPr>
              <w:pStyle w:val="TableParagraph"/>
              <w:spacing w:before="45"/>
              <w:ind w:left="107" w:right="129"/>
              <w:jc w:val="center"/>
              <w:rPr>
                <w:b/>
                <w:sz w:val="20"/>
              </w:rPr>
            </w:pPr>
            <w:r>
              <w:rPr>
                <w:b/>
                <w:sz w:val="20"/>
              </w:rPr>
              <w:t>de material</w:t>
            </w:r>
          </w:p>
        </w:tc>
        <w:tc>
          <w:tcPr>
            <w:tcW w:w="2431" w:type="dxa"/>
            <w:tcBorders>
              <w:top w:val="nil"/>
              <w:left w:val="nil"/>
              <w:bottom w:val="nil"/>
              <w:right w:val="nil"/>
            </w:tcBorders>
          </w:tcPr>
          <w:p>
            <w:pPr>
              <w:pStyle w:val="TableParagraph"/>
              <w:spacing w:before="45"/>
              <w:ind w:left="129" w:right="134"/>
              <w:jc w:val="center"/>
              <w:rPr>
                <w:b/>
                <w:sz w:val="20"/>
              </w:rPr>
            </w:pPr>
            <w:r>
              <w:rPr>
                <w:b/>
                <w:sz w:val="20"/>
              </w:rPr>
              <w:t>eléctrica, agua</w:t>
            </w:r>
          </w:p>
        </w:tc>
        <w:tc>
          <w:tcPr>
            <w:tcW w:w="1603" w:type="dxa"/>
            <w:tcBorders>
              <w:top w:val="nil"/>
              <w:left w:val="nil"/>
              <w:bottom w:val="nil"/>
              <w:right w:val="nil"/>
            </w:tcBorders>
          </w:tcPr>
          <w:p>
            <w:pPr>
              <w:pStyle w:val="TableParagraph"/>
              <w:spacing w:before="45"/>
              <w:ind w:left="135" w:right="150"/>
              <w:jc w:val="center"/>
              <w:rPr>
                <w:b/>
                <w:sz w:val="20"/>
              </w:rPr>
            </w:pPr>
            <w:r>
              <w:rPr>
                <w:b/>
                <w:sz w:val="20"/>
              </w:rPr>
              <w:t>ningún bien</w:t>
            </w:r>
          </w:p>
        </w:tc>
      </w:tr>
      <w:tr>
        <w:trPr>
          <w:trHeight w:val="346" w:hRule="exact"/>
        </w:trPr>
        <w:tc>
          <w:tcPr>
            <w:tcW w:w="1858" w:type="dxa"/>
            <w:tcBorders>
              <w:top w:val="nil"/>
              <w:left w:val="nil"/>
              <w:bottom w:val="nil"/>
              <w:right w:val="nil"/>
            </w:tcBorders>
          </w:tcPr>
          <w:p>
            <w:pPr/>
          </w:p>
        </w:tc>
        <w:tc>
          <w:tcPr>
            <w:tcW w:w="1209" w:type="dxa"/>
            <w:tcBorders>
              <w:top w:val="nil"/>
              <w:left w:val="nil"/>
              <w:bottom w:val="nil"/>
              <w:right w:val="nil"/>
            </w:tcBorders>
          </w:tcPr>
          <w:p>
            <w:pPr/>
          </w:p>
        </w:tc>
        <w:tc>
          <w:tcPr>
            <w:tcW w:w="1385" w:type="dxa"/>
            <w:tcBorders>
              <w:top w:val="nil"/>
              <w:left w:val="nil"/>
              <w:bottom w:val="nil"/>
              <w:right w:val="nil"/>
            </w:tcBorders>
          </w:tcPr>
          <w:p>
            <w:pPr/>
          </w:p>
        </w:tc>
        <w:tc>
          <w:tcPr>
            <w:tcW w:w="1858" w:type="dxa"/>
            <w:tcBorders>
              <w:top w:val="nil"/>
              <w:left w:val="nil"/>
              <w:bottom w:val="nil"/>
              <w:right w:val="nil"/>
            </w:tcBorders>
          </w:tcPr>
          <w:p>
            <w:pPr/>
          </w:p>
        </w:tc>
        <w:tc>
          <w:tcPr>
            <w:tcW w:w="2092" w:type="dxa"/>
            <w:tcBorders>
              <w:top w:val="nil"/>
              <w:left w:val="nil"/>
              <w:bottom w:val="nil"/>
              <w:right w:val="nil"/>
            </w:tcBorders>
          </w:tcPr>
          <w:p>
            <w:pPr>
              <w:pStyle w:val="TableParagraph"/>
              <w:spacing w:before="47"/>
              <w:ind w:left="110" w:right="125"/>
              <w:jc w:val="center"/>
              <w:rPr>
                <w:b/>
                <w:sz w:val="20"/>
              </w:rPr>
            </w:pPr>
            <w:r>
              <w:rPr>
                <w:b/>
                <w:sz w:val="20"/>
              </w:rPr>
              <w:t>diferente de tierra</w:t>
            </w:r>
          </w:p>
        </w:tc>
        <w:tc>
          <w:tcPr>
            <w:tcW w:w="2431" w:type="dxa"/>
            <w:tcBorders>
              <w:top w:val="nil"/>
              <w:left w:val="nil"/>
              <w:bottom w:val="nil"/>
              <w:right w:val="nil"/>
            </w:tcBorders>
          </w:tcPr>
          <w:p>
            <w:pPr>
              <w:pStyle w:val="TableParagraph"/>
              <w:spacing w:before="47"/>
              <w:ind w:left="131" w:right="134"/>
              <w:jc w:val="center"/>
              <w:rPr>
                <w:b/>
                <w:sz w:val="20"/>
              </w:rPr>
            </w:pPr>
            <w:r>
              <w:rPr>
                <w:b/>
                <w:sz w:val="20"/>
              </w:rPr>
              <w:t>entubada de la red</w:t>
            </w:r>
          </w:p>
        </w:tc>
        <w:tc>
          <w:tcPr>
            <w:tcW w:w="1603" w:type="dxa"/>
            <w:tcBorders>
              <w:top w:val="nil"/>
              <w:left w:val="nil"/>
              <w:bottom w:val="nil"/>
              <w:right w:val="nil"/>
            </w:tcBorders>
          </w:tcPr>
          <w:p>
            <w:pPr/>
          </w:p>
        </w:tc>
      </w:tr>
      <w:tr>
        <w:trPr>
          <w:trHeight w:val="413" w:hRule="exact"/>
        </w:trPr>
        <w:tc>
          <w:tcPr>
            <w:tcW w:w="1858" w:type="dxa"/>
            <w:tcBorders>
              <w:top w:val="nil"/>
              <w:left w:val="nil"/>
              <w:right w:val="nil"/>
            </w:tcBorders>
          </w:tcPr>
          <w:p>
            <w:pPr/>
          </w:p>
        </w:tc>
        <w:tc>
          <w:tcPr>
            <w:tcW w:w="1209" w:type="dxa"/>
            <w:tcBorders>
              <w:top w:val="nil"/>
              <w:left w:val="nil"/>
              <w:right w:val="nil"/>
            </w:tcBorders>
          </w:tcPr>
          <w:p>
            <w:pPr/>
          </w:p>
        </w:tc>
        <w:tc>
          <w:tcPr>
            <w:tcW w:w="1385" w:type="dxa"/>
            <w:tcBorders>
              <w:top w:val="nil"/>
              <w:left w:val="nil"/>
              <w:right w:val="nil"/>
            </w:tcBorders>
          </w:tcPr>
          <w:p>
            <w:pPr/>
          </w:p>
        </w:tc>
        <w:tc>
          <w:tcPr>
            <w:tcW w:w="1858" w:type="dxa"/>
            <w:tcBorders>
              <w:top w:val="nil"/>
              <w:left w:val="nil"/>
              <w:right w:val="nil"/>
            </w:tcBorders>
          </w:tcPr>
          <w:p>
            <w:pPr/>
          </w:p>
        </w:tc>
        <w:tc>
          <w:tcPr>
            <w:tcW w:w="2092" w:type="dxa"/>
            <w:tcBorders>
              <w:top w:val="nil"/>
              <w:left w:val="nil"/>
              <w:right w:val="nil"/>
            </w:tcBorders>
          </w:tcPr>
          <w:p>
            <w:pPr/>
          </w:p>
        </w:tc>
        <w:tc>
          <w:tcPr>
            <w:tcW w:w="2431" w:type="dxa"/>
            <w:tcBorders>
              <w:top w:val="nil"/>
              <w:left w:val="nil"/>
              <w:right w:val="nil"/>
            </w:tcBorders>
          </w:tcPr>
          <w:p>
            <w:pPr>
              <w:pStyle w:val="TableParagraph"/>
              <w:spacing w:before="47"/>
              <w:ind w:left="134" w:right="134"/>
              <w:jc w:val="center"/>
              <w:rPr>
                <w:b/>
                <w:sz w:val="20"/>
              </w:rPr>
            </w:pPr>
            <w:r>
              <w:rPr>
                <w:b/>
                <w:sz w:val="20"/>
              </w:rPr>
              <w:t>pública y drenaje</w:t>
            </w:r>
          </w:p>
        </w:tc>
        <w:tc>
          <w:tcPr>
            <w:tcW w:w="1603" w:type="dxa"/>
            <w:tcBorders>
              <w:top w:val="nil"/>
              <w:left w:val="nil"/>
              <w:right w:val="nil"/>
            </w:tcBorders>
          </w:tcPr>
          <w:p>
            <w:pPr/>
          </w:p>
        </w:tc>
      </w:tr>
      <w:tr>
        <w:trPr>
          <w:trHeight w:val="300" w:hRule="exact"/>
        </w:trPr>
        <w:tc>
          <w:tcPr>
            <w:tcW w:w="1858" w:type="dxa"/>
            <w:tcBorders>
              <w:left w:val="nil"/>
              <w:bottom w:val="nil"/>
              <w:right w:val="nil"/>
            </w:tcBorders>
          </w:tcPr>
          <w:p>
            <w:pPr>
              <w:pStyle w:val="TableParagraph"/>
              <w:spacing w:line="221" w:lineRule="exact"/>
              <w:ind w:left="121" w:right="106"/>
              <w:jc w:val="center"/>
              <w:rPr>
                <w:b/>
                <w:sz w:val="20"/>
              </w:rPr>
            </w:pPr>
            <w:r>
              <w:rPr>
                <w:b/>
                <w:sz w:val="20"/>
              </w:rPr>
              <w:t>Colonia</w:t>
            </w:r>
          </w:p>
        </w:tc>
        <w:tc>
          <w:tcPr>
            <w:tcW w:w="1209" w:type="dxa"/>
            <w:tcBorders>
              <w:left w:val="nil"/>
              <w:bottom w:val="nil"/>
              <w:right w:val="nil"/>
            </w:tcBorders>
          </w:tcPr>
          <w:p>
            <w:pPr>
              <w:pStyle w:val="TableParagraph"/>
              <w:spacing w:line="225" w:lineRule="exact"/>
              <w:ind w:left="101" w:right="107"/>
              <w:jc w:val="center"/>
              <w:rPr>
                <w:sz w:val="20"/>
              </w:rPr>
            </w:pPr>
            <w:r>
              <w:rPr>
                <w:sz w:val="20"/>
              </w:rPr>
              <w:t>1002</w:t>
            </w:r>
          </w:p>
        </w:tc>
        <w:tc>
          <w:tcPr>
            <w:tcW w:w="1385" w:type="dxa"/>
            <w:tcBorders>
              <w:left w:val="nil"/>
              <w:bottom w:val="nil"/>
              <w:right w:val="nil"/>
            </w:tcBorders>
          </w:tcPr>
          <w:p>
            <w:pPr>
              <w:pStyle w:val="TableParagraph"/>
              <w:spacing w:line="225" w:lineRule="exact"/>
              <w:ind w:left="103" w:right="104"/>
              <w:jc w:val="center"/>
              <w:rPr>
                <w:sz w:val="20"/>
              </w:rPr>
            </w:pPr>
            <w:r>
              <w:rPr>
                <w:sz w:val="20"/>
              </w:rPr>
              <w:t>225</w:t>
            </w:r>
          </w:p>
        </w:tc>
        <w:tc>
          <w:tcPr>
            <w:tcW w:w="1858" w:type="dxa"/>
            <w:tcBorders>
              <w:left w:val="nil"/>
              <w:bottom w:val="nil"/>
              <w:right w:val="nil"/>
            </w:tcBorders>
          </w:tcPr>
          <w:p>
            <w:pPr>
              <w:pStyle w:val="TableParagraph"/>
              <w:spacing w:line="225" w:lineRule="exact"/>
              <w:ind w:left="103" w:right="110"/>
              <w:jc w:val="center"/>
              <w:rPr>
                <w:sz w:val="20"/>
              </w:rPr>
            </w:pPr>
            <w:r>
              <w:rPr>
                <w:sz w:val="20"/>
              </w:rPr>
              <w:t>716</w:t>
            </w:r>
          </w:p>
        </w:tc>
        <w:tc>
          <w:tcPr>
            <w:tcW w:w="2092" w:type="dxa"/>
            <w:tcBorders>
              <w:left w:val="nil"/>
              <w:bottom w:val="nil"/>
              <w:right w:val="nil"/>
            </w:tcBorders>
          </w:tcPr>
          <w:p>
            <w:pPr>
              <w:pStyle w:val="TableParagraph"/>
              <w:spacing w:line="225" w:lineRule="exact"/>
              <w:ind w:left="109" w:right="129"/>
              <w:jc w:val="center"/>
              <w:rPr>
                <w:sz w:val="20"/>
              </w:rPr>
            </w:pPr>
            <w:r>
              <w:rPr>
                <w:sz w:val="20"/>
              </w:rPr>
              <w:t>213</w:t>
            </w:r>
          </w:p>
        </w:tc>
        <w:tc>
          <w:tcPr>
            <w:tcW w:w="2431" w:type="dxa"/>
            <w:tcBorders>
              <w:left w:val="nil"/>
              <w:bottom w:val="nil"/>
              <w:right w:val="nil"/>
            </w:tcBorders>
          </w:tcPr>
          <w:p>
            <w:pPr>
              <w:pStyle w:val="TableParagraph"/>
              <w:spacing w:line="225" w:lineRule="exact"/>
              <w:ind w:left="123" w:right="134"/>
              <w:jc w:val="center"/>
              <w:rPr>
                <w:sz w:val="20"/>
              </w:rPr>
            </w:pPr>
            <w:r>
              <w:rPr>
                <w:sz w:val="20"/>
              </w:rPr>
              <w:t>213</w:t>
            </w:r>
          </w:p>
        </w:tc>
        <w:tc>
          <w:tcPr>
            <w:tcW w:w="1603" w:type="dxa"/>
            <w:tcBorders>
              <w:left w:val="nil"/>
              <w:bottom w:val="nil"/>
              <w:right w:val="nil"/>
            </w:tcBorders>
          </w:tcPr>
          <w:p>
            <w:pPr>
              <w:pStyle w:val="TableParagraph"/>
              <w:spacing w:line="225" w:lineRule="exact"/>
              <w:ind w:right="10"/>
              <w:jc w:val="center"/>
              <w:rPr>
                <w:sz w:val="20"/>
              </w:rPr>
            </w:pPr>
            <w:r>
              <w:rPr>
                <w:w w:val="100"/>
                <w:sz w:val="20"/>
              </w:rPr>
              <w:t>1</w:t>
            </w:r>
          </w:p>
        </w:tc>
      </w:tr>
      <w:tr>
        <w:trPr>
          <w:trHeight w:val="343" w:hRule="exact"/>
        </w:trPr>
        <w:tc>
          <w:tcPr>
            <w:tcW w:w="1858" w:type="dxa"/>
            <w:tcBorders>
              <w:top w:val="nil"/>
              <w:left w:val="nil"/>
              <w:bottom w:val="nil"/>
              <w:right w:val="nil"/>
            </w:tcBorders>
          </w:tcPr>
          <w:p>
            <w:pPr>
              <w:pStyle w:val="TableParagraph"/>
              <w:spacing w:before="45"/>
              <w:ind w:left="121" w:right="107"/>
              <w:jc w:val="center"/>
              <w:rPr>
                <w:b/>
                <w:sz w:val="20"/>
              </w:rPr>
            </w:pPr>
            <w:r>
              <w:rPr>
                <w:b/>
                <w:sz w:val="20"/>
              </w:rPr>
              <w:t>Guadalupe la</w:t>
            </w:r>
          </w:p>
        </w:tc>
        <w:tc>
          <w:tcPr>
            <w:tcW w:w="1209" w:type="dxa"/>
            <w:tcBorders>
              <w:top w:val="nil"/>
              <w:left w:val="nil"/>
              <w:bottom w:val="nil"/>
              <w:right w:val="nil"/>
            </w:tcBorders>
          </w:tcPr>
          <w:p>
            <w:pPr/>
          </w:p>
        </w:tc>
        <w:tc>
          <w:tcPr>
            <w:tcW w:w="1385" w:type="dxa"/>
            <w:tcBorders>
              <w:top w:val="nil"/>
              <w:left w:val="nil"/>
              <w:bottom w:val="nil"/>
              <w:right w:val="nil"/>
            </w:tcBorders>
          </w:tcPr>
          <w:p>
            <w:pPr/>
          </w:p>
        </w:tc>
        <w:tc>
          <w:tcPr>
            <w:tcW w:w="1858" w:type="dxa"/>
            <w:tcBorders>
              <w:top w:val="nil"/>
              <w:left w:val="nil"/>
              <w:bottom w:val="nil"/>
              <w:right w:val="nil"/>
            </w:tcBorders>
          </w:tcPr>
          <w:p>
            <w:pPr/>
          </w:p>
        </w:tc>
        <w:tc>
          <w:tcPr>
            <w:tcW w:w="2092" w:type="dxa"/>
            <w:tcBorders>
              <w:top w:val="nil"/>
              <w:left w:val="nil"/>
              <w:bottom w:val="nil"/>
              <w:right w:val="nil"/>
            </w:tcBorders>
          </w:tcPr>
          <w:p>
            <w:pPr/>
          </w:p>
        </w:tc>
        <w:tc>
          <w:tcPr>
            <w:tcW w:w="2431" w:type="dxa"/>
            <w:tcBorders>
              <w:top w:val="nil"/>
              <w:left w:val="nil"/>
              <w:bottom w:val="nil"/>
              <w:right w:val="nil"/>
            </w:tcBorders>
          </w:tcPr>
          <w:p>
            <w:pPr/>
          </w:p>
        </w:tc>
        <w:tc>
          <w:tcPr>
            <w:tcW w:w="1603" w:type="dxa"/>
            <w:tcBorders>
              <w:top w:val="nil"/>
              <w:left w:val="nil"/>
              <w:bottom w:val="nil"/>
              <w:right w:val="nil"/>
            </w:tcBorders>
          </w:tcPr>
          <w:p>
            <w:pPr/>
          </w:p>
        </w:tc>
      </w:tr>
      <w:tr>
        <w:trPr>
          <w:trHeight w:val="346" w:hRule="exact"/>
        </w:trPr>
        <w:tc>
          <w:tcPr>
            <w:tcW w:w="1858" w:type="dxa"/>
            <w:tcBorders>
              <w:top w:val="nil"/>
              <w:left w:val="nil"/>
              <w:bottom w:val="nil"/>
              <w:right w:val="nil"/>
            </w:tcBorders>
          </w:tcPr>
          <w:p>
            <w:pPr>
              <w:pStyle w:val="TableParagraph"/>
              <w:spacing w:before="47"/>
              <w:ind w:left="121" w:right="101"/>
              <w:jc w:val="center"/>
              <w:rPr>
                <w:b/>
                <w:sz w:val="20"/>
              </w:rPr>
            </w:pPr>
            <w:r>
              <w:rPr>
                <w:b/>
                <w:sz w:val="20"/>
              </w:rPr>
              <w:t>Ciénega</w:t>
            </w:r>
          </w:p>
        </w:tc>
        <w:tc>
          <w:tcPr>
            <w:tcW w:w="1209" w:type="dxa"/>
            <w:tcBorders>
              <w:top w:val="nil"/>
              <w:left w:val="nil"/>
              <w:bottom w:val="nil"/>
              <w:right w:val="nil"/>
            </w:tcBorders>
          </w:tcPr>
          <w:p>
            <w:pPr/>
          </w:p>
        </w:tc>
        <w:tc>
          <w:tcPr>
            <w:tcW w:w="1385" w:type="dxa"/>
            <w:tcBorders>
              <w:top w:val="nil"/>
              <w:left w:val="nil"/>
              <w:bottom w:val="nil"/>
              <w:right w:val="nil"/>
            </w:tcBorders>
          </w:tcPr>
          <w:p>
            <w:pPr/>
          </w:p>
        </w:tc>
        <w:tc>
          <w:tcPr>
            <w:tcW w:w="1858" w:type="dxa"/>
            <w:tcBorders>
              <w:top w:val="nil"/>
              <w:left w:val="nil"/>
              <w:bottom w:val="nil"/>
              <w:right w:val="nil"/>
            </w:tcBorders>
          </w:tcPr>
          <w:p>
            <w:pPr/>
          </w:p>
        </w:tc>
        <w:tc>
          <w:tcPr>
            <w:tcW w:w="2092" w:type="dxa"/>
            <w:tcBorders>
              <w:top w:val="nil"/>
              <w:left w:val="nil"/>
              <w:bottom w:val="nil"/>
              <w:right w:val="nil"/>
            </w:tcBorders>
          </w:tcPr>
          <w:p>
            <w:pPr/>
          </w:p>
        </w:tc>
        <w:tc>
          <w:tcPr>
            <w:tcW w:w="2431" w:type="dxa"/>
            <w:tcBorders>
              <w:top w:val="nil"/>
              <w:left w:val="nil"/>
              <w:bottom w:val="nil"/>
              <w:right w:val="nil"/>
            </w:tcBorders>
          </w:tcPr>
          <w:p>
            <w:pPr/>
          </w:p>
        </w:tc>
        <w:tc>
          <w:tcPr>
            <w:tcW w:w="1603" w:type="dxa"/>
            <w:tcBorders>
              <w:top w:val="nil"/>
              <w:left w:val="nil"/>
              <w:bottom w:val="nil"/>
              <w:right w:val="nil"/>
            </w:tcBorders>
          </w:tcPr>
          <w:p>
            <w:pPr/>
          </w:p>
        </w:tc>
      </w:tr>
      <w:tr>
        <w:trPr>
          <w:trHeight w:val="348" w:hRule="exact"/>
        </w:trPr>
        <w:tc>
          <w:tcPr>
            <w:tcW w:w="1858" w:type="dxa"/>
            <w:tcBorders>
              <w:top w:val="nil"/>
              <w:left w:val="nil"/>
              <w:bottom w:val="nil"/>
              <w:right w:val="nil"/>
            </w:tcBorders>
          </w:tcPr>
          <w:p>
            <w:pPr>
              <w:pStyle w:val="TableParagraph"/>
              <w:spacing w:before="47"/>
              <w:ind w:left="121" w:right="106"/>
              <w:jc w:val="center"/>
              <w:rPr>
                <w:b/>
                <w:sz w:val="20"/>
              </w:rPr>
            </w:pPr>
            <w:r>
              <w:rPr>
                <w:b/>
                <w:sz w:val="20"/>
              </w:rPr>
              <w:t>Colonia Isidro</w:t>
            </w:r>
          </w:p>
        </w:tc>
        <w:tc>
          <w:tcPr>
            <w:tcW w:w="1209" w:type="dxa"/>
            <w:tcBorders>
              <w:top w:val="nil"/>
              <w:left w:val="nil"/>
              <w:bottom w:val="nil"/>
              <w:right w:val="nil"/>
            </w:tcBorders>
          </w:tcPr>
          <w:p>
            <w:pPr>
              <w:pStyle w:val="TableParagraph"/>
              <w:spacing w:before="52"/>
              <w:ind w:left="101" w:right="107"/>
              <w:jc w:val="center"/>
              <w:rPr>
                <w:sz w:val="20"/>
              </w:rPr>
            </w:pPr>
            <w:r>
              <w:rPr>
                <w:sz w:val="20"/>
              </w:rPr>
              <w:t>1478</w:t>
            </w:r>
          </w:p>
        </w:tc>
        <w:tc>
          <w:tcPr>
            <w:tcW w:w="1385" w:type="dxa"/>
            <w:tcBorders>
              <w:top w:val="nil"/>
              <w:left w:val="nil"/>
              <w:bottom w:val="nil"/>
              <w:right w:val="nil"/>
            </w:tcBorders>
          </w:tcPr>
          <w:p>
            <w:pPr>
              <w:pStyle w:val="TableParagraph"/>
              <w:spacing w:before="52"/>
              <w:ind w:left="103" w:right="104"/>
              <w:jc w:val="center"/>
              <w:rPr>
                <w:sz w:val="20"/>
              </w:rPr>
            </w:pPr>
            <w:r>
              <w:rPr>
                <w:sz w:val="20"/>
              </w:rPr>
              <w:t>360</w:t>
            </w:r>
          </w:p>
        </w:tc>
        <w:tc>
          <w:tcPr>
            <w:tcW w:w="1858" w:type="dxa"/>
            <w:tcBorders>
              <w:top w:val="nil"/>
              <w:left w:val="nil"/>
              <w:bottom w:val="nil"/>
              <w:right w:val="nil"/>
            </w:tcBorders>
          </w:tcPr>
          <w:p>
            <w:pPr>
              <w:pStyle w:val="TableParagraph"/>
              <w:spacing w:before="52"/>
              <w:ind w:left="98" w:right="110"/>
              <w:jc w:val="center"/>
              <w:rPr>
                <w:sz w:val="20"/>
              </w:rPr>
            </w:pPr>
            <w:r>
              <w:rPr>
                <w:sz w:val="20"/>
              </w:rPr>
              <w:t>1087</w:t>
            </w:r>
          </w:p>
        </w:tc>
        <w:tc>
          <w:tcPr>
            <w:tcW w:w="2092" w:type="dxa"/>
            <w:tcBorders>
              <w:top w:val="nil"/>
              <w:left w:val="nil"/>
              <w:bottom w:val="nil"/>
              <w:right w:val="nil"/>
            </w:tcBorders>
          </w:tcPr>
          <w:p>
            <w:pPr>
              <w:pStyle w:val="TableParagraph"/>
              <w:spacing w:before="52"/>
              <w:ind w:left="109" w:right="129"/>
              <w:jc w:val="center"/>
              <w:rPr>
                <w:sz w:val="20"/>
              </w:rPr>
            </w:pPr>
            <w:r>
              <w:rPr>
                <w:sz w:val="20"/>
              </w:rPr>
              <w:t>346</w:t>
            </w:r>
          </w:p>
        </w:tc>
        <w:tc>
          <w:tcPr>
            <w:tcW w:w="2431" w:type="dxa"/>
            <w:tcBorders>
              <w:top w:val="nil"/>
              <w:left w:val="nil"/>
              <w:bottom w:val="nil"/>
              <w:right w:val="nil"/>
            </w:tcBorders>
          </w:tcPr>
          <w:p>
            <w:pPr>
              <w:pStyle w:val="TableParagraph"/>
              <w:spacing w:before="52"/>
              <w:ind w:left="123" w:right="134"/>
              <w:jc w:val="center"/>
              <w:rPr>
                <w:sz w:val="20"/>
              </w:rPr>
            </w:pPr>
            <w:r>
              <w:rPr>
                <w:sz w:val="20"/>
              </w:rPr>
              <w:t>338</w:t>
            </w:r>
          </w:p>
        </w:tc>
        <w:tc>
          <w:tcPr>
            <w:tcW w:w="1603" w:type="dxa"/>
            <w:tcBorders>
              <w:top w:val="nil"/>
              <w:left w:val="nil"/>
              <w:bottom w:val="nil"/>
              <w:right w:val="nil"/>
            </w:tcBorders>
          </w:tcPr>
          <w:p>
            <w:pPr>
              <w:pStyle w:val="TableParagraph"/>
              <w:spacing w:before="52"/>
              <w:ind w:right="10"/>
              <w:jc w:val="center"/>
              <w:rPr>
                <w:sz w:val="20"/>
              </w:rPr>
            </w:pPr>
            <w:r>
              <w:rPr>
                <w:w w:val="100"/>
                <w:sz w:val="20"/>
              </w:rPr>
              <w:t>2</w:t>
            </w:r>
          </w:p>
        </w:tc>
      </w:tr>
      <w:tr>
        <w:trPr>
          <w:trHeight w:val="343" w:hRule="exact"/>
        </w:trPr>
        <w:tc>
          <w:tcPr>
            <w:tcW w:w="1858" w:type="dxa"/>
            <w:tcBorders>
              <w:top w:val="nil"/>
              <w:left w:val="nil"/>
              <w:bottom w:val="nil"/>
              <w:right w:val="nil"/>
            </w:tcBorders>
          </w:tcPr>
          <w:p>
            <w:pPr>
              <w:pStyle w:val="TableParagraph"/>
              <w:spacing w:before="45"/>
              <w:ind w:left="121" w:right="101"/>
              <w:jc w:val="center"/>
              <w:rPr>
                <w:b/>
                <w:sz w:val="20"/>
              </w:rPr>
            </w:pPr>
            <w:r>
              <w:rPr>
                <w:b/>
                <w:sz w:val="20"/>
              </w:rPr>
              <w:t>Fabela</w:t>
            </w:r>
          </w:p>
        </w:tc>
        <w:tc>
          <w:tcPr>
            <w:tcW w:w="1209" w:type="dxa"/>
            <w:tcBorders>
              <w:top w:val="nil"/>
              <w:left w:val="nil"/>
              <w:bottom w:val="nil"/>
              <w:right w:val="nil"/>
            </w:tcBorders>
          </w:tcPr>
          <w:p>
            <w:pPr/>
          </w:p>
        </w:tc>
        <w:tc>
          <w:tcPr>
            <w:tcW w:w="1385" w:type="dxa"/>
            <w:tcBorders>
              <w:top w:val="nil"/>
              <w:left w:val="nil"/>
              <w:bottom w:val="nil"/>
              <w:right w:val="nil"/>
            </w:tcBorders>
          </w:tcPr>
          <w:p>
            <w:pPr/>
          </w:p>
        </w:tc>
        <w:tc>
          <w:tcPr>
            <w:tcW w:w="1858" w:type="dxa"/>
            <w:tcBorders>
              <w:top w:val="nil"/>
              <w:left w:val="nil"/>
              <w:bottom w:val="nil"/>
              <w:right w:val="nil"/>
            </w:tcBorders>
          </w:tcPr>
          <w:p>
            <w:pPr/>
          </w:p>
        </w:tc>
        <w:tc>
          <w:tcPr>
            <w:tcW w:w="2092" w:type="dxa"/>
            <w:tcBorders>
              <w:top w:val="nil"/>
              <w:left w:val="nil"/>
              <w:bottom w:val="nil"/>
              <w:right w:val="nil"/>
            </w:tcBorders>
          </w:tcPr>
          <w:p>
            <w:pPr/>
          </w:p>
        </w:tc>
        <w:tc>
          <w:tcPr>
            <w:tcW w:w="2431" w:type="dxa"/>
            <w:tcBorders>
              <w:top w:val="nil"/>
              <w:left w:val="nil"/>
              <w:bottom w:val="nil"/>
              <w:right w:val="nil"/>
            </w:tcBorders>
          </w:tcPr>
          <w:p>
            <w:pPr/>
          </w:p>
        </w:tc>
        <w:tc>
          <w:tcPr>
            <w:tcW w:w="1603" w:type="dxa"/>
            <w:tcBorders>
              <w:top w:val="nil"/>
              <w:left w:val="nil"/>
              <w:bottom w:val="nil"/>
              <w:right w:val="nil"/>
            </w:tcBorders>
          </w:tcPr>
          <w:p>
            <w:pPr/>
          </w:p>
        </w:tc>
      </w:tr>
      <w:tr>
        <w:trPr>
          <w:trHeight w:val="687" w:hRule="exact"/>
        </w:trPr>
        <w:tc>
          <w:tcPr>
            <w:tcW w:w="1858" w:type="dxa"/>
            <w:tcBorders>
              <w:top w:val="nil"/>
              <w:left w:val="nil"/>
              <w:bottom w:val="nil"/>
              <w:right w:val="nil"/>
            </w:tcBorders>
          </w:tcPr>
          <w:p>
            <w:pPr>
              <w:pStyle w:val="TableParagraph"/>
              <w:spacing w:line="355" w:lineRule="auto" w:before="47"/>
              <w:ind w:left="595" w:right="427" w:hanging="140"/>
              <w:rPr>
                <w:b/>
                <w:sz w:val="20"/>
              </w:rPr>
            </w:pPr>
            <w:r>
              <w:rPr>
                <w:b/>
                <w:sz w:val="20"/>
              </w:rPr>
              <w:t>Colonia la Bomba</w:t>
            </w:r>
          </w:p>
        </w:tc>
        <w:tc>
          <w:tcPr>
            <w:tcW w:w="1209" w:type="dxa"/>
            <w:tcBorders>
              <w:top w:val="nil"/>
              <w:left w:val="nil"/>
              <w:bottom w:val="nil"/>
              <w:right w:val="nil"/>
            </w:tcBorders>
          </w:tcPr>
          <w:p>
            <w:pPr>
              <w:pStyle w:val="TableParagraph"/>
              <w:spacing w:before="52"/>
              <w:ind w:left="101" w:right="107"/>
              <w:jc w:val="center"/>
              <w:rPr>
                <w:sz w:val="20"/>
              </w:rPr>
            </w:pPr>
            <w:r>
              <w:rPr>
                <w:sz w:val="20"/>
              </w:rPr>
              <w:t>86</w:t>
            </w:r>
          </w:p>
        </w:tc>
        <w:tc>
          <w:tcPr>
            <w:tcW w:w="1385" w:type="dxa"/>
            <w:tcBorders>
              <w:top w:val="nil"/>
              <w:left w:val="nil"/>
              <w:bottom w:val="nil"/>
              <w:right w:val="nil"/>
            </w:tcBorders>
          </w:tcPr>
          <w:p>
            <w:pPr>
              <w:pStyle w:val="TableParagraph"/>
              <w:spacing w:before="52"/>
              <w:ind w:left="105" w:right="104"/>
              <w:jc w:val="center"/>
              <w:rPr>
                <w:sz w:val="20"/>
              </w:rPr>
            </w:pPr>
            <w:r>
              <w:rPr>
                <w:sz w:val="20"/>
              </w:rPr>
              <w:t>18</w:t>
            </w:r>
          </w:p>
        </w:tc>
        <w:tc>
          <w:tcPr>
            <w:tcW w:w="1858" w:type="dxa"/>
            <w:tcBorders>
              <w:top w:val="nil"/>
              <w:left w:val="nil"/>
              <w:bottom w:val="nil"/>
              <w:right w:val="nil"/>
            </w:tcBorders>
          </w:tcPr>
          <w:p>
            <w:pPr>
              <w:pStyle w:val="TableParagraph"/>
              <w:spacing w:before="52"/>
              <w:ind w:left="107" w:right="109"/>
              <w:jc w:val="center"/>
              <w:rPr>
                <w:sz w:val="20"/>
              </w:rPr>
            </w:pPr>
            <w:r>
              <w:rPr>
                <w:sz w:val="20"/>
              </w:rPr>
              <w:t>52</w:t>
            </w:r>
          </w:p>
        </w:tc>
        <w:tc>
          <w:tcPr>
            <w:tcW w:w="2092" w:type="dxa"/>
            <w:tcBorders>
              <w:top w:val="nil"/>
              <w:left w:val="nil"/>
              <w:bottom w:val="nil"/>
              <w:right w:val="nil"/>
            </w:tcBorders>
          </w:tcPr>
          <w:p>
            <w:pPr>
              <w:pStyle w:val="TableParagraph"/>
              <w:spacing w:before="52"/>
              <w:ind w:left="110" w:right="125"/>
              <w:jc w:val="center"/>
              <w:rPr>
                <w:sz w:val="20"/>
              </w:rPr>
            </w:pPr>
            <w:r>
              <w:rPr>
                <w:sz w:val="20"/>
              </w:rPr>
              <w:t>18</w:t>
            </w:r>
          </w:p>
        </w:tc>
        <w:tc>
          <w:tcPr>
            <w:tcW w:w="2431" w:type="dxa"/>
            <w:tcBorders>
              <w:top w:val="nil"/>
              <w:left w:val="nil"/>
              <w:bottom w:val="nil"/>
              <w:right w:val="nil"/>
            </w:tcBorders>
          </w:tcPr>
          <w:p>
            <w:pPr>
              <w:pStyle w:val="TableParagraph"/>
              <w:spacing w:before="52"/>
              <w:ind w:left="128" w:right="134"/>
              <w:jc w:val="center"/>
              <w:rPr>
                <w:sz w:val="20"/>
              </w:rPr>
            </w:pPr>
            <w:r>
              <w:rPr>
                <w:sz w:val="20"/>
              </w:rPr>
              <w:t>10</w:t>
            </w:r>
          </w:p>
        </w:tc>
        <w:tc>
          <w:tcPr>
            <w:tcW w:w="1603" w:type="dxa"/>
            <w:tcBorders>
              <w:top w:val="nil"/>
              <w:left w:val="nil"/>
              <w:bottom w:val="nil"/>
              <w:right w:val="nil"/>
            </w:tcBorders>
          </w:tcPr>
          <w:p>
            <w:pPr>
              <w:pStyle w:val="TableParagraph"/>
              <w:spacing w:before="52"/>
              <w:ind w:right="10"/>
              <w:jc w:val="center"/>
              <w:rPr>
                <w:sz w:val="20"/>
              </w:rPr>
            </w:pPr>
            <w:r>
              <w:rPr>
                <w:w w:val="100"/>
                <w:sz w:val="20"/>
              </w:rPr>
              <w:t>0</w:t>
            </w:r>
          </w:p>
        </w:tc>
      </w:tr>
      <w:tr>
        <w:trPr>
          <w:trHeight w:val="348" w:hRule="exact"/>
        </w:trPr>
        <w:tc>
          <w:tcPr>
            <w:tcW w:w="1858" w:type="dxa"/>
            <w:tcBorders>
              <w:top w:val="nil"/>
              <w:left w:val="nil"/>
              <w:bottom w:val="nil"/>
              <w:right w:val="nil"/>
            </w:tcBorders>
          </w:tcPr>
          <w:p>
            <w:pPr>
              <w:pStyle w:val="TableParagraph"/>
              <w:spacing w:before="48"/>
              <w:ind w:left="121" w:right="107"/>
              <w:jc w:val="center"/>
              <w:rPr>
                <w:b/>
                <w:sz w:val="20"/>
              </w:rPr>
            </w:pPr>
            <w:r>
              <w:rPr>
                <w:b/>
                <w:sz w:val="20"/>
              </w:rPr>
              <w:t>Lerma de Villada</w:t>
            </w:r>
          </w:p>
        </w:tc>
        <w:tc>
          <w:tcPr>
            <w:tcW w:w="1209" w:type="dxa"/>
            <w:tcBorders>
              <w:top w:val="nil"/>
              <w:left w:val="nil"/>
              <w:bottom w:val="nil"/>
              <w:right w:val="nil"/>
            </w:tcBorders>
          </w:tcPr>
          <w:p>
            <w:pPr>
              <w:pStyle w:val="TableParagraph"/>
              <w:spacing w:before="52"/>
              <w:ind w:left="97" w:right="107"/>
              <w:jc w:val="center"/>
              <w:rPr>
                <w:sz w:val="20"/>
              </w:rPr>
            </w:pPr>
            <w:r>
              <w:rPr>
                <w:sz w:val="20"/>
              </w:rPr>
              <w:t>22713</w:t>
            </w:r>
          </w:p>
        </w:tc>
        <w:tc>
          <w:tcPr>
            <w:tcW w:w="1385" w:type="dxa"/>
            <w:tcBorders>
              <w:top w:val="nil"/>
              <w:left w:val="nil"/>
              <w:bottom w:val="nil"/>
              <w:right w:val="nil"/>
            </w:tcBorders>
          </w:tcPr>
          <w:p>
            <w:pPr>
              <w:pStyle w:val="TableParagraph"/>
              <w:spacing w:before="52"/>
              <w:ind w:left="98" w:right="104"/>
              <w:jc w:val="center"/>
              <w:rPr>
                <w:sz w:val="20"/>
              </w:rPr>
            </w:pPr>
            <w:r>
              <w:rPr>
                <w:sz w:val="20"/>
              </w:rPr>
              <w:t>5722</w:t>
            </w:r>
          </w:p>
        </w:tc>
        <w:tc>
          <w:tcPr>
            <w:tcW w:w="1858" w:type="dxa"/>
            <w:tcBorders>
              <w:top w:val="nil"/>
              <w:left w:val="nil"/>
              <w:bottom w:val="nil"/>
              <w:right w:val="nil"/>
            </w:tcBorders>
          </w:tcPr>
          <w:p>
            <w:pPr>
              <w:pStyle w:val="TableParagraph"/>
              <w:spacing w:before="52"/>
              <w:ind w:left="103" w:right="110"/>
              <w:jc w:val="center"/>
              <w:rPr>
                <w:sz w:val="20"/>
              </w:rPr>
            </w:pPr>
            <w:r>
              <w:rPr>
                <w:sz w:val="20"/>
              </w:rPr>
              <w:t>16573</w:t>
            </w:r>
          </w:p>
        </w:tc>
        <w:tc>
          <w:tcPr>
            <w:tcW w:w="2092" w:type="dxa"/>
            <w:tcBorders>
              <w:top w:val="nil"/>
              <w:left w:val="nil"/>
              <w:bottom w:val="nil"/>
              <w:right w:val="nil"/>
            </w:tcBorders>
          </w:tcPr>
          <w:p>
            <w:pPr>
              <w:pStyle w:val="TableParagraph"/>
              <w:spacing w:before="52"/>
              <w:ind w:left="104" w:right="129"/>
              <w:jc w:val="center"/>
              <w:rPr>
                <w:sz w:val="20"/>
              </w:rPr>
            </w:pPr>
            <w:r>
              <w:rPr>
                <w:sz w:val="20"/>
              </w:rPr>
              <w:t>5414</w:t>
            </w:r>
          </w:p>
        </w:tc>
        <w:tc>
          <w:tcPr>
            <w:tcW w:w="2431" w:type="dxa"/>
            <w:tcBorders>
              <w:top w:val="nil"/>
              <w:left w:val="nil"/>
              <w:bottom w:val="nil"/>
              <w:right w:val="nil"/>
            </w:tcBorders>
          </w:tcPr>
          <w:p>
            <w:pPr>
              <w:pStyle w:val="TableParagraph"/>
              <w:spacing w:before="52"/>
              <w:ind w:left="128" w:right="134"/>
              <w:jc w:val="center"/>
              <w:rPr>
                <w:sz w:val="20"/>
              </w:rPr>
            </w:pPr>
            <w:r>
              <w:rPr>
                <w:sz w:val="20"/>
              </w:rPr>
              <w:t>5249</w:t>
            </w:r>
          </w:p>
        </w:tc>
        <w:tc>
          <w:tcPr>
            <w:tcW w:w="1603" w:type="dxa"/>
            <w:tcBorders>
              <w:top w:val="nil"/>
              <w:left w:val="nil"/>
              <w:bottom w:val="nil"/>
              <w:right w:val="nil"/>
            </w:tcBorders>
          </w:tcPr>
          <w:p>
            <w:pPr>
              <w:pStyle w:val="TableParagraph"/>
              <w:spacing w:before="52"/>
              <w:ind w:left="134" w:right="150"/>
              <w:jc w:val="center"/>
              <w:rPr>
                <w:sz w:val="20"/>
              </w:rPr>
            </w:pPr>
            <w:r>
              <w:rPr>
                <w:sz w:val="20"/>
              </w:rPr>
              <w:t>13</w:t>
            </w:r>
          </w:p>
        </w:tc>
      </w:tr>
      <w:tr>
        <w:trPr>
          <w:trHeight w:val="346" w:hRule="exact"/>
        </w:trPr>
        <w:tc>
          <w:tcPr>
            <w:tcW w:w="1858" w:type="dxa"/>
            <w:tcBorders>
              <w:top w:val="nil"/>
              <w:left w:val="nil"/>
              <w:bottom w:val="nil"/>
              <w:right w:val="nil"/>
            </w:tcBorders>
          </w:tcPr>
          <w:p>
            <w:pPr>
              <w:pStyle w:val="TableParagraph"/>
              <w:spacing w:before="45"/>
              <w:ind w:left="113" w:right="107"/>
              <w:jc w:val="center"/>
              <w:rPr>
                <w:b/>
                <w:sz w:val="20"/>
              </w:rPr>
            </w:pPr>
            <w:r>
              <w:rPr>
                <w:b/>
                <w:sz w:val="20"/>
              </w:rPr>
              <w:t>San Pedro</w:t>
            </w:r>
          </w:p>
        </w:tc>
        <w:tc>
          <w:tcPr>
            <w:tcW w:w="1209" w:type="dxa"/>
            <w:tcBorders>
              <w:top w:val="nil"/>
              <w:left w:val="nil"/>
              <w:bottom w:val="nil"/>
              <w:right w:val="nil"/>
            </w:tcBorders>
          </w:tcPr>
          <w:p>
            <w:pPr>
              <w:pStyle w:val="TableParagraph"/>
              <w:spacing w:before="50"/>
              <w:ind w:left="97" w:right="107"/>
              <w:jc w:val="center"/>
              <w:rPr>
                <w:sz w:val="20"/>
              </w:rPr>
            </w:pPr>
            <w:r>
              <w:rPr>
                <w:sz w:val="20"/>
              </w:rPr>
              <w:t>13634</w:t>
            </w:r>
          </w:p>
        </w:tc>
        <w:tc>
          <w:tcPr>
            <w:tcW w:w="1385" w:type="dxa"/>
            <w:tcBorders>
              <w:top w:val="nil"/>
              <w:left w:val="nil"/>
              <w:bottom w:val="nil"/>
              <w:right w:val="nil"/>
            </w:tcBorders>
          </w:tcPr>
          <w:p>
            <w:pPr>
              <w:pStyle w:val="TableParagraph"/>
              <w:spacing w:before="50"/>
              <w:ind w:left="98" w:right="104"/>
              <w:jc w:val="center"/>
              <w:rPr>
                <w:sz w:val="20"/>
              </w:rPr>
            </w:pPr>
            <w:r>
              <w:rPr>
                <w:sz w:val="20"/>
              </w:rPr>
              <w:t>2852</w:t>
            </w:r>
          </w:p>
        </w:tc>
        <w:tc>
          <w:tcPr>
            <w:tcW w:w="1858" w:type="dxa"/>
            <w:tcBorders>
              <w:top w:val="nil"/>
              <w:left w:val="nil"/>
              <w:bottom w:val="nil"/>
              <w:right w:val="nil"/>
            </w:tcBorders>
          </w:tcPr>
          <w:p>
            <w:pPr>
              <w:pStyle w:val="TableParagraph"/>
              <w:spacing w:before="50"/>
              <w:ind w:left="98" w:right="110"/>
              <w:jc w:val="center"/>
              <w:rPr>
                <w:sz w:val="20"/>
              </w:rPr>
            </w:pPr>
            <w:r>
              <w:rPr>
                <w:sz w:val="20"/>
              </w:rPr>
              <w:t>7803</w:t>
            </w:r>
          </w:p>
        </w:tc>
        <w:tc>
          <w:tcPr>
            <w:tcW w:w="2092" w:type="dxa"/>
            <w:tcBorders>
              <w:top w:val="nil"/>
              <w:left w:val="nil"/>
              <w:bottom w:val="nil"/>
              <w:right w:val="nil"/>
            </w:tcBorders>
          </w:tcPr>
          <w:p>
            <w:pPr>
              <w:pStyle w:val="TableParagraph"/>
              <w:spacing w:before="50"/>
              <w:ind w:left="104" w:right="129"/>
              <w:jc w:val="center"/>
              <w:rPr>
                <w:sz w:val="20"/>
              </w:rPr>
            </w:pPr>
            <w:r>
              <w:rPr>
                <w:sz w:val="20"/>
              </w:rPr>
              <w:t>2726</w:t>
            </w:r>
          </w:p>
        </w:tc>
        <w:tc>
          <w:tcPr>
            <w:tcW w:w="2431" w:type="dxa"/>
            <w:tcBorders>
              <w:top w:val="nil"/>
              <w:left w:val="nil"/>
              <w:bottom w:val="nil"/>
              <w:right w:val="nil"/>
            </w:tcBorders>
          </w:tcPr>
          <w:p>
            <w:pPr>
              <w:pStyle w:val="TableParagraph"/>
              <w:spacing w:before="50"/>
              <w:ind w:left="128" w:right="134"/>
              <w:jc w:val="center"/>
              <w:rPr>
                <w:sz w:val="20"/>
              </w:rPr>
            </w:pPr>
            <w:r>
              <w:rPr>
                <w:sz w:val="20"/>
              </w:rPr>
              <w:t>2270</w:t>
            </w:r>
          </w:p>
        </w:tc>
        <w:tc>
          <w:tcPr>
            <w:tcW w:w="1603" w:type="dxa"/>
            <w:tcBorders>
              <w:top w:val="nil"/>
              <w:left w:val="nil"/>
              <w:bottom w:val="nil"/>
              <w:right w:val="nil"/>
            </w:tcBorders>
          </w:tcPr>
          <w:p>
            <w:pPr>
              <w:pStyle w:val="TableParagraph"/>
              <w:spacing w:before="50"/>
              <w:ind w:left="134" w:right="150"/>
              <w:jc w:val="center"/>
              <w:rPr>
                <w:sz w:val="20"/>
              </w:rPr>
            </w:pPr>
            <w:r>
              <w:rPr>
                <w:sz w:val="20"/>
              </w:rPr>
              <w:t>37</w:t>
            </w:r>
          </w:p>
        </w:tc>
      </w:tr>
      <w:tr>
        <w:trPr>
          <w:trHeight w:val="343" w:hRule="exact"/>
        </w:trPr>
        <w:tc>
          <w:tcPr>
            <w:tcW w:w="1858" w:type="dxa"/>
            <w:tcBorders>
              <w:top w:val="nil"/>
              <w:left w:val="nil"/>
              <w:bottom w:val="nil"/>
              <w:right w:val="nil"/>
            </w:tcBorders>
          </w:tcPr>
          <w:p>
            <w:pPr>
              <w:pStyle w:val="TableParagraph"/>
              <w:spacing w:before="45"/>
              <w:ind w:left="121" w:right="106"/>
              <w:jc w:val="center"/>
              <w:rPr>
                <w:b/>
                <w:sz w:val="20"/>
              </w:rPr>
            </w:pPr>
            <w:r>
              <w:rPr>
                <w:b/>
                <w:sz w:val="20"/>
              </w:rPr>
              <w:t>Tultepec</w:t>
            </w:r>
          </w:p>
        </w:tc>
        <w:tc>
          <w:tcPr>
            <w:tcW w:w="1209" w:type="dxa"/>
            <w:tcBorders>
              <w:top w:val="nil"/>
              <w:left w:val="nil"/>
              <w:bottom w:val="nil"/>
              <w:right w:val="nil"/>
            </w:tcBorders>
          </w:tcPr>
          <w:p>
            <w:pPr/>
          </w:p>
        </w:tc>
        <w:tc>
          <w:tcPr>
            <w:tcW w:w="1385" w:type="dxa"/>
            <w:tcBorders>
              <w:top w:val="nil"/>
              <w:left w:val="nil"/>
              <w:bottom w:val="nil"/>
              <w:right w:val="nil"/>
            </w:tcBorders>
          </w:tcPr>
          <w:p>
            <w:pPr/>
          </w:p>
        </w:tc>
        <w:tc>
          <w:tcPr>
            <w:tcW w:w="1858" w:type="dxa"/>
            <w:tcBorders>
              <w:top w:val="nil"/>
              <w:left w:val="nil"/>
              <w:bottom w:val="nil"/>
              <w:right w:val="nil"/>
            </w:tcBorders>
          </w:tcPr>
          <w:p>
            <w:pPr/>
          </w:p>
        </w:tc>
        <w:tc>
          <w:tcPr>
            <w:tcW w:w="2092" w:type="dxa"/>
            <w:tcBorders>
              <w:top w:val="nil"/>
              <w:left w:val="nil"/>
              <w:bottom w:val="nil"/>
              <w:right w:val="nil"/>
            </w:tcBorders>
          </w:tcPr>
          <w:p>
            <w:pPr/>
          </w:p>
        </w:tc>
        <w:tc>
          <w:tcPr>
            <w:tcW w:w="2431" w:type="dxa"/>
            <w:tcBorders>
              <w:top w:val="nil"/>
              <w:left w:val="nil"/>
              <w:bottom w:val="nil"/>
              <w:right w:val="nil"/>
            </w:tcBorders>
          </w:tcPr>
          <w:p>
            <w:pPr/>
          </w:p>
        </w:tc>
        <w:tc>
          <w:tcPr>
            <w:tcW w:w="1603" w:type="dxa"/>
            <w:tcBorders>
              <w:top w:val="nil"/>
              <w:left w:val="nil"/>
              <w:bottom w:val="nil"/>
              <w:right w:val="nil"/>
            </w:tcBorders>
          </w:tcPr>
          <w:p>
            <w:pPr/>
          </w:p>
        </w:tc>
      </w:tr>
      <w:tr>
        <w:trPr>
          <w:trHeight w:val="414" w:hRule="exact"/>
        </w:trPr>
        <w:tc>
          <w:tcPr>
            <w:tcW w:w="1858" w:type="dxa"/>
            <w:tcBorders>
              <w:top w:val="nil"/>
              <w:left w:val="nil"/>
              <w:right w:val="nil"/>
            </w:tcBorders>
          </w:tcPr>
          <w:p>
            <w:pPr>
              <w:pStyle w:val="TableParagraph"/>
              <w:spacing w:before="47"/>
              <w:ind w:left="121" w:right="101"/>
              <w:jc w:val="center"/>
              <w:rPr>
                <w:b/>
                <w:sz w:val="20"/>
              </w:rPr>
            </w:pPr>
            <w:r>
              <w:rPr>
                <w:b/>
                <w:sz w:val="20"/>
              </w:rPr>
              <w:t>Totales</w:t>
            </w:r>
          </w:p>
        </w:tc>
        <w:tc>
          <w:tcPr>
            <w:tcW w:w="1209" w:type="dxa"/>
            <w:tcBorders>
              <w:top w:val="nil"/>
              <w:left w:val="nil"/>
              <w:right w:val="nil"/>
            </w:tcBorders>
          </w:tcPr>
          <w:p>
            <w:pPr>
              <w:pStyle w:val="TableParagraph"/>
              <w:spacing w:before="52"/>
              <w:ind w:left="97" w:right="107"/>
              <w:jc w:val="center"/>
              <w:rPr>
                <w:sz w:val="20"/>
              </w:rPr>
            </w:pPr>
            <w:r>
              <w:rPr>
                <w:sz w:val="20"/>
              </w:rPr>
              <w:t>38913</w:t>
            </w:r>
          </w:p>
        </w:tc>
        <w:tc>
          <w:tcPr>
            <w:tcW w:w="1385" w:type="dxa"/>
            <w:tcBorders>
              <w:top w:val="nil"/>
              <w:left w:val="nil"/>
              <w:right w:val="nil"/>
            </w:tcBorders>
          </w:tcPr>
          <w:p>
            <w:pPr>
              <w:pStyle w:val="TableParagraph"/>
              <w:spacing w:before="52"/>
              <w:ind w:left="98" w:right="104"/>
              <w:jc w:val="center"/>
              <w:rPr>
                <w:sz w:val="20"/>
              </w:rPr>
            </w:pPr>
            <w:r>
              <w:rPr>
                <w:sz w:val="20"/>
              </w:rPr>
              <w:t>9177</w:t>
            </w:r>
          </w:p>
        </w:tc>
        <w:tc>
          <w:tcPr>
            <w:tcW w:w="1858" w:type="dxa"/>
            <w:tcBorders>
              <w:top w:val="nil"/>
              <w:left w:val="nil"/>
              <w:right w:val="nil"/>
            </w:tcBorders>
          </w:tcPr>
          <w:p>
            <w:pPr>
              <w:pStyle w:val="TableParagraph"/>
              <w:spacing w:before="52"/>
              <w:ind w:left="103" w:right="110"/>
              <w:jc w:val="center"/>
              <w:rPr>
                <w:sz w:val="20"/>
              </w:rPr>
            </w:pPr>
            <w:r>
              <w:rPr>
                <w:sz w:val="20"/>
              </w:rPr>
              <w:t>26231</w:t>
            </w:r>
          </w:p>
        </w:tc>
        <w:tc>
          <w:tcPr>
            <w:tcW w:w="2092" w:type="dxa"/>
            <w:tcBorders>
              <w:top w:val="nil"/>
              <w:left w:val="nil"/>
              <w:right w:val="nil"/>
            </w:tcBorders>
          </w:tcPr>
          <w:p>
            <w:pPr>
              <w:pStyle w:val="TableParagraph"/>
              <w:spacing w:before="52"/>
              <w:ind w:left="104" w:right="129"/>
              <w:jc w:val="center"/>
              <w:rPr>
                <w:sz w:val="20"/>
              </w:rPr>
            </w:pPr>
            <w:r>
              <w:rPr>
                <w:sz w:val="20"/>
              </w:rPr>
              <w:t>8717</w:t>
            </w:r>
          </w:p>
        </w:tc>
        <w:tc>
          <w:tcPr>
            <w:tcW w:w="2431" w:type="dxa"/>
            <w:tcBorders>
              <w:top w:val="nil"/>
              <w:left w:val="nil"/>
              <w:right w:val="nil"/>
            </w:tcBorders>
          </w:tcPr>
          <w:p>
            <w:pPr>
              <w:pStyle w:val="TableParagraph"/>
              <w:spacing w:before="52"/>
              <w:ind w:left="128" w:right="134"/>
              <w:jc w:val="center"/>
              <w:rPr>
                <w:sz w:val="20"/>
              </w:rPr>
            </w:pPr>
            <w:r>
              <w:rPr>
                <w:sz w:val="20"/>
              </w:rPr>
              <w:t>8080</w:t>
            </w:r>
          </w:p>
        </w:tc>
        <w:tc>
          <w:tcPr>
            <w:tcW w:w="1603" w:type="dxa"/>
            <w:tcBorders>
              <w:top w:val="nil"/>
              <w:left w:val="nil"/>
              <w:right w:val="nil"/>
            </w:tcBorders>
          </w:tcPr>
          <w:p>
            <w:pPr>
              <w:pStyle w:val="TableParagraph"/>
              <w:spacing w:before="52"/>
              <w:ind w:left="134" w:right="150"/>
              <w:jc w:val="center"/>
              <w:rPr>
                <w:sz w:val="20"/>
              </w:rPr>
            </w:pPr>
            <w:r>
              <w:rPr>
                <w:sz w:val="20"/>
              </w:rPr>
              <w:t>53</w:t>
            </w:r>
          </w:p>
        </w:tc>
      </w:tr>
    </w:tbl>
    <w:p>
      <w:pPr>
        <w:pStyle w:val="BodyText"/>
        <w:rPr>
          <w:sz w:val="28"/>
        </w:rPr>
      </w:pPr>
    </w:p>
    <w:p>
      <w:pPr>
        <w:spacing w:before="76"/>
        <w:ind w:left="116" w:right="0" w:firstLine="0"/>
        <w:jc w:val="left"/>
        <w:rPr>
          <w:sz w:val="20"/>
        </w:rPr>
      </w:pPr>
      <w:r>
        <w:rPr>
          <w:sz w:val="20"/>
        </w:rPr>
        <w:t>Fuente: INEGI, Censo de población y vivienda 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7"/>
        </w:rPr>
      </w:pPr>
    </w:p>
    <w:p>
      <w:pPr>
        <w:pStyle w:val="BodyText"/>
        <w:spacing w:before="69"/>
        <w:ind w:left="6464" w:right="6189"/>
        <w:jc w:val="center"/>
      </w:pPr>
      <w:r>
        <w:rPr/>
        <w:t>97</w:t>
      </w:r>
    </w:p>
    <w:p>
      <w:pPr>
        <w:spacing w:after="0"/>
        <w:jc w:val="center"/>
        <w:sectPr>
          <w:footerReference w:type="default" r:id="rId60"/>
          <w:pgSz w:w="15840" w:h="12240" w:orient="landscape"/>
          <w:pgMar w:footer="0" w:header="0" w:top="1140" w:bottom="280" w:left="1300" w:right="1580"/>
        </w:sectPr>
      </w:pPr>
    </w:p>
    <w:p>
      <w:pPr>
        <w:pStyle w:val="BodyText"/>
        <w:spacing w:line="360" w:lineRule="auto" w:before="52"/>
        <w:ind w:left="119" w:right="120"/>
        <w:jc w:val="both"/>
      </w:pPr>
      <w:r>
        <w:rPr/>
        <w:t>Contar con los servicios básicos eleva el bienestar de las personas y su calidad de vida. En una vivienda digna hay </w:t>
      </w:r>
      <w:r>
        <w:rPr>
          <w:spacing w:val="-3"/>
        </w:rPr>
        <w:t>más </w:t>
      </w:r>
      <w:r>
        <w:rPr/>
        <w:t>higiene y mejores condiciones físicas y sociales para llevar a cabo las diferentes actividades de las y los integrantes del hogar. Los servicios básicos en la vivienda son </w:t>
      </w:r>
      <w:r>
        <w:rPr>
          <w:spacing w:val="-3"/>
        </w:rPr>
        <w:t>muy </w:t>
      </w:r>
      <w:r>
        <w:rPr/>
        <w:t>importantes para el entorno</w:t>
      </w:r>
      <w:r>
        <w:rPr>
          <w:spacing w:val="-45"/>
        </w:rPr>
        <w:t> </w:t>
      </w:r>
      <w:r>
        <w:rPr/>
        <w:t>en el que las personas interactúan y se desarrollan. Al respecto, expertos de la Comisión Nacional de</w:t>
      </w:r>
      <w:r>
        <w:rPr>
          <w:spacing w:val="-8"/>
        </w:rPr>
        <w:t> </w:t>
      </w:r>
      <w:r>
        <w:rPr/>
        <w:t>Vivienda.</w:t>
      </w:r>
    </w:p>
    <w:p>
      <w:pPr>
        <w:pStyle w:val="BodyText"/>
      </w:pPr>
    </w:p>
    <w:p>
      <w:pPr>
        <w:pStyle w:val="BodyText"/>
        <w:spacing w:line="360" w:lineRule="auto" w:before="140"/>
        <w:ind w:left="119" w:right="113"/>
        <w:jc w:val="both"/>
      </w:pPr>
      <w:r>
        <w:rPr/>
        <w:t>(CONAVI) identificaron cuatro servicios básicos con los que deben contar las viviendas:</w:t>
      </w:r>
      <w:r>
        <w:rPr>
          <w:spacing w:val="-12"/>
        </w:rPr>
        <w:t> </w:t>
      </w:r>
      <w:r>
        <w:rPr/>
        <w:t>acceso</w:t>
      </w:r>
      <w:r>
        <w:rPr>
          <w:spacing w:val="-17"/>
        </w:rPr>
        <w:t> </w:t>
      </w:r>
      <w:r>
        <w:rPr/>
        <w:t>al</w:t>
      </w:r>
      <w:r>
        <w:rPr>
          <w:spacing w:val="-8"/>
        </w:rPr>
        <w:t> </w:t>
      </w:r>
      <w:r>
        <w:rPr/>
        <w:t>agua</w:t>
      </w:r>
      <w:r>
        <w:rPr>
          <w:spacing w:val="-16"/>
        </w:rPr>
        <w:t> </w:t>
      </w:r>
      <w:r>
        <w:rPr/>
        <w:t>potable,</w:t>
      </w:r>
      <w:r>
        <w:rPr>
          <w:spacing w:val="-12"/>
        </w:rPr>
        <w:t> </w:t>
      </w:r>
      <w:r>
        <w:rPr/>
        <w:t>disponibilidad</w:t>
      </w:r>
      <w:r>
        <w:rPr>
          <w:spacing w:val="43"/>
        </w:rPr>
        <w:t> </w:t>
      </w:r>
      <w:r>
        <w:rPr/>
        <w:t>de</w:t>
      </w:r>
      <w:r>
        <w:rPr>
          <w:spacing w:val="-12"/>
        </w:rPr>
        <w:t> </w:t>
      </w:r>
      <w:r>
        <w:rPr/>
        <w:t>servicio</w:t>
      </w:r>
      <w:r>
        <w:rPr>
          <w:spacing w:val="-12"/>
        </w:rPr>
        <w:t> </w:t>
      </w:r>
      <w:r>
        <w:rPr/>
        <w:t>de</w:t>
      </w:r>
      <w:r>
        <w:rPr>
          <w:spacing w:val="-12"/>
        </w:rPr>
        <w:t> </w:t>
      </w:r>
      <w:r>
        <w:rPr/>
        <w:t>drenaje,</w:t>
      </w:r>
      <w:r>
        <w:rPr>
          <w:spacing w:val="-12"/>
        </w:rPr>
        <w:t> </w:t>
      </w:r>
      <w:r>
        <w:rPr/>
        <w:t>servicio</w:t>
      </w:r>
      <w:r>
        <w:rPr>
          <w:spacing w:val="-12"/>
        </w:rPr>
        <w:t> </w:t>
      </w:r>
      <w:r>
        <w:rPr/>
        <w:t>de electricidad y combustible para cocinar en la vivienda, en este sentido las condiciones en la dotación de los servicios en la vivienda seguridad nos indicará que aunque algunas nuevas viviendas no se construyan en condiciones precarias pueden no contar con algunos de los servicios necesarios para una vida satisfactoria. Simplemente por el hecho de que la dotación de los mismos no está extendida a todas las</w:t>
      </w:r>
      <w:r>
        <w:rPr>
          <w:spacing w:val="-11"/>
        </w:rPr>
        <w:t> </w:t>
      </w:r>
      <w:r>
        <w:rPr/>
        <w:t>poblaciones.</w:t>
      </w:r>
    </w:p>
    <w:p>
      <w:pPr>
        <w:pStyle w:val="BodyText"/>
      </w:pPr>
    </w:p>
    <w:p>
      <w:pPr>
        <w:pStyle w:val="BodyText"/>
        <w:spacing w:before="8"/>
        <w:rPr>
          <w:sz w:val="29"/>
        </w:rPr>
      </w:pPr>
    </w:p>
    <w:p>
      <w:pPr>
        <w:pStyle w:val="BodyText"/>
        <w:spacing w:line="360" w:lineRule="auto"/>
        <w:ind w:left="119" w:right="117"/>
        <w:jc w:val="both"/>
      </w:pPr>
      <w:r>
        <w:rPr/>
        <w:t>En los datos que </w:t>
      </w:r>
      <w:r>
        <w:rPr>
          <w:spacing w:val="-3"/>
        </w:rPr>
        <w:t>se </w:t>
      </w:r>
      <w:r>
        <w:rPr/>
        <w:t>muestran en la Tabla 18 se analizan algunos servicios básicos con los que cuentan las cinco localidades de estudio. En cuanto a población de derechohabiente a servicios de salud el 70% de la población cuenta con este servicio ya sea en alguna institución de salud pública o privada como: el Instituto Mexicano del Seguro Social (IMSS), el Instituto de Seguridad y Servicios Sociales de los Trabajadores del Estado (ISSSTE e ISSSTE estatal), Petróleos Mexicanos (PEMEX),</w:t>
      </w:r>
      <w:r>
        <w:rPr>
          <w:spacing w:val="-8"/>
        </w:rPr>
        <w:t> </w:t>
      </w:r>
      <w:r>
        <w:rPr/>
        <w:t>la</w:t>
      </w:r>
      <w:r>
        <w:rPr>
          <w:spacing w:val="-8"/>
        </w:rPr>
        <w:t> </w:t>
      </w:r>
      <w:r>
        <w:rPr/>
        <w:t>Secretaría</w:t>
      </w:r>
      <w:r>
        <w:rPr>
          <w:spacing w:val="-8"/>
        </w:rPr>
        <w:t> </w:t>
      </w:r>
      <w:r>
        <w:rPr/>
        <w:t>de</w:t>
      </w:r>
      <w:r>
        <w:rPr>
          <w:spacing w:val="-8"/>
        </w:rPr>
        <w:t> </w:t>
      </w:r>
      <w:r>
        <w:rPr/>
        <w:t>la</w:t>
      </w:r>
      <w:r>
        <w:rPr>
          <w:spacing w:val="-8"/>
        </w:rPr>
        <w:t> </w:t>
      </w:r>
      <w:r>
        <w:rPr/>
        <w:t>Defensa</w:t>
      </w:r>
      <w:r>
        <w:rPr>
          <w:spacing w:val="-8"/>
        </w:rPr>
        <w:t> </w:t>
      </w:r>
      <w:r>
        <w:rPr/>
        <w:t>Nacional</w:t>
      </w:r>
      <w:r>
        <w:rPr>
          <w:spacing w:val="-5"/>
        </w:rPr>
        <w:t> </w:t>
      </w:r>
      <w:r>
        <w:rPr/>
        <w:t>(SEDENA),</w:t>
      </w:r>
      <w:r>
        <w:rPr>
          <w:spacing w:val="-8"/>
        </w:rPr>
        <w:t> </w:t>
      </w:r>
      <w:r>
        <w:rPr/>
        <w:t>la</w:t>
      </w:r>
      <w:r>
        <w:rPr>
          <w:spacing w:val="-8"/>
        </w:rPr>
        <w:t> </w:t>
      </w:r>
      <w:r>
        <w:rPr/>
        <w:t>Secretaría</w:t>
      </w:r>
      <w:r>
        <w:rPr>
          <w:spacing w:val="-8"/>
        </w:rPr>
        <w:t> </w:t>
      </w:r>
      <w:r>
        <w:rPr/>
        <w:t>de</w:t>
      </w:r>
      <w:r>
        <w:rPr>
          <w:spacing w:val="-8"/>
        </w:rPr>
        <w:t> </w:t>
      </w:r>
      <w:r>
        <w:rPr/>
        <w:t>Marina Armada de México (SEMAR), el Sistema de Protección Social en Salud o en</w:t>
      </w:r>
      <w:r>
        <w:rPr>
          <w:spacing w:val="-22"/>
        </w:rPr>
        <w:t> </w:t>
      </w:r>
      <w:r>
        <w:rPr/>
        <w:t>otra.</w:t>
      </w:r>
    </w:p>
    <w:p>
      <w:pPr>
        <w:pStyle w:val="BodyText"/>
        <w:spacing w:line="360" w:lineRule="auto" w:before="209"/>
        <w:ind w:left="119" w:right="117"/>
        <w:jc w:val="both"/>
      </w:pPr>
      <w:r>
        <w:rPr/>
        <w:t>En cuanto a los servicios básicos como luz eléctrica, agua entubada de la red pública</w:t>
      </w:r>
      <w:r>
        <w:rPr>
          <w:spacing w:val="-6"/>
        </w:rPr>
        <w:t> </w:t>
      </w:r>
      <w:r>
        <w:rPr/>
        <w:t>y</w:t>
      </w:r>
      <w:r>
        <w:rPr>
          <w:spacing w:val="-7"/>
        </w:rPr>
        <w:t> </w:t>
      </w:r>
      <w:r>
        <w:rPr/>
        <w:t>drenaje</w:t>
      </w:r>
      <w:r>
        <w:rPr>
          <w:spacing w:val="-2"/>
        </w:rPr>
        <w:t> </w:t>
      </w:r>
      <w:r>
        <w:rPr/>
        <w:t>el</w:t>
      </w:r>
      <w:r>
        <w:rPr>
          <w:spacing w:val="-3"/>
        </w:rPr>
        <w:t> </w:t>
      </w:r>
      <w:r>
        <w:rPr/>
        <w:t>90%</w:t>
      </w:r>
      <w:r>
        <w:rPr>
          <w:spacing w:val="-9"/>
        </w:rPr>
        <w:t> </w:t>
      </w:r>
      <w:r>
        <w:rPr/>
        <w:t>de</w:t>
      </w:r>
      <w:r>
        <w:rPr>
          <w:spacing w:val="-6"/>
        </w:rPr>
        <w:t> </w:t>
      </w:r>
      <w:r>
        <w:rPr/>
        <w:t>las</w:t>
      </w:r>
      <w:r>
        <w:rPr>
          <w:spacing w:val="-6"/>
        </w:rPr>
        <w:t> </w:t>
      </w:r>
      <w:r>
        <w:rPr/>
        <w:t>viviendas</w:t>
      </w:r>
      <w:r>
        <w:rPr>
          <w:spacing w:val="-7"/>
        </w:rPr>
        <w:t> </w:t>
      </w:r>
      <w:r>
        <w:rPr/>
        <w:t>de</w:t>
      </w:r>
      <w:r>
        <w:rPr>
          <w:spacing w:val="-7"/>
        </w:rPr>
        <w:t> </w:t>
      </w:r>
      <w:r>
        <w:rPr/>
        <w:t>las</w:t>
      </w:r>
      <w:r>
        <w:rPr>
          <w:spacing w:val="-6"/>
        </w:rPr>
        <w:t> </w:t>
      </w:r>
      <w:r>
        <w:rPr/>
        <w:t>localidades</w:t>
      </w:r>
      <w:r>
        <w:rPr>
          <w:spacing w:val="-5"/>
        </w:rPr>
        <w:t> </w:t>
      </w:r>
      <w:r>
        <w:rPr/>
        <w:t>Guadalupe</w:t>
      </w:r>
      <w:r>
        <w:rPr>
          <w:spacing w:val="-11"/>
        </w:rPr>
        <w:t> </w:t>
      </w:r>
      <w:r>
        <w:rPr/>
        <w:t>la</w:t>
      </w:r>
      <w:r>
        <w:rPr>
          <w:spacing w:val="-6"/>
        </w:rPr>
        <w:t> </w:t>
      </w:r>
      <w:r>
        <w:rPr/>
        <w:t>Ciénega, Isidro Fabela y </w:t>
      </w:r>
      <w:r>
        <w:rPr>
          <w:spacing w:val="-3"/>
        </w:rPr>
        <w:t>Lerma </w:t>
      </w:r>
      <w:r>
        <w:rPr/>
        <w:t>de Villada cubren estos servicios. En su contraparte solo el 50%</w:t>
      </w:r>
      <w:r>
        <w:rPr>
          <w:spacing w:val="-9"/>
        </w:rPr>
        <w:t> </w:t>
      </w:r>
      <w:r>
        <w:rPr/>
        <w:t>de</w:t>
      </w:r>
      <w:r>
        <w:rPr>
          <w:spacing w:val="-11"/>
        </w:rPr>
        <w:t> </w:t>
      </w:r>
      <w:r>
        <w:rPr/>
        <w:t>las</w:t>
      </w:r>
      <w:r>
        <w:rPr>
          <w:spacing w:val="-7"/>
        </w:rPr>
        <w:t> </w:t>
      </w:r>
      <w:r>
        <w:rPr/>
        <w:t>viviendas</w:t>
      </w:r>
      <w:r>
        <w:rPr>
          <w:spacing w:val="-7"/>
        </w:rPr>
        <w:t> </w:t>
      </w:r>
      <w:r>
        <w:rPr/>
        <w:t>de</w:t>
      </w:r>
      <w:r>
        <w:rPr>
          <w:spacing w:val="-11"/>
        </w:rPr>
        <w:t> </w:t>
      </w:r>
      <w:r>
        <w:rPr/>
        <w:t>la</w:t>
      </w:r>
      <w:r>
        <w:rPr>
          <w:spacing w:val="-8"/>
        </w:rPr>
        <w:t> </w:t>
      </w:r>
      <w:r>
        <w:rPr/>
        <w:t>localidad</w:t>
      </w:r>
      <w:r>
        <w:rPr>
          <w:spacing w:val="-9"/>
        </w:rPr>
        <w:t> </w:t>
      </w:r>
      <w:r>
        <w:rPr/>
        <w:t>La</w:t>
      </w:r>
      <w:r>
        <w:rPr>
          <w:spacing w:val="-6"/>
        </w:rPr>
        <w:t> </w:t>
      </w:r>
      <w:r>
        <w:rPr/>
        <w:t>Bomba</w:t>
      </w:r>
      <w:r>
        <w:rPr>
          <w:spacing w:val="-5"/>
        </w:rPr>
        <w:t> </w:t>
      </w:r>
      <w:r>
        <w:rPr/>
        <w:t>tienen</w:t>
      </w:r>
      <w:r>
        <w:rPr>
          <w:spacing w:val="-11"/>
        </w:rPr>
        <w:t> </w:t>
      </w:r>
      <w:r>
        <w:rPr/>
        <w:t>acceso</w:t>
      </w:r>
      <w:r>
        <w:rPr>
          <w:spacing w:val="-6"/>
        </w:rPr>
        <w:t> </w:t>
      </w:r>
      <w:r>
        <w:rPr/>
        <w:t>a</w:t>
      </w:r>
      <w:r>
        <w:rPr>
          <w:spacing w:val="-11"/>
        </w:rPr>
        <w:t> </w:t>
      </w:r>
      <w:r>
        <w:rPr/>
        <w:t>estos</w:t>
      </w:r>
      <w:r>
        <w:rPr>
          <w:spacing w:val="-7"/>
        </w:rPr>
        <w:t> </w:t>
      </w:r>
      <w:r>
        <w:rPr/>
        <w:t>servicios.</w:t>
      </w:r>
      <w:r>
        <w:rPr>
          <w:spacing w:val="-6"/>
        </w:rPr>
        <w:t> </w:t>
      </w:r>
      <w:r>
        <w:rPr/>
        <w:t>Por último el 80% de las viviendas localizadas en la localidad de San pedro Tultepec cuentan con los servicios básicos  antes mencionados. El  acceso a los   </w:t>
      </w:r>
      <w:r>
        <w:rPr>
          <w:spacing w:val="24"/>
        </w:rPr>
        <w:t> </w:t>
      </w:r>
      <w:r>
        <w:rPr/>
        <w:t>servicios</w:t>
      </w:r>
    </w:p>
    <w:p>
      <w:pPr>
        <w:spacing w:after="0" w:line="360" w:lineRule="auto"/>
        <w:jc w:val="both"/>
        <w:sectPr>
          <w:footerReference w:type="default" r:id="rId61"/>
          <w:pgSz w:w="12240" w:h="15840"/>
          <w:pgMar w:footer="1031" w:header="0" w:top="1360" w:bottom="1220" w:left="1580" w:right="1580"/>
          <w:pgNumType w:start="98"/>
        </w:sectPr>
      </w:pPr>
    </w:p>
    <w:p>
      <w:pPr>
        <w:pStyle w:val="BodyText"/>
        <w:spacing w:line="360" w:lineRule="auto" w:before="52"/>
        <w:ind w:left="119" w:right="104"/>
        <w:jc w:val="both"/>
      </w:pPr>
      <w:r>
        <w:rPr/>
        <w:t>públicos</w:t>
      </w:r>
      <w:r>
        <w:rPr>
          <w:spacing w:val="-12"/>
        </w:rPr>
        <w:t> </w:t>
      </w:r>
      <w:r>
        <w:rPr/>
        <w:t>y</w:t>
      </w:r>
      <w:r>
        <w:rPr>
          <w:spacing w:val="-12"/>
        </w:rPr>
        <w:t> </w:t>
      </w:r>
      <w:r>
        <w:rPr/>
        <w:t>su</w:t>
      </w:r>
      <w:r>
        <w:rPr>
          <w:spacing w:val="42"/>
        </w:rPr>
        <w:t> </w:t>
      </w:r>
      <w:r>
        <w:rPr/>
        <w:t>afectación</w:t>
      </w:r>
      <w:r>
        <w:rPr>
          <w:spacing w:val="-16"/>
        </w:rPr>
        <w:t> </w:t>
      </w:r>
      <w:r>
        <w:rPr/>
        <w:t>por</w:t>
      </w:r>
      <w:r>
        <w:rPr>
          <w:spacing w:val="-15"/>
        </w:rPr>
        <w:t> </w:t>
      </w:r>
      <w:r>
        <w:rPr/>
        <w:t>las</w:t>
      </w:r>
      <w:r>
        <w:rPr>
          <w:spacing w:val="-11"/>
        </w:rPr>
        <w:t> </w:t>
      </w:r>
      <w:r>
        <w:rPr/>
        <w:t>crecientes</w:t>
      </w:r>
      <w:r>
        <w:rPr>
          <w:spacing w:val="-16"/>
        </w:rPr>
        <w:t> </w:t>
      </w:r>
      <w:r>
        <w:rPr/>
        <w:t>demuestran</w:t>
      </w:r>
      <w:r>
        <w:rPr>
          <w:spacing w:val="-11"/>
        </w:rPr>
        <w:t> </w:t>
      </w:r>
      <w:r>
        <w:rPr/>
        <w:t>los</w:t>
      </w:r>
      <w:r>
        <w:rPr>
          <w:spacing w:val="-16"/>
        </w:rPr>
        <w:t> </w:t>
      </w:r>
      <w:r>
        <w:rPr/>
        <w:t>niveles</w:t>
      </w:r>
      <w:r>
        <w:rPr>
          <w:spacing w:val="-12"/>
        </w:rPr>
        <w:t> </w:t>
      </w:r>
      <w:r>
        <w:rPr/>
        <w:t>de</w:t>
      </w:r>
      <w:r>
        <w:rPr>
          <w:spacing w:val="-15"/>
        </w:rPr>
        <w:t> </w:t>
      </w:r>
      <w:r>
        <w:rPr/>
        <w:t>vulnerabilidad o resistencia. Y las decisiones que toman las familias para proteger sus pertenencias personales hacen parte  también de la capacidad</w:t>
      </w:r>
      <w:r>
        <w:rPr>
          <w:spacing w:val="-39"/>
        </w:rPr>
        <w:t> </w:t>
      </w:r>
      <w:r>
        <w:rPr/>
        <w:t>adaptativa.</w:t>
      </w:r>
    </w:p>
    <w:p>
      <w:pPr>
        <w:pStyle w:val="BodyText"/>
        <w:spacing w:before="1"/>
        <w:rPr>
          <w:sz w:val="21"/>
        </w:rPr>
      </w:pPr>
    </w:p>
    <w:p>
      <w:pPr>
        <w:pStyle w:val="Heading2"/>
        <w:numPr>
          <w:ilvl w:val="1"/>
          <w:numId w:val="22"/>
        </w:numPr>
        <w:tabs>
          <w:tab w:pos="951" w:val="left" w:leader="none"/>
        </w:tabs>
        <w:spacing w:line="240" w:lineRule="auto" w:before="0" w:after="0"/>
        <w:ind w:left="950" w:right="0" w:hanging="403"/>
        <w:jc w:val="left"/>
        <w:rPr>
          <w:i/>
        </w:rPr>
      </w:pPr>
      <w:bookmarkStart w:name="_TOC_250011" w:id="43"/>
      <w:r>
        <w:rPr/>
        <w:t>Daños físicos ocasionados por las</w:t>
      </w:r>
      <w:r>
        <w:rPr>
          <w:spacing w:val="-18"/>
        </w:rPr>
        <w:t> </w:t>
      </w:r>
      <w:r>
        <w:rPr/>
        <w:t>inundaciones</w:t>
      </w:r>
      <w:bookmarkEnd w:id="43"/>
      <w:r>
        <w:rPr>
          <w:i/>
        </w:rPr>
        <w:t>.</w:t>
      </w:r>
    </w:p>
    <w:p>
      <w:pPr>
        <w:pStyle w:val="BodyText"/>
        <w:rPr>
          <w:b/>
          <w:i/>
        </w:rPr>
      </w:pPr>
    </w:p>
    <w:p>
      <w:pPr>
        <w:pStyle w:val="BodyText"/>
        <w:spacing w:line="360" w:lineRule="auto" w:before="202"/>
        <w:ind w:left="119" w:right="105"/>
        <w:jc w:val="both"/>
      </w:pPr>
      <w:r>
        <w:rPr/>
        <w:t>Es</w:t>
      </w:r>
      <w:r>
        <w:rPr>
          <w:spacing w:val="-18"/>
        </w:rPr>
        <w:t> </w:t>
      </w:r>
      <w:r>
        <w:rPr/>
        <w:t>de</w:t>
      </w:r>
      <w:r>
        <w:rPr>
          <w:spacing w:val="-18"/>
        </w:rPr>
        <w:t> </w:t>
      </w:r>
      <w:r>
        <w:rPr/>
        <w:t>suma</w:t>
      </w:r>
      <w:r>
        <w:rPr>
          <w:spacing w:val="-18"/>
        </w:rPr>
        <w:t> </w:t>
      </w:r>
      <w:r>
        <w:rPr/>
        <w:t>importancia</w:t>
      </w:r>
      <w:r>
        <w:rPr>
          <w:spacing w:val="-18"/>
        </w:rPr>
        <w:t> </w:t>
      </w:r>
      <w:r>
        <w:rPr/>
        <w:t>precisar</w:t>
      </w:r>
      <w:r>
        <w:rPr>
          <w:spacing w:val="-21"/>
        </w:rPr>
        <w:t> </w:t>
      </w:r>
      <w:r>
        <w:rPr/>
        <w:t>que</w:t>
      </w:r>
      <w:r>
        <w:rPr>
          <w:spacing w:val="-22"/>
        </w:rPr>
        <w:t> </w:t>
      </w:r>
      <w:r>
        <w:rPr/>
        <w:t>el</w:t>
      </w:r>
      <w:r>
        <w:rPr>
          <w:spacing w:val="-14"/>
        </w:rPr>
        <w:t> </w:t>
      </w:r>
      <w:r>
        <w:rPr/>
        <w:t>78%</w:t>
      </w:r>
      <w:r>
        <w:rPr>
          <w:spacing w:val="-21"/>
        </w:rPr>
        <w:t> </w:t>
      </w:r>
      <w:r>
        <w:rPr/>
        <w:t>de</w:t>
      </w:r>
      <w:r>
        <w:rPr>
          <w:spacing w:val="-22"/>
        </w:rPr>
        <w:t> </w:t>
      </w:r>
      <w:r>
        <w:rPr/>
        <w:t>los</w:t>
      </w:r>
      <w:r>
        <w:rPr>
          <w:spacing w:val="-18"/>
        </w:rPr>
        <w:t> </w:t>
      </w:r>
      <w:r>
        <w:rPr/>
        <w:t>entrevistados</w:t>
      </w:r>
      <w:r>
        <w:rPr>
          <w:spacing w:val="-18"/>
        </w:rPr>
        <w:t> </w:t>
      </w:r>
      <w:r>
        <w:rPr/>
        <w:t>han</w:t>
      </w:r>
      <w:r>
        <w:rPr>
          <w:spacing w:val="-18"/>
        </w:rPr>
        <w:t> </w:t>
      </w:r>
      <w:r>
        <w:rPr/>
        <w:t>sido</w:t>
      </w:r>
      <w:r>
        <w:rPr>
          <w:spacing w:val="-18"/>
        </w:rPr>
        <w:t> </w:t>
      </w:r>
      <w:r>
        <w:rPr/>
        <w:t>afectados directa o indirectamente por las inundaciones que han ocurrido en principalmente en la temporada de lluvias en los años 2006 (75%) y 2010(25%), (Gráfica</w:t>
      </w:r>
      <w:r>
        <w:rPr>
          <w:spacing w:val="-23"/>
        </w:rPr>
        <w:t> </w:t>
      </w:r>
      <w:r>
        <w:rPr/>
        <w:t>6).</w:t>
      </w:r>
    </w:p>
    <w:p>
      <w:pPr>
        <w:spacing w:before="7"/>
        <w:ind w:left="119" w:right="0" w:firstLine="0"/>
        <w:jc w:val="both"/>
        <w:rPr>
          <w:sz w:val="22"/>
        </w:rPr>
      </w:pPr>
      <w:r>
        <w:rPr>
          <w:sz w:val="22"/>
        </w:rPr>
        <w:t>Gráfica 6. Porcentaje de personas afectadas por inundación en el municipio de Lerma.</w:t>
      </w:r>
    </w:p>
    <w:p>
      <w:pPr>
        <w:pStyle w:val="BodyText"/>
        <w:rPr>
          <w:sz w:val="20"/>
        </w:rPr>
      </w:pPr>
      <w:r>
        <w:rPr/>
        <w:pict>
          <v:group style="position:absolute;margin-left:198.005005pt;margin-top:13.453933pt;width:216pt;height:177pt;mso-position-horizontal-relative:page;mso-position-vertical-relative:paragraph;z-index:2296;mso-wrap-distance-left:0;mso-wrap-distance-right:0" coordorigin="3960,269" coordsize="4320,3540">
            <v:shape style="position:absolute;left:4806;top:497;width:2628;height:2628" coordorigin="4806,497" coordsize="2628,2628" path="m4835,1537l4822,1611,4812,1684,4807,1756,4806,1829,4809,1900,4816,1971,4826,2042,4841,2111,4859,2179,4880,2245,4905,2310,4933,2374,4965,2436,5000,2496,5038,2555,5078,2611,5122,2665,5169,2717,5219,2766,5271,2813,5325,2857,5383,2898,5442,2936,5504,2971,5569,3003,5635,3032,5704,3057,5774,3078,5847,3095,5920,3109,5993,3118,6066,3123,6138,3124,6210,3121,6281,3115,6351,3104,6420,3090,6488,3072,6555,3050,6620,3025,6684,2997,6746,2965,6806,2931,6864,2893,6921,2852,6975,2808,7027,2761,7076,2712,7123,2660,7167,2605,7208,2548,7246,2488,7281,2426,7313,2362,7341,2295,7366,2226,7387,2156,7405,2083,7418,2010,7428,1937,7433,1864,7434,1810,6120,1810,4835,1537xm6120,497l6120,1810,7434,1810,7434,1792,7431,1720,7424,1649,7414,1579,7399,1510,7381,1442,7360,1376,7335,1310,7307,1247,7275,1184,7240,1124,7202,1066,7162,1010,7118,956,7071,904,7021,855,6969,808,6915,764,6857,723,6798,684,6736,649,6671,618,6605,589,6536,564,6466,543,6393,525,6326,513,6257,504,6189,498,6120,497xe" filled="true" fillcolor="#ff3300" stroked="false">
              <v:path arrowok="t"/>
              <v:fill type="solid"/>
            </v:shape>
            <v:shape style="position:absolute;left:4835;top:497;width:1285;height:1314" coordorigin="4835,497" coordsize="1285,1314" path="m6120,497l6043,499,5967,505,5892,516,5818,532,5746,551,5676,574,5607,601,5540,632,5475,666,5412,704,5351,745,5293,789,5238,837,5185,888,5135,941,5088,998,5044,1057,5003,1119,4966,1183,4932,1249,4902,1318,4876,1389,4853,1462,4835,1537,6120,1810,6120,497xe" filled="true" fillcolor="#e36c09" stroked="false">
              <v:path arrowok="t"/>
              <v:fill type="solid"/>
            </v:shape>
            <v:shape style="position:absolute;left:3968;top:277;width:4305;height:3525" type="#_x0000_t202" filled="false" stroked="true" strokeweight=".75pt" strokecolor="#7e7e7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1"/>
                      <w:rPr>
                        <w:sz w:val="25"/>
                      </w:rPr>
                    </w:pPr>
                  </w:p>
                  <w:p>
                    <w:pPr>
                      <w:spacing w:before="0"/>
                      <w:ind w:left="737" w:right="1562" w:firstLine="0"/>
                      <w:jc w:val="center"/>
                      <w:rPr>
                        <w:rFonts w:ascii="Calibri"/>
                        <w:b/>
                        <w:sz w:val="18"/>
                      </w:rPr>
                    </w:pPr>
                    <w:r>
                      <w:rPr>
                        <w:rFonts w:ascii="Calibri"/>
                        <w:b/>
                        <w:sz w:val="18"/>
                      </w:rPr>
                      <w:t>22%</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7"/>
                      <w:rPr>
                        <w:sz w:val="15"/>
                      </w:rPr>
                    </w:pPr>
                  </w:p>
                  <w:p>
                    <w:pPr>
                      <w:spacing w:before="0"/>
                      <w:ind w:left="1563" w:right="736" w:firstLine="0"/>
                      <w:jc w:val="center"/>
                      <w:rPr>
                        <w:rFonts w:ascii="Calibri"/>
                        <w:b/>
                        <w:sz w:val="18"/>
                      </w:rPr>
                    </w:pPr>
                    <w:r>
                      <w:rPr>
                        <w:rFonts w:ascii="Calibri"/>
                        <w:b/>
                        <w:sz w:val="18"/>
                      </w:rPr>
                      <w:t>78%</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tabs>
                        <w:tab w:pos="585" w:val="left" w:leader="none"/>
                      </w:tabs>
                      <w:spacing w:before="135"/>
                      <w:ind w:left="215" w:right="0" w:firstLine="0"/>
                      <w:jc w:val="center"/>
                      <w:rPr>
                        <w:rFonts w:ascii="Calibri"/>
                        <w:sz w:val="18"/>
                      </w:rPr>
                    </w:pPr>
                    <w:r>
                      <w:rPr>
                        <w:rFonts w:ascii="Calibri"/>
                        <w:color w:val="1F487C"/>
                        <w:sz w:val="18"/>
                      </w:rPr>
                      <w:t>Si</w:t>
                      <w:tab/>
                    </w:r>
                    <w:r>
                      <w:rPr>
                        <w:rFonts w:ascii="Calibri"/>
                        <w:color w:val="1F487C"/>
                        <w:spacing w:val="-3"/>
                        <w:sz w:val="18"/>
                      </w:rPr>
                      <w:t>No</w:t>
                    </w:r>
                  </w:p>
                </w:txbxContent>
              </v:textbox>
              <w10:wrap type="none"/>
            </v:shape>
            <w10:wrap type="topAndBottom"/>
          </v:group>
        </w:pict>
      </w:r>
    </w:p>
    <w:p>
      <w:pPr>
        <w:pStyle w:val="BodyText"/>
        <w:rPr>
          <w:sz w:val="22"/>
        </w:rPr>
      </w:pPr>
    </w:p>
    <w:p>
      <w:pPr>
        <w:spacing w:before="173"/>
        <w:ind w:left="119" w:right="0" w:firstLine="0"/>
        <w:jc w:val="both"/>
        <w:rPr>
          <w:sz w:val="20"/>
        </w:rPr>
      </w:pPr>
      <w:r>
        <w:rPr/>
        <w:pict>
          <v:rect style="position:absolute;margin-left:289.679993pt;margin-top:-31.310112pt;width:5.04pt;height:4.8pt;mso-position-horizontal-relative:page;mso-position-vertical-relative:paragraph;z-index:-119272" filled="true" fillcolor="#ff3300" stroked="false">
            <v:fill type="solid"/>
            <w10:wrap type="none"/>
          </v:rect>
        </w:pict>
      </w:r>
      <w:r>
        <w:rPr/>
        <w:pict>
          <v:rect style="position:absolute;margin-left:308.160004pt;margin-top:-31.310112pt;width:5.04pt;height:4.8pt;mso-position-horizontal-relative:page;mso-position-vertical-relative:paragraph;z-index:-119248" filled="true" fillcolor="#e36c09" stroked="false">
            <v:fill type="solid"/>
            <w10:wrap type="none"/>
          </v:rect>
        </w:pict>
      </w:r>
      <w:r>
        <w:rPr>
          <w:sz w:val="20"/>
        </w:rPr>
        <w:t>Fuente: Mendoza Baruch, sobre la base de encuestas, 2013.</w:t>
      </w:r>
    </w:p>
    <w:p>
      <w:pPr>
        <w:pStyle w:val="BodyText"/>
        <w:rPr>
          <w:sz w:val="20"/>
        </w:rPr>
      </w:pPr>
    </w:p>
    <w:p>
      <w:pPr>
        <w:pStyle w:val="BodyText"/>
        <w:rPr>
          <w:sz w:val="26"/>
        </w:rPr>
      </w:pPr>
    </w:p>
    <w:p>
      <w:pPr>
        <w:pStyle w:val="BodyText"/>
        <w:spacing w:line="360" w:lineRule="auto" w:before="1"/>
        <w:ind w:left="119" w:right="105"/>
        <w:jc w:val="both"/>
      </w:pPr>
      <w:r>
        <w:rPr/>
        <w:t>En cuanto al tipo de afectaciones, el 78% de los entrevistados destaca el daño al mobiliario</w:t>
      </w:r>
      <w:r>
        <w:rPr>
          <w:spacing w:val="-10"/>
        </w:rPr>
        <w:t> </w:t>
      </w:r>
      <w:r>
        <w:rPr/>
        <w:t>de</w:t>
      </w:r>
      <w:r>
        <w:rPr>
          <w:spacing w:val="-10"/>
        </w:rPr>
        <w:t> </w:t>
      </w:r>
      <w:r>
        <w:rPr/>
        <w:t>sus</w:t>
      </w:r>
      <w:r>
        <w:rPr>
          <w:spacing w:val="-11"/>
        </w:rPr>
        <w:t> </w:t>
      </w:r>
      <w:r>
        <w:rPr/>
        <w:t>viviendas</w:t>
      </w:r>
      <w:r>
        <w:rPr>
          <w:spacing w:val="-15"/>
        </w:rPr>
        <w:t> </w:t>
      </w:r>
      <w:r>
        <w:rPr/>
        <w:t>(28%),</w:t>
      </w:r>
      <w:r>
        <w:rPr>
          <w:spacing w:val="-15"/>
        </w:rPr>
        <w:t> </w:t>
      </w:r>
      <w:r>
        <w:rPr/>
        <w:t>afectación</w:t>
      </w:r>
      <w:r>
        <w:rPr>
          <w:spacing w:val="-19"/>
        </w:rPr>
        <w:t> </w:t>
      </w:r>
      <w:r>
        <w:rPr/>
        <w:t>a</w:t>
      </w:r>
      <w:r>
        <w:rPr>
          <w:spacing w:val="-10"/>
        </w:rPr>
        <w:t> </w:t>
      </w:r>
      <w:r>
        <w:rPr/>
        <w:t>los</w:t>
      </w:r>
      <w:r>
        <w:rPr>
          <w:spacing w:val="-15"/>
        </w:rPr>
        <w:t> </w:t>
      </w:r>
      <w:r>
        <w:rPr/>
        <w:t>pisos</w:t>
      </w:r>
      <w:r>
        <w:rPr>
          <w:spacing w:val="-11"/>
        </w:rPr>
        <w:t> </w:t>
      </w:r>
      <w:r>
        <w:rPr/>
        <w:t>(21%),</w:t>
      </w:r>
      <w:r>
        <w:rPr>
          <w:spacing w:val="-10"/>
        </w:rPr>
        <w:t> </w:t>
      </w:r>
      <w:r>
        <w:rPr/>
        <w:t>cuarteaduras</w:t>
      </w:r>
      <w:r>
        <w:rPr>
          <w:spacing w:val="-11"/>
        </w:rPr>
        <w:t> </w:t>
      </w:r>
      <w:r>
        <w:rPr/>
        <w:t>en</w:t>
      </w:r>
      <w:r>
        <w:rPr>
          <w:spacing w:val="-15"/>
        </w:rPr>
        <w:t> </w:t>
      </w:r>
      <w:r>
        <w:rPr/>
        <w:t>los muros</w:t>
      </w:r>
      <w:r>
        <w:rPr>
          <w:spacing w:val="-13"/>
        </w:rPr>
        <w:t> </w:t>
      </w:r>
      <w:r>
        <w:rPr/>
        <w:t>(10%)</w:t>
      </w:r>
      <w:r>
        <w:rPr>
          <w:spacing w:val="-11"/>
        </w:rPr>
        <w:t> </w:t>
      </w:r>
      <w:r>
        <w:rPr/>
        <w:t>y</w:t>
      </w:r>
      <w:r>
        <w:rPr>
          <w:spacing w:val="-13"/>
        </w:rPr>
        <w:t> </w:t>
      </w:r>
      <w:r>
        <w:rPr/>
        <w:t>humedad</w:t>
      </w:r>
      <w:r>
        <w:rPr>
          <w:spacing w:val="-12"/>
        </w:rPr>
        <w:t> </w:t>
      </w:r>
      <w:r>
        <w:rPr/>
        <w:t>(18%).</w:t>
      </w:r>
      <w:r>
        <w:rPr>
          <w:spacing w:val="-12"/>
        </w:rPr>
        <w:t> </w:t>
      </w:r>
      <w:r>
        <w:rPr/>
        <w:t>El</w:t>
      </w:r>
      <w:r>
        <w:rPr>
          <w:spacing w:val="-8"/>
        </w:rPr>
        <w:t> </w:t>
      </w:r>
      <w:r>
        <w:rPr/>
        <w:t>10%</w:t>
      </w:r>
      <w:r>
        <w:rPr>
          <w:spacing w:val="-15"/>
        </w:rPr>
        <w:t> </w:t>
      </w:r>
      <w:r>
        <w:rPr/>
        <w:t>señalo</w:t>
      </w:r>
      <w:r>
        <w:rPr>
          <w:spacing w:val="-12"/>
        </w:rPr>
        <w:t> </w:t>
      </w:r>
      <w:r>
        <w:rPr/>
        <w:t>que</w:t>
      </w:r>
      <w:r>
        <w:rPr>
          <w:spacing w:val="-12"/>
        </w:rPr>
        <w:t> </w:t>
      </w:r>
      <w:r>
        <w:rPr/>
        <w:t>presentaron</w:t>
      </w:r>
      <w:r>
        <w:rPr>
          <w:spacing w:val="-12"/>
        </w:rPr>
        <w:t> </w:t>
      </w:r>
      <w:r>
        <w:rPr/>
        <w:t>afectaciones</w:t>
      </w:r>
      <w:r>
        <w:rPr>
          <w:spacing w:val="-13"/>
        </w:rPr>
        <w:t> </w:t>
      </w:r>
      <w:r>
        <w:rPr/>
        <w:t>leves, como</w:t>
      </w:r>
      <w:r>
        <w:rPr>
          <w:spacing w:val="-4"/>
        </w:rPr>
        <w:t> </w:t>
      </w:r>
      <w:r>
        <w:rPr/>
        <w:t>las</w:t>
      </w:r>
      <w:r>
        <w:rPr>
          <w:spacing w:val="-4"/>
        </w:rPr>
        <w:t> </w:t>
      </w:r>
      <w:r>
        <w:rPr/>
        <w:t>goteras,</w:t>
      </w:r>
      <w:r>
        <w:rPr>
          <w:spacing w:val="-8"/>
        </w:rPr>
        <w:t> </w:t>
      </w:r>
      <w:r>
        <w:rPr/>
        <w:t>en</w:t>
      </w:r>
      <w:r>
        <w:rPr>
          <w:spacing w:val="-4"/>
        </w:rPr>
        <w:t> </w:t>
      </w:r>
      <w:r>
        <w:rPr/>
        <w:t>contraparte</w:t>
      </w:r>
      <w:r>
        <w:rPr>
          <w:spacing w:val="-4"/>
        </w:rPr>
        <w:t> </w:t>
      </w:r>
      <w:r>
        <w:rPr/>
        <w:t>el</w:t>
      </w:r>
      <w:r>
        <w:rPr>
          <w:spacing w:val="-4"/>
        </w:rPr>
        <w:t> </w:t>
      </w:r>
      <w:r>
        <w:rPr/>
        <w:t>6%</w:t>
      </w:r>
      <w:r>
        <w:rPr>
          <w:spacing w:val="-7"/>
        </w:rPr>
        <w:t> </w:t>
      </w:r>
      <w:r>
        <w:rPr/>
        <w:t>tuvo</w:t>
      </w:r>
      <w:r>
        <w:rPr>
          <w:spacing w:val="-7"/>
        </w:rPr>
        <w:t> </w:t>
      </w:r>
      <w:r>
        <w:rPr/>
        <w:t>afectaciones</w:t>
      </w:r>
      <w:r>
        <w:rPr>
          <w:spacing w:val="-8"/>
        </w:rPr>
        <w:t> </w:t>
      </w:r>
      <w:r>
        <w:rPr/>
        <w:t>graves</w:t>
      </w:r>
      <w:r>
        <w:rPr>
          <w:spacing w:val="-4"/>
        </w:rPr>
        <w:t> </w:t>
      </w:r>
      <w:r>
        <w:rPr/>
        <w:t>por</w:t>
      </w:r>
      <w:r>
        <w:rPr>
          <w:spacing w:val="-3"/>
        </w:rPr>
        <w:t> </w:t>
      </w:r>
      <w:r>
        <w:rPr/>
        <w:t>derrumbes</w:t>
      </w:r>
      <w:r>
        <w:rPr>
          <w:spacing w:val="-4"/>
        </w:rPr>
        <w:t> </w:t>
      </w:r>
      <w:r>
        <w:rPr/>
        <w:t>de muros, hundimientos y pérdidas totales. (Gráfica</w:t>
      </w:r>
      <w:r>
        <w:rPr>
          <w:spacing w:val="-10"/>
        </w:rPr>
        <w:t> </w:t>
      </w:r>
      <w:r>
        <w:rPr/>
        <w:t>7).</w:t>
      </w:r>
    </w:p>
    <w:p>
      <w:pPr>
        <w:spacing w:after="0" w:line="360" w:lineRule="auto"/>
        <w:jc w:val="both"/>
        <w:sectPr>
          <w:pgSz w:w="12240" w:h="15840"/>
          <w:pgMar w:header="0" w:footer="1031" w:top="1360" w:bottom="1220" w:left="1580" w:right="1600"/>
        </w:sectPr>
      </w:pPr>
    </w:p>
    <w:p>
      <w:pPr>
        <w:spacing w:before="56"/>
        <w:ind w:left="119" w:right="0" w:firstLine="0"/>
        <w:jc w:val="both"/>
        <w:rPr>
          <w:sz w:val="22"/>
        </w:rPr>
      </w:pPr>
      <w:r>
        <w:rPr/>
        <w:pict>
          <v:group style="position:absolute;margin-left:84.675003pt;margin-top:21.472857pt;width:420pt;height:177.75pt;mso-position-horizontal-relative:page;mso-position-vertical-relative:paragraph;z-index:2728;mso-wrap-distance-left:0;mso-wrap-distance-right:0" coordorigin="1694,429" coordsize="8400,3555">
            <v:line style="position:absolute" from="5311,658" to="5311,1395" stroked="true" strokeweight=".72pt" strokecolor="#d9d9d9"/>
            <v:line style="position:absolute" from="5311,1505" to="5311,2028" stroked="true" strokeweight=".72pt" strokecolor="#d9d9d9"/>
            <v:line style="position:absolute" from="5311,2144" to="5311,2662" stroked="true" strokeweight=".72pt" strokecolor="#d9d9d9"/>
            <v:line style="position:absolute" from="5311,2777" to="5311,2979" stroked="true" strokeweight=".72pt" strokecolor="#d9d9d9"/>
            <v:line style="position:absolute" from="5311,3094" to="5311,3300" stroked="true" strokeweight=".72pt" strokecolor="#d9d9d9"/>
            <v:line style="position:absolute" from="5311,3411" to="5311,3514" stroked="true" strokeweight=".72pt" strokecolor="#d9d9d9"/>
            <v:line style="position:absolute" from="6204,2144" to="6204,3300" stroked="true" strokeweight=".72pt" strokecolor="#d9d9d9"/>
            <v:line style="position:absolute" from="6204,3411" to="6204,3514" stroked="true" strokeweight=".72pt" strokecolor="#d9d9d9"/>
            <v:line style="position:absolute" from="7097,2144" to="7097,3300" stroked="true" strokeweight=".72pt" strokecolor="#d9d9d9"/>
            <v:line style="position:absolute" from="7097,3411" to="7097,3514" stroked="true" strokeweight=".72pt" strokecolor="#d9d9d9"/>
            <v:rect style="position:absolute;left:4416;top:3300;width:3216;height:110" filled="true" fillcolor="#e36c09" stroked="false">
              <v:fill type="solid"/>
            </v:rect>
            <v:rect style="position:absolute;left:4416;top:2979;width:1786;height:115" filled="true" fillcolor="#e36c09" stroked="false">
              <v:fill type="solid"/>
            </v:rect>
            <v:rect style="position:absolute;left:4416;top:2662;width:1786;height:115" filled="true" fillcolor="#e36c09" stroked="false">
              <v:fill type="solid"/>
            </v:rect>
            <v:rect style="position:absolute;left:4416;top:2345;width:893;height:115" filled="true" fillcolor="#e36c09" stroked="false">
              <v:fill type="solid"/>
            </v:rect>
            <v:line style="position:absolute" from="6204,1505" to="6204,2028" stroked="true" strokeweight=".72pt" strokecolor="#d9d9d9"/>
            <v:line style="position:absolute" from="7097,1505" to="7097,2028" stroked="true" strokeweight=".72pt" strokecolor="#d9d9d9"/>
            <v:line style="position:absolute" from="7990,1505" to="7990,2028" stroked="true" strokeweight=".72pt" strokecolor="#d9d9d9"/>
            <v:line style="position:absolute" from="7990,2144" to="7990,3514" stroked="true" strokeweight=".72pt" strokecolor="#d9d9d9"/>
            <v:rect style="position:absolute;left:4416;top:2028;width:3754;height:115" filled="true" fillcolor="#e36c09" stroked="false">
              <v:fill type="solid"/>
            </v:rect>
            <v:rect style="position:absolute;left:4416;top:1712;width:715;height:110" filled="true" fillcolor="#e36c09" stroked="false">
              <v:fill type="solid"/>
            </v:rect>
            <v:line style="position:absolute" from="6204,658" to="6204,1395" stroked="true" strokeweight=".72pt" strokecolor="#d9d9d9"/>
            <v:line style="position:absolute" from="7097,658" to="7097,1395" stroked="true" strokeweight=".72pt" strokecolor="#d9d9d9"/>
            <v:line style="position:absolute" from="7990,658" to="7990,1395" stroked="true" strokeweight=".72pt" strokecolor="#d9d9d9"/>
            <v:line style="position:absolute" from="8882,658" to="8882,1395" stroked="true" strokeweight=".72pt" strokecolor="#d9d9d9"/>
            <v:line style="position:absolute" from="8882,1505" to="8882,3514" stroked="true" strokeweight=".72pt" strokecolor="#d9d9d9"/>
            <v:rect style="position:absolute;left:4416;top:1395;width:5002;height:110" filled="true" fillcolor="#e36c09" stroked="false">
              <v:fill type="solid"/>
            </v:rect>
            <v:rect style="position:absolute;left:4416;top:1078;width:355;height:110" filled="true" fillcolor="#e36c09" stroked="false">
              <v:fill type="solid"/>
            </v:rect>
            <v:rect style="position:absolute;left:4416;top:761;width:355;height:110" filled="true" fillcolor="#e36c09" stroked="false">
              <v:fill type="solid"/>
            </v:rect>
            <v:line style="position:absolute" from="4418,3514" to="4418,658" stroked="true" strokeweight=".72pt" strokecolor="#d9d9d9"/>
            <v:line style="position:absolute" from="9775,658" to="9775,3514" stroked="true" strokeweight=".72pt" strokecolor="#d9d9d9"/>
            <v:rect style="position:absolute;left:1701;top:437;width:8385;height:3540" filled="false" stroked="true" strokeweight=".75pt" strokecolor="#7e7e7e"/>
            <v:shape style="position:absolute;left:1832;top:733;width:2422;height:2722" type="#_x0000_t202" filled="false" stroked="false">
              <v:textbox inset="0,0,0,0">
                <w:txbxContent>
                  <w:p>
                    <w:pPr>
                      <w:spacing w:line="185" w:lineRule="exact" w:before="0"/>
                      <w:ind w:left="0" w:right="0" w:firstLine="0"/>
                      <w:jc w:val="right"/>
                      <w:rPr>
                        <w:rFonts w:ascii="Calibri" w:hAnsi="Calibri"/>
                        <w:sz w:val="18"/>
                      </w:rPr>
                    </w:pPr>
                    <w:r>
                      <w:rPr>
                        <w:rFonts w:ascii="Calibri" w:hAnsi="Calibri"/>
                        <w:color w:val="585858"/>
                        <w:sz w:val="18"/>
                      </w:rPr>
                      <w:t>Pérdida total</w:t>
                    </w:r>
                  </w:p>
                  <w:p>
                    <w:pPr>
                      <w:spacing w:line="345" w:lineRule="auto" w:before="97"/>
                      <w:ind w:left="0" w:right="0" w:firstLine="937"/>
                      <w:jc w:val="right"/>
                      <w:rPr>
                        <w:rFonts w:ascii="Calibri" w:hAnsi="Calibri"/>
                        <w:sz w:val="18"/>
                      </w:rPr>
                    </w:pPr>
                    <w:r>
                      <w:rPr>
                        <w:rFonts w:ascii="Calibri" w:hAnsi="Calibri"/>
                        <w:color w:val="585858"/>
                        <w:sz w:val="18"/>
                      </w:rPr>
                      <w:t>Derrumbe de muros</w:t>
                    </w:r>
                    <w:r>
                      <w:rPr>
                        <w:rFonts w:ascii="Calibri" w:hAnsi="Calibri"/>
                        <w:color w:val="585858"/>
                        <w:w w:val="101"/>
                        <w:sz w:val="18"/>
                      </w:rPr>
                      <w:t> </w:t>
                    </w:r>
                    <w:r>
                      <w:rPr>
                        <w:rFonts w:ascii="Calibri" w:hAnsi="Calibri"/>
                        <w:color w:val="585858"/>
                        <w:sz w:val="18"/>
                      </w:rPr>
                      <w:t>Afectación a mobiliario del hogar</w:t>
                    </w:r>
                  </w:p>
                  <w:p>
                    <w:pPr>
                      <w:spacing w:line="345" w:lineRule="auto" w:before="1"/>
                      <w:ind w:left="455" w:right="0" w:firstLine="931"/>
                      <w:jc w:val="right"/>
                      <w:rPr>
                        <w:rFonts w:ascii="Calibri"/>
                        <w:sz w:val="18"/>
                      </w:rPr>
                    </w:pPr>
                    <w:r>
                      <w:rPr>
                        <w:rFonts w:ascii="Calibri"/>
                        <w:color w:val="585858"/>
                        <w:sz w:val="18"/>
                      </w:rPr>
                      <w:t>Hundimientos Afectaciones en los pisos</w:t>
                    </w:r>
                    <w:r>
                      <w:rPr>
                        <w:rFonts w:ascii="Calibri"/>
                        <w:color w:val="585858"/>
                        <w:w w:val="101"/>
                        <w:sz w:val="18"/>
                      </w:rPr>
                      <w:t> </w:t>
                    </w:r>
                    <w:r>
                      <w:rPr>
                        <w:rFonts w:ascii="Calibri"/>
                        <w:color w:val="585858"/>
                        <w:sz w:val="18"/>
                      </w:rPr>
                      <w:t>Afectaciones en los techos</w:t>
                    </w:r>
                    <w:r>
                      <w:rPr>
                        <w:rFonts w:ascii="Calibri"/>
                        <w:color w:val="585858"/>
                        <w:w w:val="101"/>
                        <w:sz w:val="18"/>
                      </w:rPr>
                      <w:t> </w:t>
                    </w:r>
                    <w:r>
                      <w:rPr>
                        <w:rFonts w:ascii="Calibri"/>
                        <w:color w:val="585858"/>
                        <w:sz w:val="18"/>
                      </w:rPr>
                      <w:t>Cuarteaduras en los muros</w:t>
                    </w:r>
                  </w:p>
                  <w:p>
                    <w:pPr>
                      <w:spacing w:before="0"/>
                      <w:ind w:left="0" w:right="0" w:firstLine="0"/>
                      <w:jc w:val="right"/>
                      <w:rPr>
                        <w:rFonts w:ascii="Calibri"/>
                        <w:sz w:val="18"/>
                      </w:rPr>
                    </w:pPr>
                    <w:r>
                      <w:rPr>
                        <w:rFonts w:ascii="Calibri"/>
                        <w:color w:val="585858"/>
                        <w:sz w:val="18"/>
                      </w:rPr>
                      <w:t>Goteras</w:t>
                    </w:r>
                  </w:p>
                  <w:p>
                    <w:pPr>
                      <w:spacing w:line="217" w:lineRule="exact" w:before="97"/>
                      <w:ind w:left="0" w:right="0" w:firstLine="0"/>
                      <w:jc w:val="right"/>
                      <w:rPr>
                        <w:rFonts w:ascii="Calibri"/>
                        <w:sz w:val="18"/>
                      </w:rPr>
                    </w:pPr>
                    <w:r>
                      <w:rPr>
                        <w:rFonts w:ascii="Calibri"/>
                        <w:color w:val="585858"/>
                        <w:sz w:val="18"/>
                      </w:rPr>
                      <w:t>Humedad en la vivienda</w:t>
                    </w:r>
                  </w:p>
                </w:txbxContent>
              </v:textbox>
              <w10:wrap type="none"/>
            </v:shape>
            <v:shape style="position:absolute;left:4561;top:742;width:93;height:501" type="#_x0000_t202" filled="false" stroked="false">
              <v:textbox inset="0,0,0,0">
                <w:txbxContent>
                  <w:p>
                    <w:pPr>
                      <w:spacing w:line="185" w:lineRule="exact" w:before="0"/>
                      <w:ind w:left="0" w:right="0" w:firstLine="0"/>
                      <w:jc w:val="left"/>
                      <w:rPr>
                        <w:rFonts w:ascii="Calibri"/>
                        <w:b/>
                        <w:sz w:val="18"/>
                      </w:rPr>
                    </w:pPr>
                    <w:r>
                      <w:rPr>
                        <w:rFonts w:ascii="Calibri"/>
                        <w:b/>
                        <w:w w:val="101"/>
                        <w:sz w:val="18"/>
                      </w:rPr>
                      <w:t>2</w:t>
                    </w:r>
                  </w:p>
                  <w:p>
                    <w:pPr>
                      <w:spacing w:line="217" w:lineRule="exact" w:before="98"/>
                      <w:ind w:left="0" w:right="0" w:firstLine="0"/>
                      <w:jc w:val="left"/>
                      <w:rPr>
                        <w:rFonts w:ascii="Calibri"/>
                        <w:b/>
                        <w:sz w:val="18"/>
                      </w:rPr>
                    </w:pPr>
                    <w:r>
                      <w:rPr>
                        <w:rFonts w:ascii="Calibri"/>
                        <w:b/>
                        <w:w w:val="101"/>
                        <w:sz w:val="18"/>
                      </w:rPr>
                      <w:t>2</w:t>
                    </w:r>
                  </w:p>
                </w:txbxContent>
              </v:textbox>
              <w10:wrap type="none"/>
            </v:shape>
            <v:shape style="position:absolute;left:9118;top:1378;width:183;height:183" type="#_x0000_t202" filled="false" stroked="false">
              <v:textbox inset="0,0,0,0">
                <w:txbxContent>
                  <w:p>
                    <w:pPr>
                      <w:spacing w:line="182" w:lineRule="exact" w:before="0"/>
                      <w:ind w:left="0" w:right="-20" w:firstLine="0"/>
                      <w:jc w:val="left"/>
                      <w:rPr>
                        <w:rFonts w:ascii="Calibri"/>
                        <w:b/>
                        <w:sz w:val="18"/>
                      </w:rPr>
                    </w:pPr>
                    <w:r>
                      <w:rPr>
                        <w:rFonts w:ascii="Calibri"/>
                        <w:b/>
                        <w:sz w:val="18"/>
                      </w:rPr>
                      <w:t>28</w:t>
                    </w:r>
                  </w:p>
                </w:txbxContent>
              </v:textbox>
              <w10:wrap type="none"/>
            </v:shape>
            <v:shape style="position:absolute;left:4918;top:1695;width:93;height:183" type="#_x0000_t202" filled="false" stroked="false">
              <v:textbox inset="0,0,0,0">
                <w:txbxContent>
                  <w:p>
                    <w:pPr>
                      <w:spacing w:line="182" w:lineRule="exact" w:before="0"/>
                      <w:ind w:left="0" w:right="0" w:firstLine="0"/>
                      <w:jc w:val="left"/>
                      <w:rPr>
                        <w:rFonts w:ascii="Calibri"/>
                        <w:b/>
                        <w:sz w:val="18"/>
                      </w:rPr>
                    </w:pPr>
                    <w:r>
                      <w:rPr>
                        <w:rFonts w:ascii="Calibri"/>
                        <w:b/>
                        <w:w w:val="101"/>
                        <w:sz w:val="18"/>
                      </w:rPr>
                      <w:t>4</w:t>
                    </w:r>
                  </w:p>
                </w:txbxContent>
              </v:textbox>
              <w10:wrap type="none"/>
            </v:shape>
            <v:shape style="position:absolute;left:7867;top:2013;width:183;height:183" type="#_x0000_t202" filled="false" stroked="false">
              <v:textbox inset="0,0,0,0">
                <w:txbxContent>
                  <w:p>
                    <w:pPr>
                      <w:spacing w:line="182" w:lineRule="exact" w:before="0"/>
                      <w:ind w:left="0" w:right="-20" w:firstLine="0"/>
                      <w:jc w:val="left"/>
                      <w:rPr>
                        <w:rFonts w:ascii="Calibri"/>
                        <w:b/>
                        <w:sz w:val="18"/>
                      </w:rPr>
                    </w:pPr>
                    <w:r>
                      <w:rPr>
                        <w:rFonts w:ascii="Calibri"/>
                        <w:b/>
                        <w:sz w:val="18"/>
                      </w:rPr>
                      <w:t>21</w:t>
                    </w:r>
                  </w:p>
                </w:txbxContent>
              </v:textbox>
              <w10:wrap type="none"/>
            </v:shape>
            <v:shape style="position:absolute;left:5097;top:2330;width:93;height:183" type="#_x0000_t202" filled="false" stroked="false">
              <v:textbox inset="0,0,0,0">
                <w:txbxContent>
                  <w:p>
                    <w:pPr>
                      <w:spacing w:line="182" w:lineRule="exact" w:before="0"/>
                      <w:ind w:left="0" w:right="0" w:firstLine="0"/>
                      <w:jc w:val="left"/>
                      <w:rPr>
                        <w:rFonts w:ascii="Calibri"/>
                        <w:b/>
                        <w:sz w:val="18"/>
                      </w:rPr>
                    </w:pPr>
                    <w:r>
                      <w:rPr>
                        <w:rFonts w:ascii="Calibri"/>
                        <w:b/>
                        <w:w w:val="101"/>
                        <w:sz w:val="18"/>
                      </w:rPr>
                      <w:t>5</w:t>
                    </w:r>
                  </w:p>
                </w:txbxContent>
              </v:textbox>
              <w10:wrap type="none"/>
            </v:shape>
            <v:shape style="position:absolute;left:5902;top:2647;width:183;height:500" type="#_x0000_t202" filled="false" stroked="false">
              <v:textbox inset="0,0,0,0">
                <w:txbxContent>
                  <w:p>
                    <w:pPr>
                      <w:spacing w:line="185" w:lineRule="exact" w:before="0"/>
                      <w:ind w:left="0" w:right="-20" w:firstLine="0"/>
                      <w:jc w:val="left"/>
                      <w:rPr>
                        <w:rFonts w:ascii="Calibri"/>
                        <w:b/>
                        <w:sz w:val="18"/>
                      </w:rPr>
                    </w:pPr>
                    <w:r>
                      <w:rPr>
                        <w:rFonts w:ascii="Calibri"/>
                        <w:b/>
                        <w:sz w:val="18"/>
                      </w:rPr>
                      <w:t>10</w:t>
                    </w:r>
                  </w:p>
                  <w:p>
                    <w:pPr>
                      <w:spacing w:line="217" w:lineRule="exact" w:before="98"/>
                      <w:ind w:left="0" w:right="-20" w:firstLine="0"/>
                      <w:jc w:val="left"/>
                      <w:rPr>
                        <w:rFonts w:ascii="Calibri"/>
                        <w:b/>
                        <w:sz w:val="18"/>
                      </w:rPr>
                    </w:pPr>
                    <w:r>
                      <w:rPr>
                        <w:rFonts w:ascii="Calibri"/>
                        <w:b/>
                        <w:sz w:val="18"/>
                      </w:rPr>
                      <w:t>10</w:t>
                    </w:r>
                  </w:p>
                </w:txbxContent>
              </v:textbox>
              <w10:wrap type="none"/>
            </v:shape>
            <v:shape style="position:absolute;left:7331;top:3282;width:183;height:183" type="#_x0000_t202" filled="false" stroked="false">
              <v:textbox inset="0,0,0,0">
                <w:txbxContent>
                  <w:p>
                    <w:pPr>
                      <w:spacing w:line="182" w:lineRule="exact" w:before="0"/>
                      <w:ind w:left="0" w:right="-20" w:firstLine="0"/>
                      <w:jc w:val="left"/>
                      <w:rPr>
                        <w:rFonts w:ascii="Calibri"/>
                        <w:b/>
                        <w:sz w:val="18"/>
                      </w:rPr>
                    </w:pPr>
                    <w:r>
                      <w:rPr>
                        <w:rFonts w:ascii="Calibri"/>
                        <w:b/>
                        <w:sz w:val="18"/>
                      </w:rPr>
                      <w:t>18</w:t>
                    </w:r>
                  </w:p>
                </w:txbxContent>
              </v:textbox>
              <w10:wrap type="none"/>
            </v:shape>
            <v:shape style="position:absolute;left:4372;top:3665;width:93;height:183" type="#_x0000_t202" filled="false" stroked="false">
              <v:textbox inset="0,0,0,0">
                <w:txbxContent>
                  <w:p>
                    <w:pPr>
                      <w:spacing w:line="182" w:lineRule="exact" w:before="0"/>
                      <w:ind w:left="0" w:right="0" w:firstLine="0"/>
                      <w:jc w:val="left"/>
                      <w:rPr>
                        <w:rFonts w:ascii="Calibri"/>
                        <w:sz w:val="18"/>
                      </w:rPr>
                    </w:pPr>
                    <w:r>
                      <w:rPr>
                        <w:rFonts w:ascii="Calibri"/>
                        <w:color w:val="585858"/>
                        <w:w w:val="101"/>
                        <w:sz w:val="18"/>
                      </w:rPr>
                      <w:t>0</w:t>
                    </w:r>
                  </w:p>
                </w:txbxContent>
              </v:textbox>
              <w10:wrap type="none"/>
            </v:shape>
            <v:shape style="position:absolute;left:5266;top:3665;width:93;height:183" type="#_x0000_t202" filled="false" stroked="false">
              <v:textbox inset="0,0,0,0">
                <w:txbxContent>
                  <w:p>
                    <w:pPr>
                      <w:spacing w:line="182" w:lineRule="exact" w:before="0"/>
                      <w:ind w:left="0" w:right="0" w:firstLine="0"/>
                      <w:jc w:val="left"/>
                      <w:rPr>
                        <w:rFonts w:ascii="Calibri"/>
                        <w:sz w:val="18"/>
                      </w:rPr>
                    </w:pPr>
                    <w:r>
                      <w:rPr>
                        <w:rFonts w:ascii="Calibri"/>
                        <w:color w:val="585858"/>
                        <w:w w:val="101"/>
                        <w:sz w:val="18"/>
                      </w:rPr>
                      <w:t>5</w:t>
                    </w:r>
                  </w:p>
                </w:txbxContent>
              </v:textbox>
              <w10:wrap type="none"/>
            </v:shape>
            <v:shape style="position:absolute;left:6114;top:3665;width:183;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10</w:t>
                    </w:r>
                  </w:p>
                </w:txbxContent>
              </v:textbox>
              <w10:wrap type="none"/>
            </v:shape>
            <v:shape style="position:absolute;left:7007;top:3665;width:183;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15</w:t>
                    </w:r>
                  </w:p>
                </w:txbxContent>
              </v:textbox>
              <w10:wrap type="none"/>
            </v:shape>
            <v:shape style="position:absolute;left:7900;top:3665;width:183;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20</w:t>
                    </w:r>
                  </w:p>
                </w:txbxContent>
              </v:textbox>
              <w10:wrap type="none"/>
            </v:shape>
            <v:shape style="position:absolute;left:8794;top:3665;width:183;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25</w:t>
                    </w:r>
                  </w:p>
                </w:txbxContent>
              </v:textbox>
              <w10:wrap type="none"/>
            </v:shape>
            <v:shape style="position:absolute;left:9687;top:3665;width:183;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30</w:t>
                    </w:r>
                  </w:p>
                </w:txbxContent>
              </v:textbox>
              <w10:wrap type="none"/>
            </v:shape>
            <w10:wrap type="topAndBottom"/>
          </v:group>
        </w:pict>
      </w:r>
      <w:r>
        <w:rPr>
          <w:sz w:val="22"/>
        </w:rPr>
        <w:t>Gráfica 7. Tipo de daños que presento la vivienda expresado en porcentaje.</w:t>
      </w:r>
    </w:p>
    <w:p>
      <w:pPr>
        <w:spacing w:before="99"/>
        <w:ind w:left="119" w:right="0" w:firstLine="0"/>
        <w:jc w:val="both"/>
        <w:rPr>
          <w:sz w:val="20"/>
        </w:rPr>
      </w:pPr>
      <w:r>
        <w:rPr>
          <w:sz w:val="20"/>
        </w:rPr>
        <w:t>Fuente: Mendoza Baruch, sobre la base de encuestas, 2013.</w:t>
      </w:r>
    </w:p>
    <w:p>
      <w:pPr>
        <w:pStyle w:val="BodyText"/>
        <w:spacing w:line="360" w:lineRule="auto" w:before="116"/>
        <w:ind w:left="119" w:right="115"/>
        <w:jc w:val="both"/>
      </w:pPr>
      <w:r>
        <w:rPr/>
        <w:t>Los entrevistados que tuvieron pérdidas totales están establecidos en zonas no permitidas o asentamientos irregulares, a pesar de los daños ocasionados por las inundaciones experimentadas, volvieron a asentar sus viviendas en el mismo lugar (Zona noroeste de San Pedro Tultepec).</w:t>
      </w:r>
    </w:p>
    <w:p>
      <w:pPr>
        <w:pStyle w:val="BodyText"/>
        <w:spacing w:before="10"/>
      </w:pPr>
    </w:p>
    <w:p>
      <w:pPr>
        <w:pStyle w:val="BodyText"/>
        <w:spacing w:line="360" w:lineRule="auto"/>
        <w:ind w:left="119" w:right="119"/>
        <w:jc w:val="both"/>
      </w:pPr>
      <w:r>
        <w:rPr/>
        <w:t>La</w:t>
      </w:r>
      <w:r>
        <w:rPr>
          <w:spacing w:val="-7"/>
        </w:rPr>
        <w:t> </w:t>
      </w:r>
      <w:r>
        <w:rPr/>
        <w:t>fragilidad</w:t>
      </w:r>
      <w:r>
        <w:rPr>
          <w:spacing w:val="-7"/>
        </w:rPr>
        <w:t> </w:t>
      </w:r>
      <w:r>
        <w:rPr/>
        <w:t>del</w:t>
      </w:r>
      <w:r>
        <w:rPr>
          <w:spacing w:val="-4"/>
        </w:rPr>
        <w:t> </w:t>
      </w:r>
      <w:r>
        <w:rPr/>
        <w:t>suelo,</w:t>
      </w:r>
      <w:r>
        <w:rPr>
          <w:spacing w:val="-12"/>
        </w:rPr>
        <w:t> </w:t>
      </w:r>
      <w:r>
        <w:rPr/>
        <w:t>la</w:t>
      </w:r>
      <w:r>
        <w:rPr>
          <w:spacing w:val="-7"/>
        </w:rPr>
        <w:t> </w:t>
      </w:r>
      <w:r>
        <w:rPr/>
        <w:t>mala</w:t>
      </w:r>
      <w:r>
        <w:rPr>
          <w:spacing w:val="-7"/>
        </w:rPr>
        <w:t> </w:t>
      </w:r>
      <w:r>
        <w:rPr/>
        <w:t>calidad</w:t>
      </w:r>
      <w:r>
        <w:rPr>
          <w:spacing w:val="-7"/>
        </w:rPr>
        <w:t> </w:t>
      </w:r>
      <w:r>
        <w:rPr>
          <w:spacing w:val="-3"/>
        </w:rPr>
        <w:t>del</w:t>
      </w:r>
      <w:r>
        <w:rPr>
          <w:spacing w:val="-4"/>
        </w:rPr>
        <w:t> </w:t>
      </w:r>
      <w:r>
        <w:rPr/>
        <w:t>material</w:t>
      </w:r>
      <w:r>
        <w:rPr>
          <w:spacing w:val="-4"/>
        </w:rPr>
        <w:t> </w:t>
      </w:r>
      <w:r>
        <w:rPr/>
        <w:t>de</w:t>
      </w:r>
      <w:r>
        <w:rPr>
          <w:spacing w:val="-7"/>
        </w:rPr>
        <w:t> </w:t>
      </w:r>
      <w:r>
        <w:rPr/>
        <w:t>construcción</w:t>
      </w:r>
      <w:r>
        <w:rPr>
          <w:spacing w:val="-12"/>
        </w:rPr>
        <w:t> </w:t>
      </w:r>
      <w:r>
        <w:rPr/>
        <w:t>y</w:t>
      </w:r>
      <w:r>
        <w:rPr>
          <w:spacing w:val="-8"/>
        </w:rPr>
        <w:t> </w:t>
      </w:r>
      <w:r>
        <w:rPr/>
        <w:t>los</w:t>
      </w:r>
      <w:r>
        <w:rPr>
          <w:spacing w:val="-7"/>
        </w:rPr>
        <w:t> </w:t>
      </w:r>
      <w:r>
        <w:rPr/>
        <w:t>deficientes criterios de cimentación, han dado lugar a problemas físicos significativos, tales como humedades, fisuras, hundimientos, los cuales han traído consigo pérdidas económicas y problemas sociales para los</w:t>
      </w:r>
      <w:r>
        <w:rPr>
          <w:spacing w:val="-17"/>
        </w:rPr>
        <w:t> </w:t>
      </w:r>
      <w:r>
        <w:rPr/>
        <w:t>habitantes.</w:t>
      </w:r>
    </w:p>
    <w:p>
      <w:pPr>
        <w:pStyle w:val="BodyText"/>
        <w:spacing w:before="5"/>
      </w:pPr>
    </w:p>
    <w:p>
      <w:pPr>
        <w:pStyle w:val="BodyText"/>
        <w:spacing w:line="360" w:lineRule="auto"/>
        <w:ind w:left="119" w:right="125"/>
        <w:jc w:val="both"/>
      </w:pPr>
      <w:r>
        <w:rPr/>
        <w:t>En cuanto al impacto socioeconómico, 58% de los entrevistados confirmo que han tenido pérdidas económicas y el 48% no tuvieron pérdidas. Entre las afectaciones </w:t>
      </w:r>
      <w:r>
        <w:rPr>
          <w:spacing w:val="-3"/>
        </w:rPr>
        <w:t>más</w:t>
      </w:r>
      <w:r>
        <w:rPr>
          <w:spacing w:val="-15"/>
        </w:rPr>
        <w:t> </w:t>
      </w:r>
      <w:r>
        <w:rPr/>
        <w:t>importantes</w:t>
      </w:r>
      <w:r>
        <w:rPr>
          <w:spacing w:val="-15"/>
        </w:rPr>
        <w:t> </w:t>
      </w:r>
      <w:r>
        <w:rPr/>
        <w:t>ubican</w:t>
      </w:r>
      <w:r>
        <w:rPr>
          <w:spacing w:val="-19"/>
        </w:rPr>
        <w:t> </w:t>
      </w:r>
      <w:r>
        <w:rPr/>
        <w:t>los</w:t>
      </w:r>
      <w:r>
        <w:rPr>
          <w:spacing w:val="-15"/>
        </w:rPr>
        <w:t> </w:t>
      </w:r>
      <w:r>
        <w:rPr/>
        <w:t>daños</w:t>
      </w:r>
      <w:r>
        <w:rPr>
          <w:spacing w:val="-15"/>
        </w:rPr>
        <w:t> </w:t>
      </w:r>
      <w:r>
        <w:rPr/>
        <w:t>en</w:t>
      </w:r>
      <w:r>
        <w:rPr>
          <w:spacing w:val="-19"/>
        </w:rPr>
        <w:t> </w:t>
      </w:r>
      <w:r>
        <w:rPr/>
        <w:t>las</w:t>
      </w:r>
      <w:r>
        <w:rPr>
          <w:spacing w:val="-15"/>
        </w:rPr>
        <w:t> </w:t>
      </w:r>
      <w:r>
        <w:rPr/>
        <w:t>viviendas,</w:t>
      </w:r>
      <w:r>
        <w:rPr>
          <w:spacing w:val="-15"/>
        </w:rPr>
        <w:t> </w:t>
      </w:r>
      <w:r>
        <w:rPr/>
        <w:t>seguido</w:t>
      </w:r>
      <w:r>
        <w:rPr>
          <w:spacing w:val="-15"/>
        </w:rPr>
        <w:t> </w:t>
      </w:r>
      <w:r>
        <w:rPr/>
        <w:t>por</w:t>
      </w:r>
      <w:r>
        <w:rPr>
          <w:spacing w:val="-19"/>
        </w:rPr>
        <w:t> </w:t>
      </w:r>
      <w:r>
        <w:rPr/>
        <w:t>el</w:t>
      </w:r>
      <w:r>
        <w:rPr>
          <w:spacing w:val="-12"/>
        </w:rPr>
        <w:t> </w:t>
      </w:r>
      <w:r>
        <w:rPr/>
        <w:t>cierre</w:t>
      </w:r>
      <w:r>
        <w:rPr>
          <w:spacing w:val="-19"/>
        </w:rPr>
        <w:t> </w:t>
      </w:r>
      <w:r>
        <w:rPr/>
        <w:t>del</w:t>
      </w:r>
      <w:r>
        <w:rPr>
          <w:spacing w:val="-12"/>
        </w:rPr>
        <w:t> </w:t>
      </w:r>
      <w:r>
        <w:rPr/>
        <w:t>negocio familiar y pérdida de trabajo remunerado (Gráfica</w:t>
      </w:r>
      <w:r>
        <w:rPr>
          <w:spacing w:val="-17"/>
        </w:rPr>
        <w:t> </w:t>
      </w:r>
      <w:r>
        <w:rPr/>
        <w:t>8).</w:t>
      </w:r>
    </w:p>
    <w:p>
      <w:pPr>
        <w:spacing w:after="0" w:line="360" w:lineRule="auto"/>
        <w:jc w:val="both"/>
        <w:sectPr>
          <w:footerReference w:type="default" r:id="rId62"/>
          <w:pgSz w:w="12240" w:h="15840"/>
          <w:pgMar w:footer="1031" w:header="0" w:top="1360" w:bottom="1220" w:left="1580" w:right="1580"/>
        </w:sectPr>
      </w:pPr>
    </w:p>
    <w:p>
      <w:pPr>
        <w:spacing w:before="56"/>
        <w:ind w:left="326" w:right="70" w:firstLine="0"/>
        <w:jc w:val="left"/>
        <w:rPr>
          <w:sz w:val="22"/>
        </w:rPr>
      </w:pPr>
      <w:r>
        <w:rPr/>
        <w:pict>
          <v:group style="position:absolute;margin-left:118.504997pt;margin-top:21.472857pt;width:375pt;height:159pt;mso-position-horizontal-relative:page;mso-position-vertical-relative:paragraph;z-index:2992;mso-wrap-distance-left:0;mso-wrap-distance-right:0" coordorigin="2370,429" coordsize="7500,3180">
            <v:line style="position:absolute" from="9240,2472" to="9641,2472" stroked="true" strokeweight=".72pt" strokecolor="#d9d9d9"/>
            <v:line style="position:absolute" from="6893,2472" to="8870,2472" stroked="true" strokeweight=".72pt" strokecolor="#d9d9d9"/>
            <v:line style="position:absolute" from="5717,2472" to="6523,2472" stroked="true" strokeweight=".72pt" strokecolor="#d9d9d9"/>
            <v:line style="position:absolute" from="4541,2472" to="5347,2472" stroked="true" strokeweight=".72pt" strokecolor="#d9d9d9"/>
            <v:line style="position:absolute" from="3370,2472" to="4176,2472" stroked="true" strokeweight=".72pt" strokecolor="#d9d9d9"/>
            <v:line style="position:absolute" from="2599,2472" to="3000,2472" stroked="true" strokeweight=".72pt" strokecolor="#d9d9d9"/>
            <v:line style="position:absolute" from="3370,2247" to="5347,2247" stroked="true" strokeweight=".72pt" strokecolor="#d9d9d9"/>
            <v:line style="position:absolute" from="2599,2247" to="3000,2247" stroked="true" strokeweight=".72pt" strokecolor="#d9d9d9"/>
            <v:line style="position:absolute" from="3370,2016" to="5347,2016" stroked="true" strokeweight=".72pt" strokecolor="#d9d9d9"/>
            <v:line style="position:absolute" from="2599,2016" to="3000,2016" stroked="true" strokeweight=".72pt" strokecolor="#d9d9d9"/>
            <v:line style="position:absolute" from="3370,1791" to="9641,1791" stroked="true" strokeweight=".72pt" strokecolor="#d9d9d9"/>
            <v:line style="position:absolute" from="2599,1791" to="3000,1791" stroked="true" strokeweight=".72pt" strokecolor="#d9d9d9"/>
            <v:line style="position:absolute" from="3370,1565" to="9641,1565" stroked="true" strokeweight=".72pt" strokecolor="#d9d9d9"/>
            <v:line style="position:absolute" from="2599,1565" to="3000,1565" stroked="true" strokeweight=".72pt" strokecolor="#d9d9d9"/>
            <v:line style="position:absolute" from="3370,1340" to="9641,1340" stroked="true" strokeweight=".72pt" strokecolor="#d9d9d9"/>
            <v:line style="position:absolute" from="2599,1340" to="3000,1340" stroked="true" strokeweight=".72pt" strokecolor="#d9d9d9"/>
            <v:line style="position:absolute" from="3370,1109" to="9641,1109" stroked="true" strokeweight=".72pt" strokecolor="#d9d9d9"/>
            <v:line style="position:absolute" from="2599,1109" to="3000,1109" stroked="true" strokeweight=".72pt" strokecolor="#d9d9d9"/>
            <v:line style="position:absolute" from="2599,884" to="9641,884" stroked="true" strokeweight=".72pt" strokecolor="#d9d9d9"/>
            <v:rect style="position:absolute;left:3000;top:886;width:370;height:1814" filled="true" fillcolor="#e36c09" stroked="false">
              <v:fill type="solid"/>
            </v:rect>
            <v:rect style="position:absolute;left:4176;top:2379;width:365;height:322" filled="true" fillcolor="#e36c09" stroked="false">
              <v:fill type="solid"/>
            </v:rect>
            <v:line style="position:absolute" from="5717,2247" to="6523,2247" stroked="true" strokeweight=".72pt" strokecolor="#d9d9d9"/>
            <v:line style="position:absolute" from="5717,2016" to="6523,2016" stroked="true" strokeweight=".72pt" strokecolor="#d9d9d9"/>
            <v:rect style="position:absolute;left:5347;top:1793;width:370;height:907" filled="true" fillcolor="#e36c09" stroked="false">
              <v:fill type="solid"/>
            </v:rect>
            <v:line style="position:absolute" from="6893,2247" to="9641,2247" stroked="true" strokeweight=".72pt" strokecolor="#d9d9d9"/>
            <v:line style="position:absolute" from="6893,2016" to="9641,2016" stroked="true" strokeweight=".72pt" strokecolor="#d9d9d9"/>
            <v:rect style="position:absolute;left:6523;top:1793;width:370;height:907" filled="true" fillcolor="#e36c09" stroked="false">
              <v:fill type="solid"/>
            </v:rect>
            <v:rect style="position:absolute;left:7699;top:2470;width:365;height:230" filled="true" fillcolor="#e36c09" stroked="false">
              <v:fill type="solid"/>
            </v:rect>
            <v:rect style="position:absolute;left:8870;top:2336;width:370;height:365" filled="true" fillcolor="#e36c09" stroked="false">
              <v:fill type="solid"/>
            </v:rect>
            <v:line style="position:absolute" from="2599,2698" to="9641,2698" stroked="true" strokeweight=".72pt" strokecolor="#d9d9d9"/>
            <v:line style="position:absolute" from="2599,658" to="9641,658" stroked="true" strokeweight=".72pt" strokecolor="#d9d9d9"/>
            <v:rect style="position:absolute;left:2378;top:437;width:7485;height:3165" filled="false" stroked="true" strokeweight=".75pt" strokecolor="#7e7e7e"/>
            <v:shape style="position:absolute;left:3093;top:611;width:183;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40</w:t>
                    </w:r>
                  </w:p>
                </w:txbxContent>
              </v:textbox>
              <w10:wrap type="none"/>
            </v:shape>
            <v:shape style="position:absolute;left:5442;top:1519;width:183;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20</w:t>
                    </w:r>
                  </w:p>
                </w:txbxContent>
              </v:textbox>
              <w10:wrap type="none"/>
            </v:shape>
            <v:shape style="position:absolute;left:6616;top:1519;width:183;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20</w:t>
                    </w:r>
                  </w:p>
                </w:txbxContent>
              </v:textbox>
              <w10:wrap type="none"/>
            </v:shape>
            <v:shape style="position:absolute;left:4315;top:2109;width:93;height:183" type="#_x0000_t202" filled="false" stroked="false">
              <v:textbox inset="0,0,0,0">
                <w:txbxContent>
                  <w:p>
                    <w:pPr>
                      <w:spacing w:line="182" w:lineRule="exact" w:before="0"/>
                      <w:ind w:left="0" w:right="0" w:firstLine="0"/>
                      <w:jc w:val="left"/>
                      <w:rPr>
                        <w:rFonts w:ascii="Calibri"/>
                        <w:sz w:val="18"/>
                      </w:rPr>
                    </w:pPr>
                    <w:r>
                      <w:rPr>
                        <w:rFonts w:ascii="Calibri"/>
                        <w:color w:val="404040"/>
                        <w:w w:val="101"/>
                        <w:sz w:val="18"/>
                      </w:rPr>
                      <w:t>7</w:t>
                    </w:r>
                  </w:p>
                </w:txbxContent>
              </v:textbox>
              <w10:wrap type="none"/>
            </v:shape>
            <v:shape style="position:absolute;left:7839;top:2199;width:93;height:183" type="#_x0000_t202" filled="false" stroked="false">
              <v:textbox inset="0,0,0,0">
                <w:txbxContent>
                  <w:p>
                    <w:pPr>
                      <w:spacing w:line="182" w:lineRule="exact" w:before="0"/>
                      <w:ind w:left="0" w:right="0" w:firstLine="0"/>
                      <w:jc w:val="left"/>
                      <w:rPr>
                        <w:rFonts w:ascii="Calibri"/>
                        <w:sz w:val="18"/>
                      </w:rPr>
                    </w:pPr>
                    <w:r>
                      <w:rPr>
                        <w:rFonts w:ascii="Calibri"/>
                        <w:color w:val="404040"/>
                        <w:w w:val="101"/>
                        <w:sz w:val="18"/>
                      </w:rPr>
                      <w:t>5</w:t>
                    </w:r>
                  </w:p>
                </w:txbxContent>
              </v:textbox>
              <w10:wrap type="none"/>
            </v:shape>
            <v:shape style="position:absolute;left:9013;top:2063;width:93;height:183" type="#_x0000_t202" filled="false" stroked="false">
              <v:textbox inset="0,0,0,0">
                <w:txbxContent>
                  <w:p>
                    <w:pPr>
                      <w:spacing w:line="183" w:lineRule="exact" w:before="0"/>
                      <w:ind w:left="0" w:right="0" w:firstLine="0"/>
                      <w:jc w:val="left"/>
                      <w:rPr>
                        <w:rFonts w:ascii="Calibri"/>
                        <w:sz w:val="18"/>
                      </w:rPr>
                    </w:pPr>
                    <w:r>
                      <w:rPr>
                        <w:rFonts w:ascii="Calibri"/>
                        <w:color w:val="404040"/>
                        <w:w w:val="101"/>
                        <w:sz w:val="18"/>
                      </w:rPr>
                      <w:t>8</w:t>
                    </w:r>
                  </w:p>
                </w:txbxContent>
              </v:textbox>
              <w10:wrap type="none"/>
            </v:shape>
            <v:shape style="position:absolute;left:2678;top:2850;width:2068;height:403" type="#_x0000_t202" filled="false" stroked="false">
              <v:textbox inset="0,0,0,0">
                <w:txbxContent>
                  <w:p>
                    <w:pPr>
                      <w:tabs>
                        <w:tab w:pos="1295" w:val="left" w:leader="none"/>
                      </w:tabs>
                      <w:spacing w:line="185" w:lineRule="exact" w:before="0"/>
                      <w:ind w:left="0" w:right="0" w:firstLine="0"/>
                      <w:jc w:val="left"/>
                      <w:rPr>
                        <w:rFonts w:ascii="Calibri" w:hAnsi="Calibri"/>
                        <w:sz w:val="18"/>
                      </w:rPr>
                    </w:pPr>
                    <w:r>
                      <w:rPr>
                        <w:rFonts w:ascii="Calibri" w:hAnsi="Calibri"/>
                        <w:color w:val="585858"/>
                        <w:sz w:val="18"/>
                      </w:rPr>
                      <w:t>Mi</w:t>
                    </w:r>
                    <w:r>
                      <w:rPr>
                        <w:rFonts w:ascii="Calibri" w:hAnsi="Calibri"/>
                        <w:color w:val="585858"/>
                        <w:spacing w:val="-2"/>
                        <w:sz w:val="18"/>
                      </w:rPr>
                      <w:t> </w:t>
                    </w:r>
                    <w:r>
                      <w:rPr>
                        <w:rFonts w:ascii="Calibri" w:hAnsi="Calibri"/>
                        <w:color w:val="585858"/>
                        <w:sz w:val="18"/>
                      </w:rPr>
                      <w:t>casa</w:t>
                    </w:r>
                    <w:r>
                      <w:rPr>
                        <w:rFonts w:ascii="Calibri" w:hAnsi="Calibri"/>
                        <w:color w:val="585858"/>
                        <w:spacing w:val="-4"/>
                        <w:sz w:val="18"/>
                      </w:rPr>
                      <w:t> </w:t>
                    </w:r>
                    <w:r>
                      <w:rPr>
                        <w:rFonts w:ascii="Calibri" w:hAnsi="Calibri"/>
                        <w:color w:val="585858"/>
                        <w:sz w:val="18"/>
                      </w:rPr>
                      <w:t>sufrió</w:t>
                      <w:tab/>
                      <w:t>Mi auto</w:t>
                    </w:r>
                    <w:r>
                      <w:rPr>
                        <w:rFonts w:ascii="Calibri" w:hAnsi="Calibri"/>
                        <w:color w:val="585858"/>
                        <w:spacing w:val="1"/>
                        <w:sz w:val="18"/>
                      </w:rPr>
                      <w:t> </w:t>
                    </w:r>
                    <w:r>
                      <w:rPr>
                        <w:rFonts w:ascii="Calibri" w:hAnsi="Calibri"/>
                        <w:color w:val="585858"/>
                        <w:spacing w:val="-3"/>
                        <w:sz w:val="18"/>
                      </w:rPr>
                      <w:t>se</w:t>
                    </w:r>
                  </w:p>
                  <w:p>
                    <w:pPr>
                      <w:tabs>
                        <w:tab w:pos="1453" w:val="left" w:leader="none"/>
                      </w:tabs>
                      <w:spacing w:line="217" w:lineRule="exact" w:before="0"/>
                      <w:ind w:left="287" w:right="0" w:firstLine="0"/>
                      <w:jc w:val="left"/>
                      <w:rPr>
                        <w:rFonts w:ascii="Calibri" w:hAnsi="Calibri"/>
                        <w:sz w:val="18"/>
                      </w:rPr>
                    </w:pPr>
                    <w:r>
                      <w:rPr>
                        <w:rFonts w:ascii="Calibri" w:hAnsi="Calibri"/>
                        <w:color w:val="585858"/>
                        <w:sz w:val="18"/>
                      </w:rPr>
                      <w:t>daños</w:t>
                      <w:tab/>
                      <w:t>averió</w:t>
                    </w:r>
                  </w:p>
                </w:txbxContent>
              </v:textbox>
              <w10:wrap type="none"/>
            </v:shape>
            <v:shape style="position:absolute;left:5201;top:2850;width:2090;height:623" type="#_x0000_t202" filled="false" stroked="false">
              <v:textbox inset="0,0,0,0">
                <w:txbxContent>
                  <w:p>
                    <w:pPr>
                      <w:tabs>
                        <w:tab w:pos="927" w:val="left" w:leader="none"/>
                      </w:tabs>
                      <w:spacing w:line="185" w:lineRule="exact" w:before="0"/>
                      <w:ind w:left="25" w:right="0" w:hanging="26"/>
                      <w:jc w:val="left"/>
                      <w:rPr>
                        <w:rFonts w:ascii="Calibri" w:hAnsi="Calibri"/>
                        <w:sz w:val="18"/>
                      </w:rPr>
                    </w:pPr>
                    <w:r>
                      <w:rPr>
                        <w:rFonts w:ascii="Calibri" w:hAnsi="Calibri"/>
                        <w:color w:val="585858"/>
                        <w:sz w:val="18"/>
                      </w:rPr>
                      <w:t>Cerré</w:t>
                    </w:r>
                    <w:r>
                      <w:rPr>
                        <w:rFonts w:ascii="Calibri" w:hAnsi="Calibri"/>
                        <w:color w:val="585858"/>
                        <w:spacing w:val="-3"/>
                        <w:sz w:val="18"/>
                      </w:rPr>
                      <w:t> </w:t>
                    </w:r>
                    <w:r>
                      <w:rPr>
                        <w:rFonts w:ascii="Calibri" w:hAnsi="Calibri"/>
                        <w:color w:val="585858"/>
                        <w:sz w:val="18"/>
                      </w:rPr>
                      <w:t>mi</w:t>
                      <w:tab/>
                      <w:t>Deje de</w:t>
                    </w:r>
                    <w:r>
                      <w:rPr>
                        <w:rFonts w:ascii="Calibri" w:hAnsi="Calibri"/>
                        <w:color w:val="585858"/>
                        <w:spacing w:val="-4"/>
                        <w:sz w:val="18"/>
                      </w:rPr>
                      <w:t> </w:t>
                    </w:r>
                    <w:r>
                      <w:rPr>
                        <w:rFonts w:ascii="Calibri" w:hAnsi="Calibri"/>
                        <w:color w:val="585858"/>
                        <w:sz w:val="18"/>
                      </w:rPr>
                      <w:t>percibir</w:t>
                    </w:r>
                  </w:p>
                  <w:p>
                    <w:pPr>
                      <w:tabs>
                        <w:tab w:pos="1007" w:val="left" w:leader="none"/>
                      </w:tabs>
                      <w:spacing w:before="0"/>
                      <w:ind w:left="943" w:right="15" w:hanging="919"/>
                      <w:jc w:val="left"/>
                      <w:rPr>
                        <w:rFonts w:ascii="Calibri"/>
                        <w:sz w:val="18"/>
                      </w:rPr>
                    </w:pPr>
                    <w:r>
                      <w:rPr>
                        <w:rFonts w:ascii="Calibri"/>
                        <w:color w:val="585858"/>
                        <w:sz w:val="18"/>
                      </w:rPr>
                      <w:t>negocio</w:t>
                      <w:tab/>
                      <w:tab/>
                      <w:t>mi salario</w:t>
                    </w:r>
                    <w:r>
                      <w:rPr>
                        <w:rFonts w:ascii="Calibri"/>
                        <w:color w:val="585858"/>
                        <w:spacing w:val="-2"/>
                        <w:sz w:val="18"/>
                      </w:rPr>
                      <w:t> </w:t>
                    </w:r>
                    <w:r>
                      <w:rPr>
                        <w:rFonts w:ascii="Calibri"/>
                        <w:color w:val="585858"/>
                        <w:sz w:val="18"/>
                      </w:rPr>
                      <w:t>por</w:t>
                    </w:r>
                    <w:r>
                      <w:rPr>
                        <w:rFonts w:ascii="Calibri"/>
                        <w:color w:val="585858"/>
                        <w:spacing w:val="-1"/>
                        <w:w w:val="101"/>
                        <w:sz w:val="18"/>
                      </w:rPr>
                      <w:t> </w:t>
                    </w:r>
                    <w:r>
                      <w:rPr>
                        <w:rFonts w:ascii="Calibri"/>
                        <w:color w:val="585858"/>
                        <w:sz w:val="18"/>
                      </w:rPr>
                      <w:t>faltar al</w:t>
                    </w:r>
                    <w:r>
                      <w:rPr>
                        <w:rFonts w:ascii="Calibri"/>
                        <w:color w:val="585858"/>
                        <w:spacing w:val="-5"/>
                        <w:sz w:val="18"/>
                      </w:rPr>
                      <w:t> </w:t>
                    </w:r>
                    <w:r>
                      <w:rPr>
                        <w:rFonts w:ascii="Calibri"/>
                        <w:color w:val="585858"/>
                        <w:sz w:val="18"/>
                      </w:rPr>
                      <w:t>trabajo</w:t>
                    </w:r>
                  </w:p>
                </w:txbxContent>
              </v:textbox>
              <w10:wrap type="none"/>
            </v:shape>
            <v:shape style="position:absolute;left:7480;top:2850;width:811;height:623" type="#_x0000_t202" filled="false" stroked="false">
              <v:textbox inset="0,0,0,0">
                <w:txbxContent>
                  <w:p>
                    <w:pPr>
                      <w:spacing w:line="185" w:lineRule="exact" w:before="0"/>
                      <w:ind w:left="0" w:right="-17" w:firstLine="91"/>
                      <w:jc w:val="left"/>
                      <w:rPr>
                        <w:rFonts w:ascii="Calibri"/>
                        <w:sz w:val="18"/>
                      </w:rPr>
                    </w:pPr>
                    <w:r>
                      <w:rPr>
                        <w:rFonts w:ascii="Calibri"/>
                        <w:color w:val="585858"/>
                        <w:sz w:val="18"/>
                      </w:rPr>
                      <w:t>No pude</w:t>
                    </w:r>
                  </w:p>
                  <w:p>
                    <w:pPr>
                      <w:spacing w:before="0"/>
                      <w:ind w:left="32" w:right="-17" w:hanging="33"/>
                      <w:jc w:val="left"/>
                      <w:rPr>
                        <w:rFonts w:ascii="Calibri"/>
                        <w:sz w:val="18"/>
                      </w:rPr>
                    </w:pPr>
                    <w:r>
                      <w:rPr>
                        <w:rFonts w:ascii="Calibri"/>
                        <w:color w:val="585858"/>
                        <w:sz w:val="18"/>
                      </w:rPr>
                      <w:t>vender mis productos</w:t>
                    </w:r>
                  </w:p>
                </w:txbxContent>
              </v:textbox>
              <w10:wrap type="none"/>
            </v:shape>
            <v:shape style="position:absolute;left:8558;top:2850;width:1003;height:403" type="#_x0000_t202" filled="false" stroked="false">
              <v:textbox inset="0,0,0,0">
                <w:txbxContent>
                  <w:p>
                    <w:pPr>
                      <w:spacing w:line="185" w:lineRule="exact" w:before="0"/>
                      <w:ind w:left="0" w:right="0" w:firstLine="0"/>
                      <w:jc w:val="center"/>
                      <w:rPr>
                        <w:rFonts w:ascii="Calibri"/>
                        <w:sz w:val="18"/>
                      </w:rPr>
                    </w:pPr>
                    <w:r>
                      <w:rPr>
                        <w:rFonts w:ascii="Calibri"/>
                        <w:color w:val="585858"/>
                        <w:sz w:val="18"/>
                      </w:rPr>
                      <w:t>Problemas de</w:t>
                    </w:r>
                  </w:p>
                  <w:p>
                    <w:pPr>
                      <w:spacing w:line="217" w:lineRule="exact" w:before="0"/>
                      <w:ind w:left="0" w:right="0" w:firstLine="0"/>
                      <w:jc w:val="center"/>
                      <w:rPr>
                        <w:rFonts w:ascii="Calibri"/>
                        <w:sz w:val="18"/>
                      </w:rPr>
                    </w:pPr>
                    <w:r>
                      <w:rPr>
                        <w:rFonts w:ascii="Calibri"/>
                        <w:color w:val="585858"/>
                        <w:sz w:val="18"/>
                      </w:rPr>
                      <w:t>salud</w:t>
                    </w:r>
                  </w:p>
                </w:txbxContent>
              </v:textbox>
              <w10:wrap type="none"/>
            </v:shape>
            <w10:wrap type="topAndBottom"/>
          </v:group>
        </w:pict>
      </w:r>
      <w:r>
        <w:rPr>
          <w:sz w:val="22"/>
        </w:rPr>
        <w:t>Gráfica 8. Tipo de afectaciones que implico gasto económico expresado en porcentaje</w:t>
      </w:r>
    </w:p>
    <w:p>
      <w:pPr>
        <w:spacing w:before="100"/>
        <w:ind w:left="119" w:right="0" w:firstLine="0"/>
        <w:jc w:val="both"/>
        <w:rPr>
          <w:sz w:val="20"/>
        </w:rPr>
      </w:pPr>
      <w:r>
        <w:rPr>
          <w:sz w:val="20"/>
        </w:rPr>
        <w:t>Fuente: Mendoza Baruch, sobre la base de encuestas, 2013.</w:t>
      </w:r>
    </w:p>
    <w:p>
      <w:pPr>
        <w:pStyle w:val="BodyText"/>
        <w:rPr>
          <w:sz w:val="20"/>
        </w:rPr>
      </w:pPr>
    </w:p>
    <w:p>
      <w:pPr>
        <w:pStyle w:val="BodyText"/>
        <w:rPr>
          <w:sz w:val="26"/>
        </w:rPr>
      </w:pPr>
    </w:p>
    <w:p>
      <w:pPr>
        <w:pStyle w:val="BodyText"/>
        <w:spacing w:line="360" w:lineRule="auto"/>
        <w:ind w:left="119" w:right="116"/>
        <w:jc w:val="both"/>
      </w:pPr>
      <w:r>
        <w:rPr/>
        <w:t>Señalaron también que los gastos y el ingreso que dejaron de percibir debido a las inundaciones,</w:t>
      </w:r>
      <w:r>
        <w:rPr>
          <w:spacing w:val="-11"/>
        </w:rPr>
        <w:t> </w:t>
      </w:r>
      <w:r>
        <w:rPr/>
        <w:t>oscila</w:t>
      </w:r>
      <w:r>
        <w:rPr>
          <w:spacing w:val="-6"/>
        </w:rPr>
        <w:t> </w:t>
      </w:r>
      <w:r>
        <w:rPr/>
        <w:t>en</w:t>
      </w:r>
      <w:r>
        <w:rPr>
          <w:spacing w:val="-6"/>
        </w:rPr>
        <w:t> </w:t>
      </w:r>
      <w:r>
        <w:rPr/>
        <w:t>tres</w:t>
      </w:r>
      <w:r>
        <w:rPr>
          <w:spacing w:val="-12"/>
        </w:rPr>
        <w:t> </w:t>
      </w:r>
      <w:r>
        <w:rPr/>
        <w:t>rangos:</w:t>
      </w:r>
      <w:r>
        <w:rPr>
          <w:spacing w:val="-6"/>
        </w:rPr>
        <w:t> </w:t>
      </w:r>
      <w:r>
        <w:rPr/>
        <w:t>menos</w:t>
      </w:r>
      <w:r>
        <w:rPr>
          <w:spacing w:val="-7"/>
        </w:rPr>
        <w:t> </w:t>
      </w:r>
      <w:r>
        <w:rPr>
          <w:spacing w:val="2"/>
        </w:rPr>
        <w:t>de</w:t>
      </w:r>
      <w:r>
        <w:rPr>
          <w:spacing w:val="-6"/>
        </w:rPr>
        <w:t> </w:t>
      </w:r>
      <w:r>
        <w:rPr/>
        <w:t>$2.938;</w:t>
      </w:r>
      <w:r>
        <w:rPr>
          <w:spacing w:val="-6"/>
        </w:rPr>
        <w:t> </w:t>
      </w:r>
      <w:r>
        <w:rPr/>
        <w:t>de</w:t>
      </w:r>
      <w:r>
        <w:rPr>
          <w:spacing w:val="-6"/>
        </w:rPr>
        <w:t> </w:t>
      </w:r>
      <w:r>
        <w:rPr/>
        <w:t>$2.938</w:t>
      </w:r>
      <w:r>
        <w:rPr>
          <w:spacing w:val="4"/>
        </w:rPr>
        <w:t> </w:t>
      </w:r>
      <w:r>
        <w:rPr/>
        <w:t>-5.876</w:t>
      </w:r>
      <w:r>
        <w:rPr>
          <w:spacing w:val="-6"/>
        </w:rPr>
        <w:t> </w:t>
      </w:r>
      <w:r>
        <w:rPr/>
        <w:t>y</w:t>
      </w:r>
      <w:r>
        <w:rPr>
          <w:spacing w:val="-7"/>
        </w:rPr>
        <w:t> </w:t>
      </w:r>
      <w:r>
        <w:rPr/>
        <w:t>$5.876</w:t>
      </w:r>
      <w:r>
        <w:rPr>
          <w:spacing w:val="-6"/>
        </w:rPr>
        <w:t> </w:t>
      </w:r>
      <w:r>
        <w:rPr/>
        <w:t>o más.</w:t>
      </w:r>
    </w:p>
    <w:p>
      <w:pPr>
        <w:pStyle w:val="BodyText"/>
      </w:pPr>
    </w:p>
    <w:p>
      <w:pPr>
        <w:pStyle w:val="BodyText"/>
        <w:spacing w:before="6"/>
        <w:rPr>
          <w:sz w:val="32"/>
        </w:rPr>
      </w:pPr>
    </w:p>
    <w:p>
      <w:pPr>
        <w:pStyle w:val="Heading2"/>
        <w:numPr>
          <w:ilvl w:val="1"/>
          <w:numId w:val="22"/>
        </w:numPr>
        <w:tabs>
          <w:tab w:pos="1268" w:val="left" w:leader="none"/>
        </w:tabs>
        <w:spacing w:line="240" w:lineRule="auto" w:before="1" w:after="0"/>
        <w:ind w:left="1267" w:right="0" w:hanging="427"/>
        <w:jc w:val="left"/>
      </w:pPr>
      <w:bookmarkStart w:name="_TOC_250010" w:id="44"/>
      <w:r>
        <w:rPr/>
        <w:t>Presencia de las instituciones</w:t>
      </w:r>
      <w:r>
        <w:rPr>
          <w:spacing w:val="-30"/>
        </w:rPr>
        <w:t> </w:t>
      </w:r>
      <w:bookmarkEnd w:id="44"/>
      <w:r>
        <w:rPr/>
        <w:t>gubernamentales</w:t>
      </w:r>
    </w:p>
    <w:p>
      <w:pPr>
        <w:pStyle w:val="BodyText"/>
        <w:rPr>
          <w:b/>
        </w:rPr>
      </w:pPr>
    </w:p>
    <w:p>
      <w:pPr>
        <w:pStyle w:val="BodyText"/>
        <w:spacing w:line="360" w:lineRule="auto" w:before="207"/>
        <w:ind w:left="119" w:right="120"/>
        <w:jc w:val="both"/>
      </w:pPr>
      <w:r>
        <w:rPr/>
        <w:t>En los tres niveles del gobierno, el municipio -unidad territorial básica de la organización política y social del país- es la primera instancia encargada de la prevención de riesgos y desastres. Es el nivel de gobierno más cercano a la población, donde es posible establecer el mayor contacto entre la ciudadanía y el gobierno y atender las demandas de la sociedad civil (Ziccardi, 2003).</w:t>
      </w:r>
    </w:p>
    <w:p>
      <w:pPr>
        <w:pStyle w:val="BodyText"/>
      </w:pPr>
    </w:p>
    <w:p>
      <w:pPr>
        <w:pStyle w:val="BodyText"/>
        <w:spacing w:line="360" w:lineRule="auto" w:before="139"/>
        <w:ind w:left="119" w:right="114"/>
        <w:jc w:val="both"/>
      </w:pPr>
      <w:r>
        <w:rPr/>
        <w:t>En</w:t>
      </w:r>
      <w:r>
        <w:rPr>
          <w:spacing w:val="-12"/>
        </w:rPr>
        <w:t> </w:t>
      </w:r>
      <w:r>
        <w:rPr/>
        <w:t>este</w:t>
      </w:r>
      <w:r>
        <w:rPr>
          <w:spacing w:val="-11"/>
        </w:rPr>
        <w:t> </w:t>
      </w:r>
      <w:r>
        <w:rPr/>
        <w:t>sentido</w:t>
      </w:r>
      <w:r>
        <w:rPr>
          <w:spacing w:val="-12"/>
        </w:rPr>
        <w:t> </w:t>
      </w:r>
      <w:r>
        <w:rPr/>
        <w:t>el</w:t>
      </w:r>
      <w:r>
        <w:rPr>
          <w:spacing w:val="-13"/>
        </w:rPr>
        <w:t> </w:t>
      </w:r>
      <w:r>
        <w:rPr/>
        <w:t>22%</w:t>
      </w:r>
      <w:r>
        <w:rPr>
          <w:spacing w:val="-15"/>
        </w:rPr>
        <w:t> </w:t>
      </w:r>
      <w:r>
        <w:rPr/>
        <w:t>de</w:t>
      </w:r>
      <w:r>
        <w:rPr>
          <w:spacing w:val="-16"/>
        </w:rPr>
        <w:t> </w:t>
      </w:r>
      <w:r>
        <w:rPr/>
        <w:t>las</w:t>
      </w:r>
      <w:r>
        <w:rPr>
          <w:spacing w:val="-12"/>
        </w:rPr>
        <w:t> </w:t>
      </w:r>
      <w:r>
        <w:rPr/>
        <w:t>personas</w:t>
      </w:r>
      <w:r>
        <w:rPr>
          <w:spacing w:val="-17"/>
        </w:rPr>
        <w:t> </w:t>
      </w:r>
      <w:r>
        <w:rPr/>
        <w:t>encuestadas</w:t>
      </w:r>
      <w:r>
        <w:rPr>
          <w:spacing w:val="-13"/>
        </w:rPr>
        <w:t> </w:t>
      </w:r>
      <w:r>
        <w:rPr/>
        <w:t>mencionaron</w:t>
      </w:r>
      <w:r>
        <w:rPr>
          <w:spacing w:val="-17"/>
        </w:rPr>
        <w:t> </w:t>
      </w:r>
      <w:r>
        <w:rPr/>
        <w:t>que</w:t>
      </w:r>
      <w:r>
        <w:rPr>
          <w:spacing w:val="-12"/>
        </w:rPr>
        <w:t> </w:t>
      </w:r>
      <w:r>
        <w:rPr/>
        <w:t>pocas</w:t>
      </w:r>
      <w:r>
        <w:rPr>
          <w:spacing w:val="-13"/>
        </w:rPr>
        <w:t> </w:t>
      </w:r>
      <w:r>
        <w:rPr/>
        <w:t>veces habían oído hablar sobre medidas preventivas por </w:t>
      </w:r>
      <w:r>
        <w:rPr>
          <w:spacing w:val="2"/>
        </w:rPr>
        <w:t>parte </w:t>
      </w:r>
      <w:r>
        <w:rPr/>
        <w:t>de alguna del municipio o alguna institución gubernamental. Señalaron que con motivo de las campañas electorales se han llevado a cabo algunas pláticas sobre prevención de desastres, o con la intención de prometer la implantación de medidas para prevenir los desastres o para asegurar que la gente reciba una ayuda oportuna y adecuada en caso de que</w:t>
      </w:r>
      <w:r>
        <w:rPr>
          <w:spacing w:val="-6"/>
        </w:rPr>
        <w:t> </w:t>
      </w:r>
      <w:r>
        <w:rPr/>
        <w:t>sucedan.</w:t>
      </w:r>
    </w:p>
    <w:p>
      <w:pPr>
        <w:spacing w:after="0" w:line="360" w:lineRule="auto"/>
        <w:jc w:val="both"/>
        <w:sectPr>
          <w:footerReference w:type="default" r:id="rId63"/>
          <w:pgSz w:w="12240" w:h="15840"/>
          <w:pgMar w:footer="1031" w:header="0" w:top="1360" w:bottom="1220" w:left="1580" w:right="1580"/>
          <w:pgNumType w:start="101"/>
        </w:sectPr>
      </w:pPr>
    </w:p>
    <w:p>
      <w:pPr>
        <w:pStyle w:val="BodyText"/>
        <w:spacing w:line="360" w:lineRule="auto" w:before="52"/>
        <w:ind w:left="119" w:right="115"/>
        <w:jc w:val="both"/>
      </w:pPr>
      <w:r>
        <w:rPr/>
        <w:t>Sin embargo, hicieron notar que pocas veces acuden a ese tipo de eventos y, </w:t>
      </w:r>
      <w:r>
        <w:rPr>
          <w:spacing w:val="-3"/>
        </w:rPr>
        <w:t>si </w:t>
      </w:r>
      <w:r>
        <w:rPr/>
        <w:t>lo hacen, no prestan mucha atención, ya que no creen en ninguna de las cosas que promete</w:t>
      </w:r>
      <w:r>
        <w:rPr>
          <w:spacing w:val="-12"/>
        </w:rPr>
        <w:t> </w:t>
      </w:r>
      <w:r>
        <w:rPr/>
        <w:t>el</w:t>
      </w:r>
      <w:r>
        <w:rPr>
          <w:spacing w:val="-9"/>
        </w:rPr>
        <w:t> </w:t>
      </w:r>
      <w:r>
        <w:rPr/>
        <w:t>municipio,</w:t>
      </w:r>
      <w:r>
        <w:rPr>
          <w:spacing w:val="-18"/>
        </w:rPr>
        <w:t> </w:t>
      </w:r>
      <w:r>
        <w:rPr/>
        <w:t>pues</w:t>
      </w:r>
      <w:r>
        <w:rPr>
          <w:spacing w:val="-18"/>
        </w:rPr>
        <w:t> </w:t>
      </w:r>
      <w:r>
        <w:rPr/>
        <w:t>cuando</w:t>
      </w:r>
      <w:r>
        <w:rPr>
          <w:spacing w:val="-13"/>
        </w:rPr>
        <w:t> </w:t>
      </w:r>
      <w:r>
        <w:rPr/>
        <w:t>el</w:t>
      </w:r>
      <w:r>
        <w:rPr>
          <w:spacing w:val="-9"/>
        </w:rPr>
        <w:t> </w:t>
      </w:r>
      <w:r>
        <w:rPr/>
        <w:t>candidato</w:t>
      </w:r>
      <w:r>
        <w:rPr>
          <w:spacing w:val="-13"/>
        </w:rPr>
        <w:t> </w:t>
      </w:r>
      <w:r>
        <w:rPr/>
        <w:t>resulta</w:t>
      </w:r>
      <w:r>
        <w:rPr>
          <w:spacing w:val="-17"/>
        </w:rPr>
        <w:t> </w:t>
      </w:r>
      <w:r>
        <w:rPr/>
        <w:t>electo,</w:t>
      </w:r>
      <w:r>
        <w:rPr>
          <w:spacing w:val="-13"/>
        </w:rPr>
        <w:t> </w:t>
      </w:r>
      <w:r>
        <w:rPr/>
        <w:t>casi</w:t>
      </w:r>
      <w:r>
        <w:rPr>
          <w:spacing w:val="-9"/>
        </w:rPr>
        <w:t> </w:t>
      </w:r>
      <w:r>
        <w:rPr/>
        <w:t>ninguna</w:t>
      </w:r>
      <w:r>
        <w:rPr>
          <w:spacing w:val="-17"/>
        </w:rPr>
        <w:t> </w:t>
      </w:r>
      <w:r>
        <w:rPr/>
        <w:t>de</w:t>
      </w:r>
      <w:r>
        <w:rPr>
          <w:spacing w:val="-18"/>
        </w:rPr>
        <w:t> </w:t>
      </w:r>
      <w:r>
        <w:rPr/>
        <w:t>esas promesas se cumple. Algunos dijeron que quienes les habían dado esas pláticas venían</w:t>
      </w:r>
      <w:r>
        <w:rPr>
          <w:spacing w:val="-15"/>
        </w:rPr>
        <w:t> </w:t>
      </w:r>
      <w:r>
        <w:rPr/>
        <w:t>del</w:t>
      </w:r>
      <w:r>
        <w:rPr>
          <w:spacing w:val="-6"/>
        </w:rPr>
        <w:t> </w:t>
      </w:r>
      <w:r>
        <w:rPr/>
        <w:t>municipio</w:t>
      </w:r>
      <w:r>
        <w:rPr>
          <w:spacing w:val="-15"/>
        </w:rPr>
        <w:t> </w:t>
      </w:r>
      <w:r>
        <w:rPr/>
        <w:t>o</w:t>
      </w:r>
      <w:r>
        <w:rPr>
          <w:spacing w:val="-10"/>
        </w:rPr>
        <w:t> </w:t>
      </w:r>
      <w:r>
        <w:rPr/>
        <w:t>de</w:t>
      </w:r>
      <w:r>
        <w:rPr>
          <w:spacing w:val="-14"/>
        </w:rPr>
        <w:t> </w:t>
      </w:r>
      <w:r>
        <w:rPr/>
        <w:t>protección</w:t>
      </w:r>
      <w:r>
        <w:rPr>
          <w:spacing w:val="-14"/>
        </w:rPr>
        <w:t> </w:t>
      </w:r>
      <w:r>
        <w:rPr/>
        <w:t>civil,</w:t>
      </w:r>
      <w:r>
        <w:rPr>
          <w:spacing w:val="-15"/>
        </w:rPr>
        <w:t> </w:t>
      </w:r>
      <w:r>
        <w:rPr/>
        <w:t>pero</w:t>
      </w:r>
      <w:r>
        <w:rPr>
          <w:spacing w:val="-14"/>
        </w:rPr>
        <w:t> </w:t>
      </w:r>
      <w:r>
        <w:rPr/>
        <w:t>que</w:t>
      </w:r>
      <w:r>
        <w:rPr>
          <w:spacing w:val="-15"/>
        </w:rPr>
        <w:t> </w:t>
      </w:r>
      <w:r>
        <w:rPr/>
        <w:t>no</w:t>
      </w:r>
      <w:r>
        <w:rPr>
          <w:spacing w:val="-10"/>
        </w:rPr>
        <w:t> </w:t>
      </w:r>
      <w:r>
        <w:rPr/>
        <w:t>era</w:t>
      </w:r>
      <w:r>
        <w:rPr>
          <w:spacing w:val="-10"/>
        </w:rPr>
        <w:t> </w:t>
      </w:r>
      <w:r>
        <w:rPr>
          <w:spacing w:val="-3"/>
        </w:rPr>
        <w:t>común</w:t>
      </w:r>
      <w:r>
        <w:rPr>
          <w:spacing w:val="-10"/>
        </w:rPr>
        <w:t> </w:t>
      </w:r>
      <w:r>
        <w:rPr/>
        <w:t>que</w:t>
      </w:r>
      <w:r>
        <w:rPr>
          <w:spacing w:val="-10"/>
        </w:rPr>
        <w:t> </w:t>
      </w:r>
      <w:r>
        <w:rPr/>
        <w:t>se</w:t>
      </w:r>
      <w:r>
        <w:rPr>
          <w:spacing w:val="-14"/>
        </w:rPr>
        <w:t> </w:t>
      </w:r>
      <w:r>
        <w:rPr/>
        <w:t>les</w:t>
      </w:r>
      <w:r>
        <w:rPr>
          <w:spacing w:val="-10"/>
        </w:rPr>
        <w:t> </w:t>
      </w:r>
      <w:r>
        <w:rPr/>
        <w:t>hablara sobre el</w:t>
      </w:r>
      <w:r>
        <w:rPr>
          <w:spacing w:val="3"/>
        </w:rPr>
        <w:t> </w:t>
      </w:r>
      <w:r>
        <w:rPr>
          <w:spacing w:val="-3"/>
        </w:rPr>
        <w:t>tema.</w:t>
      </w:r>
    </w:p>
    <w:p>
      <w:pPr>
        <w:pStyle w:val="BodyText"/>
      </w:pPr>
    </w:p>
    <w:p>
      <w:pPr>
        <w:pStyle w:val="BodyText"/>
        <w:spacing w:line="360" w:lineRule="auto" w:before="140"/>
        <w:ind w:left="119" w:right="114"/>
        <w:jc w:val="both"/>
      </w:pPr>
      <w:r>
        <w:rPr/>
        <w:t>En cuanto a las acciones que se deben realizar al momento de presentarse alguna inundación, el 42% de los encuestados mencionaron que en caso de un desastre natural de este tipo acudirían a pedir ayuda al municipio o a protección civil, de los cuales únicamente 10% comentaron que el teléfono que conocían para emergencias era el 040.</w:t>
      </w:r>
    </w:p>
    <w:p>
      <w:pPr>
        <w:pStyle w:val="BodyText"/>
      </w:pPr>
    </w:p>
    <w:p>
      <w:pPr>
        <w:pStyle w:val="BodyText"/>
        <w:spacing w:line="360" w:lineRule="auto" w:before="144"/>
        <w:ind w:left="119" w:right="116"/>
        <w:jc w:val="both"/>
      </w:pPr>
      <w:r>
        <w:rPr/>
        <w:t>Las</w:t>
      </w:r>
      <w:r>
        <w:rPr>
          <w:spacing w:val="-17"/>
        </w:rPr>
        <w:t> </w:t>
      </w:r>
      <w:r>
        <w:rPr/>
        <w:t>personas</w:t>
      </w:r>
      <w:r>
        <w:rPr>
          <w:spacing w:val="-17"/>
        </w:rPr>
        <w:t> </w:t>
      </w:r>
      <w:r>
        <w:rPr/>
        <w:t>encuestadas</w:t>
      </w:r>
      <w:r>
        <w:rPr>
          <w:spacing w:val="-17"/>
        </w:rPr>
        <w:t> </w:t>
      </w:r>
      <w:r>
        <w:rPr/>
        <w:t>dijeron</w:t>
      </w:r>
      <w:r>
        <w:rPr>
          <w:spacing w:val="-17"/>
        </w:rPr>
        <w:t> </w:t>
      </w:r>
      <w:r>
        <w:rPr/>
        <w:t>desconocer</w:t>
      </w:r>
      <w:r>
        <w:rPr>
          <w:spacing w:val="-20"/>
        </w:rPr>
        <w:t> </w:t>
      </w:r>
      <w:r>
        <w:rPr/>
        <w:t>si</w:t>
      </w:r>
      <w:r>
        <w:rPr>
          <w:spacing w:val="-13"/>
        </w:rPr>
        <w:t> </w:t>
      </w:r>
      <w:r>
        <w:rPr/>
        <w:t>existía</w:t>
      </w:r>
      <w:r>
        <w:rPr>
          <w:spacing w:val="-17"/>
        </w:rPr>
        <w:t> </w:t>
      </w:r>
      <w:r>
        <w:rPr/>
        <w:t>algún</w:t>
      </w:r>
      <w:r>
        <w:rPr>
          <w:spacing w:val="-21"/>
        </w:rPr>
        <w:t> </w:t>
      </w:r>
      <w:r>
        <w:rPr/>
        <w:t>lugar</w:t>
      </w:r>
      <w:r>
        <w:rPr>
          <w:spacing w:val="-16"/>
        </w:rPr>
        <w:t> </w:t>
      </w:r>
      <w:r>
        <w:rPr/>
        <w:t>para</w:t>
      </w:r>
      <w:r>
        <w:rPr>
          <w:spacing w:val="-17"/>
        </w:rPr>
        <w:t> </w:t>
      </w:r>
      <w:r>
        <w:rPr/>
        <w:t>refugiarse; lo que harían en caso de alguna inundación sería subir a su familia y los objetos</w:t>
      </w:r>
      <w:r>
        <w:rPr>
          <w:spacing w:val="-43"/>
        </w:rPr>
        <w:t> </w:t>
      </w:r>
      <w:r>
        <w:rPr/>
        <w:t>de valor que tuvieran a la planta alta de su vivienda (segundo piso o azotea). O bien acudir a las partes altas de la</w:t>
      </w:r>
      <w:r>
        <w:rPr>
          <w:spacing w:val="-17"/>
        </w:rPr>
        <w:t> </w:t>
      </w:r>
      <w:r>
        <w:rPr/>
        <w:t>localidad.</w:t>
      </w:r>
    </w:p>
    <w:p>
      <w:pPr>
        <w:pStyle w:val="BodyText"/>
      </w:pPr>
    </w:p>
    <w:p>
      <w:pPr>
        <w:pStyle w:val="BodyText"/>
        <w:spacing w:line="360" w:lineRule="auto" w:before="144"/>
        <w:ind w:left="119" w:right="123"/>
        <w:jc w:val="both"/>
      </w:pPr>
      <w:r>
        <w:rPr/>
        <w:t>La mayoría señaló que no cambiaría de lugar de residencia por diversos motivos, siendo los más importantes los siguientes: no contar con dinero suficiente para hacerlo, el temor a perder su fuente de trabajo actual y el deseo de vivir en el lugar que los había visto nacer el mayor tiempo posible.</w:t>
      </w:r>
    </w:p>
    <w:p>
      <w:pPr>
        <w:pStyle w:val="BodyText"/>
      </w:pPr>
    </w:p>
    <w:p>
      <w:pPr>
        <w:pStyle w:val="BodyText"/>
        <w:spacing w:before="2"/>
        <w:rPr>
          <w:sz w:val="32"/>
        </w:rPr>
      </w:pPr>
    </w:p>
    <w:p>
      <w:pPr>
        <w:pStyle w:val="Heading2"/>
        <w:numPr>
          <w:ilvl w:val="1"/>
          <w:numId w:val="22"/>
        </w:numPr>
        <w:tabs>
          <w:tab w:pos="1095" w:val="left" w:leader="none"/>
        </w:tabs>
        <w:spacing w:line="240" w:lineRule="auto" w:before="0" w:after="0"/>
        <w:ind w:left="1094" w:right="0" w:hanging="398"/>
        <w:jc w:val="left"/>
      </w:pPr>
      <w:bookmarkStart w:name="_TOC_250009" w:id="45"/>
      <w:r>
        <w:rPr/>
        <w:t>Tipología de vivienda y percepción del</w:t>
      </w:r>
      <w:r>
        <w:rPr>
          <w:spacing w:val="-21"/>
        </w:rPr>
        <w:t> </w:t>
      </w:r>
      <w:bookmarkEnd w:id="45"/>
      <w:r>
        <w:rPr/>
        <w:t>riesgo</w:t>
      </w:r>
    </w:p>
    <w:p>
      <w:pPr>
        <w:pStyle w:val="BodyText"/>
        <w:rPr>
          <w:b/>
        </w:rPr>
      </w:pPr>
    </w:p>
    <w:p>
      <w:pPr>
        <w:pStyle w:val="BodyText"/>
        <w:spacing w:line="360" w:lineRule="auto" w:before="206"/>
        <w:ind w:left="119" w:right="121"/>
        <w:jc w:val="both"/>
      </w:pPr>
      <w:r>
        <w:rPr/>
        <w:t>De acuerdo al índice para la identificación de vulnerabilidad por inundación, elaborado por el CENAPRED (2004), se pudo realizar una tipología de vivienda en cuanto</w:t>
      </w:r>
      <w:r>
        <w:rPr>
          <w:spacing w:val="-11"/>
        </w:rPr>
        <w:t> </w:t>
      </w:r>
      <w:r>
        <w:rPr/>
        <w:t>a</w:t>
      </w:r>
      <w:r>
        <w:rPr>
          <w:spacing w:val="-21"/>
        </w:rPr>
        <w:t> </w:t>
      </w:r>
      <w:r>
        <w:rPr/>
        <w:t>los</w:t>
      </w:r>
      <w:r>
        <w:rPr>
          <w:spacing w:val="-13"/>
        </w:rPr>
        <w:t> </w:t>
      </w:r>
      <w:r>
        <w:rPr/>
        <w:t>materiales</w:t>
      </w:r>
      <w:r>
        <w:rPr>
          <w:spacing w:val="-17"/>
        </w:rPr>
        <w:t> </w:t>
      </w:r>
      <w:r>
        <w:rPr/>
        <w:t>de</w:t>
      </w:r>
      <w:r>
        <w:rPr>
          <w:spacing w:val="-12"/>
        </w:rPr>
        <w:t> </w:t>
      </w:r>
      <w:r>
        <w:rPr/>
        <w:t>construcción</w:t>
      </w:r>
      <w:r>
        <w:rPr>
          <w:spacing w:val="-12"/>
        </w:rPr>
        <w:t> </w:t>
      </w:r>
      <w:r>
        <w:rPr/>
        <w:t>y</w:t>
      </w:r>
      <w:r>
        <w:rPr>
          <w:spacing w:val="-13"/>
        </w:rPr>
        <w:t> </w:t>
      </w:r>
      <w:r>
        <w:rPr/>
        <w:t>posteriormente</w:t>
      </w:r>
      <w:r>
        <w:rPr>
          <w:spacing w:val="-11"/>
        </w:rPr>
        <w:t> </w:t>
      </w:r>
      <w:r>
        <w:rPr/>
        <w:t>el</w:t>
      </w:r>
      <w:r>
        <w:rPr>
          <w:spacing w:val="-13"/>
        </w:rPr>
        <w:t> </w:t>
      </w:r>
      <w:r>
        <w:rPr/>
        <w:t>grado</w:t>
      </w:r>
      <w:r>
        <w:rPr>
          <w:spacing w:val="-12"/>
        </w:rPr>
        <w:t> </w:t>
      </w:r>
      <w:r>
        <w:rPr/>
        <w:t>de</w:t>
      </w:r>
      <w:r>
        <w:rPr>
          <w:spacing w:val="-16"/>
        </w:rPr>
        <w:t> </w:t>
      </w:r>
      <w:r>
        <w:rPr/>
        <w:t>vulnerabilidad, Las</w:t>
      </w:r>
      <w:r>
        <w:rPr>
          <w:spacing w:val="-6"/>
        </w:rPr>
        <w:t> </w:t>
      </w:r>
      <w:r>
        <w:rPr/>
        <w:t>viviendas</w:t>
      </w:r>
      <w:r>
        <w:rPr>
          <w:spacing w:val="-3"/>
        </w:rPr>
        <w:t> </w:t>
      </w:r>
      <w:r>
        <w:rPr/>
        <w:t>se</w:t>
      </w:r>
      <w:r>
        <w:rPr>
          <w:spacing w:val="-5"/>
        </w:rPr>
        <w:t> </w:t>
      </w:r>
      <w:r>
        <w:rPr/>
        <w:t>clasificaron</w:t>
      </w:r>
      <w:r>
        <w:rPr>
          <w:spacing w:val="-5"/>
        </w:rPr>
        <w:t> </w:t>
      </w:r>
      <w:r>
        <w:rPr/>
        <w:t>en</w:t>
      </w:r>
      <w:r>
        <w:rPr>
          <w:spacing w:val="-5"/>
        </w:rPr>
        <w:t> </w:t>
      </w:r>
      <w:r>
        <w:rPr/>
        <w:t>cinco</w:t>
      </w:r>
      <w:r>
        <w:rPr>
          <w:spacing w:val="-5"/>
        </w:rPr>
        <w:t> </w:t>
      </w:r>
      <w:r>
        <w:rPr/>
        <w:t>niveles</w:t>
      </w:r>
      <w:r>
        <w:rPr>
          <w:spacing w:val="-11"/>
        </w:rPr>
        <w:t> </w:t>
      </w:r>
      <w:r>
        <w:rPr/>
        <w:t>(alto,</w:t>
      </w:r>
      <w:r>
        <w:rPr>
          <w:spacing w:val="-5"/>
        </w:rPr>
        <w:t> </w:t>
      </w:r>
      <w:r>
        <w:rPr/>
        <w:t>medio</w:t>
      </w:r>
      <w:r>
        <w:rPr>
          <w:spacing w:val="-5"/>
        </w:rPr>
        <w:t> </w:t>
      </w:r>
      <w:r>
        <w:rPr/>
        <w:t>alto,</w:t>
      </w:r>
      <w:r>
        <w:rPr>
          <w:spacing w:val="-5"/>
        </w:rPr>
        <w:t> </w:t>
      </w:r>
      <w:r>
        <w:rPr/>
        <w:t>medio,</w:t>
      </w:r>
      <w:r>
        <w:rPr>
          <w:spacing w:val="-5"/>
        </w:rPr>
        <w:t> </w:t>
      </w:r>
      <w:r>
        <w:rPr/>
        <w:t>medio</w:t>
      </w:r>
      <w:r>
        <w:rPr>
          <w:spacing w:val="-5"/>
        </w:rPr>
        <w:t> </w:t>
      </w:r>
      <w:r>
        <w:rPr/>
        <w:t>bajo</w:t>
      </w:r>
      <w:r>
        <w:rPr>
          <w:spacing w:val="-5"/>
        </w:rPr>
        <w:t> </w:t>
      </w:r>
      <w:r>
        <w:rPr/>
        <w:t>y bajo) de acuerdo al material y tipo de construcción, los resultados fueron los siguientes:</w:t>
      </w:r>
    </w:p>
    <w:p>
      <w:pPr>
        <w:spacing w:after="0" w:line="360" w:lineRule="auto"/>
        <w:jc w:val="both"/>
        <w:sectPr>
          <w:pgSz w:w="12240" w:h="15840"/>
          <w:pgMar w:header="0" w:footer="1031" w:top="1360" w:bottom="1220" w:left="1580" w:right="1580"/>
        </w:sectPr>
      </w:pPr>
    </w:p>
    <w:p>
      <w:pPr>
        <w:pStyle w:val="BodyText"/>
        <w:spacing w:line="362" w:lineRule="auto" w:before="52"/>
        <w:ind w:left="119" w:right="114"/>
        <w:jc w:val="both"/>
      </w:pPr>
      <w:r>
        <w:rPr/>
        <w:t>El 3% de las viviendas se ubicó en un grado de vulnerabilidad alta, estas presentaron muros de cartón o plástico y techos de cartón o plástico, o muros de láminas de cartón y techo de lámina.</w:t>
      </w:r>
    </w:p>
    <w:p>
      <w:pPr>
        <w:pStyle w:val="BodyText"/>
        <w:spacing w:before="10"/>
        <w:rPr>
          <w:sz w:val="35"/>
        </w:rPr>
      </w:pPr>
    </w:p>
    <w:p>
      <w:pPr>
        <w:pStyle w:val="BodyText"/>
        <w:spacing w:line="360" w:lineRule="auto"/>
        <w:ind w:left="119" w:right="114"/>
        <w:jc w:val="both"/>
      </w:pPr>
      <w:r>
        <w:rPr/>
        <w:t>En cuanto a la clasificación media-alta las viviendas fueron construidas con muros de piedra sobre piedra y techo de lámina (cartón, plástico, asbesto o galvanizada) estas corresponde a un 10%, mientras que las viviendas con muros de piedra sin repellado ocuparon el 19% (clasificación media). El porcentaje mayor (40%) corresponde</w:t>
      </w:r>
      <w:r>
        <w:rPr>
          <w:spacing w:val="-5"/>
        </w:rPr>
        <w:t> </w:t>
      </w:r>
      <w:r>
        <w:rPr/>
        <w:t>a</w:t>
      </w:r>
      <w:r>
        <w:rPr>
          <w:spacing w:val="-10"/>
        </w:rPr>
        <w:t> </w:t>
      </w:r>
      <w:r>
        <w:rPr/>
        <w:t>las</w:t>
      </w:r>
      <w:r>
        <w:rPr>
          <w:spacing w:val="-6"/>
        </w:rPr>
        <w:t> </w:t>
      </w:r>
      <w:r>
        <w:rPr/>
        <w:t>viviendas</w:t>
      </w:r>
      <w:r>
        <w:rPr>
          <w:spacing w:val="-6"/>
        </w:rPr>
        <w:t> </w:t>
      </w:r>
      <w:r>
        <w:rPr/>
        <w:t>construidas</w:t>
      </w:r>
      <w:r>
        <w:rPr>
          <w:spacing w:val="-6"/>
        </w:rPr>
        <w:t> </w:t>
      </w:r>
      <w:r>
        <w:rPr/>
        <w:t>con</w:t>
      </w:r>
      <w:r>
        <w:rPr>
          <w:spacing w:val="-10"/>
        </w:rPr>
        <w:t> </w:t>
      </w:r>
      <w:r>
        <w:rPr/>
        <w:t>muros</w:t>
      </w:r>
      <w:r>
        <w:rPr>
          <w:spacing w:val="-6"/>
        </w:rPr>
        <w:t> </w:t>
      </w:r>
      <w:r>
        <w:rPr/>
        <w:t>de</w:t>
      </w:r>
      <w:r>
        <w:rPr>
          <w:spacing w:val="-5"/>
        </w:rPr>
        <w:t> </w:t>
      </w:r>
      <w:r>
        <w:rPr/>
        <w:t>adobe</w:t>
      </w:r>
      <w:r>
        <w:rPr>
          <w:spacing w:val="-5"/>
        </w:rPr>
        <w:t> </w:t>
      </w:r>
      <w:r>
        <w:rPr/>
        <w:t>con</w:t>
      </w:r>
      <w:r>
        <w:rPr>
          <w:spacing w:val="-5"/>
        </w:rPr>
        <w:t> </w:t>
      </w:r>
      <w:r>
        <w:rPr/>
        <w:t>repellado</w:t>
      </w:r>
      <w:r>
        <w:rPr>
          <w:spacing w:val="-5"/>
        </w:rPr>
        <w:t> </w:t>
      </w:r>
      <w:r>
        <w:rPr/>
        <w:t>y</w:t>
      </w:r>
      <w:r>
        <w:rPr>
          <w:spacing w:val="-6"/>
        </w:rPr>
        <w:t> </w:t>
      </w:r>
      <w:r>
        <w:rPr/>
        <w:t>techo de losa de concreto sobrepuesta o vigueta y bovedilla, estas viviendas se clasificaron con una vulnerabilidad media</w:t>
      </w:r>
      <w:r>
        <w:rPr>
          <w:spacing w:val="-13"/>
        </w:rPr>
        <w:t> </w:t>
      </w:r>
      <w:r>
        <w:rPr/>
        <w:t>baja.</w:t>
      </w:r>
    </w:p>
    <w:p>
      <w:pPr>
        <w:pStyle w:val="BodyText"/>
      </w:pPr>
    </w:p>
    <w:p>
      <w:pPr>
        <w:pStyle w:val="BodyText"/>
        <w:spacing w:line="362" w:lineRule="auto" w:before="139"/>
        <w:ind w:left="119" w:right="117"/>
        <w:jc w:val="both"/>
      </w:pPr>
      <w:r>
        <w:rPr/>
        <w:t>Por último el porcentaje de las viviendas con un bajo índice de vulnerabilidad son las que fueron construidas con muros de mampostería, con elementos de concreto y techo de losa de concreto ligada, estas viviendas corresponde al 28%(Gráfica 9).</w:t>
      </w:r>
    </w:p>
    <w:p>
      <w:pPr>
        <w:pStyle w:val="BodyText"/>
      </w:pPr>
    </w:p>
    <w:p>
      <w:pPr>
        <w:spacing w:line="360" w:lineRule="auto" w:before="141"/>
        <w:ind w:left="1262" w:right="70" w:hanging="860"/>
        <w:jc w:val="left"/>
        <w:rPr>
          <w:sz w:val="22"/>
        </w:rPr>
      </w:pPr>
      <w:r>
        <w:rPr>
          <w:sz w:val="22"/>
        </w:rPr>
        <w:t>Gráfica 9. Clasificación de la vulnerabilidad a inundaciones de las viviendas según el índice de vulnerabilidad del CENAPRED, expresado en porcentaje.</w:t>
      </w:r>
    </w:p>
    <w:p>
      <w:pPr>
        <w:pStyle w:val="BodyText"/>
        <w:rPr>
          <w:sz w:val="20"/>
        </w:rPr>
      </w:pPr>
    </w:p>
    <w:p>
      <w:pPr>
        <w:pStyle w:val="BodyText"/>
        <w:spacing w:before="2"/>
        <w:rPr>
          <w:sz w:val="12"/>
        </w:rPr>
      </w:pPr>
      <w:r>
        <w:rPr/>
        <w:pict>
          <v:group style="position:absolute;margin-left:149.255005pt;margin-top:8.950377pt;width:345.75pt;height:182.25pt;mso-position-horizontal-relative:page;mso-position-vertical-relative:paragraph;z-index:3256;mso-wrap-distance-left:0;mso-wrap-distance-right:0" coordorigin="2985,179" coordsize="6915,3645">
            <v:line style="position:absolute" from="9245,3027" to="9674,3027" stroked="true" strokeweight=".72pt" strokecolor="#d9d9d9"/>
            <v:line style="position:absolute" from="8006,3027" to="8856,3027" stroked="true" strokeweight=".72pt" strokecolor="#d9d9d9"/>
            <v:line style="position:absolute" from="6768,3027" to="7618,3027" stroked="true" strokeweight=".72pt" strokecolor="#d9d9d9"/>
            <v:line style="position:absolute" from="5525,3027" to="6379,3027" stroked="true" strokeweight=".72pt" strokecolor="#d9d9d9"/>
            <v:line style="position:absolute" from="3473,3027" to="5136,3027" stroked="true" strokeweight=".72pt" strokecolor="#d9d9d9"/>
            <v:line style="position:absolute" from="3473,2696" to="6379,2696" stroked="true" strokeweight=".72pt" strokecolor="#d9d9d9"/>
            <v:rect style="position:absolute;left:5136;top:2699;width:389;height:653" filled="true" fillcolor="#e36c09" stroked="false">
              <v:fill type="solid"/>
            </v:rect>
            <v:line style="position:absolute" from="6768,2696" to="7618,2696" stroked="true" strokeweight=".72pt" strokecolor="#d9d9d9"/>
            <v:line style="position:absolute" from="6768,2370" to="7618,2370" stroked="true" strokeweight=".72pt" strokecolor="#d9d9d9"/>
            <v:line style="position:absolute" from="3473,2370" to="6379,2370" stroked="true" strokeweight=".72pt" strokecolor="#d9d9d9"/>
            <v:line style="position:absolute" from="3473,2043" to="7618,2043" stroked="true" strokeweight=".72pt" strokecolor="#d9d9d9"/>
            <v:rect style="position:absolute;left:6379;top:2108;width:389;height:1243" filled="true" fillcolor="#e36c09" stroked="false">
              <v:fill type="solid"/>
            </v:rect>
            <v:line style="position:absolute" from="8006,2696" to="8856,2696" stroked="true" strokeweight=".72pt" strokecolor="#d9d9d9"/>
            <v:line style="position:absolute" from="8006,2370" to="8856,2370" stroked="true" strokeweight=".72pt" strokecolor="#d9d9d9"/>
            <v:line style="position:absolute" from="8006,2043" to="8856,2043" stroked="true" strokeweight=".72pt" strokecolor="#d9d9d9"/>
            <v:line style="position:absolute" from="8006,1717" to="8856,1717" stroked="true" strokeweight=".72pt" strokecolor="#d9d9d9"/>
            <v:line style="position:absolute" from="3473,1717" to="7618,1717" stroked="true" strokeweight=".72pt" strokecolor="#d9d9d9"/>
            <v:line style="position:absolute" from="8006,1391" to="9674,1391" stroked="true" strokeweight=".72pt" strokecolor="#d9d9d9"/>
            <v:line style="position:absolute" from="3473,1391" to="7618,1391" stroked="true" strokeweight=".72pt" strokecolor="#d9d9d9"/>
            <v:line style="position:absolute" from="8006,1059" to="9674,1059" stroked="true" strokeweight=".72pt" strokecolor="#d9d9d9"/>
            <v:line style="position:absolute" from="3473,1059" to="7618,1059" stroked="true" strokeweight=".72pt" strokecolor="#d9d9d9"/>
            <v:line style="position:absolute" from="3473,733" to="9674,733" stroked="true" strokeweight=".72pt" strokecolor="#d9d9d9"/>
            <v:rect style="position:absolute;left:7618;top:735;width:389;height:2616" filled="true" fillcolor="#e36c09" stroked="false">
              <v:fill type="solid"/>
            </v:rect>
            <v:line style="position:absolute" from="9245,2696" to="9674,2696" stroked="true" strokeweight=".72pt" strokecolor="#d9d9d9"/>
            <v:line style="position:absolute" from="9245,2370" to="9674,2370" stroked="true" strokeweight=".72pt" strokecolor="#d9d9d9"/>
            <v:line style="position:absolute" from="9245,2043" to="9674,2043" stroked="true" strokeweight=".72pt" strokecolor="#d9d9d9"/>
            <v:line style="position:absolute" from="9245,1717" to="9674,1717" stroked="true" strokeweight=".72pt" strokecolor="#d9d9d9"/>
            <v:rect style="position:absolute;left:8856;top:1518;width:389;height:1834" filled="true" fillcolor="#e36c09" stroked="false">
              <v:fill type="solid"/>
            </v:rect>
            <v:rect style="position:absolute;left:3898;top:3155;width:389;height:197" filled="true" fillcolor="#e36c09" stroked="false">
              <v:fill type="solid"/>
            </v:rect>
            <v:line style="position:absolute" from="3473,3354" to="9674,3354" stroked="true" strokeweight=".72pt" strokecolor="#d9d9d9"/>
            <v:line style="position:absolute" from="3473,407" to="9674,407" stroked="true" strokeweight=".72pt" strokecolor="#d9d9d9"/>
            <v:rect style="position:absolute;left:2993;top:187;width:6900;height:3630" filled="false" stroked="true" strokeweight=".75pt" strokecolor="#7e7e7e"/>
            <v:shape style="position:absolute;left:3124;top:326;width:183;height:1820" type="#_x0000_t202" filled="false" stroked="false">
              <v:textbox inset="0,0,0,0">
                <w:txbxContent>
                  <w:p>
                    <w:pPr>
                      <w:spacing w:line="185" w:lineRule="exact" w:before="0"/>
                      <w:ind w:left="0" w:right="-20" w:firstLine="0"/>
                      <w:jc w:val="left"/>
                      <w:rPr>
                        <w:rFonts w:ascii="Calibri"/>
                        <w:sz w:val="18"/>
                      </w:rPr>
                    </w:pPr>
                    <w:r>
                      <w:rPr>
                        <w:rFonts w:ascii="Calibri"/>
                        <w:color w:val="585858"/>
                        <w:sz w:val="18"/>
                      </w:rPr>
                      <w:t>45</w:t>
                    </w:r>
                  </w:p>
                  <w:p>
                    <w:pPr>
                      <w:spacing w:before="107"/>
                      <w:ind w:left="0" w:right="-20" w:firstLine="0"/>
                      <w:jc w:val="left"/>
                      <w:rPr>
                        <w:rFonts w:ascii="Calibri"/>
                        <w:sz w:val="18"/>
                      </w:rPr>
                    </w:pPr>
                    <w:r>
                      <w:rPr>
                        <w:rFonts w:ascii="Calibri"/>
                        <w:color w:val="585858"/>
                        <w:sz w:val="18"/>
                      </w:rPr>
                      <w:t>40</w:t>
                    </w:r>
                  </w:p>
                  <w:p>
                    <w:pPr>
                      <w:spacing w:before="107"/>
                      <w:ind w:left="0" w:right="-20" w:firstLine="0"/>
                      <w:jc w:val="left"/>
                      <w:rPr>
                        <w:rFonts w:ascii="Calibri"/>
                        <w:sz w:val="18"/>
                      </w:rPr>
                    </w:pPr>
                    <w:r>
                      <w:rPr>
                        <w:rFonts w:ascii="Calibri"/>
                        <w:color w:val="585858"/>
                        <w:sz w:val="18"/>
                      </w:rPr>
                      <w:t>35</w:t>
                    </w:r>
                  </w:p>
                  <w:p>
                    <w:pPr>
                      <w:spacing w:before="107"/>
                      <w:ind w:left="0" w:right="-20" w:firstLine="0"/>
                      <w:jc w:val="left"/>
                      <w:rPr>
                        <w:rFonts w:ascii="Calibri"/>
                        <w:sz w:val="18"/>
                      </w:rPr>
                    </w:pPr>
                    <w:r>
                      <w:rPr>
                        <w:rFonts w:ascii="Calibri"/>
                        <w:color w:val="585858"/>
                        <w:sz w:val="18"/>
                      </w:rPr>
                      <w:t>30</w:t>
                    </w:r>
                  </w:p>
                  <w:p>
                    <w:pPr>
                      <w:spacing w:before="107"/>
                      <w:ind w:left="0" w:right="-20" w:firstLine="0"/>
                      <w:jc w:val="left"/>
                      <w:rPr>
                        <w:rFonts w:ascii="Calibri"/>
                        <w:sz w:val="18"/>
                      </w:rPr>
                    </w:pPr>
                    <w:r>
                      <w:rPr>
                        <w:rFonts w:ascii="Calibri"/>
                        <w:color w:val="585858"/>
                        <w:sz w:val="18"/>
                      </w:rPr>
                      <w:t>25</w:t>
                    </w:r>
                  </w:p>
                  <w:p>
                    <w:pPr>
                      <w:spacing w:line="217" w:lineRule="exact" w:before="108"/>
                      <w:ind w:left="0" w:right="-20" w:firstLine="0"/>
                      <w:jc w:val="left"/>
                      <w:rPr>
                        <w:rFonts w:ascii="Calibri"/>
                        <w:sz w:val="18"/>
                      </w:rPr>
                    </w:pPr>
                    <w:r>
                      <w:rPr>
                        <w:rFonts w:ascii="Calibri"/>
                        <w:color w:val="585858"/>
                        <w:sz w:val="18"/>
                      </w:rPr>
                      <w:t>20</w:t>
                    </w:r>
                  </w:p>
                </w:txbxContent>
              </v:textbox>
              <w10:wrap type="none"/>
            </v:shape>
            <v:shape style="position:absolute;left:7713;top:444;width:202;height:202" type="#_x0000_t202" filled="false" stroked="false">
              <v:textbox inset="0,0,0,0">
                <w:txbxContent>
                  <w:p>
                    <w:pPr>
                      <w:spacing w:line="202" w:lineRule="exact" w:before="0"/>
                      <w:ind w:left="0" w:right="-17" w:firstLine="0"/>
                      <w:jc w:val="left"/>
                      <w:rPr>
                        <w:rFonts w:ascii="Calibri"/>
                        <w:sz w:val="20"/>
                      </w:rPr>
                    </w:pPr>
                    <w:r>
                      <w:rPr>
                        <w:rFonts w:ascii="Calibri"/>
                        <w:spacing w:val="-2"/>
                        <w:sz w:val="20"/>
                      </w:rPr>
                      <w:t>40</w:t>
                    </w:r>
                  </w:p>
                </w:txbxContent>
              </v:textbox>
              <w10:wrap type="none"/>
            </v:shape>
            <v:shape style="position:absolute;left:8954;top:1229;width:202;height:203" type="#_x0000_t202" filled="false" stroked="false">
              <v:textbox inset="0,0,0,0">
                <w:txbxContent>
                  <w:p>
                    <w:pPr>
                      <w:spacing w:line="202" w:lineRule="exact" w:before="0"/>
                      <w:ind w:left="0" w:right="-17" w:firstLine="0"/>
                      <w:jc w:val="left"/>
                      <w:rPr>
                        <w:rFonts w:ascii="Calibri"/>
                        <w:sz w:val="20"/>
                      </w:rPr>
                    </w:pPr>
                    <w:r>
                      <w:rPr>
                        <w:rFonts w:ascii="Calibri"/>
                        <w:spacing w:val="-2"/>
                        <w:sz w:val="20"/>
                      </w:rPr>
                      <w:t>28</w:t>
                    </w:r>
                  </w:p>
                </w:txbxContent>
              </v:textbox>
              <w10:wrap type="none"/>
            </v:shape>
            <v:shape style="position:absolute;left:6473;top:1819;width:202;height:202" type="#_x0000_t202" filled="false" stroked="false">
              <v:textbox inset="0,0,0,0">
                <w:txbxContent>
                  <w:p>
                    <w:pPr>
                      <w:spacing w:line="202" w:lineRule="exact" w:before="0"/>
                      <w:ind w:left="0" w:right="-17" w:firstLine="0"/>
                      <w:jc w:val="left"/>
                      <w:rPr>
                        <w:rFonts w:ascii="Calibri"/>
                        <w:sz w:val="20"/>
                      </w:rPr>
                    </w:pPr>
                    <w:r>
                      <w:rPr>
                        <w:rFonts w:ascii="Calibri"/>
                        <w:spacing w:val="-2"/>
                        <w:sz w:val="20"/>
                      </w:rPr>
                      <w:t>19</w:t>
                    </w:r>
                  </w:p>
                </w:txbxContent>
              </v:textbox>
              <w10:wrap type="none"/>
            </v:shape>
            <v:shape style="position:absolute;left:3124;top:2291;width:184;height:1165" type="#_x0000_t202" filled="false" stroked="false">
              <v:textbox inset="0,0,0,0">
                <w:txbxContent>
                  <w:p>
                    <w:pPr>
                      <w:spacing w:line="185" w:lineRule="exact" w:before="0"/>
                      <w:ind w:left="0" w:right="-19" w:firstLine="0"/>
                      <w:jc w:val="left"/>
                      <w:rPr>
                        <w:rFonts w:ascii="Calibri"/>
                        <w:sz w:val="18"/>
                      </w:rPr>
                    </w:pPr>
                    <w:r>
                      <w:rPr>
                        <w:rFonts w:ascii="Calibri"/>
                        <w:color w:val="585858"/>
                        <w:sz w:val="18"/>
                      </w:rPr>
                      <w:t>15</w:t>
                    </w:r>
                  </w:p>
                  <w:p>
                    <w:pPr>
                      <w:spacing w:before="107"/>
                      <w:ind w:left="0" w:right="-19" w:firstLine="0"/>
                      <w:jc w:val="left"/>
                      <w:rPr>
                        <w:rFonts w:ascii="Calibri"/>
                        <w:sz w:val="18"/>
                      </w:rPr>
                    </w:pPr>
                    <w:r>
                      <w:rPr>
                        <w:rFonts w:ascii="Calibri"/>
                        <w:color w:val="585858"/>
                        <w:sz w:val="18"/>
                      </w:rPr>
                      <w:t>10</w:t>
                    </w:r>
                  </w:p>
                  <w:p>
                    <w:pPr>
                      <w:spacing w:before="107"/>
                      <w:ind w:left="91" w:right="0" w:firstLine="0"/>
                      <w:jc w:val="left"/>
                      <w:rPr>
                        <w:rFonts w:ascii="Calibri"/>
                        <w:sz w:val="18"/>
                      </w:rPr>
                    </w:pPr>
                    <w:r>
                      <w:rPr>
                        <w:rFonts w:ascii="Calibri"/>
                        <w:color w:val="585858"/>
                        <w:w w:val="101"/>
                        <w:sz w:val="18"/>
                      </w:rPr>
                      <w:t>5</w:t>
                    </w:r>
                  </w:p>
                  <w:p>
                    <w:pPr>
                      <w:spacing w:line="217" w:lineRule="exact" w:before="107"/>
                      <w:ind w:left="91" w:right="0" w:firstLine="0"/>
                      <w:jc w:val="left"/>
                      <w:rPr>
                        <w:rFonts w:ascii="Calibri"/>
                        <w:sz w:val="18"/>
                      </w:rPr>
                    </w:pPr>
                    <w:r>
                      <w:rPr>
                        <w:rFonts w:ascii="Calibri"/>
                        <w:color w:val="585858"/>
                        <w:w w:val="101"/>
                        <w:sz w:val="18"/>
                      </w:rPr>
                      <w:t>0</w:t>
                    </w:r>
                  </w:p>
                </w:txbxContent>
              </v:textbox>
              <w10:wrap type="none"/>
            </v:shape>
            <v:shape style="position:absolute;left:5232;top:2408;width:202;height:202" type="#_x0000_t202" filled="false" stroked="false">
              <v:textbox inset="0,0,0,0">
                <w:txbxContent>
                  <w:p>
                    <w:pPr>
                      <w:spacing w:line="202" w:lineRule="exact" w:before="0"/>
                      <w:ind w:left="0" w:right="-17" w:firstLine="0"/>
                      <w:jc w:val="left"/>
                      <w:rPr>
                        <w:rFonts w:ascii="Calibri"/>
                        <w:sz w:val="20"/>
                      </w:rPr>
                    </w:pPr>
                    <w:r>
                      <w:rPr>
                        <w:rFonts w:ascii="Calibri"/>
                        <w:spacing w:val="-2"/>
                        <w:sz w:val="20"/>
                      </w:rPr>
                      <w:t>10</w:t>
                    </w:r>
                  </w:p>
                </w:txbxContent>
              </v:textbox>
              <w10:wrap type="none"/>
            </v:shape>
            <v:shape style="position:absolute;left:4044;top:2867;width:103;height:202" type="#_x0000_t202" filled="false" stroked="false">
              <v:textbox inset="0,0,0,0">
                <w:txbxContent>
                  <w:p>
                    <w:pPr>
                      <w:spacing w:line="202" w:lineRule="exact" w:before="0"/>
                      <w:ind w:left="0" w:right="0" w:firstLine="0"/>
                      <w:jc w:val="left"/>
                      <w:rPr>
                        <w:rFonts w:ascii="Calibri"/>
                        <w:sz w:val="20"/>
                      </w:rPr>
                    </w:pPr>
                    <w:r>
                      <w:rPr>
                        <w:rFonts w:ascii="Calibri"/>
                        <w:w w:val="100"/>
                        <w:sz w:val="20"/>
                      </w:rPr>
                      <w:t>3</w:t>
                    </w:r>
                  </w:p>
                </w:txbxContent>
              </v:textbox>
              <w10:wrap type="none"/>
            </v:shape>
            <v:shape style="position:absolute;left:3719;top:3507;width:2830;height:183" type="#_x0000_t202" filled="false" stroked="false">
              <v:textbox inset="0,0,0,0">
                <w:txbxContent>
                  <w:p>
                    <w:pPr>
                      <w:tabs>
                        <w:tab w:pos="941" w:val="left" w:leader="none"/>
                        <w:tab w:pos="2353" w:val="left" w:leader="none"/>
                      </w:tabs>
                      <w:spacing w:line="182" w:lineRule="exact" w:before="0"/>
                      <w:ind w:left="0" w:right="0" w:firstLine="0"/>
                      <w:jc w:val="left"/>
                      <w:rPr>
                        <w:rFonts w:ascii="Calibri"/>
                        <w:sz w:val="18"/>
                      </w:rPr>
                    </w:pPr>
                    <w:r>
                      <w:rPr>
                        <w:rFonts w:ascii="Calibri"/>
                        <w:color w:val="585858"/>
                        <w:sz w:val="18"/>
                      </w:rPr>
                      <w:t>Alto</w:t>
                      <w:tab/>
                      <w:t>Medio-alto</w:t>
                      <w:tab/>
                    </w:r>
                    <w:r>
                      <w:rPr>
                        <w:rFonts w:ascii="Calibri"/>
                        <w:color w:val="585858"/>
                        <w:spacing w:val="-1"/>
                        <w:sz w:val="18"/>
                      </w:rPr>
                      <w:t>Medio</w:t>
                    </w:r>
                  </w:p>
                </w:txbxContent>
              </v:textbox>
              <w10:wrap type="none"/>
            </v:shape>
            <v:shape style="position:absolute;left:7022;top:3507;width:850;height:183" type="#_x0000_t202" filled="false" stroked="false">
              <v:textbox inset="0,0,0,0">
                <w:txbxContent>
                  <w:p>
                    <w:pPr>
                      <w:spacing w:line="182" w:lineRule="exact" w:before="0"/>
                      <w:ind w:left="0" w:right="-19" w:firstLine="0"/>
                      <w:jc w:val="left"/>
                      <w:rPr>
                        <w:rFonts w:ascii="Calibri"/>
                        <w:sz w:val="18"/>
                      </w:rPr>
                    </w:pPr>
                    <w:r>
                      <w:rPr>
                        <w:rFonts w:ascii="Calibri"/>
                        <w:color w:val="585858"/>
                        <w:sz w:val="18"/>
                      </w:rPr>
                      <w:t>Medio-bajo</w:t>
                    </w:r>
                  </w:p>
                </w:txbxContent>
              </v:textbox>
              <w10:wrap type="none"/>
            </v:shape>
            <v:shape style="position:absolute;left:8913;top:3507;width:327;height:183" type="#_x0000_t202" filled="false" stroked="false">
              <v:textbox inset="0,0,0,0">
                <w:txbxContent>
                  <w:p>
                    <w:pPr>
                      <w:spacing w:line="182" w:lineRule="exact" w:before="0"/>
                      <w:ind w:left="0" w:right="-16" w:firstLine="0"/>
                      <w:jc w:val="left"/>
                      <w:rPr>
                        <w:rFonts w:ascii="Calibri"/>
                        <w:sz w:val="18"/>
                      </w:rPr>
                    </w:pPr>
                    <w:r>
                      <w:rPr>
                        <w:rFonts w:ascii="Calibri"/>
                        <w:color w:val="585858"/>
                        <w:sz w:val="18"/>
                      </w:rPr>
                      <w:t>Bajo</w:t>
                    </w:r>
                  </w:p>
                </w:txbxContent>
              </v:textbox>
              <w10:wrap type="none"/>
            </v:shape>
            <w10:wrap type="topAndBottom"/>
          </v:group>
        </w:pict>
      </w:r>
    </w:p>
    <w:p>
      <w:pPr>
        <w:spacing w:before="103"/>
        <w:ind w:left="119" w:right="0" w:firstLine="0"/>
        <w:jc w:val="both"/>
        <w:rPr>
          <w:sz w:val="24"/>
        </w:rPr>
      </w:pPr>
      <w:r>
        <w:rPr>
          <w:sz w:val="20"/>
        </w:rPr>
        <w:t>Fuente: Mendoza Baruch, sobre la base de encuestas, </w:t>
      </w:r>
      <w:r>
        <w:rPr>
          <w:sz w:val="24"/>
        </w:rPr>
        <w:t>2013.</w:t>
      </w:r>
    </w:p>
    <w:p>
      <w:pPr>
        <w:spacing w:after="0"/>
        <w:jc w:val="both"/>
        <w:rPr>
          <w:sz w:val="24"/>
        </w:rPr>
        <w:sectPr>
          <w:pgSz w:w="12240" w:h="15840"/>
          <w:pgMar w:header="0" w:footer="1031" w:top="1360" w:bottom="1220" w:left="1580" w:right="1580"/>
        </w:sectPr>
      </w:pPr>
    </w:p>
    <w:p>
      <w:pPr>
        <w:pStyle w:val="BodyText"/>
        <w:spacing w:line="360" w:lineRule="auto" w:before="52"/>
        <w:ind w:left="119" w:right="115"/>
        <w:jc w:val="both"/>
      </w:pPr>
      <w:r>
        <w:rPr/>
        <w:t>A continuación se presentan los resultados de la última pregunta que se realizó en el</w:t>
      </w:r>
      <w:r>
        <w:rPr>
          <w:spacing w:val="-4"/>
        </w:rPr>
        <w:t> </w:t>
      </w:r>
      <w:r>
        <w:rPr/>
        <w:t>cuestionario,</w:t>
      </w:r>
      <w:r>
        <w:rPr>
          <w:spacing w:val="-6"/>
        </w:rPr>
        <w:t> </w:t>
      </w:r>
      <w:r>
        <w:rPr/>
        <w:t>en</w:t>
      </w:r>
      <w:r>
        <w:rPr>
          <w:spacing w:val="-6"/>
        </w:rPr>
        <w:t> </w:t>
      </w:r>
      <w:r>
        <w:rPr/>
        <w:t>ella</w:t>
      </w:r>
      <w:r>
        <w:rPr>
          <w:spacing w:val="-11"/>
        </w:rPr>
        <w:t> </w:t>
      </w:r>
      <w:r>
        <w:rPr/>
        <w:t>se</w:t>
      </w:r>
      <w:r>
        <w:rPr>
          <w:spacing w:val="-6"/>
        </w:rPr>
        <w:t> </w:t>
      </w:r>
      <w:r>
        <w:rPr/>
        <w:t>pidió</w:t>
      </w:r>
      <w:r>
        <w:rPr>
          <w:spacing w:val="-11"/>
        </w:rPr>
        <w:t> </w:t>
      </w:r>
      <w:r>
        <w:rPr/>
        <w:t>a</w:t>
      </w:r>
      <w:r>
        <w:rPr>
          <w:spacing w:val="-6"/>
        </w:rPr>
        <w:t> </w:t>
      </w:r>
      <w:r>
        <w:rPr/>
        <w:t>los</w:t>
      </w:r>
      <w:r>
        <w:rPr>
          <w:spacing w:val="-6"/>
        </w:rPr>
        <w:t> </w:t>
      </w:r>
      <w:r>
        <w:rPr/>
        <w:t>habitantes</w:t>
      </w:r>
      <w:r>
        <w:rPr>
          <w:spacing w:val="-7"/>
        </w:rPr>
        <w:t> </w:t>
      </w:r>
      <w:r>
        <w:rPr/>
        <w:t>que</w:t>
      </w:r>
      <w:r>
        <w:rPr>
          <w:spacing w:val="-6"/>
        </w:rPr>
        <w:t> </w:t>
      </w:r>
      <w:r>
        <w:rPr/>
        <w:t>clasificaran</w:t>
      </w:r>
      <w:r>
        <w:rPr>
          <w:spacing w:val="-11"/>
        </w:rPr>
        <w:t> </w:t>
      </w:r>
      <w:r>
        <w:rPr/>
        <w:t>la</w:t>
      </w:r>
      <w:r>
        <w:rPr>
          <w:spacing w:val="-6"/>
        </w:rPr>
        <w:t> </w:t>
      </w:r>
      <w:r>
        <w:rPr/>
        <w:t>vulnerabilidad</w:t>
      </w:r>
      <w:r>
        <w:rPr>
          <w:spacing w:val="-11"/>
        </w:rPr>
        <w:t> </w:t>
      </w:r>
      <w:r>
        <w:rPr/>
        <w:t>de la vivienda en base a las temáticas abordadas en los apartados anteriores (Grafica 10).</w:t>
      </w:r>
    </w:p>
    <w:p>
      <w:pPr>
        <w:pStyle w:val="BodyText"/>
      </w:pPr>
    </w:p>
    <w:p>
      <w:pPr>
        <w:spacing w:line="360" w:lineRule="auto" w:before="148"/>
        <w:ind w:left="2410" w:right="70" w:hanging="2248"/>
        <w:jc w:val="left"/>
        <w:rPr>
          <w:sz w:val="22"/>
        </w:rPr>
      </w:pPr>
      <w:r>
        <w:rPr/>
        <w:pict>
          <v:group style="position:absolute;margin-left:133.125pt;margin-top:44.832897pt;width:345.75pt;height:178.5pt;mso-position-horizontal-relative:page;mso-position-vertical-relative:paragraph;z-index:-118120" coordorigin="2663,897" coordsize="6915,3570">
            <v:line style="position:absolute" from="3151,1124" to="9348,1124" stroked="true" strokeweight=".72pt" strokecolor="#d9d9d9"/>
            <v:shape style="position:absolute;left:6058;top:3790;width:1628;height:207" coordorigin="6058,3790" coordsize="1628,207" path="m6446,3790l6058,3790,6058,3997,6446,3997,6446,3790m7685,3790l7296,3790,7296,3997,7685,3997,7685,3790e" filled="true" fillcolor="#e36c09" stroked="false">
              <v:path arrowok="t"/>
              <v:fill type="solid"/>
            </v:shape>
            <v:rect style="position:absolute;left:2670;top:904;width:6900;height:3555" filled="false" stroked="true" strokeweight=".75pt" strokecolor="#7e7e7e"/>
            <v:shape style="position:absolute;left:2801;top:1042;width:183;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70</w:t>
                    </w:r>
                  </w:p>
                </w:txbxContent>
              </v:textbox>
              <w10:wrap type="none"/>
            </v:shape>
            <v:shape style="position:absolute;left:3669;top:1242;width:203;height:202" type="#_x0000_t202" filled="false" stroked="false">
              <v:textbox inset="0,0,0,0">
                <w:txbxContent>
                  <w:p>
                    <w:pPr>
                      <w:spacing w:line="202" w:lineRule="exact" w:before="0"/>
                      <w:ind w:left="0" w:right="-20" w:firstLine="0"/>
                      <w:jc w:val="left"/>
                      <w:rPr>
                        <w:rFonts w:ascii="Calibri"/>
                        <w:sz w:val="20"/>
                      </w:rPr>
                    </w:pPr>
                    <w:r>
                      <w:rPr>
                        <w:rFonts w:ascii="Calibri"/>
                        <w:sz w:val="20"/>
                      </w:rPr>
                      <w:t>60</w:t>
                    </w:r>
                  </w:p>
                </w:txbxContent>
              </v:textbox>
              <w10:wrap type="none"/>
            </v:shape>
            <v:shape style="position:absolute;left:2801;top:1452;width:184;height:2644" type="#_x0000_t202" filled="false" stroked="false">
              <v:textbox inset="0,0,0,0">
                <w:txbxContent>
                  <w:p>
                    <w:pPr>
                      <w:spacing w:line="185" w:lineRule="exact" w:before="0"/>
                      <w:ind w:left="0" w:right="-19" w:firstLine="0"/>
                      <w:jc w:val="left"/>
                      <w:rPr>
                        <w:rFonts w:ascii="Calibri"/>
                        <w:sz w:val="18"/>
                      </w:rPr>
                    </w:pPr>
                    <w:r>
                      <w:rPr>
                        <w:rFonts w:ascii="Calibri"/>
                        <w:color w:val="585858"/>
                        <w:sz w:val="18"/>
                      </w:rPr>
                      <w:t>60</w:t>
                    </w:r>
                  </w:p>
                  <w:p>
                    <w:pPr>
                      <w:spacing w:line="240" w:lineRule="auto" w:before="6"/>
                      <w:rPr>
                        <w:sz w:val="16"/>
                      </w:rPr>
                    </w:pPr>
                  </w:p>
                  <w:p>
                    <w:pPr>
                      <w:spacing w:before="0"/>
                      <w:ind w:left="0" w:right="-19" w:firstLine="0"/>
                      <w:jc w:val="left"/>
                      <w:rPr>
                        <w:rFonts w:ascii="Calibri"/>
                        <w:sz w:val="18"/>
                      </w:rPr>
                    </w:pPr>
                    <w:r>
                      <w:rPr>
                        <w:rFonts w:ascii="Calibri"/>
                        <w:color w:val="585858"/>
                        <w:sz w:val="18"/>
                      </w:rPr>
                      <w:t>50</w:t>
                    </w:r>
                  </w:p>
                  <w:p>
                    <w:pPr>
                      <w:spacing w:line="240" w:lineRule="auto" w:before="6"/>
                      <w:rPr>
                        <w:sz w:val="16"/>
                      </w:rPr>
                    </w:pPr>
                  </w:p>
                  <w:p>
                    <w:pPr>
                      <w:spacing w:before="0"/>
                      <w:ind w:left="0" w:right="-19" w:firstLine="0"/>
                      <w:jc w:val="left"/>
                      <w:rPr>
                        <w:rFonts w:ascii="Calibri"/>
                        <w:sz w:val="18"/>
                      </w:rPr>
                    </w:pPr>
                    <w:r>
                      <w:rPr>
                        <w:rFonts w:ascii="Calibri"/>
                        <w:color w:val="585858"/>
                        <w:sz w:val="18"/>
                      </w:rPr>
                      <w:t>40</w:t>
                    </w:r>
                  </w:p>
                  <w:p>
                    <w:pPr>
                      <w:spacing w:line="240" w:lineRule="auto" w:before="6"/>
                      <w:rPr>
                        <w:sz w:val="16"/>
                      </w:rPr>
                    </w:pPr>
                  </w:p>
                  <w:p>
                    <w:pPr>
                      <w:spacing w:before="0"/>
                      <w:ind w:left="0" w:right="-19" w:firstLine="0"/>
                      <w:jc w:val="left"/>
                      <w:rPr>
                        <w:rFonts w:ascii="Calibri"/>
                        <w:sz w:val="18"/>
                      </w:rPr>
                    </w:pPr>
                    <w:r>
                      <w:rPr>
                        <w:rFonts w:ascii="Calibri"/>
                        <w:color w:val="585858"/>
                        <w:sz w:val="18"/>
                      </w:rPr>
                      <w:t>30</w:t>
                    </w:r>
                  </w:p>
                  <w:p>
                    <w:pPr>
                      <w:spacing w:line="240" w:lineRule="auto" w:before="6"/>
                      <w:rPr>
                        <w:sz w:val="16"/>
                      </w:rPr>
                    </w:pPr>
                  </w:p>
                  <w:p>
                    <w:pPr>
                      <w:spacing w:before="0"/>
                      <w:ind w:left="0" w:right="-19" w:firstLine="0"/>
                      <w:jc w:val="left"/>
                      <w:rPr>
                        <w:rFonts w:ascii="Calibri"/>
                        <w:sz w:val="18"/>
                      </w:rPr>
                    </w:pPr>
                    <w:r>
                      <w:rPr>
                        <w:rFonts w:ascii="Calibri"/>
                        <w:color w:val="585858"/>
                        <w:sz w:val="18"/>
                      </w:rPr>
                      <w:t>20</w:t>
                    </w:r>
                  </w:p>
                  <w:p>
                    <w:pPr>
                      <w:spacing w:line="240" w:lineRule="auto" w:before="6"/>
                      <w:rPr>
                        <w:sz w:val="16"/>
                      </w:rPr>
                    </w:pPr>
                  </w:p>
                  <w:p>
                    <w:pPr>
                      <w:spacing w:before="0"/>
                      <w:ind w:left="0" w:right="-19" w:firstLine="0"/>
                      <w:jc w:val="left"/>
                      <w:rPr>
                        <w:rFonts w:ascii="Calibri"/>
                        <w:sz w:val="18"/>
                      </w:rPr>
                    </w:pPr>
                    <w:r>
                      <w:rPr>
                        <w:rFonts w:ascii="Calibri"/>
                        <w:color w:val="585858"/>
                        <w:sz w:val="18"/>
                      </w:rPr>
                      <w:t>10</w:t>
                    </w:r>
                  </w:p>
                  <w:p>
                    <w:pPr>
                      <w:spacing w:line="240" w:lineRule="auto" w:before="6"/>
                      <w:rPr>
                        <w:sz w:val="16"/>
                      </w:rPr>
                    </w:pPr>
                  </w:p>
                  <w:p>
                    <w:pPr>
                      <w:spacing w:line="217" w:lineRule="exact" w:before="0"/>
                      <w:ind w:left="91" w:right="0" w:firstLine="0"/>
                      <w:jc w:val="left"/>
                      <w:rPr>
                        <w:rFonts w:ascii="Calibri"/>
                        <w:sz w:val="18"/>
                      </w:rPr>
                    </w:pPr>
                    <w:r>
                      <w:rPr>
                        <w:rFonts w:ascii="Calibri"/>
                        <w:color w:val="585858"/>
                        <w:w w:val="101"/>
                        <w:sz w:val="18"/>
                      </w:rPr>
                      <w:t>0</w:t>
                    </w:r>
                  </w:p>
                </w:txbxContent>
              </v:textbox>
              <w10:wrap type="none"/>
            </v:shape>
            <v:shape style="position:absolute;left:3396;top:4148;width:303;height:183" type="#_x0000_t202" filled="false" stroked="false">
              <v:textbox inset="0,0,0,0">
                <w:txbxContent>
                  <w:p>
                    <w:pPr>
                      <w:spacing w:line="182" w:lineRule="exact" w:before="0"/>
                      <w:ind w:left="0" w:right="-18" w:firstLine="0"/>
                      <w:jc w:val="left"/>
                      <w:rPr>
                        <w:rFonts w:ascii="Calibri"/>
                        <w:sz w:val="18"/>
                      </w:rPr>
                    </w:pPr>
                    <w:r>
                      <w:rPr>
                        <w:rFonts w:ascii="Calibri"/>
                        <w:color w:val="585858"/>
                        <w:sz w:val="18"/>
                      </w:rPr>
                      <w:t>Alto</w:t>
                    </w:r>
                  </w:p>
                </w:txbxContent>
              </v:textbox>
              <w10:wrap type="none"/>
            </v:shape>
            <v:shape style="position:absolute;left:4338;top:4148;width:816;height:183" type="#_x0000_t202" filled="false" stroked="false">
              <v:textbox inset="0,0,0,0">
                <w:txbxContent>
                  <w:p>
                    <w:pPr>
                      <w:spacing w:line="182" w:lineRule="exact" w:before="0"/>
                      <w:ind w:left="0" w:right="-17" w:firstLine="0"/>
                      <w:jc w:val="left"/>
                      <w:rPr>
                        <w:rFonts w:ascii="Calibri"/>
                        <w:sz w:val="18"/>
                      </w:rPr>
                    </w:pPr>
                    <w:r>
                      <w:rPr>
                        <w:rFonts w:ascii="Calibri"/>
                        <w:color w:val="585858"/>
                        <w:sz w:val="18"/>
                      </w:rPr>
                      <w:t>Medio-alto</w:t>
                    </w:r>
                  </w:p>
                </w:txbxContent>
              </v:textbox>
              <w10:wrap type="none"/>
            </v:shape>
            <v:shape style="position:absolute;left:5750;top:4148;width:476;height:183" type="#_x0000_t202" filled="false" stroked="false">
              <v:textbox inset="0,0,0,0">
                <w:txbxContent>
                  <w:p>
                    <w:pPr>
                      <w:spacing w:line="182" w:lineRule="exact" w:before="0"/>
                      <w:ind w:left="0" w:right="-19" w:firstLine="0"/>
                      <w:jc w:val="left"/>
                      <w:rPr>
                        <w:rFonts w:ascii="Calibri"/>
                        <w:sz w:val="18"/>
                      </w:rPr>
                    </w:pPr>
                    <w:r>
                      <w:rPr>
                        <w:rFonts w:ascii="Calibri"/>
                        <w:color w:val="585858"/>
                        <w:sz w:val="18"/>
                      </w:rPr>
                      <w:t>Medio</w:t>
                    </w:r>
                  </w:p>
                </w:txbxContent>
              </v:textbox>
              <w10:wrap type="none"/>
            </v:shape>
            <v:shape style="position:absolute;left:6700;top:4148;width:850;height:183" type="#_x0000_t202" filled="false" stroked="false">
              <v:textbox inset="0,0,0,0">
                <w:txbxContent>
                  <w:p>
                    <w:pPr>
                      <w:spacing w:line="182" w:lineRule="exact" w:before="0"/>
                      <w:ind w:left="0" w:right="-19" w:firstLine="0"/>
                      <w:jc w:val="left"/>
                      <w:rPr>
                        <w:rFonts w:ascii="Calibri"/>
                        <w:sz w:val="18"/>
                      </w:rPr>
                    </w:pPr>
                    <w:r>
                      <w:rPr>
                        <w:rFonts w:ascii="Calibri"/>
                        <w:color w:val="585858"/>
                        <w:sz w:val="18"/>
                      </w:rPr>
                      <w:t>Medio-bajo</w:t>
                    </w:r>
                  </w:p>
                </w:txbxContent>
              </v:textbox>
              <w10:wrap type="none"/>
            </v:shape>
            <v:shape style="position:absolute;left:8590;top:4148;width:327;height:183" type="#_x0000_t202" filled="false" stroked="false">
              <v:textbox inset="0,0,0,0">
                <w:txbxContent>
                  <w:p>
                    <w:pPr>
                      <w:spacing w:line="182" w:lineRule="exact" w:before="0"/>
                      <w:ind w:left="0" w:right="-16" w:firstLine="0"/>
                      <w:jc w:val="left"/>
                      <w:rPr>
                        <w:rFonts w:ascii="Calibri"/>
                        <w:sz w:val="18"/>
                      </w:rPr>
                    </w:pPr>
                    <w:r>
                      <w:rPr>
                        <w:rFonts w:ascii="Calibri"/>
                        <w:color w:val="585858"/>
                        <w:sz w:val="18"/>
                      </w:rPr>
                      <w:t>Bajo</w:t>
                    </w:r>
                  </w:p>
                </w:txbxContent>
              </v:textbox>
              <w10:wrap type="none"/>
            </v:shape>
            <w10:wrap type="none"/>
          </v:group>
        </w:pict>
      </w:r>
      <w:r>
        <w:rPr>
          <w:sz w:val="22"/>
        </w:rPr>
        <w:t>Gráfica 10. Clasificación de la vulnerabilidad a inundaciones de las viviendas por parte de los pobladores encuestados, en porcentaje.</w:t>
      </w:r>
    </w:p>
    <w:p>
      <w:pPr>
        <w:pStyle w:val="BodyText"/>
        <w:rPr>
          <w:sz w:val="20"/>
        </w:rPr>
      </w:pPr>
    </w:p>
    <w:p>
      <w:pPr>
        <w:pStyle w:val="BodyText"/>
        <w:rPr>
          <w:sz w:val="20"/>
        </w:rPr>
      </w:pPr>
    </w:p>
    <w:p>
      <w:pPr>
        <w:pStyle w:val="BodyText"/>
        <w:spacing w:before="4" w:after="1"/>
        <w:rPr>
          <w:sz w:val="14"/>
        </w:rPr>
      </w:pPr>
    </w:p>
    <w:tbl>
      <w:tblPr>
        <w:tblW w:w="0" w:type="auto"/>
        <w:jc w:val="left"/>
        <w:tblInd w:w="156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5"/>
        <w:gridCol w:w="389"/>
        <w:gridCol w:w="850"/>
        <w:gridCol w:w="389"/>
        <w:gridCol w:w="3331"/>
        <w:gridCol w:w="389"/>
        <w:gridCol w:w="425"/>
      </w:tblGrid>
      <w:tr>
        <w:trPr>
          <w:trHeight w:val="408" w:hRule="exact"/>
        </w:trPr>
        <w:tc>
          <w:tcPr>
            <w:tcW w:w="425" w:type="dxa"/>
            <w:tcBorders>
              <w:top w:val="single" w:sz="6" w:space="0" w:color="D9D9D9"/>
              <w:bottom w:val="single" w:sz="6" w:space="0" w:color="D9D9D9"/>
            </w:tcBorders>
          </w:tcPr>
          <w:p>
            <w:pPr/>
          </w:p>
        </w:tc>
        <w:tc>
          <w:tcPr>
            <w:tcW w:w="389" w:type="dxa"/>
            <w:vMerge w:val="restart"/>
            <w:tcBorders>
              <w:top w:val="single" w:sz="6" w:space="0" w:color="D9D9D9"/>
            </w:tcBorders>
            <w:shd w:val="clear" w:color="auto" w:fill="E36C09"/>
          </w:tcPr>
          <w:p>
            <w:pPr/>
          </w:p>
        </w:tc>
        <w:tc>
          <w:tcPr>
            <w:tcW w:w="5383" w:type="dxa"/>
            <w:gridSpan w:val="5"/>
            <w:tcBorders>
              <w:top w:val="single" w:sz="6" w:space="0" w:color="D9D9D9"/>
              <w:bottom w:val="single" w:sz="6" w:space="0" w:color="D9D9D9"/>
            </w:tcBorders>
          </w:tcPr>
          <w:p>
            <w:pPr/>
          </w:p>
        </w:tc>
      </w:tr>
      <w:tr>
        <w:trPr>
          <w:trHeight w:val="408" w:hRule="exact"/>
        </w:trPr>
        <w:tc>
          <w:tcPr>
            <w:tcW w:w="425" w:type="dxa"/>
            <w:tcBorders>
              <w:top w:val="single" w:sz="6" w:space="0" w:color="D9D9D9"/>
              <w:bottom w:val="single" w:sz="6" w:space="0" w:color="D9D9D9"/>
            </w:tcBorders>
          </w:tcPr>
          <w:p>
            <w:pPr/>
          </w:p>
        </w:tc>
        <w:tc>
          <w:tcPr>
            <w:tcW w:w="389" w:type="dxa"/>
            <w:vMerge/>
            <w:shd w:val="clear" w:color="auto" w:fill="E36C09"/>
          </w:tcPr>
          <w:p>
            <w:pPr/>
          </w:p>
        </w:tc>
        <w:tc>
          <w:tcPr>
            <w:tcW w:w="5383" w:type="dxa"/>
            <w:gridSpan w:val="5"/>
            <w:tcBorders>
              <w:top w:val="single" w:sz="6" w:space="0" w:color="D9D9D9"/>
              <w:bottom w:val="single" w:sz="6" w:space="0" w:color="D9D9D9"/>
            </w:tcBorders>
          </w:tcPr>
          <w:p>
            <w:pPr/>
          </w:p>
        </w:tc>
      </w:tr>
      <w:tr>
        <w:trPr>
          <w:trHeight w:val="413" w:hRule="exact"/>
        </w:trPr>
        <w:tc>
          <w:tcPr>
            <w:tcW w:w="425" w:type="dxa"/>
            <w:tcBorders>
              <w:top w:val="single" w:sz="6" w:space="0" w:color="D9D9D9"/>
              <w:bottom w:val="single" w:sz="6" w:space="0" w:color="D9D9D9"/>
            </w:tcBorders>
          </w:tcPr>
          <w:p>
            <w:pPr/>
          </w:p>
        </w:tc>
        <w:tc>
          <w:tcPr>
            <w:tcW w:w="389" w:type="dxa"/>
            <w:vMerge/>
            <w:shd w:val="clear" w:color="auto" w:fill="E36C09"/>
          </w:tcPr>
          <w:p>
            <w:pPr/>
          </w:p>
        </w:tc>
        <w:tc>
          <w:tcPr>
            <w:tcW w:w="5383" w:type="dxa"/>
            <w:gridSpan w:val="5"/>
            <w:tcBorders>
              <w:top w:val="single" w:sz="6" w:space="0" w:color="D9D9D9"/>
              <w:bottom w:val="single" w:sz="6" w:space="0" w:color="D9D9D9"/>
            </w:tcBorders>
          </w:tcPr>
          <w:p>
            <w:pPr/>
          </w:p>
        </w:tc>
      </w:tr>
      <w:tr>
        <w:trPr>
          <w:trHeight w:val="408" w:hRule="exact"/>
        </w:trPr>
        <w:tc>
          <w:tcPr>
            <w:tcW w:w="425" w:type="dxa"/>
            <w:tcBorders>
              <w:top w:val="single" w:sz="6" w:space="0" w:color="D9D9D9"/>
              <w:bottom w:val="single" w:sz="6" w:space="0" w:color="D9D9D9"/>
            </w:tcBorders>
          </w:tcPr>
          <w:p>
            <w:pPr/>
          </w:p>
        </w:tc>
        <w:tc>
          <w:tcPr>
            <w:tcW w:w="389" w:type="dxa"/>
            <w:vMerge/>
            <w:shd w:val="clear" w:color="auto" w:fill="E36C09"/>
          </w:tcPr>
          <w:p>
            <w:pPr/>
          </w:p>
        </w:tc>
        <w:tc>
          <w:tcPr>
            <w:tcW w:w="5383" w:type="dxa"/>
            <w:gridSpan w:val="5"/>
            <w:tcBorders>
              <w:top w:val="single" w:sz="6" w:space="0" w:color="D9D9D9"/>
              <w:bottom w:val="single" w:sz="6" w:space="0" w:color="D9D9D9"/>
            </w:tcBorders>
          </w:tcPr>
          <w:p>
            <w:pPr>
              <w:pStyle w:val="TableParagraph"/>
              <w:spacing w:before="71"/>
              <w:ind w:left="944"/>
              <w:rPr>
                <w:rFonts w:ascii="Calibri"/>
                <w:sz w:val="20"/>
              </w:rPr>
            </w:pPr>
            <w:r>
              <w:rPr>
                <w:rFonts w:ascii="Calibri"/>
                <w:sz w:val="20"/>
              </w:rPr>
              <w:t>20</w:t>
            </w:r>
          </w:p>
        </w:tc>
      </w:tr>
      <w:tr>
        <w:trPr>
          <w:trHeight w:val="413" w:hRule="exact"/>
        </w:trPr>
        <w:tc>
          <w:tcPr>
            <w:tcW w:w="425" w:type="dxa"/>
            <w:tcBorders>
              <w:top w:val="single" w:sz="6" w:space="0" w:color="D9D9D9"/>
              <w:bottom w:val="single" w:sz="6" w:space="0" w:color="D9D9D9"/>
            </w:tcBorders>
          </w:tcPr>
          <w:p>
            <w:pPr/>
          </w:p>
        </w:tc>
        <w:tc>
          <w:tcPr>
            <w:tcW w:w="389" w:type="dxa"/>
            <w:vMerge/>
            <w:shd w:val="clear" w:color="auto" w:fill="E36C09"/>
          </w:tcPr>
          <w:p>
            <w:pPr/>
          </w:p>
        </w:tc>
        <w:tc>
          <w:tcPr>
            <w:tcW w:w="850" w:type="dxa"/>
            <w:tcBorders>
              <w:top w:val="single" w:sz="6" w:space="0" w:color="D9D9D9"/>
              <w:bottom w:val="single" w:sz="6" w:space="0" w:color="D9D9D9"/>
            </w:tcBorders>
          </w:tcPr>
          <w:p>
            <w:pPr/>
          </w:p>
        </w:tc>
        <w:tc>
          <w:tcPr>
            <w:tcW w:w="389" w:type="dxa"/>
            <w:vMerge w:val="restart"/>
            <w:tcBorders>
              <w:top w:val="single" w:sz="6" w:space="0" w:color="D9D9D9"/>
            </w:tcBorders>
            <w:shd w:val="clear" w:color="auto" w:fill="E36C09"/>
          </w:tcPr>
          <w:p>
            <w:pPr/>
          </w:p>
        </w:tc>
        <w:tc>
          <w:tcPr>
            <w:tcW w:w="4145" w:type="dxa"/>
            <w:gridSpan w:val="3"/>
            <w:tcBorders>
              <w:top w:val="single" w:sz="6" w:space="0" w:color="D9D9D9"/>
              <w:bottom w:val="single" w:sz="6" w:space="0" w:color="D9D9D9"/>
            </w:tcBorders>
          </w:tcPr>
          <w:p>
            <w:pPr>
              <w:pStyle w:val="TableParagraph"/>
              <w:spacing w:before="74"/>
              <w:ind w:right="513"/>
              <w:jc w:val="right"/>
              <w:rPr>
                <w:rFonts w:ascii="Calibri"/>
                <w:sz w:val="20"/>
              </w:rPr>
            </w:pPr>
            <w:r>
              <w:rPr>
                <w:rFonts w:ascii="Calibri"/>
                <w:sz w:val="20"/>
              </w:rPr>
              <w:t>10</w:t>
            </w:r>
          </w:p>
        </w:tc>
      </w:tr>
      <w:tr>
        <w:trPr>
          <w:trHeight w:val="408" w:hRule="exact"/>
        </w:trPr>
        <w:tc>
          <w:tcPr>
            <w:tcW w:w="425" w:type="dxa"/>
            <w:tcBorders>
              <w:top w:val="single" w:sz="6" w:space="0" w:color="D9D9D9"/>
              <w:bottom w:val="single" w:sz="6" w:space="0" w:color="D9D9D9"/>
            </w:tcBorders>
          </w:tcPr>
          <w:p>
            <w:pPr/>
          </w:p>
        </w:tc>
        <w:tc>
          <w:tcPr>
            <w:tcW w:w="389" w:type="dxa"/>
            <w:vMerge/>
            <w:tcBorders>
              <w:bottom w:val="single" w:sz="6" w:space="0" w:color="D9D9D9"/>
            </w:tcBorders>
            <w:shd w:val="clear" w:color="auto" w:fill="E36C09"/>
          </w:tcPr>
          <w:p>
            <w:pPr/>
          </w:p>
        </w:tc>
        <w:tc>
          <w:tcPr>
            <w:tcW w:w="850" w:type="dxa"/>
            <w:tcBorders>
              <w:top w:val="single" w:sz="6" w:space="0" w:color="D9D9D9"/>
              <w:bottom w:val="single" w:sz="6" w:space="0" w:color="D9D9D9"/>
            </w:tcBorders>
          </w:tcPr>
          <w:p>
            <w:pPr/>
          </w:p>
        </w:tc>
        <w:tc>
          <w:tcPr>
            <w:tcW w:w="389" w:type="dxa"/>
            <w:vMerge/>
            <w:tcBorders>
              <w:bottom w:val="single" w:sz="6" w:space="0" w:color="D9D9D9"/>
            </w:tcBorders>
            <w:shd w:val="clear" w:color="auto" w:fill="E36C09"/>
          </w:tcPr>
          <w:p>
            <w:pPr/>
          </w:p>
        </w:tc>
        <w:tc>
          <w:tcPr>
            <w:tcW w:w="3331" w:type="dxa"/>
            <w:tcBorders>
              <w:top w:val="single" w:sz="6" w:space="0" w:color="D9D9D9"/>
              <w:bottom w:val="single" w:sz="6" w:space="0" w:color="D9D9D9"/>
            </w:tcBorders>
          </w:tcPr>
          <w:p>
            <w:pPr>
              <w:pStyle w:val="TableParagraph"/>
              <w:tabs>
                <w:tab w:pos="2240" w:val="left" w:leader="none"/>
              </w:tabs>
              <w:spacing w:line="110" w:lineRule="exact"/>
              <w:ind w:left="999"/>
              <w:rPr>
                <w:rFonts w:ascii="Calibri"/>
                <w:sz w:val="20"/>
              </w:rPr>
            </w:pPr>
            <w:r>
              <w:rPr>
                <w:rFonts w:ascii="Calibri"/>
                <w:sz w:val="20"/>
              </w:rPr>
              <w:t>5</w:t>
              <w:tab/>
              <w:t>5</w:t>
            </w:r>
          </w:p>
        </w:tc>
        <w:tc>
          <w:tcPr>
            <w:tcW w:w="389" w:type="dxa"/>
            <w:tcBorders>
              <w:top w:val="single" w:sz="6" w:space="0" w:color="D9D9D9"/>
              <w:bottom w:val="single" w:sz="6" w:space="0" w:color="D9D9D9"/>
            </w:tcBorders>
            <w:shd w:val="clear" w:color="auto" w:fill="E36C09"/>
          </w:tcPr>
          <w:p>
            <w:pPr/>
          </w:p>
        </w:tc>
        <w:tc>
          <w:tcPr>
            <w:tcW w:w="425" w:type="dxa"/>
            <w:tcBorders>
              <w:top w:val="single" w:sz="6" w:space="0" w:color="D9D9D9"/>
              <w:bottom w:val="single" w:sz="6" w:space="0" w:color="D9D9D9"/>
            </w:tcBorders>
          </w:tcPr>
          <w:p>
            <w:pPr/>
          </w:p>
        </w:tc>
      </w:tr>
    </w:tbl>
    <w:p>
      <w:pPr>
        <w:pStyle w:val="BodyText"/>
        <w:rPr>
          <w:sz w:val="22"/>
        </w:rPr>
      </w:pPr>
    </w:p>
    <w:p>
      <w:pPr>
        <w:pStyle w:val="BodyText"/>
        <w:spacing w:before="6"/>
        <w:rPr>
          <w:sz w:val="29"/>
        </w:rPr>
      </w:pPr>
    </w:p>
    <w:p>
      <w:pPr>
        <w:spacing w:before="1"/>
        <w:ind w:left="119" w:right="0" w:firstLine="0"/>
        <w:jc w:val="both"/>
        <w:rPr>
          <w:sz w:val="24"/>
        </w:rPr>
      </w:pPr>
      <w:r>
        <w:rPr>
          <w:sz w:val="20"/>
        </w:rPr>
        <w:t>Fuente: Mendoza Baruch, sobre la base de encuestas, 2013</w:t>
      </w:r>
      <w:r>
        <w:rPr>
          <w:sz w:val="24"/>
        </w:rPr>
        <w:t>.</w:t>
      </w:r>
    </w:p>
    <w:p>
      <w:pPr>
        <w:pStyle w:val="BodyText"/>
      </w:pPr>
    </w:p>
    <w:p>
      <w:pPr>
        <w:pStyle w:val="BodyText"/>
        <w:spacing w:before="2"/>
      </w:pPr>
    </w:p>
    <w:p>
      <w:pPr>
        <w:pStyle w:val="BodyText"/>
        <w:spacing w:line="360" w:lineRule="auto" w:before="1"/>
        <w:ind w:left="119" w:right="125"/>
        <w:jc w:val="both"/>
      </w:pPr>
      <w:r>
        <w:rPr/>
        <w:t>En la gráfica se observa que el 80%% de los encuestados clasificó a su vivienda con un riesgo de vulnerabilidad alta y medio-alta, debido a que según su opinión personal, han sufrido afectaciones a su vivienda y en sus actividades laborales en diferentes ocasiones y porque el municipio no les ha proporcionado la ayuda necesaria en esos momentos; cuando se ha hecho presente la ayuda ha sido escasa y tardía.</w:t>
      </w:r>
    </w:p>
    <w:p>
      <w:pPr>
        <w:pStyle w:val="BodyText"/>
        <w:spacing w:before="8"/>
        <w:rPr>
          <w:sz w:val="20"/>
        </w:rPr>
      </w:pPr>
    </w:p>
    <w:p>
      <w:pPr>
        <w:pStyle w:val="ListParagraph"/>
        <w:numPr>
          <w:ilvl w:val="1"/>
          <w:numId w:val="22"/>
        </w:numPr>
        <w:tabs>
          <w:tab w:pos="1301" w:val="left" w:leader="none"/>
        </w:tabs>
        <w:spacing w:line="240" w:lineRule="auto" w:before="0" w:after="0"/>
        <w:ind w:left="1301" w:right="0" w:hanging="471"/>
        <w:jc w:val="left"/>
        <w:rPr>
          <w:b/>
          <w:i/>
          <w:sz w:val="24"/>
        </w:rPr>
      </w:pPr>
      <w:r>
        <w:rPr>
          <w:b/>
          <w:i/>
          <w:sz w:val="24"/>
        </w:rPr>
        <w:t>Marco</w:t>
      </w:r>
      <w:r>
        <w:rPr>
          <w:b/>
          <w:i/>
          <w:spacing w:val="-10"/>
          <w:sz w:val="24"/>
        </w:rPr>
        <w:t> </w:t>
      </w:r>
      <w:r>
        <w:rPr>
          <w:b/>
          <w:i/>
          <w:sz w:val="24"/>
        </w:rPr>
        <w:t>jurídico</w:t>
      </w:r>
    </w:p>
    <w:p>
      <w:pPr>
        <w:pStyle w:val="BodyText"/>
        <w:rPr>
          <w:b/>
          <w:i/>
        </w:rPr>
      </w:pPr>
    </w:p>
    <w:p>
      <w:pPr>
        <w:pStyle w:val="BodyText"/>
        <w:spacing w:before="10"/>
        <w:rPr>
          <w:b/>
          <w:i/>
          <w:sz w:val="25"/>
        </w:rPr>
      </w:pPr>
    </w:p>
    <w:p>
      <w:pPr>
        <w:pStyle w:val="BodyText"/>
        <w:spacing w:line="360" w:lineRule="auto"/>
        <w:ind w:left="119" w:right="115"/>
        <w:jc w:val="both"/>
      </w:pPr>
      <w:r>
        <w:rPr/>
        <w:t>La proliferación de asentamientos humanos irregulares es un fenómeno existente en todos los países de América Latina y en México no es la excepción. Algunas de causas del incremento de estos es por qué un gran número de población no tiene acceso a programas de vivienda debido a su situación económica y por el incremento de la venta irregular de terrenos ejidales a partir de la modificación  del</w:t>
      </w:r>
    </w:p>
    <w:p>
      <w:pPr>
        <w:spacing w:after="0" w:line="360" w:lineRule="auto"/>
        <w:jc w:val="both"/>
        <w:sectPr>
          <w:pgSz w:w="12240" w:h="15840"/>
          <w:pgMar w:header="0" w:footer="1031" w:top="1360" w:bottom="1220" w:left="1580" w:right="1580"/>
        </w:sectPr>
      </w:pPr>
    </w:p>
    <w:p>
      <w:pPr>
        <w:pStyle w:val="BodyText"/>
        <w:spacing w:line="360" w:lineRule="auto" w:before="52"/>
        <w:ind w:left="119" w:right="127"/>
        <w:jc w:val="both"/>
      </w:pPr>
      <w:r>
        <w:rPr/>
        <w:t>artículo 27 constitucional en 1992 y las modificaciones a la ley Agraria, las cuales abrieron las puertas a nuevas posibilidades para la incorporación legal de tierra ejidal al desarrollo urbano. La a ocupación en los asentamientos irregulares se da por un proceso de invasión, en algunos casos son grupos que están respaldados por algún partido político, por la venta ilegal directa o con intermediarios en la mayoría de los casos o por la herencia-ocupación, conocida como el desdoblamiento de familias.</w:t>
      </w:r>
    </w:p>
    <w:p>
      <w:pPr>
        <w:pStyle w:val="BodyText"/>
      </w:pPr>
    </w:p>
    <w:p>
      <w:pPr>
        <w:pStyle w:val="BodyText"/>
        <w:spacing w:before="139"/>
        <w:ind w:left="119"/>
        <w:jc w:val="both"/>
      </w:pPr>
      <w:r>
        <w:rPr/>
        <w:t>En  este  sentido la Constitución  Política de los Estados Unidos Mexicanos     (GR</w:t>
      </w:r>
    </w:p>
    <w:p>
      <w:pPr>
        <w:pStyle w:val="BodyText"/>
        <w:spacing w:line="360" w:lineRule="auto" w:before="142"/>
        <w:ind w:left="119" w:right="117"/>
        <w:jc w:val="both"/>
      </w:pPr>
      <w:r>
        <w:rPr/>
        <w:t>,2008), es el principal instrumento que legisla al sector público, privado y social en el</w:t>
      </w:r>
      <w:r>
        <w:rPr>
          <w:spacing w:val="-18"/>
        </w:rPr>
        <w:t> </w:t>
      </w:r>
      <w:r>
        <w:rPr/>
        <w:t>desarrollo</w:t>
      </w:r>
      <w:r>
        <w:rPr>
          <w:spacing w:val="-17"/>
        </w:rPr>
        <w:t> </w:t>
      </w:r>
      <w:r>
        <w:rPr/>
        <w:t>de</w:t>
      </w:r>
      <w:r>
        <w:rPr>
          <w:spacing w:val="-25"/>
        </w:rPr>
        <w:t> </w:t>
      </w:r>
      <w:r>
        <w:rPr/>
        <w:t>la</w:t>
      </w:r>
      <w:r>
        <w:rPr>
          <w:spacing w:val="-17"/>
        </w:rPr>
        <w:t> </w:t>
      </w:r>
      <w:r>
        <w:rPr/>
        <w:t>vivienda</w:t>
      </w:r>
      <w:r>
        <w:rPr>
          <w:spacing w:val="-17"/>
        </w:rPr>
        <w:t> </w:t>
      </w:r>
      <w:r>
        <w:rPr/>
        <w:t>en</w:t>
      </w:r>
      <w:r>
        <w:rPr>
          <w:spacing w:val="-17"/>
        </w:rPr>
        <w:t> </w:t>
      </w:r>
      <w:r>
        <w:rPr/>
        <w:t>México,</w:t>
      </w:r>
      <w:r>
        <w:rPr>
          <w:spacing w:val="-17"/>
        </w:rPr>
        <w:t> </w:t>
      </w:r>
      <w:r>
        <w:rPr/>
        <w:t>cuyo</w:t>
      </w:r>
      <w:r>
        <w:rPr>
          <w:spacing w:val="-17"/>
        </w:rPr>
        <w:t> </w:t>
      </w:r>
      <w:r>
        <w:rPr/>
        <w:t>objetivo</w:t>
      </w:r>
      <w:r>
        <w:rPr>
          <w:spacing w:val="-20"/>
        </w:rPr>
        <w:t> </w:t>
      </w:r>
      <w:r>
        <w:rPr/>
        <w:t>es</w:t>
      </w:r>
      <w:r>
        <w:rPr>
          <w:spacing w:val="-17"/>
        </w:rPr>
        <w:t> </w:t>
      </w:r>
      <w:r>
        <w:rPr/>
        <w:t>asegurar</w:t>
      </w:r>
      <w:r>
        <w:rPr>
          <w:spacing w:val="-16"/>
        </w:rPr>
        <w:t> </w:t>
      </w:r>
      <w:r>
        <w:rPr/>
        <w:t>para</w:t>
      </w:r>
      <w:r>
        <w:rPr>
          <w:spacing w:val="-17"/>
        </w:rPr>
        <w:t> </w:t>
      </w:r>
      <w:r>
        <w:rPr/>
        <w:t>sus</w:t>
      </w:r>
      <w:r>
        <w:rPr>
          <w:spacing w:val="-21"/>
        </w:rPr>
        <w:t> </w:t>
      </w:r>
      <w:r>
        <w:rPr/>
        <w:t>habitantes los</w:t>
      </w:r>
      <w:r>
        <w:rPr>
          <w:spacing w:val="-7"/>
        </w:rPr>
        <w:t> </w:t>
      </w:r>
      <w:r>
        <w:rPr/>
        <w:t>medios</w:t>
      </w:r>
      <w:r>
        <w:rPr>
          <w:spacing w:val="-12"/>
        </w:rPr>
        <w:t> </w:t>
      </w:r>
      <w:r>
        <w:rPr/>
        <w:t>necesarios</w:t>
      </w:r>
      <w:r>
        <w:rPr>
          <w:spacing w:val="-12"/>
        </w:rPr>
        <w:t> </w:t>
      </w:r>
      <w:r>
        <w:rPr/>
        <w:t>para</w:t>
      </w:r>
      <w:r>
        <w:rPr>
          <w:spacing w:val="-11"/>
        </w:rPr>
        <w:t> </w:t>
      </w:r>
      <w:r>
        <w:rPr/>
        <w:t>satisfacer</w:t>
      </w:r>
      <w:r>
        <w:rPr>
          <w:spacing w:val="-5"/>
        </w:rPr>
        <w:t> </w:t>
      </w:r>
      <w:r>
        <w:rPr/>
        <w:t>sus</w:t>
      </w:r>
      <w:r>
        <w:rPr>
          <w:spacing w:val="-12"/>
        </w:rPr>
        <w:t> </w:t>
      </w:r>
      <w:r>
        <w:rPr/>
        <w:t>necesidades</w:t>
      </w:r>
      <w:r>
        <w:rPr>
          <w:spacing w:val="1"/>
        </w:rPr>
        <w:t> </w:t>
      </w:r>
      <w:r>
        <w:rPr/>
        <w:t>y</w:t>
      </w:r>
      <w:r>
        <w:rPr>
          <w:spacing w:val="-12"/>
        </w:rPr>
        <w:t> </w:t>
      </w:r>
      <w:r>
        <w:rPr/>
        <w:t>con</w:t>
      </w:r>
      <w:r>
        <w:rPr>
          <w:spacing w:val="-11"/>
        </w:rPr>
        <w:t> </w:t>
      </w:r>
      <w:r>
        <w:rPr/>
        <w:t>ello</w:t>
      </w:r>
      <w:r>
        <w:rPr>
          <w:spacing w:val="-6"/>
        </w:rPr>
        <w:t> </w:t>
      </w:r>
      <w:r>
        <w:rPr/>
        <w:t>alcanzar</w:t>
      </w:r>
      <w:r>
        <w:rPr>
          <w:spacing w:val="-10"/>
        </w:rPr>
        <w:t> </w:t>
      </w:r>
      <w:r>
        <w:rPr/>
        <w:t>un</w:t>
      </w:r>
      <w:r>
        <w:rPr>
          <w:spacing w:val="-6"/>
        </w:rPr>
        <w:t> </w:t>
      </w:r>
      <w:r>
        <w:rPr/>
        <w:t>pleno desarrollo.</w:t>
      </w:r>
      <w:r>
        <w:rPr>
          <w:spacing w:val="-7"/>
        </w:rPr>
        <w:t> </w:t>
      </w:r>
      <w:r>
        <w:rPr/>
        <w:t>Así,</w:t>
      </w:r>
      <w:r>
        <w:rPr>
          <w:spacing w:val="-7"/>
        </w:rPr>
        <w:t> </w:t>
      </w:r>
      <w:r>
        <w:rPr/>
        <w:t>el</w:t>
      </w:r>
      <w:r>
        <w:rPr>
          <w:spacing w:val="-4"/>
        </w:rPr>
        <w:t> </w:t>
      </w:r>
      <w:r>
        <w:rPr/>
        <w:t>artículo</w:t>
      </w:r>
      <w:r>
        <w:rPr>
          <w:spacing w:val="-7"/>
        </w:rPr>
        <w:t> </w:t>
      </w:r>
      <w:r>
        <w:rPr/>
        <w:t>4</w:t>
      </w:r>
      <w:r>
        <w:rPr>
          <w:spacing w:val="-7"/>
        </w:rPr>
        <w:t> </w:t>
      </w:r>
      <w:r>
        <w:rPr/>
        <w:t>establece</w:t>
      </w:r>
      <w:r>
        <w:rPr>
          <w:spacing w:val="-7"/>
        </w:rPr>
        <w:t> </w:t>
      </w:r>
      <w:r>
        <w:rPr/>
        <w:t>el</w:t>
      </w:r>
      <w:r>
        <w:rPr>
          <w:spacing w:val="-4"/>
        </w:rPr>
        <w:t> </w:t>
      </w:r>
      <w:r>
        <w:rPr/>
        <w:t>derecho</w:t>
      </w:r>
      <w:r>
        <w:rPr>
          <w:spacing w:val="-7"/>
        </w:rPr>
        <w:t> </w:t>
      </w:r>
      <w:r>
        <w:rPr/>
        <w:t>de</w:t>
      </w:r>
      <w:r>
        <w:rPr>
          <w:spacing w:val="-7"/>
        </w:rPr>
        <w:t> </w:t>
      </w:r>
      <w:r>
        <w:rPr/>
        <w:t>los</w:t>
      </w:r>
      <w:r>
        <w:rPr>
          <w:spacing w:val="-7"/>
        </w:rPr>
        <w:t> </w:t>
      </w:r>
      <w:r>
        <w:rPr/>
        <w:t>habitantes</w:t>
      </w:r>
      <w:r>
        <w:rPr>
          <w:spacing w:val="-8"/>
        </w:rPr>
        <w:t> </w:t>
      </w:r>
      <w:r>
        <w:rPr/>
        <w:t>para</w:t>
      </w:r>
      <w:r>
        <w:rPr>
          <w:spacing w:val="-7"/>
        </w:rPr>
        <w:t> </w:t>
      </w:r>
      <w:r>
        <w:rPr/>
        <w:t>disfrutar</w:t>
      </w:r>
      <w:r>
        <w:rPr>
          <w:spacing w:val="-6"/>
        </w:rPr>
        <w:t> </w:t>
      </w:r>
      <w:r>
        <w:rPr/>
        <w:t>de une</w:t>
      </w:r>
      <w:r>
        <w:rPr>
          <w:spacing w:val="-3"/>
        </w:rPr>
        <w:t> </w:t>
      </w:r>
      <w:r>
        <w:rPr/>
        <w:t>vivienda</w:t>
      </w:r>
      <w:r>
        <w:rPr>
          <w:spacing w:val="-3"/>
        </w:rPr>
        <w:t> </w:t>
      </w:r>
      <w:r>
        <w:rPr/>
        <w:t>digna</w:t>
      </w:r>
      <w:r>
        <w:rPr>
          <w:spacing w:val="-3"/>
        </w:rPr>
        <w:t> </w:t>
      </w:r>
      <w:r>
        <w:rPr/>
        <w:t>y</w:t>
      </w:r>
      <w:r>
        <w:rPr>
          <w:spacing w:val="-7"/>
        </w:rPr>
        <w:t> </w:t>
      </w:r>
      <w:r>
        <w:rPr/>
        <w:t>decorosa;</w:t>
      </w:r>
      <w:r>
        <w:rPr>
          <w:spacing w:val="-7"/>
        </w:rPr>
        <w:t> </w:t>
      </w:r>
      <w:r>
        <w:rPr/>
        <w:t>por</w:t>
      </w:r>
      <w:r>
        <w:rPr>
          <w:spacing w:val="-6"/>
        </w:rPr>
        <w:t> </w:t>
      </w:r>
      <w:r>
        <w:rPr/>
        <w:t>su</w:t>
      </w:r>
      <w:r>
        <w:rPr>
          <w:spacing w:val="-6"/>
        </w:rPr>
        <w:t> </w:t>
      </w:r>
      <w:r>
        <w:rPr/>
        <w:t>parte,</w:t>
      </w:r>
      <w:r>
        <w:rPr>
          <w:spacing w:val="-3"/>
        </w:rPr>
        <w:t> </w:t>
      </w:r>
      <w:r>
        <w:rPr/>
        <w:t>el</w:t>
      </w:r>
      <w:r>
        <w:rPr>
          <w:spacing w:val="-4"/>
        </w:rPr>
        <w:t> </w:t>
      </w:r>
      <w:r>
        <w:rPr/>
        <w:t>artículo</w:t>
      </w:r>
      <w:r>
        <w:rPr>
          <w:spacing w:val="-6"/>
        </w:rPr>
        <w:t> </w:t>
      </w:r>
      <w:r>
        <w:rPr/>
        <w:t>123,</w:t>
      </w:r>
      <w:r>
        <w:rPr>
          <w:spacing w:val="-3"/>
        </w:rPr>
        <w:t> </w:t>
      </w:r>
      <w:r>
        <w:rPr/>
        <w:t>establece</w:t>
      </w:r>
      <w:r>
        <w:rPr>
          <w:spacing w:val="-6"/>
        </w:rPr>
        <w:t> </w:t>
      </w:r>
      <w:r>
        <w:rPr/>
        <w:t>la</w:t>
      </w:r>
      <w:r>
        <w:rPr>
          <w:spacing w:val="-3"/>
        </w:rPr>
        <w:t> </w:t>
      </w:r>
      <w:r>
        <w:rPr/>
        <w:t>obligación a los patrones para dotar de vivienda a sus trabajadores; además, el artículo 26 resalta la importancia de implementar un sistema de planeación democrática, que contribuya al desarrollo de la vivienda, así </w:t>
      </w:r>
      <w:r>
        <w:rPr>
          <w:spacing w:val="-4"/>
        </w:rPr>
        <w:t>como </w:t>
      </w:r>
      <w:r>
        <w:rPr/>
        <w:t>la participación de los diferentes grupos</w:t>
      </w:r>
      <w:r>
        <w:rPr>
          <w:spacing w:val="-16"/>
        </w:rPr>
        <w:t> </w:t>
      </w:r>
      <w:r>
        <w:rPr/>
        <w:t>sociales,</w:t>
      </w:r>
      <w:r>
        <w:rPr>
          <w:spacing w:val="-19"/>
        </w:rPr>
        <w:t> </w:t>
      </w:r>
      <w:r>
        <w:rPr/>
        <w:t>los</w:t>
      </w:r>
      <w:r>
        <w:rPr>
          <w:spacing w:val="-16"/>
        </w:rPr>
        <w:t> </w:t>
      </w:r>
      <w:r>
        <w:rPr/>
        <w:t>cuales</w:t>
      </w:r>
      <w:r>
        <w:rPr>
          <w:spacing w:val="-20"/>
        </w:rPr>
        <w:t> </w:t>
      </w:r>
      <w:r>
        <w:rPr/>
        <w:t>deben</w:t>
      </w:r>
      <w:r>
        <w:rPr>
          <w:spacing w:val="-19"/>
        </w:rPr>
        <w:t> </w:t>
      </w:r>
      <w:r>
        <w:rPr/>
        <w:t>expresar</w:t>
      </w:r>
      <w:r>
        <w:rPr>
          <w:spacing w:val="-15"/>
        </w:rPr>
        <w:t> </w:t>
      </w:r>
      <w:r>
        <w:rPr/>
        <w:t>sus</w:t>
      </w:r>
      <w:r>
        <w:rPr>
          <w:spacing w:val="-16"/>
        </w:rPr>
        <w:t> </w:t>
      </w:r>
      <w:r>
        <w:rPr/>
        <w:t>necesidades</w:t>
      </w:r>
      <w:r>
        <w:rPr>
          <w:spacing w:val="-20"/>
        </w:rPr>
        <w:t> </w:t>
      </w:r>
      <w:r>
        <w:rPr/>
        <w:t>para</w:t>
      </w:r>
      <w:r>
        <w:rPr>
          <w:spacing w:val="-19"/>
        </w:rPr>
        <w:t> </w:t>
      </w:r>
      <w:r>
        <w:rPr/>
        <w:t>que</w:t>
      </w:r>
      <w:r>
        <w:rPr>
          <w:spacing w:val="-16"/>
        </w:rPr>
        <w:t> </w:t>
      </w:r>
      <w:r>
        <w:rPr/>
        <w:t>se</w:t>
      </w:r>
      <w:r>
        <w:rPr>
          <w:spacing w:val="-19"/>
        </w:rPr>
        <w:t> </w:t>
      </w:r>
      <w:r>
        <w:rPr/>
        <w:t>incorporen en los diferentes planes de desarrollo. En cuanto al artículo 27, en este se busca que</w:t>
      </w:r>
      <w:r>
        <w:rPr>
          <w:spacing w:val="-11"/>
        </w:rPr>
        <w:t> </w:t>
      </w:r>
      <w:r>
        <w:rPr/>
        <w:t>el</w:t>
      </w:r>
      <w:r>
        <w:rPr>
          <w:spacing w:val="-7"/>
        </w:rPr>
        <w:t> </w:t>
      </w:r>
      <w:r>
        <w:rPr/>
        <w:t>suelo</w:t>
      </w:r>
      <w:r>
        <w:rPr>
          <w:spacing w:val="-11"/>
        </w:rPr>
        <w:t> </w:t>
      </w:r>
      <w:r>
        <w:rPr/>
        <w:t>se</w:t>
      </w:r>
      <w:r>
        <w:rPr>
          <w:spacing w:val="-11"/>
        </w:rPr>
        <w:t> </w:t>
      </w:r>
      <w:r>
        <w:rPr/>
        <w:t>distribuya</w:t>
      </w:r>
      <w:r>
        <w:rPr>
          <w:spacing w:val="-11"/>
        </w:rPr>
        <w:t> </w:t>
      </w:r>
      <w:r>
        <w:rPr/>
        <w:t>imparcialmente</w:t>
      </w:r>
      <w:r>
        <w:rPr>
          <w:spacing w:val="-10"/>
        </w:rPr>
        <w:t> </w:t>
      </w:r>
      <w:r>
        <w:rPr/>
        <w:t>y</w:t>
      </w:r>
      <w:r>
        <w:rPr>
          <w:spacing w:val="-12"/>
        </w:rPr>
        <w:t> </w:t>
      </w:r>
      <w:r>
        <w:rPr/>
        <w:t>se</w:t>
      </w:r>
      <w:r>
        <w:rPr>
          <w:spacing w:val="-11"/>
        </w:rPr>
        <w:t> </w:t>
      </w:r>
      <w:r>
        <w:rPr/>
        <w:t>logre</w:t>
      </w:r>
      <w:r>
        <w:rPr>
          <w:spacing w:val="-11"/>
        </w:rPr>
        <w:t> </w:t>
      </w:r>
      <w:r>
        <w:rPr/>
        <w:t>el</w:t>
      </w:r>
      <w:r>
        <w:rPr>
          <w:spacing w:val="-7"/>
        </w:rPr>
        <w:t> </w:t>
      </w:r>
      <w:r>
        <w:rPr/>
        <w:t>desarrollo</w:t>
      </w:r>
      <w:r>
        <w:rPr>
          <w:spacing w:val="45"/>
        </w:rPr>
        <w:t> </w:t>
      </w:r>
      <w:r>
        <w:rPr/>
        <w:t>equitativo</w:t>
      </w:r>
      <w:r>
        <w:rPr>
          <w:spacing w:val="-11"/>
        </w:rPr>
        <w:t> </w:t>
      </w:r>
      <w:r>
        <w:rPr/>
        <w:t>del</w:t>
      </w:r>
      <w:r>
        <w:rPr>
          <w:spacing w:val="-7"/>
        </w:rPr>
        <w:t> </w:t>
      </w:r>
      <w:r>
        <w:rPr/>
        <w:t>país mejorando las condiciones de la población rural y</w:t>
      </w:r>
      <w:r>
        <w:rPr>
          <w:spacing w:val="-25"/>
        </w:rPr>
        <w:t> </w:t>
      </w:r>
      <w:r>
        <w:rPr/>
        <w:t>urbana.</w:t>
      </w:r>
    </w:p>
    <w:p>
      <w:pPr>
        <w:pStyle w:val="BodyText"/>
      </w:pPr>
    </w:p>
    <w:p>
      <w:pPr>
        <w:pStyle w:val="BodyText"/>
        <w:spacing w:line="360" w:lineRule="auto" w:before="144"/>
        <w:ind w:left="119" w:right="116"/>
        <w:jc w:val="both"/>
      </w:pPr>
      <w:r>
        <w:rPr/>
        <w:t>De manera particular, el artículo 115 establece las facultades y atribuciones a los ayuntamientos en materia de suelo y vivienda, donde se decreta que poseerán facilidades para aprobar la zonificación y diversos planes de desarrollo municipal y la aplicación de programas de ordenamiento territorial. De esta manera los municipios en términos de la legislación, tanto federal como estatal, estarán facultados para formular, aprobar y administrar los planes de desarrollo urbano municipal, los cuales permitirán controlar y vigilar la utilización del suelo en sus jurisdicciones</w:t>
      </w:r>
      <w:r>
        <w:rPr>
          <w:spacing w:val="-17"/>
        </w:rPr>
        <w:t> </w:t>
      </w:r>
      <w:r>
        <w:rPr/>
        <w:t>territoriales</w:t>
      </w:r>
      <w:r>
        <w:rPr>
          <w:spacing w:val="-17"/>
        </w:rPr>
        <w:t> </w:t>
      </w:r>
      <w:r>
        <w:rPr/>
        <w:t>de</w:t>
      </w:r>
      <w:r>
        <w:rPr>
          <w:spacing w:val="-17"/>
        </w:rPr>
        <w:t> </w:t>
      </w:r>
      <w:r>
        <w:rPr/>
        <w:t>tal</w:t>
      </w:r>
      <w:r>
        <w:rPr>
          <w:spacing w:val="-14"/>
        </w:rPr>
        <w:t> </w:t>
      </w:r>
      <w:r>
        <w:rPr/>
        <w:t>forma</w:t>
      </w:r>
      <w:r>
        <w:rPr>
          <w:spacing w:val="-17"/>
        </w:rPr>
        <w:t> </w:t>
      </w:r>
      <w:r>
        <w:rPr/>
        <w:t>que</w:t>
      </w:r>
      <w:r>
        <w:rPr>
          <w:spacing w:val="-17"/>
        </w:rPr>
        <w:t> </w:t>
      </w:r>
      <w:r>
        <w:rPr/>
        <w:t>se</w:t>
      </w:r>
      <w:r>
        <w:rPr>
          <w:spacing w:val="-17"/>
        </w:rPr>
        <w:t> </w:t>
      </w:r>
      <w:r>
        <w:rPr/>
        <w:t>pueda</w:t>
      </w:r>
      <w:r>
        <w:rPr>
          <w:spacing w:val="-17"/>
        </w:rPr>
        <w:t> </w:t>
      </w:r>
      <w:r>
        <w:rPr/>
        <w:t>plantear</w:t>
      </w:r>
      <w:r>
        <w:rPr>
          <w:spacing w:val="-21"/>
        </w:rPr>
        <w:t> </w:t>
      </w:r>
      <w:r>
        <w:rPr/>
        <w:t>irregular</w:t>
      </w:r>
      <w:r>
        <w:rPr>
          <w:spacing w:val="-16"/>
        </w:rPr>
        <w:t> </w:t>
      </w:r>
      <w:r>
        <w:rPr/>
        <w:t>el</w:t>
      </w:r>
      <w:r>
        <w:rPr>
          <w:spacing w:val="-14"/>
        </w:rPr>
        <w:t> </w:t>
      </w:r>
      <w:r>
        <w:rPr/>
        <w:t>crecimiento de</w:t>
      </w:r>
      <w:r>
        <w:rPr>
          <w:spacing w:val="-5"/>
        </w:rPr>
        <w:t> </w:t>
      </w:r>
      <w:r>
        <w:rPr/>
        <w:t>las</w:t>
      </w:r>
      <w:r>
        <w:rPr>
          <w:spacing w:val="1"/>
        </w:rPr>
        <w:t> </w:t>
      </w:r>
      <w:r>
        <w:rPr/>
        <w:t>ciudades.</w:t>
      </w:r>
      <w:r>
        <w:rPr>
          <w:spacing w:val="-6"/>
        </w:rPr>
        <w:t> </w:t>
      </w:r>
      <w:r>
        <w:rPr/>
        <w:t>Con</w:t>
      </w:r>
      <w:r>
        <w:rPr>
          <w:spacing w:val="-5"/>
        </w:rPr>
        <w:t> </w:t>
      </w:r>
      <w:r>
        <w:rPr/>
        <w:t>la</w:t>
      </w:r>
      <w:r>
        <w:rPr>
          <w:spacing w:val="-1"/>
        </w:rPr>
        <w:t> </w:t>
      </w:r>
      <w:r>
        <w:rPr/>
        <w:t>supresión</w:t>
      </w:r>
      <w:r>
        <w:rPr>
          <w:spacing w:val="-2"/>
        </w:rPr>
        <w:t> </w:t>
      </w:r>
      <w:r>
        <w:rPr/>
        <w:t>de</w:t>
      </w:r>
      <w:r>
        <w:rPr>
          <w:spacing w:val="-5"/>
        </w:rPr>
        <w:t> </w:t>
      </w:r>
      <w:r>
        <w:rPr/>
        <w:t>la</w:t>
      </w:r>
      <w:r>
        <w:rPr>
          <w:spacing w:val="-5"/>
        </w:rPr>
        <w:t> </w:t>
      </w:r>
      <w:r>
        <w:rPr/>
        <w:t>ley</w:t>
      </w:r>
      <w:r>
        <w:rPr>
          <w:spacing w:val="-4"/>
        </w:rPr>
        <w:t> </w:t>
      </w:r>
      <w:r>
        <w:rPr/>
        <w:t>de</w:t>
      </w:r>
      <w:r>
        <w:rPr>
          <w:spacing w:val="-5"/>
        </w:rPr>
        <w:t> </w:t>
      </w:r>
      <w:r>
        <w:rPr/>
        <w:t>asentamientos</w:t>
      </w:r>
      <w:r>
        <w:rPr>
          <w:spacing w:val="-6"/>
        </w:rPr>
        <w:t> </w:t>
      </w:r>
      <w:r>
        <w:rPr/>
        <w:t>del</w:t>
      </w:r>
      <w:r>
        <w:rPr>
          <w:spacing w:val="-2"/>
        </w:rPr>
        <w:t> </w:t>
      </w:r>
      <w:r>
        <w:rPr/>
        <w:t>estado</w:t>
      </w:r>
      <w:r>
        <w:rPr>
          <w:spacing w:val="-5"/>
        </w:rPr>
        <w:t> </w:t>
      </w:r>
      <w:r>
        <w:rPr/>
        <w:t>de</w:t>
      </w:r>
      <w:r>
        <w:rPr>
          <w:spacing w:val="-5"/>
        </w:rPr>
        <w:t> </w:t>
      </w:r>
      <w:r>
        <w:rPr/>
        <w:t>México</w:t>
      </w:r>
    </w:p>
    <w:p>
      <w:pPr>
        <w:spacing w:after="0" w:line="360" w:lineRule="auto"/>
        <w:jc w:val="both"/>
        <w:sectPr>
          <w:pgSz w:w="12240" w:h="15840"/>
          <w:pgMar w:header="0" w:footer="1031" w:top="1360" w:bottom="1220" w:left="1580" w:right="1580"/>
        </w:sectPr>
      </w:pPr>
    </w:p>
    <w:p>
      <w:pPr>
        <w:pStyle w:val="BodyText"/>
        <w:spacing w:line="360" w:lineRule="auto" w:before="52"/>
        <w:ind w:left="119" w:right="119"/>
        <w:jc w:val="both"/>
      </w:pPr>
      <w:r>
        <w:rPr/>
        <w:t>(GEM,</w:t>
      </w:r>
      <w:r>
        <w:rPr>
          <w:spacing w:val="-12"/>
        </w:rPr>
        <w:t> </w:t>
      </w:r>
      <w:r>
        <w:rPr/>
        <w:t>1993),</w:t>
      </w:r>
      <w:r>
        <w:rPr>
          <w:spacing w:val="-12"/>
        </w:rPr>
        <w:t> </w:t>
      </w:r>
      <w:r>
        <w:rPr/>
        <w:t>el</w:t>
      </w:r>
      <w:r>
        <w:rPr>
          <w:spacing w:val="-13"/>
        </w:rPr>
        <w:t> </w:t>
      </w:r>
      <w:r>
        <w:rPr/>
        <w:t>libro</w:t>
      </w:r>
      <w:r>
        <w:rPr>
          <w:spacing w:val="-12"/>
        </w:rPr>
        <w:t> </w:t>
      </w:r>
      <w:r>
        <w:rPr/>
        <w:t>V</w:t>
      </w:r>
      <w:r>
        <w:rPr>
          <w:spacing w:val="-14"/>
        </w:rPr>
        <w:t> </w:t>
      </w:r>
      <w:r>
        <w:rPr/>
        <w:t>del</w:t>
      </w:r>
      <w:r>
        <w:rPr>
          <w:spacing w:val="-8"/>
        </w:rPr>
        <w:t> </w:t>
      </w:r>
      <w:r>
        <w:rPr/>
        <w:t>código</w:t>
      </w:r>
      <w:r>
        <w:rPr>
          <w:spacing w:val="-12"/>
        </w:rPr>
        <w:t> </w:t>
      </w:r>
      <w:r>
        <w:rPr/>
        <w:t>administrativo</w:t>
      </w:r>
      <w:r>
        <w:rPr>
          <w:spacing w:val="-12"/>
        </w:rPr>
        <w:t> </w:t>
      </w:r>
      <w:r>
        <w:rPr/>
        <w:t>del</w:t>
      </w:r>
      <w:r>
        <w:rPr>
          <w:spacing w:val="-8"/>
        </w:rPr>
        <w:t> </w:t>
      </w:r>
      <w:r>
        <w:rPr/>
        <w:t>Estado</w:t>
      </w:r>
      <w:r>
        <w:rPr>
          <w:spacing w:val="-12"/>
        </w:rPr>
        <w:t> </w:t>
      </w:r>
      <w:r>
        <w:rPr/>
        <w:t>de</w:t>
      </w:r>
      <w:r>
        <w:rPr>
          <w:spacing w:val="-12"/>
        </w:rPr>
        <w:t> </w:t>
      </w:r>
      <w:r>
        <w:rPr/>
        <w:t>México</w:t>
      </w:r>
      <w:r>
        <w:rPr>
          <w:spacing w:val="-12"/>
        </w:rPr>
        <w:t> </w:t>
      </w:r>
      <w:r>
        <w:rPr/>
        <w:t>(GEM,</w:t>
      </w:r>
      <w:r>
        <w:rPr>
          <w:spacing w:val="-12"/>
        </w:rPr>
        <w:t> </w:t>
      </w:r>
      <w:r>
        <w:rPr/>
        <w:t>2001) es</w:t>
      </w:r>
      <w:r>
        <w:rPr>
          <w:spacing w:val="-14"/>
        </w:rPr>
        <w:t> </w:t>
      </w:r>
      <w:r>
        <w:rPr/>
        <w:t>el</w:t>
      </w:r>
      <w:r>
        <w:rPr>
          <w:spacing w:val="-14"/>
        </w:rPr>
        <w:t> </w:t>
      </w:r>
      <w:r>
        <w:rPr/>
        <w:t>instrumento</w:t>
      </w:r>
      <w:r>
        <w:rPr>
          <w:spacing w:val="-12"/>
        </w:rPr>
        <w:t> </w:t>
      </w:r>
      <w:r>
        <w:rPr/>
        <w:t>que</w:t>
      </w:r>
      <w:r>
        <w:rPr>
          <w:spacing w:val="-13"/>
        </w:rPr>
        <w:t> </w:t>
      </w:r>
      <w:r>
        <w:rPr/>
        <w:t>establece</w:t>
      </w:r>
      <w:r>
        <w:rPr>
          <w:spacing w:val="-12"/>
        </w:rPr>
        <w:t> </w:t>
      </w:r>
      <w:r>
        <w:rPr/>
        <w:t>facultades</w:t>
      </w:r>
      <w:r>
        <w:rPr>
          <w:spacing w:val="-18"/>
        </w:rPr>
        <w:t> </w:t>
      </w:r>
      <w:r>
        <w:rPr/>
        <w:t>en</w:t>
      </w:r>
      <w:r>
        <w:rPr>
          <w:spacing w:val="-18"/>
        </w:rPr>
        <w:t> </w:t>
      </w:r>
      <w:r>
        <w:rPr/>
        <w:t>materia</w:t>
      </w:r>
      <w:r>
        <w:rPr>
          <w:spacing w:val="-13"/>
        </w:rPr>
        <w:t> </w:t>
      </w:r>
      <w:r>
        <w:rPr/>
        <w:t>de</w:t>
      </w:r>
      <w:r>
        <w:rPr>
          <w:spacing w:val="-13"/>
        </w:rPr>
        <w:t> </w:t>
      </w:r>
      <w:r>
        <w:rPr/>
        <w:t>ordenamiento</w:t>
      </w:r>
      <w:r>
        <w:rPr>
          <w:spacing w:val="-12"/>
        </w:rPr>
        <w:t> </w:t>
      </w:r>
      <w:r>
        <w:rPr/>
        <w:t>territorial</w:t>
      </w:r>
      <w:r>
        <w:rPr>
          <w:spacing w:val="-14"/>
        </w:rPr>
        <w:t> </w:t>
      </w:r>
      <w:r>
        <w:rPr/>
        <w:t>de los asentamientos humanos u desarrollo urbano de los centros de población. Las disposiciones contenidas en este reglamento son el de planear, regular y fomentar en</w:t>
      </w:r>
      <w:r>
        <w:rPr>
          <w:spacing w:val="-7"/>
        </w:rPr>
        <w:t> </w:t>
      </w:r>
      <w:r>
        <w:rPr/>
        <w:t>la</w:t>
      </w:r>
      <w:r>
        <w:rPr>
          <w:spacing w:val="-7"/>
        </w:rPr>
        <w:t> </w:t>
      </w:r>
      <w:r>
        <w:rPr/>
        <w:t>entidad</w:t>
      </w:r>
      <w:r>
        <w:rPr>
          <w:spacing w:val="-7"/>
        </w:rPr>
        <w:t> </w:t>
      </w:r>
      <w:r>
        <w:rPr/>
        <w:t>el</w:t>
      </w:r>
      <w:r>
        <w:rPr>
          <w:spacing w:val="-3"/>
        </w:rPr>
        <w:t> </w:t>
      </w:r>
      <w:r>
        <w:rPr/>
        <w:t>ordenamiento</w:t>
      </w:r>
      <w:r>
        <w:rPr>
          <w:spacing w:val="-2"/>
        </w:rPr>
        <w:t> </w:t>
      </w:r>
      <w:r>
        <w:rPr/>
        <w:t>territorial</w:t>
      </w:r>
      <w:r>
        <w:rPr>
          <w:spacing w:val="-4"/>
        </w:rPr>
        <w:t> </w:t>
      </w:r>
      <w:r>
        <w:rPr/>
        <w:t>de</w:t>
      </w:r>
      <w:r>
        <w:rPr>
          <w:spacing w:val="-7"/>
        </w:rPr>
        <w:t> </w:t>
      </w:r>
      <w:r>
        <w:rPr/>
        <w:t>los</w:t>
      </w:r>
      <w:r>
        <w:rPr>
          <w:spacing w:val="-8"/>
        </w:rPr>
        <w:t> </w:t>
      </w:r>
      <w:r>
        <w:rPr/>
        <w:t>asentamientos</w:t>
      </w:r>
      <w:r>
        <w:rPr>
          <w:spacing w:val="-8"/>
        </w:rPr>
        <w:t> </w:t>
      </w:r>
      <w:r>
        <w:rPr/>
        <w:t>humanos</w:t>
      </w:r>
      <w:r>
        <w:rPr>
          <w:spacing w:val="-3"/>
        </w:rPr>
        <w:t> </w:t>
      </w:r>
      <w:r>
        <w:rPr/>
        <w:t>y</w:t>
      </w:r>
      <w:r>
        <w:rPr>
          <w:spacing w:val="-3"/>
        </w:rPr>
        <w:t> </w:t>
      </w:r>
      <w:r>
        <w:rPr/>
        <w:t>desarrollo urbano e los centros de población. Tiene </w:t>
      </w:r>
      <w:r>
        <w:rPr>
          <w:spacing w:val="-3"/>
        </w:rPr>
        <w:t>como </w:t>
      </w:r>
      <w:r>
        <w:rPr/>
        <w:t>finalidad mejorar el nivel y calidad de vida de la población de la entidad y estable como algunas de sus disposiciones: regulación </w:t>
      </w:r>
      <w:r>
        <w:rPr>
          <w:spacing w:val="-3"/>
        </w:rPr>
        <w:t>del </w:t>
      </w:r>
      <w:r>
        <w:rPr/>
        <w:t>suelo urbano destinado a la vivienda de los estratos de </w:t>
      </w:r>
      <w:r>
        <w:rPr>
          <w:spacing w:val="-3"/>
        </w:rPr>
        <w:t>más </w:t>
      </w:r>
      <w:r>
        <w:rPr/>
        <w:t>bajos ingresos, la participación ciudadana en la planeación urbana y en vigilancia de su cumplimento</w:t>
      </w:r>
      <w:r>
        <w:rPr>
          <w:spacing w:val="-12"/>
        </w:rPr>
        <w:t> </w:t>
      </w:r>
      <w:r>
        <w:rPr/>
        <w:t>y</w:t>
      </w:r>
      <w:r>
        <w:rPr>
          <w:spacing w:val="-18"/>
        </w:rPr>
        <w:t> </w:t>
      </w:r>
      <w:r>
        <w:rPr/>
        <w:t>la</w:t>
      </w:r>
      <w:r>
        <w:rPr>
          <w:spacing w:val="-18"/>
        </w:rPr>
        <w:t> </w:t>
      </w:r>
      <w:r>
        <w:rPr/>
        <w:t>promoción</w:t>
      </w:r>
      <w:r>
        <w:rPr>
          <w:spacing w:val="-13"/>
        </w:rPr>
        <w:t> </w:t>
      </w:r>
      <w:r>
        <w:rPr/>
        <w:t>y</w:t>
      </w:r>
      <w:r>
        <w:rPr>
          <w:spacing w:val="-18"/>
        </w:rPr>
        <w:t> </w:t>
      </w:r>
      <w:r>
        <w:rPr/>
        <w:t>ejecución</w:t>
      </w:r>
      <w:r>
        <w:rPr>
          <w:spacing w:val="-12"/>
        </w:rPr>
        <w:t> </w:t>
      </w:r>
      <w:r>
        <w:rPr/>
        <w:t>de</w:t>
      </w:r>
      <w:r>
        <w:rPr>
          <w:spacing w:val="-13"/>
        </w:rPr>
        <w:t> </w:t>
      </w:r>
      <w:r>
        <w:rPr/>
        <w:t>programas</w:t>
      </w:r>
      <w:r>
        <w:rPr>
          <w:spacing w:val="-14"/>
        </w:rPr>
        <w:t> </w:t>
      </w:r>
      <w:r>
        <w:rPr/>
        <w:t>de</w:t>
      </w:r>
      <w:r>
        <w:rPr>
          <w:spacing w:val="-13"/>
        </w:rPr>
        <w:t> </w:t>
      </w:r>
      <w:r>
        <w:rPr/>
        <w:t>vivienda</w:t>
      </w:r>
      <w:r>
        <w:rPr>
          <w:spacing w:val="-13"/>
        </w:rPr>
        <w:t> </w:t>
      </w:r>
      <w:r>
        <w:rPr/>
        <w:t>para</w:t>
      </w:r>
      <w:r>
        <w:rPr>
          <w:spacing w:val="-17"/>
        </w:rPr>
        <w:t> </w:t>
      </w:r>
      <w:r>
        <w:rPr/>
        <w:t>los</w:t>
      </w:r>
      <w:r>
        <w:rPr>
          <w:spacing w:val="-13"/>
        </w:rPr>
        <w:t> </w:t>
      </w:r>
      <w:r>
        <w:rPr/>
        <w:t>sectores sociales de escasos recursos. De esta manera las autoridades municipales tienen facultad directa en las acciones en materia de desarrollo urbano y obras públicas, al ser el encargado de llevar acabo la supervisión de toda construcción con fines habitacionales industriales y de servicios, para que se cumpla con la normatividad establecida en el plan municipal de desarrollo urbano y demás disposiciones aplicables,</w:t>
      </w:r>
      <w:r>
        <w:rPr>
          <w:spacing w:val="-6"/>
        </w:rPr>
        <w:t> </w:t>
      </w:r>
      <w:r>
        <w:rPr/>
        <w:t>así</w:t>
      </w:r>
      <w:r>
        <w:rPr>
          <w:spacing w:val="-6"/>
        </w:rPr>
        <w:t> </w:t>
      </w:r>
      <w:r>
        <w:rPr/>
        <w:t>como</w:t>
      </w:r>
      <w:r>
        <w:rPr>
          <w:spacing w:val="-6"/>
        </w:rPr>
        <w:t> </w:t>
      </w:r>
      <w:r>
        <w:rPr/>
        <w:t>lo</w:t>
      </w:r>
      <w:r>
        <w:rPr>
          <w:spacing w:val="-6"/>
        </w:rPr>
        <w:t> </w:t>
      </w:r>
      <w:r>
        <w:rPr/>
        <w:t>referente</w:t>
      </w:r>
      <w:r>
        <w:rPr>
          <w:spacing w:val="-6"/>
        </w:rPr>
        <w:t> </w:t>
      </w:r>
      <w:r>
        <w:rPr/>
        <w:t>a</w:t>
      </w:r>
      <w:r>
        <w:rPr>
          <w:spacing w:val="-10"/>
        </w:rPr>
        <w:t> </w:t>
      </w:r>
      <w:r>
        <w:rPr/>
        <w:t>los</w:t>
      </w:r>
      <w:r>
        <w:rPr>
          <w:spacing w:val="-7"/>
        </w:rPr>
        <w:t> </w:t>
      </w:r>
      <w:r>
        <w:rPr/>
        <w:t>usos</w:t>
      </w:r>
      <w:r>
        <w:rPr>
          <w:spacing w:val="-7"/>
        </w:rPr>
        <w:t> </w:t>
      </w:r>
      <w:r>
        <w:rPr/>
        <w:t>de</w:t>
      </w:r>
      <w:r>
        <w:rPr>
          <w:spacing w:val="-10"/>
        </w:rPr>
        <w:t> </w:t>
      </w:r>
      <w:r>
        <w:rPr/>
        <w:t>suelo,</w:t>
      </w:r>
      <w:r>
        <w:rPr>
          <w:spacing w:val="-10"/>
        </w:rPr>
        <w:t> </w:t>
      </w:r>
      <w:r>
        <w:rPr/>
        <w:t>densidad,</w:t>
      </w:r>
      <w:r>
        <w:rPr>
          <w:spacing w:val="-6"/>
        </w:rPr>
        <w:t> </w:t>
      </w:r>
      <w:r>
        <w:rPr/>
        <w:t>intensidad</w:t>
      </w:r>
      <w:r>
        <w:rPr>
          <w:spacing w:val="-6"/>
        </w:rPr>
        <w:t> </w:t>
      </w:r>
      <w:r>
        <w:rPr/>
        <w:t>y</w:t>
      </w:r>
      <w:r>
        <w:rPr>
          <w:spacing w:val="-7"/>
        </w:rPr>
        <w:t> </w:t>
      </w:r>
      <w:r>
        <w:rPr/>
        <w:t>alturas de las construcciones y</w:t>
      </w:r>
      <w:r>
        <w:rPr>
          <w:spacing w:val="-13"/>
        </w:rPr>
        <w:t> </w:t>
      </w:r>
      <w:r>
        <w:rPr/>
        <w:t>lineamientos.</w:t>
      </w:r>
    </w:p>
    <w:p>
      <w:pPr>
        <w:pStyle w:val="BodyText"/>
      </w:pPr>
    </w:p>
    <w:p>
      <w:pPr>
        <w:pStyle w:val="BodyText"/>
        <w:spacing w:line="360" w:lineRule="auto" w:before="144"/>
        <w:ind w:left="119" w:right="116"/>
        <w:jc w:val="both"/>
      </w:pPr>
      <w:r>
        <w:rPr/>
        <w:t>Los marcos normativo y de planeación en los diferentes ámbitos gubernamentales presentan ciertas congruencias en cuanto a lineamientos dirigidos al ordenamiento territorial, al desarrollo urbano y la promoción habitacional; así mismo, la vivienda se ha venido desarrollando a través de la participación de la iniciativa privada bajo los esquemas de fraccionamientos conjuntos urbanos y condominios. </w:t>
      </w:r>
      <w:r>
        <w:rPr>
          <w:spacing w:val="-4"/>
        </w:rPr>
        <w:t>El </w:t>
      </w:r>
      <w:r>
        <w:rPr/>
        <w:t>marco normativo establece relaciones importantes en materia de desarrollo urbano desde los diferentes niveles gubernamentales, ya que partir de la carta magna se derivan temas a favor del territorio, de allí surgen las propuestas del ordenamiento urbano a través de desarrollos habitacionales. Existen ordenamientos urbanos y ecológicos. Los primeros establecen el orden en las zonas urbanas, define sus áreas de crecimiento, así </w:t>
      </w:r>
      <w:r>
        <w:rPr>
          <w:spacing w:val="-4"/>
        </w:rPr>
        <w:t>como </w:t>
      </w:r>
      <w:r>
        <w:rPr/>
        <w:t>los espacios para parques o escuelas, y los segundos son  aquellos que  están dirigidos a la regulación  </w:t>
      </w:r>
      <w:r>
        <w:rPr>
          <w:spacing w:val="-3"/>
        </w:rPr>
        <w:t>del  </w:t>
      </w:r>
      <w:r>
        <w:rPr/>
        <w:t>uso  del  suelo</w:t>
      </w:r>
      <w:r>
        <w:rPr>
          <w:spacing w:val="51"/>
        </w:rPr>
        <w:t> </w:t>
      </w:r>
      <w:r>
        <w:rPr/>
        <w:t>no</w:t>
      </w:r>
    </w:p>
    <w:p>
      <w:pPr>
        <w:spacing w:after="0" w:line="360" w:lineRule="auto"/>
        <w:jc w:val="both"/>
        <w:sectPr>
          <w:pgSz w:w="12240" w:h="15840"/>
          <w:pgMar w:header="0" w:footer="1031" w:top="1360" w:bottom="1220" w:left="1580" w:right="1580"/>
        </w:sectPr>
      </w:pPr>
    </w:p>
    <w:p>
      <w:pPr>
        <w:pStyle w:val="BodyText"/>
        <w:spacing w:line="362" w:lineRule="auto" w:before="52"/>
        <w:ind w:left="119" w:right="115"/>
        <w:jc w:val="both"/>
      </w:pPr>
      <w:r>
        <w:rPr/>
        <w:t>urbano, incluye espacios en transición y busca la protección de los ecosistemas, entre otros objetivos.</w:t>
      </w:r>
    </w:p>
    <w:p>
      <w:pPr>
        <w:pStyle w:val="BodyText"/>
        <w:spacing w:before="11"/>
        <w:rPr>
          <w:sz w:val="35"/>
        </w:rPr>
      </w:pPr>
    </w:p>
    <w:p>
      <w:pPr>
        <w:pStyle w:val="BodyText"/>
        <w:spacing w:line="360" w:lineRule="auto"/>
        <w:ind w:left="119" w:right="100"/>
        <w:jc w:val="both"/>
      </w:pPr>
      <w:r>
        <w:rPr/>
        <w:t>El proceso de regulación del territorio, los ordenamientos muchas veces tienen conflictos que se reflejarán en la indefinición de los límites, en la contradicción a veces de sus usos permitidos o en la ambigüedad de los mismos, lo cual genera que se infrinja la ley o que esta no se cumpla.</w:t>
      </w:r>
    </w:p>
    <w:p>
      <w:pPr>
        <w:pStyle w:val="BodyText"/>
      </w:pPr>
    </w:p>
    <w:p>
      <w:pPr>
        <w:pStyle w:val="BodyText"/>
        <w:spacing w:line="360" w:lineRule="auto" w:before="139"/>
        <w:ind w:left="119" w:right="103"/>
        <w:jc w:val="both"/>
      </w:pPr>
      <w:r>
        <w:rPr/>
        <w:t>En</w:t>
      </w:r>
      <w:r>
        <w:rPr>
          <w:spacing w:val="-7"/>
        </w:rPr>
        <w:t> </w:t>
      </w:r>
      <w:r>
        <w:rPr/>
        <w:t>México</w:t>
      </w:r>
      <w:r>
        <w:rPr>
          <w:spacing w:val="-6"/>
        </w:rPr>
        <w:t> </w:t>
      </w:r>
      <w:r>
        <w:rPr/>
        <w:t>el</w:t>
      </w:r>
      <w:r>
        <w:rPr>
          <w:spacing w:val="-4"/>
        </w:rPr>
        <w:t> </w:t>
      </w:r>
      <w:r>
        <w:rPr/>
        <w:t>punto</w:t>
      </w:r>
      <w:r>
        <w:rPr>
          <w:spacing w:val="-7"/>
        </w:rPr>
        <w:t> </w:t>
      </w:r>
      <w:r>
        <w:rPr/>
        <w:t>de</w:t>
      </w:r>
      <w:r>
        <w:rPr>
          <w:spacing w:val="-7"/>
        </w:rPr>
        <w:t> </w:t>
      </w:r>
      <w:r>
        <w:rPr/>
        <w:t>partida</w:t>
      </w:r>
      <w:r>
        <w:rPr>
          <w:spacing w:val="-7"/>
        </w:rPr>
        <w:t> </w:t>
      </w:r>
      <w:r>
        <w:rPr/>
        <w:t>en</w:t>
      </w:r>
      <w:r>
        <w:rPr>
          <w:spacing w:val="-12"/>
        </w:rPr>
        <w:t> </w:t>
      </w:r>
      <w:r>
        <w:rPr/>
        <w:t>relación</w:t>
      </w:r>
      <w:r>
        <w:rPr>
          <w:spacing w:val="-12"/>
        </w:rPr>
        <w:t> </w:t>
      </w:r>
      <w:r>
        <w:rPr/>
        <w:t>al</w:t>
      </w:r>
      <w:r>
        <w:rPr>
          <w:spacing w:val="-4"/>
        </w:rPr>
        <w:t> </w:t>
      </w:r>
      <w:r>
        <w:rPr/>
        <w:t>marco</w:t>
      </w:r>
      <w:r>
        <w:rPr>
          <w:spacing w:val="-7"/>
        </w:rPr>
        <w:t> </w:t>
      </w:r>
      <w:r>
        <w:rPr/>
        <w:t>jurídico</w:t>
      </w:r>
      <w:r>
        <w:rPr>
          <w:spacing w:val="-7"/>
        </w:rPr>
        <w:t> </w:t>
      </w:r>
      <w:r>
        <w:rPr/>
        <w:t>en</w:t>
      </w:r>
      <w:r>
        <w:rPr>
          <w:spacing w:val="-7"/>
        </w:rPr>
        <w:t> </w:t>
      </w:r>
      <w:r>
        <w:rPr/>
        <w:t>materia</w:t>
      </w:r>
      <w:r>
        <w:rPr>
          <w:spacing w:val="-12"/>
        </w:rPr>
        <w:t> </w:t>
      </w:r>
      <w:r>
        <w:rPr/>
        <w:t>de</w:t>
      </w:r>
      <w:r>
        <w:rPr>
          <w:spacing w:val="-7"/>
        </w:rPr>
        <w:t> </w:t>
      </w:r>
      <w:r>
        <w:rPr/>
        <w:t>desarrollo urbano</w:t>
      </w:r>
      <w:r>
        <w:rPr>
          <w:spacing w:val="-15"/>
        </w:rPr>
        <w:t> </w:t>
      </w:r>
      <w:r>
        <w:rPr/>
        <w:t>es</w:t>
      </w:r>
      <w:r>
        <w:rPr>
          <w:spacing w:val="-16"/>
        </w:rPr>
        <w:t> </w:t>
      </w:r>
      <w:r>
        <w:rPr/>
        <w:t>la</w:t>
      </w:r>
      <w:r>
        <w:rPr>
          <w:spacing w:val="-15"/>
        </w:rPr>
        <w:t> </w:t>
      </w:r>
      <w:r>
        <w:rPr/>
        <w:t>propia</w:t>
      </w:r>
      <w:r>
        <w:rPr>
          <w:spacing w:val="-11"/>
        </w:rPr>
        <w:t> </w:t>
      </w:r>
      <w:r>
        <w:rPr/>
        <w:t>Constitución</w:t>
      </w:r>
      <w:r>
        <w:rPr>
          <w:spacing w:val="-10"/>
        </w:rPr>
        <w:t> </w:t>
      </w:r>
      <w:r>
        <w:rPr/>
        <w:t>Política</w:t>
      </w:r>
      <w:r>
        <w:rPr>
          <w:spacing w:val="-15"/>
        </w:rPr>
        <w:t> </w:t>
      </w:r>
      <w:r>
        <w:rPr/>
        <w:t>de</w:t>
      </w:r>
      <w:r>
        <w:rPr>
          <w:spacing w:val="-16"/>
        </w:rPr>
        <w:t> </w:t>
      </w:r>
      <w:r>
        <w:rPr/>
        <w:t>los</w:t>
      </w:r>
      <w:r>
        <w:rPr>
          <w:spacing w:val="-12"/>
        </w:rPr>
        <w:t> </w:t>
      </w:r>
      <w:r>
        <w:rPr/>
        <w:t>Estados</w:t>
      </w:r>
      <w:r>
        <w:rPr>
          <w:spacing w:val="-12"/>
        </w:rPr>
        <w:t> </w:t>
      </w:r>
      <w:r>
        <w:rPr/>
        <w:t>Unidos</w:t>
      </w:r>
      <w:r>
        <w:rPr>
          <w:spacing w:val="-16"/>
        </w:rPr>
        <w:t> </w:t>
      </w:r>
      <w:r>
        <w:rPr/>
        <w:t>Mexicanos,</w:t>
      </w:r>
      <w:r>
        <w:rPr>
          <w:spacing w:val="-11"/>
        </w:rPr>
        <w:t> </w:t>
      </w:r>
      <w:r>
        <w:rPr/>
        <w:t>que</w:t>
      </w:r>
      <w:r>
        <w:rPr>
          <w:spacing w:val="-11"/>
        </w:rPr>
        <w:t> </w:t>
      </w:r>
      <w:r>
        <w:rPr/>
        <w:t>una vez realizadas las modificaciones a los artículos 27, 73, y 115 en 1976, se otorga a los</w:t>
      </w:r>
      <w:r>
        <w:rPr>
          <w:spacing w:val="-11"/>
        </w:rPr>
        <w:t> </w:t>
      </w:r>
      <w:r>
        <w:rPr/>
        <w:t>gobiernos</w:t>
      </w:r>
      <w:r>
        <w:rPr>
          <w:spacing w:val="-8"/>
        </w:rPr>
        <w:t> </w:t>
      </w:r>
      <w:r>
        <w:rPr/>
        <w:t>municipales</w:t>
      </w:r>
      <w:r>
        <w:rPr>
          <w:spacing w:val="-11"/>
        </w:rPr>
        <w:t> </w:t>
      </w:r>
      <w:r>
        <w:rPr/>
        <w:t>y</w:t>
      </w:r>
      <w:r>
        <w:rPr>
          <w:spacing w:val="-11"/>
        </w:rPr>
        <w:t> </w:t>
      </w:r>
      <w:r>
        <w:rPr/>
        <w:t>estatales</w:t>
      </w:r>
      <w:r>
        <w:rPr>
          <w:spacing w:val="-15"/>
        </w:rPr>
        <w:t> </w:t>
      </w:r>
      <w:r>
        <w:rPr/>
        <w:t>la</w:t>
      </w:r>
      <w:r>
        <w:rPr>
          <w:spacing w:val="-15"/>
        </w:rPr>
        <w:t> </w:t>
      </w:r>
      <w:r>
        <w:rPr/>
        <w:t>facultad</w:t>
      </w:r>
      <w:r>
        <w:rPr>
          <w:spacing w:val="-10"/>
        </w:rPr>
        <w:t> </w:t>
      </w:r>
      <w:r>
        <w:rPr/>
        <w:t>para</w:t>
      </w:r>
      <w:r>
        <w:rPr>
          <w:spacing w:val="-14"/>
        </w:rPr>
        <w:t> </w:t>
      </w:r>
      <w:r>
        <w:rPr/>
        <w:t>regular</w:t>
      </w:r>
      <w:r>
        <w:rPr>
          <w:spacing w:val="-13"/>
        </w:rPr>
        <w:t> </w:t>
      </w:r>
      <w:r>
        <w:rPr/>
        <w:t>los</w:t>
      </w:r>
      <w:r>
        <w:rPr>
          <w:spacing w:val="-15"/>
        </w:rPr>
        <w:t> </w:t>
      </w:r>
      <w:r>
        <w:rPr/>
        <w:t>usos</w:t>
      </w:r>
      <w:r>
        <w:rPr>
          <w:spacing w:val="-11"/>
        </w:rPr>
        <w:t> </w:t>
      </w:r>
      <w:r>
        <w:rPr/>
        <w:t>y</w:t>
      </w:r>
      <w:r>
        <w:rPr>
          <w:spacing w:val="-15"/>
        </w:rPr>
        <w:t> </w:t>
      </w:r>
      <w:r>
        <w:rPr/>
        <w:t>los</w:t>
      </w:r>
      <w:r>
        <w:rPr>
          <w:spacing w:val="-15"/>
        </w:rPr>
        <w:t> </w:t>
      </w:r>
      <w:r>
        <w:rPr/>
        <w:t>destinos del suelo en sus circunscripciones. Decidiendo sobre las declaraciones y disposiciones que requieran para promover el crecimiento regulado y ordenado de los asentamientos</w:t>
      </w:r>
      <w:r>
        <w:rPr>
          <w:spacing w:val="-15"/>
        </w:rPr>
        <w:t> </w:t>
      </w:r>
      <w:r>
        <w:rPr/>
        <w:t>humanos.</w:t>
      </w:r>
    </w:p>
    <w:p>
      <w:pPr>
        <w:pStyle w:val="BodyText"/>
      </w:pPr>
    </w:p>
    <w:p>
      <w:pPr>
        <w:pStyle w:val="BodyText"/>
        <w:spacing w:line="360" w:lineRule="auto" w:before="140"/>
        <w:ind w:left="119" w:right="109"/>
        <w:jc w:val="both"/>
      </w:pPr>
      <w:r>
        <w:rPr/>
        <w:t>Las modificaciones a la Constitución Mexicana realizadas a fines del año de 1975, permitieron la expedición de la Ley General de Asentamientos Humanos en 1976, la</w:t>
      </w:r>
      <w:r>
        <w:rPr>
          <w:spacing w:val="-20"/>
        </w:rPr>
        <w:t> </w:t>
      </w:r>
      <w:r>
        <w:rPr/>
        <w:t>cual</w:t>
      </w:r>
      <w:r>
        <w:rPr>
          <w:spacing w:val="-13"/>
        </w:rPr>
        <w:t> </w:t>
      </w:r>
      <w:r>
        <w:rPr/>
        <w:t>significó</w:t>
      </w:r>
      <w:r>
        <w:rPr>
          <w:spacing w:val="-17"/>
        </w:rPr>
        <w:t> </w:t>
      </w:r>
      <w:r>
        <w:rPr/>
        <w:t>el</w:t>
      </w:r>
      <w:r>
        <w:rPr>
          <w:spacing w:val="-18"/>
        </w:rPr>
        <w:t> </w:t>
      </w:r>
      <w:r>
        <w:rPr/>
        <w:t>punto</w:t>
      </w:r>
      <w:r>
        <w:rPr>
          <w:spacing w:val="-17"/>
        </w:rPr>
        <w:t> </w:t>
      </w:r>
      <w:r>
        <w:rPr/>
        <w:t>de</w:t>
      </w:r>
      <w:r>
        <w:rPr>
          <w:spacing w:val="-20"/>
        </w:rPr>
        <w:t> </w:t>
      </w:r>
      <w:r>
        <w:rPr/>
        <w:t>partida</w:t>
      </w:r>
      <w:r>
        <w:rPr>
          <w:spacing w:val="-20"/>
        </w:rPr>
        <w:t> </w:t>
      </w:r>
      <w:r>
        <w:rPr/>
        <w:t>para</w:t>
      </w:r>
      <w:r>
        <w:rPr>
          <w:spacing w:val="-25"/>
        </w:rPr>
        <w:t> </w:t>
      </w:r>
      <w:r>
        <w:rPr/>
        <w:t>la</w:t>
      </w:r>
      <w:r>
        <w:rPr>
          <w:spacing w:val="-20"/>
        </w:rPr>
        <w:t> </w:t>
      </w:r>
      <w:r>
        <w:rPr/>
        <w:t>regulación</w:t>
      </w:r>
      <w:r>
        <w:rPr>
          <w:spacing w:val="-20"/>
        </w:rPr>
        <w:t> </w:t>
      </w:r>
      <w:r>
        <w:rPr/>
        <w:t>de</w:t>
      </w:r>
      <w:r>
        <w:rPr>
          <w:spacing w:val="-25"/>
        </w:rPr>
        <w:t> </w:t>
      </w:r>
      <w:r>
        <w:rPr/>
        <w:t>los</w:t>
      </w:r>
      <w:r>
        <w:rPr>
          <w:spacing w:val="-17"/>
        </w:rPr>
        <w:t> </w:t>
      </w:r>
      <w:r>
        <w:rPr/>
        <w:t>asentamientos</w:t>
      </w:r>
      <w:r>
        <w:rPr>
          <w:spacing w:val="-21"/>
        </w:rPr>
        <w:t> </w:t>
      </w:r>
      <w:r>
        <w:rPr/>
        <w:t>humanos y</w:t>
      </w:r>
      <w:r>
        <w:rPr>
          <w:spacing w:val="22"/>
        </w:rPr>
        <w:t> </w:t>
      </w:r>
      <w:r>
        <w:rPr/>
        <w:t>el</w:t>
      </w:r>
      <w:r>
        <w:rPr>
          <w:spacing w:val="26"/>
        </w:rPr>
        <w:t> </w:t>
      </w:r>
      <w:r>
        <w:rPr/>
        <w:t>impulso</w:t>
      </w:r>
      <w:r>
        <w:rPr>
          <w:spacing w:val="23"/>
        </w:rPr>
        <w:t> </w:t>
      </w:r>
      <w:r>
        <w:rPr/>
        <w:t>a</w:t>
      </w:r>
      <w:r>
        <w:rPr>
          <w:spacing w:val="18"/>
        </w:rPr>
        <w:t> </w:t>
      </w:r>
      <w:r>
        <w:rPr/>
        <w:t>la</w:t>
      </w:r>
      <w:r>
        <w:rPr>
          <w:spacing w:val="23"/>
        </w:rPr>
        <w:t> </w:t>
      </w:r>
      <w:r>
        <w:rPr/>
        <w:t>planeación</w:t>
      </w:r>
      <w:r>
        <w:rPr>
          <w:spacing w:val="23"/>
        </w:rPr>
        <w:t> </w:t>
      </w:r>
      <w:r>
        <w:rPr/>
        <w:t>del</w:t>
      </w:r>
      <w:r>
        <w:rPr>
          <w:spacing w:val="26"/>
        </w:rPr>
        <w:t> </w:t>
      </w:r>
      <w:r>
        <w:rPr/>
        <w:t>desarrollo</w:t>
      </w:r>
      <w:r>
        <w:rPr>
          <w:spacing w:val="23"/>
        </w:rPr>
        <w:t> </w:t>
      </w:r>
      <w:r>
        <w:rPr/>
        <w:t>urbano</w:t>
      </w:r>
      <w:r>
        <w:rPr>
          <w:spacing w:val="23"/>
        </w:rPr>
        <w:t> </w:t>
      </w:r>
      <w:r>
        <w:rPr/>
        <w:t>en</w:t>
      </w:r>
      <w:r>
        <w:rPr>
          <w:spacing w:val="23"/>
        </w:rPr>
        <w:t> </w:t>
      </w:r>
      <w:r>
        <w:rPr/>
        <w:t>todo</w:t>
      </w:r>
      <w:r>
        <w:rPr>
          <w:spacing w:val="23"/>
        </w:rPr>
        <w:t> </w:t>
      </w:r>
      <w:r>
        <w:rPr/>
        <w:t>el</w:t>
      </w:r>
      <w:r>
        <w:rPr>
          <w:spacing w:val="26"/>
        </w:rPr>
        <w:t> </w:t>
      </w:r>
      <w:r>
        <w:rPr/>
        <w:t>territorio</w:t>
      </w:r>
      <w:r>
        <w:rPr>
          <w:spacing w:val="22"/>
        </w:rPr>
        <w:t> </w:t>
      </w:r>
      <w:r>
        <w:rPr/>
        <w:t>mexicano.</w:t>
      </w:r>
    </w:p>
    <w:p>
      <w:pPr>
        <w:pStyle w:val="BodyText"/>
      </w:pPr>
    </w:p>
    <w:p>
      <w:pPr>
        <w:pStyle w:val="BodyText"/>
        <w:spacing w:line="360" w:lineRule="auto" w:before="145"/>
        <w:ind w:left="119" w:right="107"/>
        <w:jc w:val="both"/>
      </w:pPr>
      <w:r>
        <w:rPr/>
        <w:t>Hoy a casi 30 años de distancia, la realidad nacional es otra, las condiciones económicas y sociales del país han cambiado, de la misma manera que el proceso de urbanización ha ido avanzando, provocando entre otros aspectos, que el crecimiento de las ciudades se haya dado principalmente sobre terrenos de propiedad ejidal y comunal.</w:t>
      </w:r>
    </w:p>
    <w:p>
      <w:pPr>
        <w:pStyle w:val="BodyText"/>
      </w:pPr>
    </w:p>
    <w:p>
      <w:pPr>
        <w:pStyle w:val="BodyText"/>
        <w:spacing w:line="360" w:lineRule="auto" w:before="145"/>
        <w:ind w:left="119" w:right="106"/>
        <w:jc w:val="both"/>
      </w:pPr>
      <w:r>
        <w:rPr/>
        <w:t>Es</w:t>
      </w:r>
      <w:r>
        <w:rPr>
          <w:spacing w:val="-6"/>
        </w:rPr>
        <w:t> </w:t>
      </w:r>
      <w:r>
        <w:rPr/>
        <w:t>en</w:t>
      </w:r>
      <w:r>
        <w:rPr>
          <w:spacing w:val="-5"/>
        </w:rPr>
        <w:t> </w:t>
      </w:r>
      <w:r>
        <w:rPr/>
        <w:t>este</w:t>
      </w:r>
      <w:r>
        <w:rPr>
          <w:spacing w:val="-5"/>
        </w:rPr>
        <w:t> </w:t>
      </w:r>
      <w:r>
        <w:rPr/>
        <w:t>contexto,</w:t>
      </w:r>
      <w:r>
        <w:rPr>
          <w:spacing w:val="-5"/>
        </w:rPr>
        <w:t> </w:t>
      </w:r>
      <w:r>
        <w:rPr/>
        <w:t>es</w:t>
      </w:r>
      <w:r>
        <w:rPr>
          <w:spacing w:val="-6"/>
        </w:rPr>
        <w:t> </w:t>
      </w:r>
      <w:r>
        <w:rPr/>
        <w:t>necesario</w:t>
      </w:r>
      <w:r>
        <w:rPr>
          <w:spacing w:val="-5"/>
        </w:rPr>
        <w:t> </w:t>
      </w:r>
      <w:r>
        <w:rPr/>
        <w:t>analizar,</w:t>
      </w:r>
      <w:r>
        <w:rPr>
          <w:spacing w:val="-5"/>
        </w:rPr>
        <w:t> </w:t>
      </w:r>
      <w:r>
        <w:rPr/>
        <w:t>no</w:t>
      </w:r>
      <w:r>
        <w:rPr>
          <w:spacing w:val="-10"/>
        </w:rPr>
        <w:t> </w:t>
      </w:r>
      <w:r>
        <w:rPr/>
        <w:t>solo</w:t>
      </w:r>
      <w:r>
        <w:rPr>
          <w:spacing w:val="-10"/>
        </w:rPr>
        <w:t> </w:t>
      </w:r>
      <w:r>
        <w:rPr/>
        <w:t>la</w:t>
      </w:r>
      <w:r>
        <w:rPr>
          <w:spacing w:val="-5"/>
        </w:rPr>
        <w:t> </w:t>
      </w:r>
      <w:r>
        <w:rPr/>
        <w:t>evolución</w:t>
      </w:r>
      <w:r>
        <w:rPr>
          <w:spacing w:val="-5"/>
        </w:rPr>
        <w:t> </w:t>
      </w:r>
      <w:r>
        <w:rPr/>
        <w:t>que</w:t>
      </w:r>
      <w:r>
        <w:rPr>
          <w:spacing w:val="-5"/>
        </w:rPr>
        <w:t> </w:t>
      </w:r>
      <w:r>
        <w:rPr/>
        <w:t>ha</w:t>
      </w:r>
      <w:r>
        <w:rPr>
          <w:spacing w:val="-5"/>
        </w:rPr>
        <w:t> </w:t>
      </w:r>
      <w:r>
        <w:rPr/>
        <w:t>tenido</w:t>
      </w:r>
      <w:r>
        <w:rPr>
          <w:spacing w:val="-10"/>
        </w:rPr>
        <w:t> </w:t>
      </w:r>
      <w:r>
        <w:rPr/>
        <w:t>la</w:t>
      </w:r>
      <w:r>
        <w:rPr>
          <w:spacing w:val="-10"/>
        </w:rPr>
        <w:t> </w:t>
      </w:r>
      <w:r>
        <w:rPr/>
        <w:t>ley de la materia, sino también el marco jurídico, en el que </w:t>
      </w:r>
      <w:r>
        <w:rPr>
          <w:spacing w:val="-3"/>
        </w:rPr>
        <w:t>se </w:t>
      </w:r>
      <w:r>
        <w:rPr/>
        <w:t>consideran, por un lado, leyes  que  están  estrechamente  vinculadas  con  el  ordenamiento  territorial  y</w:t>
      </w:r>
      <w:r>
        <w:rPr>
          <w:spacing w:val="-22"/>
        </w:rPr>
        <w:t> </w:t>
      </w:r>
      <w:r>
        <w:rPr/>
        <w:t>el</w:t>
      </w:r>
    </w:p>
    <w:p>
      <w:pPr>
        <w:spacing w:after="0" w:line="360" w:lineRule="auto"/>
        <w:jc w:val="both"/>
        <w:sectPr>
          <w:pgSz w:w="12240" w:h="15840"/>
          <w:pgMar w:header="0" w:footer="1031" w:top="1360" w:bottom="1220" w:left="1580" w:right="1600"/>
        </w:sectPr>
      </w:pPr>
    </w:p>
    <w:p>
      <w:pPr>
        <w:pStyle w:val="BodyText"/>
        <w:spacing w:line="362" w:lineRule="auto" w:before="52"/>
        <w:ind w:left="119" w:right="127"/>
        <w:jc w:val="both"/>
      </w:pPr>
      <w:r>
        <w:rPr/>
        <w:t>desarrollo, y por otro, aquellos ordenamientos jurídicos que regulan aspectos específicos sobre algún componente del desarrollo urbano.</w:t>
      </w:r>
    </w:p>
    <w:p>
      <w:pPr>
        <w:pStyle w:val="BodyText"/>
        <w:spacing w:before="11"/>
        <w:rPr>
          <w:sz w:val="35"/>
        </w:rPr>
      </w:pPr>
    </w:p>
    <w:p>
      <w:pPr>
        <w:pStyle w:val="BodyText"/>
        <w:spacing w:line="360" w:lineRule="auto"/>
        <w:ind w:left="119" w:right="116"/>
        <w:jc w:val="both"/>
      </w:pPr>
      <w:r>
        <w:rPr/>
        <w:t>En el primer aspecto está la Ley Agraria, que actualmente reconoce el proceso de urbanización en el que están inmersos algunos ejidos y comunidades y el derecho que tienen, en todo caso, de beneficiarse de la plusvalía que genera el cambio de uso del suelo de agrícola a urbano, pero siempre sujetándose a las normas de desarrollo urbano.</w:t>
      </w:r>
    </w:p>
    <w:p>
      <w:pPr>
        <w:pStyle w:val="BodyText"/>
      </w:pPr>
    </w:p>
    <w:p>
      <w:pPr>
        <w:pStyle w:val="BodyText"/>
        <w:spacing w:line="360" w:lineRule="auto" w:before="145"/>
        <w:ind w:left="119" w:right="117"/>
        <w:jc w:val="both"/>
      </w:pPr>
      <w:r>
        <w:rPr/>
        <w:t>Otro ordenamiento jurídico que incide directamente en la regulación del desarrollo urbano es el relativo a la conservación y protección al medio ambiente, en este sentido</w:t>
      </w:r>
      <w:r>
        <w:rPr>
          <w:spacing w:val="-7"/>
        </w:rPr>
        <w:t> </w:t>
      </w:r>
      <w:r>
        <w:rPr/>
        <w:t>se</w:t>
      </w:r>
      <w:r>
        <w:rPr>
          <w:spacing w:val="-15"/>
        </w:rPr>
        <w:t> </w:t>
      </w:r>
      <w:r>
        <w:rPr/>
        <w:t>incluye</w:t>
      </w:r>
      <w:r>
        <w:rPr>
          <w:spacing w:val="-12"/>
        </w:rPr>
        <w:t> </w:t>
      </w:r>
      <w:r>
        <w:rPr/>
        <w:t>el</w:t>
      </w:r>
      <w:r>
        <w:rPr>
          <w:spacing w:val="-8"/>
        </w:rPr>
        <w:t> </w:t>
      </w:r>
      <w:r>
        <w:rPr/>
        <w:t>análisis</w:t>
      </w:r>
      <w:r>
        <w:rPr>
          <w:spacing w:val="-8"/>
        </w:rPr>
        <w:t> </w:t>
      </w:r>
      <w:r>
        <w:rPr/>
        <w:t>de</w:t>
      </w:r>
      <w:r>
        <w:rPr>
          <w:spacing w:val="-12"/>
        </w:rPr>
        <w:t> </w:t>
      </w:r>
      <w:r>
        <w:rPr/>
        <w:t>la</w:t>
      </w:r>
      <w:r>
        <w:rPr>
          <w:spacing w:val="-12"/>
        </w:rPr>
        <w:t> </w:t>
      </w:r>
      <w:r>
        <w:rPr/>
        <w:t>Ley</w:t>
      </w:r>
      <w:r>
        <w:rPr>
          <w:spacing w:val="-13"/>
        </w:rPr>
        <w:t> </w:t>
      </w:r>
      <w:r>
        <w:rPr/>
        <w:t>General</w:t>
      </w:r>
      <w:r>
        <w:rPr>
          <w:spacing w:val="-8"/>
        </w:rPr>
        <w:t> </w:t>
      </w:r>
      <w:r>
        <w:rPr/>
        <w:t>del</w:t>
      </w:r>
      <w:r>
        <w:rPr>
          <w:spacing w:val="-4"/>
        </w:rPr>
        <w:t> </w:t>
      </w:r>
      <w:r>
        <w:rPr/>
        <w:t>Equilibrio</w:t>
      </w:r>
      <w:r>
        <w:rPr>
          <w:spacing w:val="-7"/>
        </w:rPr>
        <w:t> </w:t>
      </w:r>
      <w:r>
        <w:rPr/>
        <w:t>Ecológico</w:t>
      </w:r>
      <w:r>
        <w:rPr>
          <w:spacing w:val="-12"/>
        </w:rPr>
        <w:t> </w:t>
      </w:r>
      <w:r>
        <w:rPr/>
        <w:t>y</w:t>
      </w:r>
      <w:r>
        <w:rPr>
          <w:spacing w:val="-8"/>
        </w:rPr>
        <w:t> </w:t>
      </w:r>
      <w:r>
        <w:rPr/>
        <w:t>Protección al</w:t>
      </w:r>
      <w:r>
        <w:rPr>
          <w:spacing w:val="-2"/>
        </w:rPr>
        <w:t> </w:t>
      </w:r>
      <w:r>
        <w:rPr/>
        <w:t>Ambiente.</w:t>
      </w:r>
    </w:p>
    <w:p>
      <w:pPr>
        <w:pStyle w:val="BodyText"/>
      </w:pPr>
    </w:p>
    <w:p>
      <w:pPr>
        <w:pStyle w:val="BodyText"/>
        <w:spacing w:line="360" w:lineRule="auto" w:before="144"/>
        <w:ind w:left="119" w:right="118"/>
        <w:jc w:val="both"/>
      </w:pPr>
      <w:r>
        <w:rPr/>
        <w:t>Asimismo,</w:t>
      </w:r>
      <w:r>
        <w:rPr>
          <w:spacing w:val="-6"/>
        </w:rPr>
        <w:t> </w:t>
      </w:r>
      <w:r>
        <w:rPr/>
        <w:t>se</w:t>
      </w:r>
      <w:r>
        <w:rPr>
          <w:spacing w:val="-6"/>
        </w:rPr>
        <w:t> </w:t>
      </w:r>
      <w:r>
        <w:rPr/>
        <w:t>analiza</w:t>
      </w:r>
      <w:r>
        <w:rPr>
          <w:spacing w:val="-11"/>
        </w:rPr>
        <w:t> </w:t>
      </w:r>
      <w:r>
        <w:rPr/>
        <w:t>la</w:t>
      </w:r>
      <w:r>
        <w:rPr>
          <w:spacing w:val="-11"/>
        </w:rPr>
        <w:t> </w:t>
      </w:r>
      <w:r>
        <w:rPr/>
        <w:t>Ley</w:t>
      </w:r>
      <w:r>
        <w:rPr>
          <w:spacing w:val="-12"/>
        </w:rPr>
        <w:t> </w:t>
      </w:r>
      <w:r>
        <w:rPr/>
        <w:t>Federal</w:t>
      </w:r>
      <w:r>
        <w:rPr>
          <w:spacing w:val="-3"/>
        </w:rPr>
        <w:t> </w:t>
      </w:r>
      <w:r>
        <w:rPr/>
        <w:t>de</w:t>
      </w:r>
      <w:r>
        <w:rPr>
          <w:spacing w:val="-11"/>
        </w:rPr>
        <w:t> </w:t>
      </w:r>
      <w:r>
        <w:rPr/>
        <w:t>Vivienda,</w:t>
      </w:r>
      <w:r>
        <w:rPr>
          <w:spacing w:val="-6"/>
        </w:rPr>
        <w:t> </w:t>
      </w:r>
      <w:r>
        <w:rPr/>
        <w:t>pues</w:t>
      </w:r>
      <w:r>
        <w:rPr>
          <w:spacing w:val="-12"/>
        </w:rPr>
        <w:t> </w:t>
      </w:r>
      <w:r>
        <w:rPr/>
        <w:t>es</w:t>
      </w:r>
      <w:r>
        <w:rPr>
          <w:spacing w:val="-12"/>
        </w:rPr>
        <w:t> </w:t>
      </w:r>
      <w:r>
        <w:rPr/>
        <w:t>innegable</w:t>
      </w:r>
      <w:r>
        <w:rPr>
          <w:spacing w:val="-11"/>
        </w:rPr>
        <w:t> </w:t>
      </w:r>
      <w:r>
        <w:rPr/>
        <w:t>que</w:t>
      </w:r>
      <w:r>
        <w:rPr>
          <w:spacing w:val="-11"/>
        </w:rPr>
        <w:t> </w:t>
      </w:r>
      <w:r>
        <w:rPr/>
        <w:t>la</w:t>
      </w:r>
      <w:r>
        <w:rPr>
          <w:spacing w:val="-6"/>
        </w:rPr>
        <w:t> </w:t>
      </w:r>
      <w:r>
        <w:rPr/>
        <w:t>vivienda es</w:t>
      </w:r>
      <w:r>
        <w:rPr>
          <w:spacing w:val="-6"/>
        </w:rPr>
        <w:t> </w:t>
      </w:r>
      <w:r>
        <w:rPr/>
        <w:t>un</w:t>
      </w:r>
      <w:r>
        <w:rPr>
          <w:spacing w:val="-5"/>
        </w:rPr>
        <w:t> </w:t>
      </w:r>
      <w:r>
        <w:rPr/>
        <w:t>factor</w:t>
      </w:r>
      <w:r>
        <w:rPr>
          <w:spacing w:val="-9"/>
        </w:rPr>
        <w:t> </w:t>
      </w:r>
      <w:r>
        <w:rPr/>
        <w:t>de</w:t>
      </w:r>
      <w:r>
        <w:rPr>
          <w:spacing w:val="-5"/>
        </w:rPr>
        <w:t> </w:t>
      </w:r>
      <w:r>
        <w:rPr/>
        <w:t>ordenamiento</w:t>
      </w:r>
      <w:r>
        <w:rPr>
          <w:spacing w:val="-9"/>
        </w:rPr>
        <w:t> </w:t>
      </w:r>
      <w:r>
        <w:rPr/>
        <w:t>territorial</w:t>
      </w:r>
      <w:r>
        <w:rPr>
          <w:spacing w:val="-6"/>
        </w:rPr>
        <w:t> </w:t>
      </w:r>
      <w:r>
        <w:rPr/>
        <w:t>y</w:t>
      </w:r>
      <w:r>
        <w:rPr>
          <w:spacing w:val="-6"/>
        </w:rPr>
        <w:t> </w:t>
      </w:r>
      <w:r>
        <w:rPr/>
        <w:t>de</w:t>
      </w:r>
      <w:r>
        <w:rPr>
          <w:spacing w:val="-10"/>
        </w:rPr>
        <w:t> </w:t>
      </w:r>
      <w:r>
        <w:rPr/>
        <w:t>estructuración</w:t>
      </w:r>
      <w:r>
        <w:rPr>
          <w:spacing w:val="-9"/>
        </w:rPr>
        <w:t> </w:t>
      </w:r>
      <w:r>
        <w:rPr/>
        <w:t>interna</w:t>
      </w:r>
      <w:r>
        <w:rPr>
          <w:spacing w:val="-10"/>
        </w:rPr>
        <w:t> </w:t>
      </w:r>
      <w:r>
        <w:rPr/>
        <w:t>de</w:t>
      </w:r>
      <w:r>
        <w:rPr>
          <w:spacing w:val="-10"/>
        </w:rPr>
        <w:t> </w:t>
      </w:r>
      <w:r>
        <w:rPr/>
        <w:t>los</w:t>
      </w:r>
      <w:r>
        <w:rPr>
          <w:spacing w:val="-11"/>
        </w:rPr>
        <w:t> </w:t>
      </w:r>
      <w:r>
        <w:rPr/>
        <w:t>centros</w:t>
      </w:r>
      <w:r>
        <w:rPr>
          <w:spacing w:val="-6"/>
        </w:rPr>
        <w:t> </w:t>
      </w:r>
      <w:r>
        <w:rPr/>
        <w:t>de población en</w:t>
      </w:r>
      <w:r>
        <w:rPr>
          <w:spacing w:val="-9"/>
        </w:rPr>
        <w:t> </w:t>
      </w:r>
      <w:r>
        <w:rPr/>
        <w:t>México.</w:t>
      </w:r>
    </w:p>
    <w:p>
      <w:pPr>
        <w:pStyle w:val="BodyText"/>
      </w:pPr>
    </w:p>
    <w:p>
      <w:pPr>
        <w:pStyle w:val="BodyText"/>
        <w:spacing w:before="10"/>
        <w:rPr>
          <w:sz w:val="33"/>
        </w:rPr>
      </w:pPr>
    </w:p>
    <w:p>
      <w:pPr>
        <w:pStyle w:val="Heading2"/>
        <w:numPr>
          <w:ilvl w:val="1"/>
          <w:numId w:val="22"/>
        </w:numPr>
        <w:tabs>
          <w:tab w:pos="1406" w:val="left" w:leader="none"/>
          <w:tab w:pos="1407" w:val="left" w:leader="none"/>
          <w:tab w:pos="2931" w:val="left" w:leader="none"/>
          <w:tab w:pos="3669" w:val="left" w:leader="none"/>
          <w:tab w:pos="4100" w:val="left" w:leader="none"/>
          <w:tab w:pos="5611" w:val="left" w:leader="none"/>
          <w:tab w:pos="5975" w:val="left" w:leader="none"/>
          <w:tab w:pos="7063" w:val="left" w:leader="none"/>
          <w:tab w:pos="8090" w:val="left" w:leader="none"/>
          <w:tab w:pos="8598" w:val="left" w:leader="none"/>
        </w:tabs>
        <w:spacing w:line="268" w:lineRule="exact" w:before="1" w:after="0"/>
        <w:ind w:left="840" w:right="130" w:firstLine="0"/>
        <w:jc w:val="left"/>
      </w:pPr>
      <w:bookmarkStart w:name="_TOC_250008" w:id="46"/>
      <w:r>
        <w:rPr/>
        <w:t>Estrategias</w:t>
        <w:tab/>
        <w:t>para</w:t>
        <w:tab/>
        <w:t>la</w:t>
        <w:tab/>
        <w:t>prevención</w:t>
        <w:tab/>
        <w:t>y</w:t>
        <w:tab/>
        <w:t>gestión</w:t>
        <w:tab/>
        <w:t>urbana</w:t>
        <w:tab/>
        <w:t>en</w:t>
        <w:tab/>
        <w:t>los asentamientos humanos expuestos a las</w:t>
      </w:r>
      <w:r>
        <w:rPr>
          <w:spacing w:val="-31"/>
        </w:rPr>
        <w:t> </w:t>
      </w:r>
      <w:bookmarkEnd w:id="46"/>
      <w:r>
        <w:rPr/>
        <w:t>inundaciones.</w:t>
      </w:r>
    </w:p>
    <w:p>
      <w:pPr>
        <w:pStyle w:val="BodyText"/>
        <w:rPr>
          <w:b/>
        </w:rPr>
      </w:pPr>
    </w:p>
    <w:p>
      <w:pPr>
        <w:pStyle w:val="BodyText"/>
        <w:spacing w:before="7"/>
        <w:rPr>
          <w:b/>
          <w:sz w:val="28"/>
        </w:rPr>
      </w:pPr>
    </w:p>
    <w:p>
      <w:pPr>
        <w:pStyle w:val="BodyText"/>
        <w:spacing w:line="360" w:lineRule="auto"/>
        <w:ind w:left="119" w:right="118"/>
        <w:jc w:val="both"/>
      </w:pPr>
      <w:r>
        <w:rPr/>
        <w:t>Es importante enfatizar que es responsabilidad de los científicos y técnicos acercarse al mundo de la población, tratar de comprender sus problemas, vulnerabilidades reales y apoyar el desarrollo de propuestas apropiadas a su realidad. Sin este acercamiento las estrategias y acciones podrían fracasar.</w:t>
      </w:r>
    </w:p>
    <w:p>
      <w:pPr>
        <w:pStyle w:val="BodyText"/>
      </w:pPr>
    </w:p>
    <w:p>
      <w:pPr>
        <w:pStyle w:val="BodyText"/>
        <w:spacing w:before="5"/>
        <w:rPr>
          <w:sz w:val="33"/>
        </w:rPr>
      </w:pPr>
    </w:p>
    <w:p>
      <w:pPr>
        <w:pStyle w:val="BodyText"/>
        <w:spacing w:line="360" w:lineRule="auto"/>
        <w:ind w:left="119" w:right="114"/>
        <w:jc w:val="both"/>
      </w:pPr>
      <w:r>
        <w:rPr/>
        <w:t>La relación de los actores no es fácil, las experiencias y conocimientos de los científicos y técnicos no son superiores a las vivencias de la población. La relación que se forma espontáneamente no es simétrica,    complementaria o recíproca; es</w:t>
      </w:r>
    </w:p>
    <w:p>
      <w:pPr>
        <w:spacing w:after="0" w:line="360" w:lineRule="auto"/>
        <w:jc w:val="both"/>
        <w:sectPr>
          <w:pgSz w:w="12240" w:h="15840"/>
          <w:pgMar w:header="0" w:footer="1031" w:top="1360" w:bottom="1220" w:left="1580" w:right="1580"/>
        </w:sectPr>
      </w:pPr>
    </w:p>
    <w:p>
      <w:pPr>
        <w:pStyle w:val="BodyText"/>
        <w:spacing w:line="362" w:lineRule="auto" w:before="52"/>
        <w:ind w:left="119" w:right="118"/>
        <w:jc w:val="both"/>
      </w:pPr>
      <w:r>
        <w:rPr/>
        <w:t>una relación donde el poder juega un papel fundamental, este poder puede ser manejado en muy distintas formas, pero no puede ser negado ni ignorado.</w:t>
      </w:r>
    </w:p>
    <w:p>
      <w:pPr>
        <w:pStyle w:val="BodyText"/>
        <w:spacing w:line="360" w:lineRule="auto" w:before="120"/>
        <w:ind w:left="119" w:right="121"/>
        <w:jc w:val="both"/>
      </w:pPr>
      <w:r>
        <w:rPr/>
        <w:t>Vista como parte de un proceso, en esta estrategia la tecnología de la prevención puede convertirse en elemento dinamizador del desarrollo social, económico y cultural,</w:t>
      </w:r>
      <w:r>
        <w:rPr>
          <w:spacing w:val="-7"/>
        </w:rPr>
        <w:t> </w:t>
      </w:r>
      <w:r>
        <w:rPr/>
        <w:t>de</w:t>
      </w:r>
      <w:r>
        <w:rPr>
          <w:spacing w:val="-7"/>
        </w:rPr>
        <w:t> </w:t>
      </w:r>
      <w:r>
        <w:rPr/>
        <w:t>esta</w:t>
      </w:r>
      <w:r>
        <w:rPr>
          <w:spacing w:val="-7"/>
        </w:rPr>
        <w:t> </w:t>
      </w:r>
      <w:r>
        <w:rPr/>
        <w:t>forma,</w:t>
      </w:r>
      <w:r>
        <w:rPr>
          <w:spacing w:val="-7"/>
        </w:rPr>
        <w:t> </w:t>
      </w:r>
      <w:r>
        <w:rPr/>
        <w:t>la</w:t>
      </w:r>
      <w:r>
        <w:rPr>
          <w:spacing w:val="-7"/>
        </w:rPr>
        <w:t> </w:t>
      </w:r>
      <w:r>
        <w:rPr/>
        <w:t>tecnología,</w:t>
      </w:r>
      <w:r>
        <w:rPr>
          <w:spacing w:val="-12"/>
        </w:rPr>
        <w:t> </w:t>
      </w:r>
      <w:r>
        <w:rPr/>
        <w:t>su</w:t>
      </w:r>
      <w:r>
        <w:rPr>
          <w:spacing w:val="-7"/>
        </w:rPr>
        <w:t> </w:t>
      </w:r>
      <w:r>
        <w:rPr/>
        <w:t>adopción</w:t>
      </w:r>
      <w:r>
        <w:rPr>
          <w:spacing w:val="-12"/>
        </w:rPr>
        <w:t> </w:t>
      </w:r>
      <w:r>
        <w:rPr/>
        <w:t>y</w:t>
      </w:r>
      <w:r>
        <w:rPr>
          <w:spacing w:val="-8"/>
        </w:rPr>
        <w:t> </w:t>
      </w:r>
      <w:r>
        <w:rPr/>
        <w:t>difusión</w:t>
      </w:r>
      <w:r>
        <w:rPr>
          <w:spacing w:val="-7"/>
        </w:rPr>
        <w:t> </w:t>
      </w:r>
      <w:r>
        <w:rPr/>
        <w:t>dejan</w:t>
      </w:r>
      <w:r>
        <w:rPr>
          <w:spacing w:val="-7"/>
        </w:rPr>
        <w:t> </w:t>
      </w:r>
      <w:r>
        <w:rPr/>
        <w:t>de</w:t>
      </w:r>
      <w:r>
        <w:rPr>
          <w:spacing w:val="-12"/>
        </w:rPr>
        <w:t> </w:t>
      </w:r>
      <w:r>
        <w:rPr/>
        <w:t>ser</w:t>
      </w:r>
      <w:r>
        <w:rPr>
          <w:spacing w:val="-11"/>
        </w:rPr>
        <w:t> </w:t>
      </w:r>
      <w:r>
        <w:rPr/>
        <w:t>fines</w:t>
      </w:r>
      <w:r>
        <w:rPr>
          <w:spacing w:val="-8"/>
        </w:rPr>
        <w:t> </w:t>
      </w:r>
      <w:r>
        <w:rPr/>
        <w:t>en</w:t>
      </w:r>
      <w:r>
        <w:rPr>
          <w:spacing w:val="-7"/>
        </w:rPr>
        <w:t> </w:t>
      </w:r>
      <w:r>
        <w:rPr/>
        <w:t>sí mismos y se convierten en medios, que forman parte de un proceso de cambio. El éxito de cualquier estrategia debe ser apropiada a las condiciones reales y locales de</w:t>
      </w:r>
      <w:r>
        <w:rPr>
          <w:spacing w:val="-3"/>
        </w:rPr>
        <w:t> </w:t>
      </w:r>
      <w:r>
        <w:rPr/>
        <w:t>vulnerabilidad.</w:t>
      </w:r>
      <w:r>
        <w:rPr>
          <w:spacing w:val="-1"/>
        </w:rPr>
        <w:t> </w:t>
      </w:r>
      <w:r>
        <w:rPr/>
        <w:t>Es</w:t>
      </w:r>
      <w:r>
        <w:rPr>
          <w:spacing w:val="-8"/>
        </w:rPr>
        <w:t> </w:t>
      </w:r>
      <w:r>
        <w:rPr/>
        <w:t>importante</w:t>
      </w:r>
      <w:r>
        <w:rPr>
          <w:spacing w:val="-7"/>
        </w:rPr>
        <w:t> </w:t>
      </w:r>
      <w:r>
        <w:rPr/>
        <w:t>enfatizar</w:t>
      </w:r>
      <w:r>
        <w:rPr>
          <w:spacing w:val="-2"/>
        </w:rPr>
        <w:t> </w:t>
      </w:r>
      <w:r>
        <w:rPr/>
        <w:t>que</w:t>
      </w:r>
      <w:r>
        <w:rPr>
          <w:spacing w:val="-7"/>
        </w:rPr>
        <w:t> </w:t>
      </w:r>
      <w:r>
        <w:rPr/>
        <w:t>las</w:t>
      </w:r>
      <w:r>
        <w:rPr>
          <w:spacing w:val="-3"/>
        </w:rPr>
        <w:t> </w:t>
      </w:r>
      <w:r>
        <w:rPr/>
        <w:t>medidas</w:t>
      </w:r>
      <w:r>
        <w:rPr>
          <w:spacing w:val="-8"/>
        </w:rPr>
        <w:t> </w:t>
      </w:r>
      <w:r>
        <w:rPr/>
        <w:t>de</w:t>
      </w:r>
      <w:r>
        <w:rPr>
          <w:spacing w:val="-7"/>
        </w:rPr>
        <w:t> </w:t>
      </w:r>
      <w:r>
        <w:rPr/>
        <w:t>prevención</w:t>
      </w:r>
      <w:r>
        <w:rPr>
          <w:spacing w:val="-7"/>
        </w:rPr>
        <w:t> </w:t>
      </w:r>
      <w:r>
        <w:rPr/>
        <w:t>que</w:t>
      </w:r>
      <w:r>
        <w:rPr>
          <w:spacing w:val="-7"/>
        </w:rPr>
        <w:t> </w:t>
      </w:r>
      <w:r>
        <w:rPr/>
        <w:t>sean apropiadas</w:t>
      </w:r>
      <w:r>
        <w:rPr>
          <w:spacing w:val="-12"/>
        </w:rPr>
        <w:t> </w:t>
      </w:r>
      <w:r>
        <w:rPr/>
        <w:t>en</w:t>
      </w:r>
      <w:r>
        <w:rPr>
          <w:spacing w:val="-11"/>
        </w:rPr>
        <w:t> </w:t>
      </w:r>
      <w:r>
        <w:rPr/>
        <w:t>un</w:t>
      </w:r>
      <w:r>
        <w:rPr>
          <w:spacing w:val="-11"/>
        </w:rPr>
        <w:t> </w:t>
      </w:r>
      <w:r>
        <w:rPr/>
        <w:t>momento</w:t>
      </w:r>
      <w:r>
        <w:rPr>
          <w:spacing w:val="-10"/>
        </w:rPr>
        <w:t> </w:t>
      </w:r>
      <w:r>
        <w:rPr/>
        <w:t>dado</w:t>
      </w:r>
      <w:r>
        <w:rPr>
          <w:spacing w:val="-11"/>
        </w:rPr>
        <w:t> </w:t>
      </w:r>
      <w:r>
        <w:rPr/>
        <w:t>tendrían</w:t>
      </w:r>
      <w:r>
        <w:rPr>
          <w:spacing w:val="-11"/>
        </w:rPr>
        <w:t> </w:t>
      </w:r>
      <w:r>
        <w:rPr/>
        <w:t>que</w:t>
      </w:r>
      <w:r>
        <w:rPr>
          <w:spacing w:val="-15"/>
        </w:rPr>
        <w:t> </w:t>
      </w:r>
      <w:r>
        <w:rPr/>
        <w:t>ser</w:t>
      </w:r>
      <w:r>
        <w:rPr>
          <w:spacing w:val="-10"/>
        </w:rPr>
        <w:t> </w:t>
      </w:r>
      <w:r>
        <w:rPr/>
        <w:t>constantemente</w:t>
      </w:r>
      <w:r>
        <w:rPr>
          <w:spacing w:val="-10"/>
        </w:rPr>
        <w:t> </w:t>
      </w:r>
      <w:r>
        <w:rPr/>
        <w:t>cuestionadas</w:t>
      </w:r>
      <w:r>
        <w:rPr>
          <w:spacing w:val="-12"/>
        </w:rPr>
        <w:t> </w:t>
      </w:r>
      <w:r>
        <w:rPr/>
        <w:t>ya que</w:t>
      </w:r>
      <w:r>
        <w:rPr>
          <w:spacing w:val="-16"/>
        </w:rPr>
        <w:t> </w:t>
      </w:r>
      <w:r>
        <w:rPr/>
        <w:t>la</w:t>
      </w:r>
      <w:r>
        <w:rPr>
          <w:spacing w:val="-11"/>
        </w:rPr>
        <w:t> </w:t>
      </w:r>
      <w:r>
        <w:rPr/>
        <w:t>vulnerabilidad</w:t>
      </w:r>
      <w:r>
        <w:rPr>
          <w:spacing w:val="-11"/>
        </w:rPr>
        <w:t> </w:t>
      </w:r>
      <w:r>
        <w:rPr/>
        <w:t>no</w:t>
      </w:r>
      <w:r>
        <w:rPr>
          <w:spacing w:val="-7"/>
        </w:rPr>
        <w:t> </w:t>
      </w:r>
      <w:r>
        <w:rPr/>
        <w:t>es</w:t>
      </w:r>
      <w:r>
        <w:rPr>
          <w:spacing w:val="-16"/>
        </w:rPr>
        <w:t> </w:t>
      </w:r>
      <w:r>
        <w:rPr/>
        <w:t>estable,</w:t>
      </w:r>
      <w:r>
        <w:rPr>
          <w:spacing w:val="-16"/>
        </w:rPr>
        <w:t> </w:t>
      </w:r>
      <w:r>
        <w:rPr/>
        <w:t>cambia</w:t>
      </w:r>
      <w:r>
        <w:rPr>
          <w:spacing w:val="-11"/>
        </w:rPr>
        <w:t> </w:t>
      </w:r>
      <w:r>
        <w:rPr/>
        <w:t>según</w:t>
      </w:r>
      <w:r>
        <w:rPr>
          <w:spacing w:val="-16"/>
        </w:rPr>
        <w:t> </w:t>
      </w:r>
      <w:r>
        <w:rPr/>
        <w:t>las</w:t>
      </w:r>
      <w:r>
        <w:rPr>
          <w:spacing w:val="-12"/>
        </w:rPr>
        <w:t> </w:t>
      </w:r>
      <w:r>
        <w:rPr/>
        <w:t>condiciones</w:t>
      </w:r>
      <w:r>
        <w:rPr>
          <w:spacing w:val="-16"/>
        </w:rPr>
        <w:t> </w:t>
      </w:r>
      <w:r>
        <w:rPr/>
        <w:t>físicas</w:t>
      </w:r>
      <w:r>
        <w:rPr>
          <w:spacing w:val="-12"/>
        </w:rPr>
        <w:t> </w:t>
      </w:r>
      <w:r>
        <w:rPr/>
        <w:t>y</w:t>
      </w:r>
      <w:r>
        <w:rPr>
          <w:spacing w:val="-16"/>
        </w:rPr>
        <w:t> </w:t>
      </w:r>
      <w:r>
        <w:rPr/>
        <w:t>sociales.</w:t>
      </w:r>
    </w:p>
    <w:p>
      <w:pPr>
        <w:pStyle w:val="BodyText"/>
        <w:spacing w:line="360" w:lineRule="auto" w:before="122"/>
        <w:ind w:left="119" w:right="114"/>
        <w:jc w:val="both"/>
      </w:pPr>
      <w:r>
        <w:rPr/>
        <w:t>Cualquier acción de manejo en zonas vulnerables debe partir de la observancia de las disposiciones en la materia, el código quinto del Estado de México, en su título tercero dispone de la de la zonificación del territorio y de las disposiciones para su ocupación y ordenamiento, acompañadas de políticas de impulso, consolidación y control, así como áreas urbanas, áreas urbanizables programadas y no programadas y áreas no urbanizables, estás últimas requieren de un estudio que precise las condicionantes que en materia de servicios e infraestructura, vialidad y equipamiento deban generarse, a efecto de garantizar su integración al proceso</w:t>
      </w:r>
      <w:r>
        <w:rPr>
          <w:spacing w:val="-46"/>
        </w:rPr>
        <w:t> </w:t>
      </w:r>
      <w:r>
        <w:rPr/>
        <w:t>de desarrollo urbano ordenado de los centros de población. Sin embargo los factores </w:t>
      </w:r>
      <w:r>
        <w:rPr>
          <w:spacing w:val="-3"/>
        </w:rPr>
        <w:t>más </w:t>
      </w:r>
      <w:r>
        <w:rPr/>
        <w:t>importante derivan de la falta de cumplimiento a las disposiciones, lo que aunado</w:t>
      </w:r>
      <w:r>
        <w:rPr>
          <w:spacing w:val="-21"/>
        </w:rPr>
        <w:t> </w:t>
      </w:r>
      <w:r>
        <w:rPr/>
        <w:t>al</w:t>
      </w:r>
      <w:r>
        <w:rPr>
          <w:spacing w:val="-18"/>
        </w:rPr>
        <w:t> </w:t>
      </w:r>
      <w:r>
        <w:rPr/>
        <w:t>incremento</w:t>
      </w:r>
      <w:r>
        <w:rPr>
          <w:spacing w:val="-16"/>
        </w:rPr>
        <w:t> </w:t>
      </w:r>
      <w:r>
        <w:rPr/>
        <w:t>de</w:t>
      </w:r>
      <w:r>
        <w:rPr>
          <w:spacing w:val="-21"/>
        </w:rPr>
        <w:t> </w:t>
      </w:r>
      <w:r>
        <w:rPr/>
        <w:t>la</w:t>
      </w:r>
      <w:r>
        <w:rPr>
          <w:spacing w:val="-17"/>
        </w:rPr>
        <w:t> </w:t>
      </w:r>
      <w:r>
        <w:rPr/>
        <w:t>población</w:t>
      </w:r>
      <w:r>
        <w:rPr>
          <w:spacing w:val="-21"/>
        </w:rPr>
        <w:t> </w:t>
      </w:r>
      <w:r>
        <w:rPr/>
        <w:t>y</w:t>
      </w:r>
      <w:r>
        <w:rPr>
          <w:spacing w:val="-11"/>
        </w:rPr>
        <w:t> </w:t>
      </w:r>
      <w:r>
        <w:rPr/>
        <w:t>a</w:t>
      </w:r>
      <w:r>
        <w:rPr>
          <w:spacing w:val="-26"/>
        </w:rPr>
        <w:t> </w:t>
      </w:r>
      <w:r>
        <w:rPr/>
        <w:t>la</w:t>
      </w:r>
      <w:r>
        <w:rPr>
          <w:spacing w:val="-21"/>
        </w:rPr>
        <w:t> </w:t>
      </w:r>
      <w:r>
        <w:rPr/>
        <w:t>demanda</w:t>
      </w:r>
      <w:r>
        <w:rPr>
          <w:spacing w:val="-17"/>
        </w:rPr>
        <w:t> </w:t>
      </w:r>
      <w:r>
        <w:rPr/>
        <w:t>de</w:t>
      </w:r>
      <w:r>
        <w:rPr>
          <w:spacing w:val="-17"/>
        </w:rPr>
        <w:t> </w:t>
      </w:r>
      <w:r>
        <w:rPr/>
        <w:t>un</w:t>
      </w:r>
      <w:r>
        <w:rPr>
          <w:spacing w:val="-21"/>
        </w:rPr>
        <w:t> </w:t>
      </w:r>
      <w:r>
        <w:rPr/>
        <w:t>lugar</w:t>
      </w:r>
      <w:r>
        <w:rPr>
          <w:spacing w:val="-20"/>
        </w:rPr>
        <w:t> </w:t>
      </w:r>
      <w:r>
        <w:rPr/>
        <w:t>para</w:t>
      </w:r>
      <w:r>
        <w:rPr>
          <w:spacing w:val="-17"/>
        </w:rPr>
        <w:t> </w:t>
      </w:r>
      <w:r>
        <w:rPr/>
        <w:t>vivir,</w:t>
      </w:r>
      <w:r>
        <w:rPr>
          <w:spacing w:val="-12"/>
        </w:rPr>
        <w:t> </w:t>
      </w:r>
      <w:r>
        <w:rPr/>
        <w:t>soslayan la importancia de la planificación urbana, lo que repercute en el incremento de la vulnerabilidad de los asentamientos</w:t>
      </w:r>
      <w:r>
        <w:rPr>
          <w:spacing w:val="-23"/>
        </w:rPr>
        <w:t> </w:t>
      </w:r>
      <w:r>
        <w:rPr/>
        <w:t>humanos.</w:t>
      </w:r>
    </w:p>
    <w:p>
      <w:pPr>
        <w:pStyle w:val="BodyText"/>
      </w:pPr>
    </w:p>
    <w:p>
      <w:pPr>
        <w:pStyle w:val="BodyText"/>
        <w:spacing w:line="360" w:lineRule="auto" w:before="140"/>
        <w:ind w:left="119" w:right="114"/>
        <w:jc w:val="both"/>
      </w:pPr>
      <w:r>
        <w:rPr/>
        <w:t>Por lo anterior es imprescindible que cualquier acción de prevención y </w:t>
      </w:r>
      <w:r>
        <w:rPr>
          <w:spacing w:val="-3"/>
        </w:rPr>
        <w:t>manejo </w:t>
      </w:r>
      <w:r>
        <w:rPr/>
        <w:t>en zonas vulnerables debe partir de un consenso local participativo, donde los habitantes y los sectores involucrados sean los actores activos en todo el proceso, en este sentido la clave en un plan de prevención de riesgo por inundaciones, es</w:t>
      </w:r>
      <w:r>
        <w:rPr>
          <w:spacing w:val="-41"/>
        </w:rPr>
        <w:t> </w:t>
      </w:r>
      <w:r>
        <w:rPr/>
        <w:t>la organización y participación directa de la comunidad en la planificación y ejecución de</w:t>
      </w:r>
      <w:r>
        <w:rPr>
          <w:spacing w:val="-12"/>
        </w:rPr>
        <w:t> </w:t>
      </w:r>
      <w:r>
        <w:rPr/>
        <w:t>los</w:t>
      </w:r>
      <w:r>
        <w:rPr>
          <w:spacing w:val="-12"/>
        </w:rPr>
        <w:t> </w:t>
      </w:r>
      <w:r>
        <w:rPr/>
        <w:t>trabajos</w:t>
      </w:r>
      <w:r>
        <w:rPr>
          <w:spacing w:val="-13"/>
        </w:rPr>
        <w:t> </w:t>
      </w:r>
      <w:r>
        <w:rPr/>
        <w:t>para</w:t>
      </w:r>
      <w:r>
        <w:rPr>
          <w:spacing w:val="-12"/>
        </w:rPr>
        <w:t> </w:t>
      </w:r>
      <w:r>
        <w:rPr/>
        <w:t>prevenir</w:t>
      </w:r>
      <w:r>
        <w:rPr>
          <w:spacing w:val="-12"/>
        </w:rPr>
        <w:t> </w:t>
      </w:r>
      <w:r>
        <w:rPr/>
        <w:t>y</w:t>
      </w:r>
      <w:r>
        <w:rPr>
          <w:spacing w:val="-13"/>
        </w:rPr>
        <w:t> </w:t>
      </w:r>
      <w:r>
        <w:rPr/>
        <w:t>mitigar</w:t>
      </w:r>
      <w:r>
        <w:rPr>
          <w:spacing w:val="-16"/>
        </w:rPr>
        <w:t> </w:t>
      </w:r>
      <w:r>
        <w:rPr/>
        <w:t>los</w:t>
      </w:r>
      <w:r>
        <w:rPr>
          <w:spacing w:val="-17"/>
        </w:rPr>
        <w:t> </w:t>
      </w:r>
      <w:r>
        <w:rPr/>
        <w:t>riesgos</w:t>
      </w:r>
      <w:r>
        <w:rPr>
          <w:spacing w:val="-13"/>
        </w:rPr>
        <w:t> </w:t>
      </w:r>
      <w:r>
        <w:rPr/>
        <w:t>por</w:t>
      </w:r>
      <w:r>
        <w:rPr>
          <w:spacing w:val="-11"/>
        </w:rPr>
        <w:t> </w:t>
      </w:r>
      <w:r>
        <w:rPr/>
        <w:t>causas</w:t>
      </w:r>
      <w:r>
        <w:rPr>
          <w:spacing w:val="-13"/>
        </w:rPr>
        <w:t> </w:t>
      </w:r>
      <w:r>
        <w:rPr/>
        <w:t>antrópicas</w:t>
      </w:r>
      <w:r>
        <w:rPr>
          <w:spacing w:val="-17"/>
        </w:rPr>
        <w:t> </w:t>
      </w:r>
      <w:r>
        <w:rPr/>
        <w:t>o</w:t>
      </w:r>
      <w:r>
        <w:rPr>
          <w:spacing w:val="-12"/>
        </w:rPr>
        <w:t> </w:t>
      </w:r>
      <w:r>
        <w:rPr/>
        <w:t>naturales.</w:t>
      </w:r>
    </w:p>
    <w:p>
      <w:pPr>
        <w:spacing w:after="0" w:line="360" w:lineRule="auto"/>
        <w:jc w:val="both"/>
        <w:sectPr>
          <w:pgSz w:w="12240" w:h="15840"/>
          <w:pgMar w:header="0" w:footer="1031" w:top="1360" w:bottom="1220" w:left="1580" w:right="1580"/>
        </w:sectPr>
      </w:pPr>
    </w:p>
    <w:p>
      <w:pPr>
        <w:pStyle w:val="BodyText"/>
        <w:spacing w:line="362" w:lineRule="auto" w:before="52"/>
        <w:ind w:left="119" w:right="114"/>
        <w:jc w:val="both"/>
      </w:pPr>
      <w:r>
        <w:rPr/>
        <w:t>A continuación se presentarán las actividades que se proponen para</w:t>
      </w:r>
      <w:r>
        <w:rPr>
          <w:spacing w:val="-45"/>
        </w:rPr>
        <w:t> </w:t>
      </w:r>
      <w:r>
        <w:rPr/>
        <w:t>formar grupos organizados:</w:t>
      </w:r>
    </w:p>
    <w:p>
      <w:pPr>
        <w:pStyle w:val="BodyText"/>
        <w:spacing w:before="11"/>
        <w:rPr>
          <w:sz w:val="35"/>
        </w:rPr>
      </w:pPr>
    </w:p>
    <w:p>
      <w:pPr>
        <w:pStyle w:val="BodyText"/>
        <w:spacing w:line="360" w:lineRule="auto"/>
        <w:ind w:left="119" w:right="113"/>
        <w:jc w:val="both"/>
      </w:pPr>
      <w:r>
        <w:rPr/>
        <w:t>El</w:t>
      </w:r>
      <w:r>
        <w:rPr>
          <w:spacing w:val="-12"/>
        </w:rPr>
        <w:t> </w:t>
      </w:r>
      <w:r>
        <w:rPr/>
        <w:t>primer</w:t>
      </w:r>
      <w:r>
        <w:rPr>
          <w:spacing w:val="-15"/>
        </w:rPr>
        <w:t> </w:t>
      </w:r>
      <w:r>
        <w:rPr/>
        <w:t>paso</w:t>
      </w:r>
      <w:r>
        <w:rPr>
          <w:spacing w:val="-16"/>
        </w:rPr>
        <w:t> </w:t>
      </w:r>
      <w:r>
        <w:rPr/>
        <w:t>es</w:t>
      </w:r>
      <w:r>
        <w:rPr>
          <w:spacing w:val="-21"/>
        </w:rPr>
        <w:t> </w:t>
      </w:r>
      <w:r>
        <w:rPr/>
        <w:t>la</w:t>
      </w:r>
      <w:r>
        <w:rPr>
          <w:spacing w:val="-16"/>
        </w:rPr>
        <w:t> </w:t>
      </w:r>
      <w:r>
        <w:rPr/>
        <w:t>formación</w:t>
      </w:r>
      <w:r>
        <w:rPr>
          <w:spacing w:val="-14"/>
        </w:rPr>
        <w:t> </w:t>
      </w:r>
      <w:r>
        <w:rPr>
          <w:spacing w:val="-3"/>
        </w:rPr>
        <w:t>del</w:t>
      </w:r>
      <w:r>
        <w:rPr>
          <w:spacing w:val="-12"/>
        </w:rPr>
        <w:t> </w:t>
      </w:r>
      <w:r>
        <w:rPr/>
        <w:t>equipo</w:t>
      </w:r>
      <w:r>
        <w:rPr>
          <w:spacing w:val="-19"/>
        </w:rPr>
        <w:t> </w:t>
      </w:r>
      <w:r>
        <w:rPr/>
        <w:t>organizador,</w:t>
      </w:r>
      <w:r>
        <w:rPr>
          <w:spacing w:val="-16"/>
        </w:rPr>
        <w:t> </w:t>
      </w:r>
      <w:r>
        <w:rPr/>
        <w:t>el</w:t>
      </w:r>
      <w:r>
        <w:rPr>
          <w:spacing w:val="-12"/>
        </w:rPr>
        <w:t> </w:t>
      </w:r>
      <w:r>
        <w:rPr/>
        <w:t>cual</w:t>
      </w:r>
      <w:r>
        <w:rPr>
          <w:spacing w:val="-11"/>
        </w:rPr>
        <w:t> </w:t>
      </w:r>
      <w:r>
        <w:rPr/>
        <w:t>debe</w:t>
      </w:r>
      <w:r>
        <w:rPr>
          <w:spacing w:val="-20"/>
        </w:rPr>
        <w:t> </w:t>
      </w:r>
      <w:r>
        <w:rPr/>
        <w:t>estar</w:t>
      </w:r>
      <w:r>
        <w:rPr>
          <w:spacing w:val="-15"/>
        </w:rPr>
        <w:t> </w:t>
      </w:r>
      <w:r>
        <w:rPr/>
        <w:t>compuesto por líderes de la comunidad. Esas personas deben estar dispuestas a ejecutar las actividades para el buen funcionamiento del plan, monitoreando que los diferentes grupos</w:t>
      </w:r>
      <w:r>
        <w:rPr>
          <w:spacing w:val="-11"/>
        </w:rPr>
        <w:t> </w:t>
      </w:r>
      <w:r>
        <w:rPr/>
        <w:t>cumplan</w:t>
      </w:r>
      <w:r>
        <w:rPr>
          <w:spacing w:val="-15"/>
        </w:rPr>
        <w:t> </w:t>
      </w:r>
      <w:r>
        <w:rPr/>
        <w:t>las</w:t>
      </w:r>
      <w:r>
        <w:rPr>
          <w:spacing w:val="-11"/>
        </w:rPr>
        <w:t> </w:t>
      </w:r>
      <w:r>
        <w:rPr/>
        <w:t>tareas</w:t>
      </w:r>
      <w:r>
        <w:rPr>
          <w:spacing w:val="-11"/>
        </w:rPr>
        <w:t> </w:t>
      </w:r>
      <w:r>
        <w:rPr/>
        <w:t>de</w:t>
      </w:r>
      <w:r>
        <w:rPr>
          <w:spacing w:val="-10"/>
        </w:rPr>
        <w:t> </w:t>
      </w:r>
      <w:r>
        <w:rPr/>
        <w:t>acuerdo</w:t>
      </w:r>
      <w:r>
        <w:rPr>
          <w:spacing w:val="-10"/>
        </w:rPr>
        <w:t> </w:t>
      </w:r>
      <w:r>
        <w:rPr/>
        <w:t>a</w:t>
      </w:r>
      <w:r>
        <w:rPr>
          <w:spacing w:val="-10"/>
        </w:rPr>
        <w:t> </w:t>
      </w:r>
      <w:r>
        <w:rPr/>
        <w:t>un</w:t>
      </w:r>
      <w:r>
        <w:rPr>
          <w:spacing w:val="-10"/>
        </w:rPr>
        <w:t> </w:t>
      </w:r>
      <w:r>
        <w:rPr/>
        <w:t>manual</w:t>
      </w:r>
      <w:r>
        <w:rPr>
          <w:spacing w:val="-6"/>
        </w:rPr>
        <w:t> </w:t>
      </w:r>
      <w:r>
        <w:rPr/>
        <w:t>de</w:t>
      </w:r>
      <w:r>
        <w:rPr>
          <w:spacing w:val="-10"/>
        </w:rPr>
        <w:t> </w:t>
      </w:r>
      <w:r>
        <w:rPr/>
        <w:t>procedimientos</w:t>
      </w:r>
      <w:r>
        <w:rPr>
          <w:spacing w:val="-11"/>
        </w:rPr>
        <w:t> </w:t>
      </w:r>
      <w:r>
        <w:rPr/>
        <w:t>del</w:t>
      </w:r>
      <w:r>
        <w:rPr>
          <w:spacing w:val="-6"/>
        </w:rPr>
        <w:t> </w:t>
      </w:r>
      <w:r>
        <w:rPr/>
        <w:t>plan,</w:t>
      </w:r>
      <w:r>
        <w:rPr>
          <w:spacing w:val="-10"/>
        </w:rPr>
        <w:t> </w:t>
      </w:r>
      <w:r>
        <w:rPr/>
        <w:t>que deberán diseñar. Estos líderes son figuras como los presidentes de las organizaciones no gubernamentales (ONG), o del sector público, asociaciones vecinales, etc.</w:t>
      </w:r>
    </w:p>
    <w:p>
      <w:pPr>
        <w:pStyle w:val="BodyText"/>
      </w:pPr>
    </w:p>
    <w:p>
      <w:pPr>
        <w:pStyle w:val="BodyText"/>
        <w:spacing w:line="360" w:lineRule="auto" w:before="139"/>
        <w:ind w:left="119" w:right="118"/>
        <w:jc w:val="both"/>
      </w:pPr>
      <w:r>
        <w:rPr/>
        <w:t>El segundo paso es conformar grupos de trabajo los cuales deberá convocar a la comunidad en general para exponer dos fines concretos, explicar en qué consiste un</w:t>
      </w:r>
      <w:r>
        <w:rPr>
          <w:spacing w:val="-7"/>
        </w:rPr>
        <w:t> </w:t>
      </w:r>
      <w:r>
        <w:rPr/>
        <w:t>plan</w:t>
      </w:r>
      <w:r>
        <w:rPr>
          <w:spacing w:val="-12"/>
        </w:rPr>
        <w:t> </w:t>
      </w:r>
      <w:r>
        <w:rPr/>
        <w:t>y</w:t>
      </w:r>
      <w:r>
        <w:rPr>
          <w:spacing w:val="-13"/>
        </w:rPr>
        <w:t> </w:t>
      </w:r>
      <w:r>
        <w:rPr/>
        <w:t>la</w:t>
      </w:r>
      <w:r>
        <w:rPr>
          <w:spacing w:val="-12"/>
        </w:rPr>
        <w:t> </w:t>
      </w:r>
      <w:r>
        <w:rPr/>
        <w:t>necesidad</w:t>
      </w:r>
      <w:r>
        <w:rPr>
          <w:spacing w:val="-4"/>
        </w:rPr>
        <w:t> </w:t>
      </w:r>
      <w:r>
        <w:rPr/>
        <w:t>de</w:t>
      </w:r>
      <w:r>
        <w:rPr>
          <w:spacing w:val="-12"/>
        </w:rPr>
        <w:t> </w:t>
      </w:r>
      <w:r>
        <w:rPr/>
        <w:t>la</w:t>
      </w:r>
      <w:r>
        <w:rPr>
          <w:spacing w:val="-12"/>
        </w:rPr>
        <w:t> </w:t>
      </w:r>
      <w:r>
        <w:rPr/>
        <w:t>participación</w:t>
      </w:r>
      <w:r>
        <w:rPr>
          <w:spacing w:val="-7"/>
        </w:rPr>
        <w:t> </w:t>
      </w:r>
      <w:r>
        <w:rPr/>
        <w:t>ciudadana,</w:t>
      </w:r>
      <w:r>
        <w:rPr>
          <w:spacing w:val="-12"/>
        </w:rPr>
        <w:t> </w:t>
      </w:r>
      <w:r>
        <w:rPr/>
        <w:t>haciendo</w:t>
      </w:r>
      <w:r>
        <w:rPr>
          <w:spacing w:val="-7"/>
        </w:rPr>
        <w:t> </w:t>
      </w:r>
      <w:r>
        <w:rPr/>
        <w:t>especial</w:t>
      </w:r>
      <w:r>
        <w:rPr>
          <w:spacing w:val="-5"/>
        </w:rPr>
        <w:t> </w:t>
      </w:r>
      <w:r>
        <w:rPr/>
        <w:t>hincapié</w:t>
      </w:r>
      <w:r>
        <w:rPr>
          <w:spacing w:val="-7"/>
        </w:rPr>
        <w:t> </w:t>
      </w:r>
      <w:r>
        <w:rPr/>
        <w:t>en las ventajas de estar organizados para la prevención. Estos grupos estarán encargados de la construcción e instalación y lectura de los instrumentos de medición, estos son los pluviómetros y las escalas hidrométricas sujetas a estructuras fijas o en</w:t>
      </w:r>
      <w:r>
        <w:rPr>
          <w:spacing w:val="-10"/>
        </w:rPr>
        <w:t> </w:t>
      </w:r>
      <w:r>
        <w:rPr/>
        <w:t>serie.</w:t>
      </w:r>
    </w:p>
    <w:p>
      <w:pPr>
        <w:pStyle w:val="BodyText"/>
      </w:pPr>
    </w:p>
    <w:p>
      <w:pPr>
        <w:pStyle w:val="BodyText"/>
        <w:spacing w:line="360" w:lineRule="auto" w:before="139"/>
        <w:ind w:left="119" w:right="110"/>
        <w:jc w:val="both"/>
      </w:pPr>
      <w:r>
        <w:rPr/>
        <w:t>Posteriormente se tiene que elaborar un mapa de la situación actual de la comunidad, en el que se mostrará de forma sencilla y clara los caminos, espacios urbanizados, colegios, municipalidad, iglesia, clubes, puentes, zonas de cultivos, espacios altos y bajos, y/o lo que la experiencia les dicte. En caso de que hubiere un mapa de la comunidad que reúna esas características se deberá verificar que refleje la realidad actual.</w:t>
      </w:r>
    </w:p>
    <w:p>
      <w:pPr>
        <w:pStyle w:val="BodyText"/>
      </w:pPr>
    </w:p>
    <w:p>
      <w:pPr>
        <w:pStyle w:val="BodyText"/>
        <w:spacing w:line="360" w:lineRule="auto" w:before="144"/>
        <w:ind w:left="119" w:right="114"/>
        <w:jc w:val="both"/>
      </w:pPr>
      <w:r>
        <w:rPr/>
        <w:t>Una vez elaborado el mapa se realizará un mapa de las zonas vulnerables a inundaciones: Para la elaboración del mapa se requiere del procesamiento previo de</w:t>
      </w:r>
      <w:r>
        <w:rPr>
          <w:spacing w:val="-10"/>
        </w:rPr>
        <w:t> </w:t>
      </w:r>
      <w:r>
        <w:rPr/>
        <w:t>los</w:t>
      </w:r>
      <w:r>
        <w:rPr>
          <w:spacing w:val="-16"/>
        </w:rPr>
        <w:t> </w:t>
      </w:r>
      <w:r>
        <w:rPr/>
        <w:t>datos</w:t>
      </w:r>
      <w:r>
        <w:rPr>
          <w:spacing w:val="-12"/>
        </w:rPr>
        <w:t> </w:t>
      </w:r>
      <w:r>
        <w:rPr/>
        <w:t>históricos</w:t>
      </w:r>
      <w:r>
        <w:rPr>
          <w:spacing w:val="-12"/>
        </w:rPr>
        <w:t> </w:t>
      </w:r>
      <w:r>
        <w:rPr/>
        <w:t>e</w:t>
      </w:r>
      <w:r>
        <w:rPr>
          <w:spacing w:val="-16"/>
        </w:rPr>
        <w:t> </w:t>
      </w:r>
      <w:r>
        <w:rPr/>
        <w:t>información</w:t>
      </w:r>
      <w:r>
        <w:rPr>
          <w:spacing w:val="-11"/>
        </w:rPr>
        <w:t> </w:t>
      </w:r>
      <w:r>
        <w:rPr/>
        <w:t>hidrológica,</w:t>
      </w:r>
      <w:r>
        <w:rPr>
          <w:spacing w:val="-11"/>
        </w:rPr>
        <w:t> </w:t>
      </w:r>
      <w:r>
        <w:rPr>
          <w:spacing w:val="-3"/>
        </w:rPr>
        <w:t>más</w:t>
      </w:r>
      <w:r>
        <w:rPr>
          <w:spacing w:val="-12"/>
        </w:rPr>
        <w:t> </w:t>
      </w:r>
      <w:r>
        <w:rPr/>
        <w:t>la</w:t>
      </w:r>
      <w:r>
        <w:rPr>
          <w:spacing w:val="-11"/>
        </w:rPr>
        <w:t> </w:t>
      </w:r>
      <w:r>
        <w:rPr/>
        <w:t>utilización</w:t>
      </w:r>
      <w:r>
        <w:rPr>
          <w:spacing w:val="-16"/>
        </w:rPr>
        <w:t> </w:t>
      </w:r>
      <w:r>
        <w:rPr/>
        <w:t>del</w:t>
      </w:r>
      <w:r>
        <w:rPr>
          <w:spacing w:val="-7"/>
        </w:rPr>
        <w:t> </w:t>
      </w:r>
      <w:r>
        <w:rPr/>
        <w:t>conocimiento y la experiencia de la comunidad  afectada por inundaciones anteriores.   </w:t>
      </w:r>
      <w:r>
        <w:rPr>
          <w:spacing w:val="15"/>
        </w:rPr>
        <w:t> </w:t>
      </w:r>
      <w:r>
        <w:rPr>
          <w:spacing w:val="-3"/>
        </w:rPr>
        <w:t>De  </w:t>
      </w:r>
      <w:r>
        <w:rPr/>
        <w:t>esta</w:t>
      </w:r>
    </w:p>
    <w:p>
      <w:pPr>
        <w:spacing w:after="0" w:line="360" w:lineRule="auto"/>
        <w:jc w:val="both"/>
        <w:sectPr>
          <w:pgSz w:w="12240" w:h="15840"/>
          <w:pgMar w:header="0" w:footer="1031" w:top="1360" w:bottom="1220" w:left="1580" w:right="1580"/>
        </w:sectPr>
      </w:pPr>
    </w:p>
    <w:p>
      <w:pPr>
        <w:pStyle w:val="BodyText"/>
        <w:spacing w:line="362" w:lineRule="auto" w:before="52"/>
        <w:ind w:left="119" w:right="117"/>
        <w:jc w:val="both"/>
      </w:pPr>
      <w:r>
        <w:rPr/>
        <w:t>manera, cruzando los datos se obtendrá información relevante para elaborar el mapa de vulnerabilidad.</w:t>
      </w:r>
    </w:p>
    <w:p>
      <w:pPr>
        <w:pStyle w:val="BodyText"/>
        <w:spacing w:before="11"/>
        <w:rPr>
          <w:sz w:val="35"/>
        </w:rPr>
      </w:pPr>
    </w:p>
    <w:p>
      <w:pPr>
        <w:pStyle w:val="BodyText"/>
        <w:spacing w:line="360" w:lineRule="auto"/>
        <w:ind w:left="119" w:right="115"/>
        <w:jc w:val="both"/>
      </w:pPr>
      <w:r>
        <w:rPr/>
        <w:t>Las personas voluntarias de este grupo tendrán la tarea de ejecutar los planes de emergencia. Previamente a la respuesta ante la inundación, deben desarrollar e implementar un sistema de comunicación para hacer conocer a la comunidad los planes de emergencia. Estos son los pasos mínimos que se recomiendan, es importante que en las reuniones tanto informativas como en la de formación del equipo organizador, los grupos de trabajo y los de elaboración de los mapas se incorpore a un responsable de las instituciones gubernamentales, como son los de protección civil, lo cual dará mayor validez y veracidad al proceso.</w:t>
      </w:r>
    </w:p>
    <w:p>
      <w:pPr>
        <w:pStyle w:val="BodyText"/>
      </w:pPr>
    </w:p>
    <w:p>
      <w:pPr>
        <w:pStyle w:val="BodyText"/>
        <w:spacing w:line="360" w:lineRule="auto" w:before="139"/>
        <w:ind w:left="119" w:right="113"/>
        <w:jc w:val="both"/>
      </w:pPr>
      <w:r>
        <w:rPr/>
        <w:t>Otra</w:t>
      </w:r>
      <w:r>
        <w:rPr>
          <w:spacing w:val="-12"/>
        </w:rPr>
        <w:t> </w:t>
      </w:r>
      <w:r>
        <w:rPr/>
        <w:t>estrategia</w:t>
      </w:r>
      <w:r>
        <w:rPr>
          <w:spacing w:val="-17"/>
        </w:rPr>
        <w:t> </w:t>
      </w:r>
      <w:r>
        <w:rPr/>
        <w:t>importante</w:t>
      </w:r>
      <w:r>
        <w:rPr>
          <w:spacing w:val="-11"/>
        </w:rPr>
        <w:t> </w:t>
      </w:r>
      <w:r>
        <w:rPr/>
        <w:t>de</w:t>
      </w:r>
      <w:r>
        <w:rPr>
          <w:spacing w:val="-12"/>
        </w:rPr>
        <w:t> </w:t>
      </w:r>
      <w:r>
        <w:rPr/>
        <w:t>prevención</w:t>
      </w:r>
      <w:r>
        <w:rPr>
          <w:spacing w:val="-12"/>
        </w:rPr>
        <w:t> </w:t>
      </w:r>
      <w:r>
        <w:rPr/>
        <w:t>en</w:t>
      </w:r>
      <w:r>
        <w:rPr>
          <w:spacing w:val="-8"/>
        </w:rPr>
        <w:t> </w:t>
      </w:r>
      <w:r>
        <w:rPr/>
        <w:t>los</w:t>
      </w:r>
      <w:r>
        <w:rPr>
          <w:spacing w:val="-13"/>
        </w:rPr>
        <w:t> </w:t>
      </w:r>
      <w:r>
        <w:rPr/>
        <w:t>asentamientos</w:t>
      </w:r>
      <w:r>
        <w:rPr>
          <w:spacing w:val="-13"/>
        </w:rPr>
        <w:t> </w:t>
      </w:r>
      <w:r>
        <w:rPr/>
        <w:t>humanos</w:t>
      </w:r>
      <w:r>
        <w:rPr>
          <w:spacing w:val="-13"/>
        </w:rPr>
        <w:t> </w:t>
      </w:r>
      <w:r>
        <w:rPr/>
        <w:t>expuestos a las inundaciones, con base en la identificación y delimitación de las zonas vulnerables y desde una perspectiva del ámbito fisiográfico, se proponen las siguientes estrategias y acciones que ayudarían a la corrección de las cuencas de la zona de estudio, la finalidad es tener bajo control la presencia de un fenómeno natural, cuyas acciones permitan el desarrollo de las diferentes actividades humanas, controlando para ello </w:t>
      </w:r>
      <w:r>
        <w:rPr>
          <w:spacing w:val="3"/>
        </w:rPr>
        <w:t>los </w:t>
      </w:r>
      <w:r>
        <w:rPr/>
        <w:t>fenómenos de evolución de la corteza terrestre y que representan un constante factor de riesgo por la presencia humana, lo que destaca que las causas de los daños de origen natural resultan inducidas o acentuadas por la actividad</w:t>
      </w:r>
      <w:r>
        <w:rPr>
          <w:spacing w:val="-16"/>
        </w:rPr>
        <w:t> </w:t>
      </w:r>
      <w:r>
        <w:rPr/>
        <w:t>antrópica.</w:t>
      </w:r>
    </w:p>
    <w:p>
      <w:pPr>
        <w:pStyle w:val="BodyText"/>
      </w:pPr>
    </w:p>
    <w:p>
      <w:pPr>
        <w:pStyle w:val="BodyText"/>
        <w:spacing w:line="360" w:lineRule="auto" w:before="139"/>
        <w:ind w:left="119" w:right="121"/>
        <w:jc w:val="both"/>
      </w:pPr>
      <w:r>
        <w:rPr/>
        <w:t>La corrección de la cuenca se debe realizar mediante intervenciones de carácter extensivo e intensivo.</w:t>
      </w:r>
    </w:p>
    <w:p>
      <w:pPr>
        <w:pStyle w:val="BodyText"/>
        <w:spacing w:line="362" w:lineRule="auto" w:before="2"/>
        <w:ind w:left="119" w:right="117"/>
        <w:jc w:val="both"/>
      </w:pPr>
      <w:r>
        <w:rPr/>
        <w:t>Las intervenciones extensivas a considerar se deberán aplicar a la totalidad de la cuenca y comprenden:</w:t>
      </w:r>
    </w:p>
    <w:p>
      <w:pPr>
        <w:pStyle w:val="BodyText"/>
        <w:spacing w:before="9"/>
        <w:rPr>
          <w:sz w:val="35"/>
        </w:rPr>
      </w:pPr>
    </w:p>
    <w:p>
      <w:pPr>
        <w:pStyle w:val="ListParagraph"/>
        <w:numPr>
          <w:ilvl w:val="0"/>
          <w:numId w:val="23"/>
        </w:numPr>
        <w:tabs>
          <w:tab w:pos="840" w:val="left" w:leader="none"/>
          <w:tab w:pos="841" w:val="left" w:leader="none"/>
        </w:tabs>
        <w:spacing w:line="355" w:lineRule="auto" w:before="0" w:after="0"/>
        <w:ind w:left="840" w:right="118" w:hanging="360"/>
        <w:jc w:val="left"/>
        <w:rPr>
          <w:sz w:val="24"/>
        </w:rPr>
      </w:pPr>
      <w:r>
        <w:rPr>
          <w:sz w:val="24"/>
        </w:rPr>
        <w:t>Obras de mejoramiento de la cobertura vegetal, así como del estado de los bosques,  la  potencialidad  de  </w:t>
      </w:r>
      <w:r>
        <w:rPr>
          <w:spacing w:val="-3"/>
          <w:sz w:val="24"/>
        </w:rPr>
        <w:t>su  </w:t>
      </w:r>
      <w:r>
        <w:rPr>
          <w:sz w:val="24"/>
        </w:rPr>
        <w:t>función  antierosiva  y  de  regulación,</w:t>
      </w:r>
      <w:r>
        <w:rPr>
          <w:spacing w:val="61"/>
          <w:sz w:val="24"/>
        </w:rPr>
        <w:t> </w:t>
      </w:r>
      <w:r>
        <w:rPr>
          <w:sz w:val="24"/>
        </w:rPr>
        <w:t>la</w:t>
      </w:r>
    </w:p>
    <w:p>
      <w:pPr>
        <w:spacing w:after="0" w:line="355" w:lineRule="auto"/>
        <w:jc w:val="left"/>
        <w:rPr>
          <w:sz w:val="24"/>
        </w:rPr>
        <w:sectPr>
          <w:pgSz w:w="12240" w:h="15840"/>
          <w:pgMar w:header="0" w:footer="1031" w:top="1360" w:bottom="1220" w:left="1580" w:right="1580"/>
        </w:sectPr>
      </w:pPr>
    </w:p>
    <w:p>
      <w:pPr>
        <w:pStyle w:val="BodyText"/>
        <w:spacing w:line="362" w:lineRule="auto" w:before="52"/>
        <w:ind w:left="840"/>
      </w:pPr>
      <w:r>
        <w:rPr/>
        <w:t>reducción de la superficie descubierta (deforestación) y el correcto uso del suelo (prácticas agrícolas).</w:t>
      </w:r>
    </w:p>
    <w:p>
      <w:pPr>
        <w:pStyle w:val="BodyText"/>
        <w:spacing w:before="9"/>
        <w:rPr>
          <w:sz w:val="35"/>
        </w:rPr>
      </w:pPr>
    </w:p>
    <w:p>
      <w:pPr>
        <w:pStyle w:val="ListParagraph"/>
        <w:numPr>
          <w:ilvl w:val="0"/>
          <w:numId w:val="23"/>
        </w:numPr>
        <w:tabs>
          <w:tab w:pos="841" w:val="left" w:leader="none"/>
        </w:tabs>
        <w:spacing w:line="360" w:lineRule="auto" w:before="0" w:after="0"/>
        <w:ind w:left="840" w:right="98" w:hanging="360"/>
        <w:jc w:val="both"/>
        <w:rPr>
          <w:sz w:val="24"/>
        </w:rPr>
      </w:pPr>
      <w:r>
        <w:rPr>
          <w:sz w:val="24"/>
        </w:rPr>
        <w:t>Dentro</w:t>
      </w:r>
      <w:r>
        <w:rPr>
          <w:spacing w:val="-6"/>
          <w:sz w:val="24"/>
        </w:rPr>
        <w:t> </w:t>
      </w:r>
      <w:r>
        <w:rPr>
          <w:sz w:val="24"/>
        </w:rPr>
        <w:t>de</w:t>
      </w:r>
      <w:r>
        <w:rPr>
          <w:spacing w:val="-11"/>
          <w:sz w:val="24"/>
        </w:rPr>
        <w:t> </w:t>
      </w:r>
      <w:r>
        <w:rPr>
          <w:sz w:val="24"/>
        </w:rPr>
        <w:t>la</w:t>
      </w:r>
      <w:r>
        <w:rPr>
          <w:spacing w:val="-6"/>
          <w:sz w:val="24"/>
        </w:rPr>
        <w:t> </w:t>
      </w:r>
      <w:r>
        <w:rPr>
          <w:sz w:val="24"/>
        </w:rPr>
        <w:t>zona</w:t>
      </w:r>
      <w:r>
        <w:rPr>
          <w:spacing w:val="-6"/>
          <w:sz w:val="24"/>
        </w:rPr>
        <w:t> </w:t>
      </w:r>
      <w:r>
        <w:rPr>
          <w:sz w:val="24"/>
        </w:rPr>
        <w:t>de</w:t>
      </w:r>
      <w:r>
        <w:rPr>
          <w:spacing w:val="-11"/>
          <w:sz w:val="24"/>
        </w:rPr>
        <w:t> </w:t>
      </w:r>
      <w:r>
        <w:rPr>
          <w:sz w:val="24"/>
        </w:rPr>
        <w:t>estudio</w:t>
      </w:r>
      <w:r>
        <w:rPr>
          <w:spacing w:val="-6"/>
          <w:sz w:val="24"/>
        </w:rPr>
        <w:t> </w:t>
      </w:r>
      <w:r>
        <w:rPr>
          <w:sz w:val="24"/>
        </w:rPr>
        <w:t>y</w:t>
      </w:r>
      <w:r>
        <w:rPr>
          <w:spacing w:val="-12"/>
          <w:sz w:val="24"/>
        </w:rPr>
        <w:t> </w:t>
      </w:r>
      <w:r>
        <w:rPr>
          <w:sz w:val="24"/>
        </w:rPr>
        <w:t>a</w:t>
      </w:r>
      <w:r>
        <w:rPr>
          <w:spacing w:val="-6"/>
          <w:sz w:val="24"/>
        </w:rPr>
        <w:t> </w:t>
      </w:r>
      <w:r>
        <w:rPr>
          <w:sz w:val="24"/>
        </w:rPr>
        <w:t>partir</w:t>
      </w:r>
      <w:r>
        <w:rPr>
          <w:spacing w:val="-10"/>
          <w:sz w:val="24"/>
        </w:rPr>
        <w:t> </w:t>
      </w:r>
      <w:r>
        <w:rPr>
          <w:sz w:val="24"/>
        </w:rPr>
        <w:t>de</w:t>
      </w:r>
      <w:r>
        <w:rPr>
          <w:spacing w:val="-11"/>
          <w:sz w:val="24"/>
        </w:rPr>
        <w:t> </w:t>
      </w:r>
      <w:r>
        <w:rPr>
          <w:sz w:val="24"/>
        </w:rPr>
        <w:t>los</w:t>
      </w:r>
      <w:r>
        <w:rPr>
          <w:spacing w:val="-4"/>
          <w:sz w:val="24"/>
        </w:rPr>
        <w:t> </w:t>
      </w:r>
      <w:r>
        <w:rPr>
          <w:sz w:val="24"/>
        </w:rPr>
        <w:t>recorridos</w:t>
      </w:r>
      <w:r>
        <w:rPr>
          <w:spacing w:val="-12"/>
          <w:sz w:val="24"/>
        </w:rPr>
        <w:t> </w:t>
      </w:r>
      <w:r>
        <w:rPr>
          <w:sz w:val="24"/>
        </w:rPr>
        <w:t>realizados</w:t>
      </w:r>
      <w:r>
        <w:rPr>
          <w:spacing w:val="-7"/>
          <w:sz w:val="24"/>
        </w:rPr>
        <w:t> </w:t>
      </w:r>
      <w:r>
        <w:rPr>
          <w:sz w:val="24"/>
        </w:rPr>
        <w:t>en</w:t>
      </w:r>
      <w:r>
        <w:rPr>
          <w:spacing w:val="-11"/>
          <w:sz w:val="24"/>
        </w:rPr>
        <w:t> </w:t>
      </w:r>
      <w:r>
        <w:rPr>
          <w:sz w:val="24"/>
        </w:rPr>
        <w:t>campo se llegó a determinar que debido a la deforestación, debe establecerse </w:t>
      </w:r>
      <w:r>
        <w:rPr>
          <w:spacing w:val="-4"/>
          <w:sz w:val="24"/>
        </w:rPr>
        <w:t>un </w:t>
      </w:r>
      <w:r>
        <w:rPr>
          <w:sz w:val="24"/>
        </w:rPr>
        <w:t>programa de reforestación sobre las áreas que presenta una erosión por arriba</w:t>
      </w:r>
      <w:r>
        <w:rPr>
          <w:spacing w:val="-12"/>
          <w:sz w:val="24"/>
        </w:rPr>
        <w:t> </w:t>
      </w:r>
      <w:r>
        <w:rPr>
          <w:sz w:val="24"/>
        </w:rPr>
        <w:t>de</w:t>
      </w:r>
      <w:r>
        <w:rPr>
          <w:spacing w:val="-7"/>
          <w:sz w:val="24"/>
        </w:rPr>
        <w:t> </w:t>
      </w:r>
      <w:r>
        <w:rPr>
          <w:sz w:val="24"/>
        </w:rPr>
        <w:t>183</w:t>
      </w:r>
      <w:r>
        <w:rPr>
          <w:spacing w:val="-12"/>
          <w:sz w:val="24"/>
        </w:rPr>
        <w:t> </w:t>
      </w:r>
      <w:r>
        <w:rPr>
          <w:sz w:val="24"/>
        </w:rPr>
        <w:t>ton/ha/año,</w:t>
      </w:r>
      <w:r>
        <w:rPr>
          <w:spacing w:val="-7"/>
          <w:sz w:val="24"/>
        </w:rPr>
        <w:t> </w:t>
      </w:r>
      <w:r>
        <w:rPr>
          <w:sz w:val="24"/>
        </w:rPr>
        <w:t>para</w:t>
      </w:r>
      <w:r>
        <w:rPr>
          <w:spacing w:val="-12"/>
          <w:sz w:val="24"/>
        </w:rPr>
        <w:t> </w:t>
      </w:r>
      <w:r>
        <w:rPr>
          <w:sz w:val="24"/>
        </w:rPr>
        <w:t>la</w:t>
      </w:r>
      <w:r>
        <w:rPr>
          <w:spacing w:val="-7"/>
          <w:sz w:val="24"/>
        </w:rPr>
        <w:t> </w:t>
      </w:r>
      <w:r>
        <w:rPr>
          <w:sz w:val="24"/>
        </w:rPr>
        <w:t>aplicación</w:t>
      </w:r>
      <w:r>
        <w:rPr>
          <w:spacing w:val="-7"/>
          <w:sz w:val="24"/>
        </w:rPr>
        <w:t> </w:t>
      </w:r>
      <w:r>
        <w:rPr>
          <w:sz w:val="24"/>
        </w:rPr>
        <w:t>de</w:t>
      </w:r>
      <w:r>
        <w:rPr>
          <w:spacing w:val="-7"/>
          <w:sz w:val="24"/>
        </w:rPr>
        <w:t> </w:t>
      </w:r>
      <w:r>
        <w:rPr>
          <w:sz w:val="24"/>
        </w:rPr>
        <w:t>este</w:t>
      </w:r>
      <w:r>
        <w:rPr>
          <w:spacing w:val="-7"/>
          <w:sz w:val="24"/>
        </w:rPr>
        <w:t> </w:t>
      </w:r>
      <w:r>
        <w:rPr>
          <w:sz w:val="24"/>
        </w:rPr>
        <w:t>programa</w:t>
      </w:r>
      <w:r>
        <w:rPr>
          <w:spacing w:val="-7"/>
          <w:sz w:val="24"/>
        </w:rPr>
        <w:t> </w:t>
      </w:r>
      <w:r>
        <w:rPr>
          <w:sz w:val="24"/>
        </w:rPr>
        <w:t>se</w:t>
      </w:r>
      <w:r>
        <w:rPr>
          <w:spacing w:val="-7"/>
          <w:sz w:val="24"/>
        </w:rPr>
        <w:t> </w:t>
      </w:r>
      <w:r>
        <w:rPr>
          <w:sz w:val="24"/>
        </w:rPr>
        <w:t>debe</w:t>
      </w:r>
      <w:r>
        <w:rPr>
          <w:spacing w:val="-7"/>
          <w:sz w:val="24"/>
        </w:rPr>
        <w:t> </w:t>
      </w:r>
      <w:r>
        <w:rPr>
          <w:sz w:val="24"/>
        </w:rPr>
        <w:t>dividir la zona de estudio en unidades de escurrimiento para su </w:t>
      </w:r>
      <w:r>
        <w:rPr>
          <w:spacing w:val="-3"/>
          <w:sz w:val="24"/>
        </w:rPr>
        <w:t>mejor </w:t>
      </w:r>
      <w:r>
        <w:rPr>
          <w:sz w:val="24"/>
        </w:rPr>
        <w:t>funcionamiento.</w:t>
      </w:r>
    </w:p>
    <w:p>
      <w:pPr>
        <w:pStyle w:val="BodyText"/>
      </w:pPr>
    </w:p>
    <w:p>
      <w:pPr>
        <w:pStyle w:val="ListParagraph"/>
        <w:numPr>
          <w:ilvl w:val="0"/>
          <w:numId w:val="23"/>
        </w:numPr>
        <w:tabs>
          <w:tab w:pos="841" w:val="left" w:leader="none"/>
        </w:tabs>
        <w:spacing w:line="360" w:lineRule="auto" w:before="138" w:after="0"/>
        <w:ind w:left="840" w:right="105" w:hanging="360"/>
        <w:jc w:val="both"/>
        <w:rPr>
          <w:sz w:val="24"/>
        </w:rPr>
      </w:pPr>
      <w:r>
        <w:rPr>
          <w:sz w:val="24"/>
        </w:rPr>
        <w:t>Asistencia técnica relacionada al medio ambiente para capacitarse y que la propia población realice las medidas pertinentes para solucionar los problemas relacionados con la erosión. Así </w:t>
      </w:r>
      <w:r>
        <w:rPr>
          <w:spacing w:val="-3"/>
          <w:sz w:val="24"/>
        </w:rPr>
        <w:t>se </w:t>
      </w:r>
      <w:r>
        <w:rPr>
          <w:sz w:val="24"/>
        </w:rPr>
        <w:t>podrá establecer un sistema para</w:t>
      </w:r>
      <w:r>
        <w:rPr>
          <w:spacing w:val="-12"/>
          <w:sz w:val="24"/>
        </w:rPr>
        <w:t> </w:t>
      </w:r>
      <w:r>
        <w:rPr>
          <w:sz w:val="24"/>
        </w:rPr>
        <w:t>mejorar</w:t>
      </w:r>
      <w:r>
        <w:rPr>
          <w:spacing w:val="-12"/>
          <w:sz w:val="24"/>
        </w:rPr>
        <w:t> </w:t>
      </w:r>
      <w:r>
        <w:rPr>
          <w:sz w:val="24"/>
        </w:rPr>
        <w:t>las</w:t>
      </w:r>
      <w:r>
        <w:rPr>
          <w:spacing w:val="-17"/>
          <w:sz w:val="24"/>
        </w:rPr>
        <w:t> </w:t>
      </w:r>
      <w:r>
        <w:rPr>
          <w:sz w:val="24"/>
        </w:rPr>
        <w:t>prácticas</w:t>
      </w:r>
      <w:r>
        <w:rPr>
          <w:spacing w:val="-17"/>
          <w:sz w:val="24"/>
        </w:rPr>
        <w:t> </w:t>
      </w:r>
      <w:r>
        <w:rPr>
          <w:sz w:val="24"/>
        </w:rPr>
        <w:t>agrícolas,</w:t>
      </w:r>
      <w:r>
        <w:rPr>
          <w:spacing w:val="-12"/>
          <w:sz w:val="24"/>
        </w:rPr>
        <w:t> </w:t>
      </w:r>
      <w:r>
        <w:rPr>
          <w:sz w:val="24"/>
        </w:rPr>
        <w:t>como</w:t>
      </w:r>
      <w:r>
        <w:rPr>
          <w:spacing w:val="-12"/>
          <w:sz w:val="24"/>
        </w:rPr>
        <w:t> </w:t>
      </w:r>
      <w:r>
        <w:rPr>
          <w:sz w:val="24"/>
        </w:rPr>
        <w:t>sería</w:t>
      </w:r>
      <w:r>
        <w:rPr>
          <w:spacing w:val="-12"/>
          <w:sz w:val="24"/>
        </w:rPr>
        <w:t> </w:t>
      </w:r>
      <w:r>
        <w:rPr>
          <w:sz w:val="24"/>
        </w:rPr>
        <w:t>el</w:t>
      </w:r>
      <w:r>
        <w:rPr>
          <w:spacing w:val="-9"/>
          <w:sz w:val="24"/>
        </w:rPr>
        <w:t> </w:t>
      </w:r>
      <w:r>
        <w:rPr>
          <w:sz w:val="24"/>
        </w:rPr>
        <w:t>cultivo</w:t>
      </w:r>
      <w:r>
        <w:rPr>
          <w:spacing w:val="-16"/>
          <w:sz w:val="24"/>
        </w:rPr>
        <w:t> </w:t>
      </w:r>
      <w:r>
        <w:rPr>
          <w:sz w:val="24"/>
        </w:rPr>
        <w:t>a</w:t>
      </w:r>
      <w:r>
        <w:rPr>
          <w:spacing w:val="-12"/>
          <w:sz w:val="24"/>
        </w:rPr>
        <w:t> </w:t>
      </w:r>
      <w:r>
        <w:rPr>
          <w:sz w:val="24"/>
        </w:rPr>
        <w:t>base</w:t>
      </w:r>
      <w:r>
        <w:rPr>
          <w:spacing w:val="-12"/>
          <w:sz w:val="24"/>
        </w:rPr>
        <w:t> </w:t>
      </w:r>
      <w:r>
        <w:rPr>
          <w:sz w:val="24"/>
        </w:rPr>
        <w:t>de</w:t>
      </w:r>
      <w:r>
        <w:rPr>
          <w:spacing w:val="-16"/>
          <w:sz w:val="24"/>
        </w:rPr>
        <w:t> </w:t>
      </w:r>
      <w:r>
        <w:rPr>
          <w:sz w:val="24"/>
        </w:rPr>
        <w:t>terrazas, o en contornos, evitar sembrar en laderas, hacer obras de conservación de suelos como curvas de nivel, barreras vivas y muertas,</w:t>
      </w:r>
      <w:r>
        <w:rPr>
          <w:spacing w:val="-28"/>
          <w:sz w:val="24"/>
        </w:rPr>
        <w:t> </w:t>
      </w:r>
      <w:r>
        <w:rPr>
          <w:sz w:val="24"/>
        </w:rPr>
        <w:t>etc.</w:t>
      </w:r>
    </w:p>
    <w:p>
      <w:pPr>
        <w:pStyle w:val="BodyText"/>
      </w:pPr>
    </w:p>
    <w:p>
      <w:pPr>
        <w:pStyle w:val="ListParagraph"/>
        <w:numPr>
          <w:ilvl w:val="0"/>
          <w:numId w:val="23"/>
        </w:numPr>
        <w:tabs>
          <w:tab w:pos="841" w:val="left" w:leader="none"/>
        </w:tabs>
        <w:spacing w:line="357" w:lineRule="auto" w:before="138" w:after="0"/>
        <w:ind w:left="840" w:right="108" w:hanging="360"/>
        <w:jc w:val="both"/>
        <w:rPr>
          <w:sz w:val="24"/>
        </w:rPr>
      </w:pPr>
      <w:r>
        <w:rPr>
          <w:sz w:val="24"/>
        </w:rPr>
        <w:t>Capacitación y educación ambiental: concientizar y fomentar interés a los pobladores de todos los niveles a través de charlas, cursos sobre la importancia de un medio ambiente</w:t>
      </w:r>
      <w:r>
        <w:rPr>
          <w:spacing w:val="-17"/>
          <w:sz w:val="24"/>
        </w:rPr>
        <w:t> </w:t>
      </w:r>
      <w:r>
        <w:rPr>
          <w:sz w:val="24"/>
        </w:rPr>
        <w:t>saludable.</w:t>
      </w:r>
    </w:p>
    <w:p>
      <w:pPr>
        <w:pStyle w:val="BodyText"/>
      </w:pPr>
    </w:p>
    <w:p>
      <w:pPr>
        <w:pStyle w:val="BodyText"/>
        <w:spacing w:before="143"/>
        <w:ind w:left="119"/>
        <w:jc w:val="both"/>
      </w:pPr>
      <w:r>
        <w:rPr/>
        <w:t>Intervenciones intensivas:</w:t>
      </w:r>
    </w:p>
    <w:p>
      <w:pPr>
        <w:pStyle w:val="BodyText"/>
        <w:rPr>
          <w:sz w:val="21"/>
        </w:rPr>
      </w:pPr>
    </w:p>
    <w:p>
      <w:pPr>
        <w:pStyle w:val="BodyText"/>
        <w:spacing w:line="360" w:lineRule="auto" w:before="1"/>
        <w:ind w:left="119" w:right="98"/>
        <w:jc w:val="both"/>
      </w:pPr>
      <w:r>
        <w:rPr/>
        <w:t>Este tipo de intervenciones están enfocadas esencialmente a las obras de control de los cauces torrenciales: la primera distinción entre las obras de control de un cauce</w:t>
      </w:r>
      <w:r>
        <w:rPr>
          <w:spacing w:val="-3"/>
        </w:rPr>
        <w:t> </w:t>
      </w:r>
      <w:r>
        <w:rPr/>
        <w:t>torrencial</w:t>
      </w:r>
      <w:r>
        <w:rPr>
          <w:spacing w:val="-3"/>
        </w:rPr>
        <w:t> </w:t>
      </w:r>
      <w:r>
        <w:rPr/>
        <w:t>está</w:t>
      </w:r>
      <w:r>
        <w:rPr>
          <w:spacing w:val="-7"/>
        </w:rPr>
        <w:t> </w:t>
      </w:r>
      <w:r>
        <w:rPr/>
        <w:t>hecha</w:t>
      </w:r>
      <w:r>
        <w:rPr>
          <w:spacing w:val="-3"/>
        </w:rPr>
        <w:t> </w:t>
      </w:r>
      <w:r>
        <w:rPr/>
        <w:t>entre</w:t>
      </w:r>
      <w:r>
        <w:rPr>
          <w:spacing w:val="-12"/>
        </w:rPr>
        <w:t> </w:t>
      </w:r>
      <w:r>
        <w:rPr/>
        <w:t>las</w:t>
      </w:r>
      <w:r>
        <w:rPr>
          <w:spacing w:val="-8"/>
        </w:rPr>
        <w:t> </w:t>
      </w:r>
      <w:r>
        <w:rPr/>
        <w:t>obras</w:t>
      </w:r>
      <w:r>
        <w:rPr>
          <w:spacing w:val="-8"/>
        </w:rPr>
        <w:t> </w:t>
      </w:r>
      <w:r>
        <w:rPr/>
        <w:t>que</w:t>
      </w:r>
      <w:r>
        <w:rPr>
          <w:spacing w:val="-3"/>
        </w:rPr>
        <w:t> </w:t>
      </w:r>
      <w:r>
        <w:rPr/>
        <w:t>serán</w:t>
      </w:r>
      <w:r>
        <w:rPr>
          <w:spacing w:val="-3"/>
        </w:rPr>
        <w:t> </w:t>
      </w:r>
      <w:r>
        <w:rPr/>
        <w:t>ubicadas</w:t>
      </w:r>
      <w:r>
        <w:rPr>
          <w:spacing w:val="-8"/>
        </w:rPr>
        <w:t> </w:t>
      </w:r>
      <w:r>
        <w:rPr/>
        <w:t>transversalmente</w:t>
      </w:r>
      <w:r>
        <w:rPr>
          <w:spacing w:val="-2"/>
        </w:rPr>
        <w:t> </w:t>
      </w:r>
      <w:r>
        <w:rPr/>
        <w:t>a la corriente, cuya función es la de controlar directamente la evolución morfológica del cauce, impidiendo con ello la erosión y/o causando un realce del </w:t>
      </w:r>
      <w:r>
        <w:rPr>
          <w:spacing w:val="-2"/>
        </w:rPr>
        <w:t>mismo, </w:t>
      </w:r>
      <w:r>
        <w:rPr/>
        <w:t>y las obras que serán ubicadas longitudinalmente respecto al a dirección prevaleciente de la corriente, que </w:t>
      </w:r>
      <w:r>
        <w:rPr>
          <w:spacing w:val="-3"/>
        </w:rPr>
        <w:t>su </w:t>
      </w:r>
      <w:r>
        <w:rPr/>
        <w:t>función principal es proteger las márgenes de una posible erosión y </w:t>
      </w:r>
      <w:r>
        <w:rPr>
          <w:spacing w:val="-2"/>
        </w:rPr>
        <w:t>además </w:t>
      </w:r>
      <w:r>
        <w:rPr/>
        <w:t>de contener con ello la corriente que presentan los</w:t>
      </w:r>
      <w:r>
        <w:rPr>
          <w:spacing w:val="-3"/>
        </w:rPr>
        <w:t> </w:t>
      </w:r>
      <w:r>
        <w:rPr/>
        <w:t>cauces.</w:t>
      </w:r>
    </w:p>
    <w:p>
      <w:pPr>
        <w:spacing w:after="0" w:line="360" w:lineRule="auto"/>
        <w:jc w:val="both"/>
        <w:sectPr>
          <w:pgSz w:w="12240" w:h="15840"/>
          <w:pgMar w:header="0" w:footer="1031" w:top="1360" w:bottom="1220" w:left="1580" w:right="1600"/>
        </w:sectPr>
      </w:pPr>
    </w:p>
    <w:p>
      <w:pPr>
        <w:pStyle w:val="BodyText"/>
        <w:spacing w:line="360" w:lineRule="auto" w:before="52"/>
        <w:ind w:left="119" w:right="115"/>
        <w:jc w:val="both"/>
      </w:pPr>
      <w:r>
        <w:rPr/>
        <w:t>Existe una clasificación propuesta por </w:t>
      </w:r>
      <w:r>
        <w:rPr>
          <w:spacing w:val="-3"/>
        </w:rPr>
        <w:t>De </w:t>
      </w:r>
      <w:r>
        <w:rPr/>
        <w:t>Horatiis (1930), en la cual la forma de transporte</w:t>
      </w:r>
      <w:r>
        <w:rPr>
          <w:spacing w:val="-5"/>
        </w:rPr>
        <w:t> </w:t>
      </w:r>
      <w:r>
        <w:rPr/>
        <w:t>que</w:t>
      </w:r>
      <w:r>
        <w:rPr>
          <w:spacing w:val="-2"/>
        </w:rPr>
        <w:t> </w:t>
      </w:r>
      <w:r>
        <w:rPr>
          <w:spacing w:val="-3"/>
        </w:rPr>
        <w:t>se</w:t>
      </w:r>
      <w:r>
        <w:rPr>
          <w:spacing w:val="-2"/>
        </w:rPr>
        <w:t> </w:t>
      </w:r>
      <w:r>
        <w:rPr/>
        <w:t>puede</w:t>
      </w:r>
      <w:r>
        <w:rPr>
          <w:spacing w:val="-5"/>
        </w:rPr>
        <w:t> </w:t>
      </w:r>
      <w:r>
        <w:rPr/>
        <w:t>presentar</w:t>
      </w:r>
      <w:r>
        <w:rPr>
          <w:spacing w:val="-5"/>
        </w:rPr>
        <w:t> </w:t>
      </w:r>
      <w:r>
        <w:rPr/>
        <w:t>en</w:t>
      </w:r>
      <w:r>
        <w:rPr>
          <w:spacing w:val="-5"/>
        </w:rPr>
        <w:t> </w:t>
      </w:r>
      <w:r>
        <w:rPr/>
        <w:t>cauces</w:t>
      </w:r>
      <w:r>
        <w:rPr>
          <w:spacing w:val="-11"/>
        </w:rPr>
        <w:t> </w:t>
      </w:r>
      <w:r>
        <w:rPr/>
        <w:t>torrenciales</w:t>
      </w:r>
      <w:r>
        <w:rPr>
          <w:spacing w:val="-2"/>
        </w:rPr>
        <w:t> </w:t>
      </w:r>
      <w:r>
        <w:rPr/>
        <w:t>puede</w:t>
      </w:r>
      <w:r>
        <w:rPr>
          <w:spacing w:val="-5"/>
        </w:rPr>
        <w:t> </w:t>
      </w:r>
      <w:r>
        <w:rPr/>
        <w:t>tener</w:t>
      </w:r>
      <w:r>
        <w:rPr>
          <w:spacing w:val="-1"/>
        </w:rPr>
        <w:t> </w:t>
      </w:r>
      <w:r>
        <w:rPr/>
        <w:t>dos</w:t>
      </w:r>
      <w:r>
        <w:rPr>
          <w:spacing w:val="-6"/>
        </w:rPr>
        <w:t> </w:t>
      </w:r>
      <w:r>
        <w:rPr>
          <w:spacing w:val="2"/>
        </w:rPr>
        <w:t>tipos</w:t>
      </w:r>
      <w:r>
        <w:rPr>
          <w:spacing w:val="-6"/>
        </w:rPr>
        <w:t> </w:t>
      </w:r>
      <w:r>
        <w:rPr/>
        <w:t>de acción, ya sea de socavación o de transporte, en función de estos se determina el tipo de intervención a</w:t>
      </w:r>
      <w:r>
        <w:rPr>
          <w:spacing w:val="-10"/>
        </w:rPr>
        <w:t> </w:t>
      </w:r>
      <w:r>
        <w:rPr/>
        <w:t>realizar.</w:t>
      </w:r>
    </w:p>
    <w:p>
      <w:pPr>
        <w:pStyle w:val="BodyText"/>
      </w:pPr>
    </w:p>
    <w:p>
      <w:pPr>
        <w:pStyle w:val="BodyText"/>
        <w:spacing w:line="360" w:lineRule="auto" w:before="144"/>
        <w:ind w:left="119" w:right="120"/>
        <w:jc w:val="both"/>
      </w:pPr>
      <w:r>
        <w:rPr/>
        <w:t>Dentro de las obras transversales, se deberán seleccionar aquellas que permitan reducir o controlar la pendiente longitudinal con obras en cascada (en escalones) principalmente, en el plano de pendiente media se puede observar la localización de este tipo de obras, a partir de las cuencas con valor mayor a siete que representan una pendiente mayor al 25 %.</w:t>
      </w:r>
    </w:p>
    <w:p>
      <w:pPr>
        <w:pStyle w:val="BodyText"/>
      </w:pPr>
    </w:p>
    <w:p>
      <w:pPr>
        <w:pStyle w:val="BodyText"/>
        <w:spacing w:line="360" w:lineRule="auto" w:before="139"/>
        <w:ind w:left="119" w:right="116"/>
        <w:jc w:val="both"/>
      </w:pPr>
      <w:r>
        <w:rPr/>
        <w:t>Los diques de Consolidación son empleados en la corrección de este tipo de torrente, en los cuales, la erosión del lecho del cauce conduce, evento tras evento, a un ahondamiento continuo, mismo que genera un peligro en la estabilidad de las márgenes y laderas. Estas constituyen los elementos fundamentales dentro del diseño de obras de tipo grada o escalones, que prevén la disminución de la pendiente longitudinal del cauce, mediante la creación de una serie de saltos de fondo. La pendiente es en efecto directamente proporcional a la velocidad del</w:t>
      </w:r>
      <w:r>
        <w:rPr>
          <w:spacing w:val="-42"/>
        </w:rPr>
        <w:t> </w:t>
      </w:r>
      <w:r>
        <w:rPr/>
        <w:t>agua y por ello presenta un gran poder</w:t>
      </w:r>
      <w:r>
        <w:rPr>
          <w:spacing w:val="-18"/>
        </w:rPr>
        <w:t> </w:t>
      </w:r>
      <w:r>
        <w:rPr/>
        <w:t>erosivo.</w:t>
      </w:r>
    </w:p>
    <w:p>
      <w:pPr>
        <w:pStyle w:val="BodyText"/>
      </w:pPr>
    </w:p>
    <w:p>
      <w:pPr>
        <w:pStyle w:val="BodyText"/>
        <w:spacing w:line="360" w:lineRule="auto" w:before="140"/>
        <w:ind w:left="119" w:right="121"/>
        <w:jc w:val="both"/>
      </w:pPr>
      <w:r>
        <w:rPr/>
        <w:t>La función de este tipo de diques es la de acumular material aguas arriba de su localización, y con ello </w:t>
      </w:r>
      <w:r>
        <w:rPr>
          <w:spacing w:val="-3"/>
        </w:rPr>
        <w:t>se </w:t>
      </w:r>
      <w:r>
        <w:rPr/>
        <w:t>previene de posibles erosiones tanto de las laderas o el fondo</w:t>
      </w:r>
      <w:r>
        <w:rPr>
          <w:spacing w:val="-11"/>
        </w:rPr>
        <w:t> </w:t>
      </w:r>
      <w:r>
        <w:rPr/>
        <w:t>del</w:t>
      </w:r>
      <w:r>
        <w:rPr>
          <w:spacing w:val="-3"/>
        </w:rPr>
        <w:t> </w:t>
      </w:r>
      <w:r>
        <w:rPr/>
        <w:t>cauce,</w:t>
      </w:r>
      <w:r>
        <w:rPr>
          <w:spacing w:val="-6"/>
        </w:rPr>
        <w:t> </w:t>
      </w:r>
      <w:r>
        <w:rPr/>
        <w:t>a</w:t>
      </w:r>
      <w:r>
        <w:rPr>
          <w:spacing w:val="-11"/>
        </w:rPr>
        <w:t> </w:t>
      </w:r>
      <w:r>
        <w:rPr/>
        <w:t>través</w:t>
      </w:r>
      <w:r>
        <w:rPr>
          <w:spacing w:val="-7"/>
        </w:rPr>
        <w:t> </w:t>
      </w:r>
      <w:r>
        <w:rPr/>
        <w:t>de</w:t>
      </w:r>
      <w:r>
        <w:rPr>
          <w:spacing w:val="-15"/>
        </w:rPr>
        <w:t> </w:t>
      </w:r>
      <w:r>
        <w:rPr>
          <w:spacing w:val="4"/>
        </w:rPr>
        <w:t>la</w:t>
      </w:r>
      <w:r>
        <w:rPr>
          <w:spacing w:val="-11"/>
        </w:rPr>
        <w:t> </w:t>
      </w:r>
      <w:r>
        <w:rPr/>
        <w:t>reducción</w:t>
      </w:r>
      <w:r>
        <w:rPr>
          <w:spacing w:val="-6"/>
        </w:rPr>
        <w:t> </w:t>
      </w:r>
      <w:r>
        <w:rPr/>
        <w:t>de</w:t>
      </w:r>
      <w:r>
        <w:rPr>
          <w:spacing w:val="-11"/>
        </w:rPr>
        <w:t> </w:t>
      </w:r>
      <w:r>
        <w:rPr/>
        <w:t>la</w:t>
      </w:r>
      <w:r>
        <w:rPr>
          <w:spacing w:val="-11"/>
        </w:rPr>
        <w:t> </w:t>
      </w:r>
      <w:r>
        <w:rPr/>
        <w:t>velocidad</w:t>
      </w:r>
      <w:r>
        <w:rPr>
          <w:spacing w:val="-11"/>
        </w:rPr>
        <w:t> </w:t>
      </w:r>
      <w:r>
        <w:rPr/>
        <w:t>de</w:t>
      </w:r>
      <w:r>
        <w:rPr>
          <w:spacing w:val="-11"/>
        </w:rPr>
        <w:t> </w:t>
      </w:r>
      <w:r>
        <w:rPr/>
        <w:t>la</w:t>
      </w:r>
      <w:r>
        <w:rPr>
          <w:spacing w:val="-6"/>
        </w:rPr>
        <w:t> </w:t>
      </w:r>
      <w:r>
        <w:rPr/>
        <w:t>avenida.</w:t>
      </w:r>
      <w:r>
        <w:rPr>
          <w:spacing w:val="-6"/>
        </w:rPr>
        <w:t> </w:t>
      </w:r>
      <w:r>
        <w:rPr/>
        <w:t>Este</w:t>
      </w:r>
      <w:r>
        <w:rPr>
          <w:spacing w:val="-10"/>
        </w:rPr>
        <w:t> </w:t>
      </w:r>
      <w:r>
        <w:rPr/>
        <w:t>tipo</w:t>
      </w:r>
      <w:r>
        <w:rPr>
          <w:spacing w:val="-11"/>
        </w:rPr>
        <w:t> </w:t>
      </w:r>
      <w:r>
        <w:rPr/>
        <w:t>de obras</w:t>
      </w:r>
      <w:r>
        <w:rPr>
          <w:spacing w:val="-8"/>
        </w:rPr>
        <w:t> </w:t>
      </w:r>
      <w:r>
        <w:rPr/>
        <w:t>se</w:t>
      </w:r>
      <w:r>
        <w:rPr>
          <w:spacing w:val="-12"/>
        </w:rPr>
        <w:t> </w:t>
      </w:r>
      <w:r>
        <w:rPr/>
        <w:t>pueden</w:t>
      </w:r>
      <w:r>
        <w:rPr>
          <w:spacing w:val="-7"/>
        </w:rPr>
        <w:t> </w:t>
      </w:r>
      <w:r>
        <w:rPr/>
        <w:t>realizar</w:t>
      </w:r>
      <w:r>
        <w:rPr>
          <w:spacing w:val="-6"/>
        </w:rPr>
        <w:t> </w:t>
      </w:r>
      <w:r>
        <w:rPr/>
        <w:t>a</w:t>
      </w:r>
      <w:r>
        <w:rPr>
          <w:spacing w:val="-12"/>
        </w:rPr>
        <w:t> </w:t>
      </w:r>
      <w:r>
        <w:rPr/>
        <w:t>base</w:t>
      </w:r>
      <w:r>
        <w:rPr>
          <w:spacing w:val="-7"/>
        </w:rPr>
        <w:t> </w:t>
      </w:r>
      <w:r>
        <w:rPr/>
        <w:t>de</w:t>
      </w:r>
      <w:r>
        <w:rPr>
          <w:spacing w:val="-7"/>
        </w:rPr>
        <w:t> </w:t>
      </w:r>
      <w:r>
        <w:rPr/>
        <w:t>gaviones,</w:t>
      </w:r>
      <w:r>
        <w:rPr>
          <w:spacing w:val="-12"/>
        </w:rPr>
        <w:t> </w:t>
      </w:r>
      <w:r>
        <w:rPr/>
        <w:t>mampostería</w:t>
      </w:r>
      <w:r>
        <w:rPr>
          <w:spacing w:val="-7"/>
        </w:rPr>
        <w:t> </w:t>
      </w:r>
      <w:r>
        <w:rPr/>
        <w:t>o</w:t>
      </w:r>
      <w:r>
        <w:rPr>
          <w:spacing w:val="-7"/>
        </w:rPr>
        <w:t> </w:t>
      </w:r>
      <w:r>
        <w:rPr/>
        <w:t>piedra</w:t>
      </w:r>
      <w:r>
        <w:rPr>
          <w:spacing w:val="-7"/>
        </w:rPr>
        <w:t> </w:t>
      </w:r>
      <w:r>
        <w:rPr/>
        <w:t>acomodada,</w:t>
      </w:r>
      <w:r>
        <w:rPr>
          <w:spacing w:val="-12"/>
        </w:rPr>
        <w:t> </w:t>
      </w:r>
      <w:r>
        <w:rPr/>
        <w:t>la imagen siguiente muestra una aplicación de este tipo de obras y la posible localización dentro de la</w:t>
      </w:r>
      <w:r>
        <w:rPr>
          <w:spacing w:val="-13"/>
        </w:rPr>
        <w:t> </w:t>
      </w:r>
      <w:r>
        <w:rPr/>
        <w:t>cuenca.</w:t>
      </w:r>
    </w:p>
    <w:p>
      <w:pPr>
        <w:spacing w:after="0" w:line="360" w:lineRule="auto"/>
        <w:jc w:val="both"/>
        <w:sectPr>
          <w:pgSz w:w="12240" w:h="15840"/>
          <w:pgMar w:header="0" w:footer="1031" w:top="1360" w:bottom="1220" w:left="1580" w:right="1580"/>
        </w:sectPr>
      </w:pPr>
    </w:p>
    <w:p>
      <w:pPr>
        <w:pStyle w:val="BodyText"/>
        <w:ind w:left="100"/>
        <w:rPr>
          <w:sz w:val="20"/>
        </w:rPr>
      </w:pPr>
      <w:r>
        <w:rPr>
          <w:sz w:val="20"/>
        </w:rPr>
        <w:pict>
          <v:group style="width:486.75pt;height:427.5pt;mso-position-horizontal-relative:char;mso-position-vertical-relative:line" coordorigin="0,0" coordsize="9735,8550">
            <v:shape style="position:absolute;left:0;top:4224;width:5174;height:4248" type="#_x0000_t75" stroked="false">
              <v:imagedata r:id="rId64" o:title=""/>
            </v:shape>
            <v:shape style="position:absolute;left:308;top:4534;width:4245;height:3316" type="#_x0000_t75" stroked="false">
              <v:imagedata r:id="rId65" o:title=""/>
            </v:shape>
            <v:shape style="position:absolute;left:4406;top:4248;width:5328;height:4210" type="#_x0000_t75" stroked="false">
              <v:imagedata r:id="rId66" o:title=""/>
            </v:shape>
            <v:shape style="position:absolute;left:4715;top:4559;width:4398;height:3276" type="#_x0000_t75" stroked="false">
              <v:imagedata r:id="rId67" o:title=""/>
            </v:shape>
            <v:shape style="position:absolute;left:1632;top:0;width:6571;height:4344" type="#_x0000_t75" stroked="false">
              <v:imagedata r:id="rId68" o:title=""/>
            </v:shape>
            <v:shape style="position:absolute;left:1941;top:308;width:5639;height:3413" type="#_x0000_t75" stroked="false">
              <v:imagedata r:id="rId69" o:title=""/>
            </v:shape>
            <v:shape style="position:absolute;left:2109;top:3916;width:4657;height:240" type="#_x0000_t202" filled="false" stroked="false">
              <v:textbox inset="0,0,0,0">
                <w:txbxContent>
                  <w:p>
                    <w:pPr>
                      <w:spacing w:line="240" w:lineRule="exact" w:before="0"/>
                      <w:ind w:left="0" w:right="-20" w:firstLine="0"/>
                      <w:jc w:val="left"/>
                      <w:rPr>
                        <w:sz w:val="24"/>
                      </w:rPr>
                    </w:pPr>
                    <w:r>
                      <w:rPr>
                        <w:sz w:val="24"/>
                      </w:rPr>
                      <w:t>Figura7. Ejemplo de dique de consolidación</w:t>
                    </w:r>
                  </w:p>
                </w:txbxContent>
              </v:textbox>
              <w10:wrap type="none"/>
            </v:shape>
            <v:shape style="position:absolute;left:817;top:8310;width:7241;height:240" type="#_x0000_t202" filled="false" stroked="false">
              <v:textbox inset="0,0,0,0">
                <w:txbxContent>
                  <w:p>
                    <w:pPr>
                      <w:spacing w:line="240" w:lineRule="exact" w:before="0"/>
                      <w:ind w:left="0" w:right="0" w:firstLine="0"/>
                      <w:jc w:val="left"/>
                      <w:rPr>
                        <w:sz w:val="24"/>
                      </w:rPr>
                    </w:pPr>
                    <w:r>
                      <w:rPr>
                        <w:sz w:val="24"/>
                      </w:rPr>
                      <w:t>Figura8. Algunos sitios sugeridos dentro de un municipio de la</w:t>
                    </w:r>
                    <w:r>
                      <w:rPr>
                        <w:spacing w:val="-30"/>
                        <w:sz w:val="24"/>
                      </w:rPr>
                      <w:t> </w:t>
                    </w:r>
                    <w:r>
                      <w:rPr>
                        <w:sz w:val="24"/>
                      </w:rPr>
                      <w:t>ZMT.</w:t>
                    </w:r>
                  </w:p>
                </w:txbxContent>
              </v:textbox>
              <w10:wrap type="none"/>
            </v:shape>
          </v:group>
        </w:pict>
      </w:r>
      <w:r>
        <w:rPr>
          <w:sz w:val="20"/>
        </w:rPr>
      </w:r>
    </w:p>
    <w:p>
      <w:pPr>
        <w:pStyle w:val="BodyText"/>
        <w:rPr>
          <w:sz w:val="20"/>
        </w:rPr>
      </w:pPr>
    </w:p>
    <w:p>
      <w:pPr>
        <w:pStyle w:val="BodyText"/>
        <w:spacing w:before="7"/>
        <w:rPr>
          <w:sz w:val="23"/>
        </w:rPr>
      </w:pPr>
    </w:p>
    <w:p>
      <w:pPr>
        <w:pStyle w:val="BodyText"/>
        <w:spacing w:line="360" w:lineRule="auto" w:before="69"/>
        <w:ind w:left="119" w:right="983"/>
        <w:jc w:val="both"/>
      </w:pPr>
      <w:r>
        <w:rPr/>
        <w:t>En</w:t>
      </w:r>
      <w:r>
        <w:rPr>
          <w:spacing w:val="-15"/>
        </w:rPr>
        <w:t> </w:t>
      </w:r>
      <w:r>
        <w:rPr/>
        <w:t>cuanto</w:t>
      </w:r>
      <w:r>
        <w:rPr>
          <w:spacing w:val="-19"/>
        </w:rPr>
        <w:t> </w:t>
      </w:r>
      <w:r>
        <w:rPr/>
        <w:t>a</w:t>
      </w:r>
      <w:r>
        <w:rPr>
          <w:spacing w:val="-19"/>
        </w:rPr>
        <w:t> </w:t>
      </w:r>
      <w:r>
        <w:rPr/>
        <w:t>las</w:t>
      </w:r>
      <w:r>
        <w:rPr>
          <w:spacing w:val="-20"/>
        </w:rPr>
        <w:t> </w:t>
      </w:r>
      <w:r>
        <w:rPr/>
        <w:t>obras</w:t>
      </w:r>
      <w:r>
        <w:rPr>
          <w:spacing w:val="-20"/>
        </w:rPr>
        <w:t> </w:t>
      </w:r>
      <w:r>
        <w:rPr/>
        <w:t>longitudinales</w:t>
      </w:r>
      <w:r>
        <w:rPr>
          <w:spacing w:val="-20"/>
        </w:rPr>
        <w:t> </w:t>
      </w:r>
      <w:r>
        <w:rPr/>
        <w:t>para</w:t>
      </w:r>
      <w:r>
        <w:rPr>
          <w:spacing w:val="-19"/>
        </w:rPr>
        <w:t> </w:t>
      </w:r>
      <w:r>
        <w:rPr/>
        <w:t>la</w:t>
      </w:r>
      <w:r>
        <w:rPr>
          <w:spacing w:val="-19"/>
        </w:rPr>
        <w:t> </w:t>
      </w:r>
      <w:r>
        <w:rPr/>
        <w:t>estabilización</w:t>
      </w:r>
      <w:r>
        <w:rPr>
          <w:spacing w:val="-15"/>
        </w:rPr>
        <w:t> </w:t>
      </w:r>
      <w:r>
        <w:rPr/>
        <w:t>de</w:t>
      </w:r>
      <w:r>
        <w:rPr>
          <w:spacing w:val="-19"/>
        </w:rPr>
        <w:t> </w:t>
      </w:r>
      <w:r>
        <w:rPr/>
        <w:t>las</w:t>
      </w:r>
      <w:r>
        <w:rPr>
          <w:spacing w:val="-15"/>
        </w:rPr>
        <w:t> </w:t>
      </w:r>
      <w:r>
        <w:rPr/>
        <w:t>márgenes</w:t>
      </w:r>
      <w:r>
        <w:rPr>
          <w:spacing w:val="-20"/>
        </w:rPr>
        <w:t> </w:t>
      </w:r>
      <w:r>
        <w:rPr/>
        <w:t>y</w:t>
      </w:r>
      <w:r>
        <w:rPr>
          <w:spacing w:val="-20"/>
        </w:rPr>
        <w:t> </w:t>
      </w:r>
      <w:r>
        <w:rPr/>
        <w:t>laderas están constituidas por bordos longitudinales de variadas dimensiones, dotados de cierta inclinación </w:t>
      </w:r>
      <w:r>
        <w:rPr>
          <w:spacing w:val="-3"/>
        </w:rPr>
        <w:t>misma </w:t>
      </w:r>
      <w:r>
        <w:rPr/>
        <w:t>que permite construir una sección del cauce de </w:t>
      </w:r>
      <w:r>
        <w:rPr>
          <w:spacing w:val="-3"/>
        </w:rPr>
        <w:t>forma </w:t>
      </w:r>
      <w:r>
        <w:rPr/>
        <w:t>trapecial.</w:t>
      </w:r>
    </w:p>
    <w:p>
      <w:pPr>
        <w:pStyle w:val="BodyText"/>
      </w:pPr>
    </w:p>
    <w:p>
      <w:pPr>
        <w:pStyle w:val="BodyText"/>
        <w:spacing w:line="360" w:lineRule="auto" w:before="139"/>
        <w:ind w:left="119" w:right="979"/>
        <w:jc w:val="both"/>
      </w:pPr>
      <w:r>
        <w:rPr/>
        <w:t>Estos se pueden realizar de materiales diversos: piedras grandes ligadas con cemento, concreto armado simple, espigones, gaviones, etc. Estas estructuras son realizadas a lo largo del río, sobre torrentes amplios o en puntos particularmente definidos, como pueden ser las zonas urbanas.</w:t>
      </w:r>
    </w:p>
    <w:p>
      <w:pPr>
        <w:spacing w:after="0" w:line="360" w:lineRule="auto"/>
        <w:jc w:val="both"/>
        <w:sectPr>
          <w:pgSz w:w="12240" w:h="15840"/>
          <w:pgMar w:header="0" w:footer="1031" w:top="1260" w:bottom="1220" w:left="1580" w:right="720"/>
        </w:sectPr>
      </w:pPr>
    </w:p>
    <w:p>
      <w:pPr>
        <w:pStyle w:val="BodyText"/>
        <w:spacing w:line="360" w:lineRule="auto" w:before="52"/>
        <w:ind w:left="259" w:right="1427"/>
        <w:jc w:val="both"/>
      </w:pPr>
      <w:r>
        <w:rPr/>
        <w:t>La protección de márgenes por lo general se efectúa a base de escolleras y espigones con rocas de gran diámetro. Estas deben de tener una cimentación profunda para evitar que la elevada velocidad de la corriente en cercanía de las márgenes no llegue a debilitar la base, ni flanquearlas por la margen.</w:t>
      </w:r>
    </w:p>
    <w:p>
      <w:pPr>
        <w:pStyle w:val="BodyText"/>
      </w:pPr>
    </w:p>
    <w:p>
      <w:pPr>
        <w:pStyle w:val="BodyText"/>
        <w:spacing w:line="360" w:lineRule="auto" w:before="144"/>
        <w:ind w:left="259" w:right="1422"/>
        <w:jc w:val="both"/>
      </w:pPr>
      <w:r>
        <w:rPr/>
        <w:t>En las fotografías se visualiza la conformación de este tipo de obras y su posible ubicación dentro de la microcuenca.</w:t>
      </w:r>
    </w:p>
    <w:p>
      <w:pPr>
        <w:pStyle w:val="BodyText"/>
        <w:rPr>
          <w:sz w:val="20"/>
        </w:rPr>
      </w:pPr>
    </w:p>
    <w:p>
      <w:pPr>
        <w:pStyle w:val="BodyText"/>
        <w:spacing w:before="6"/>
        <w:rPr>
          <w:sz w:val="12"/>
        </w:rPr>
      </w:pPr>
      <w:r>
        <w:rPr/>
        <w:pict>
          <v:group style="position:absolute;margin-left:77.040001pt;margin-top:9.184902pt;width:515.0500pt;height:220.6pt;mso-position-horizontal-relative:page;mso-position-vertical-relative:paragraph;z-index:3568;mso-wrap-distance-left:0;mso-wrap-distance-right:0" coordorigin="1541,184" coordsize="10301,4412">
            <v:shape style="position:absolute;left:6230;top:265;width:5611;height:4258" type="#_x0000_t75" stroked="false">
              <v:imagedata r:id="rId70" o:title=""/>
            </v:shape>
            <v:shape style="position:absolute;left:6541;top:574;width:4682;height:3328" type="#_x0000_t75" stroked="false">
              <v:imagedata r:id="rId71" o:title=""/>
            </v:shape>
            <v:shape style="position:absolute;left:1541;top:184;width:5386;height:4411" type="#_x0000_t75" stroked="false">
              <v:imagedata r:id="rId72" o:title=""/>
            </v:shape>
            <v:shape style="position:absolute;left:1851;top:495;width:4453;height:3480" type="#_x0000_t75" stroked="false">
              <v:imagedata r:id="rId73" o:title=""/>
            </v:shape>
            <w10:wrap type="topAndBottom"/>
          </v:group>
        </w:pict>
      </w:r>
    </w:p>
    <w:p>
      <w:pPr>
        <w:pStyle w:val="BodyText"/>
        <w:tabs>
          <w:tab w:pos="6458" w:val="left" w:leader="none"/>
        </w:tabs>
        <w:ind w:left="336"/>
        <w:jc w:val="both"/>
        <w:rPr>
          <w:rFonts w:ascii="Calibri"/>
        </w:rPr>
      </w:pPr>
      <w:r>
        <w:rPr>
          <w:rFonts w:ascii="Calibri"/>
        </w:rPr>
        <w:t>Figura 9. Ejemplo de escollera sobre</w:t>
      </w:r>
      <w:r>
        <w:rPr>
          <w:rFonts w:ascii="Calibri"/>
          <w:spacing w:val="-9"/>
        </w:rPr>
        <w:t> </w:t>
      </w:r>
      <w:r>
        <w:rPr>
          <w:rFonts w:ascii="Calibri"/>
        </w:rPr>
        <w:t>un</w:t>
      </w:r>
      <w:r>
        <w:rPr>
          <w:rFonts w:ascii="Calibri"/>
          <w:spacing w:val="-6"/>
        </w:rPr>
        <w:t> </w:t>
      </w:r>
      <w:r>
        <w:rPr>
          <w:rFonts w:ascii="Calibri"/>
        </w:rPr>
        <w:t>cauce.</w:t>
        <w:tab/>
        <w:t>Figura 10. Sitio sugerido</w:t>
      </w:r>
      <w:r>
        <w:rPr>
          <w:rFonts w:ascii="Calibri"/>
          <w:spacing w:val="-12"/>
        </w:rPr>
        <w:t> </w:t>
      </w:r>
      <w:r>
        <w:rPr>
          <w:rFonts w:ascii="Calibri"/>
        </w:rPr>
        <w:t>en</w:t>
      </w:r>
    </w:p>
    <w:p>
      <w:pPr>
        <w:pStyle w:val="BodyText"/>
        <w:spacing w:before="144"/>
        <w:ind w:left="6199"/>
        <w:rPr>
          <w:rFonts w:ascii="Calibri"/>
        </w:rPr>
      </w:pPr>
      <w:r>
        <w:rPr>
          <w:rFonts w:ascii="Calibri"/>
        </w:rPr>
        <w:t>el  municipio de Zinacantepec</w:t>
      </w:r>
    </w:p>
    <w:p>
      <w:pPr>
        <w:pStyle w:val="BodyText"/>
        <w:spacing w:before="11"/>
        <w:rPr>
          <w:rFonts w:ascii="Calibri"/>
          <w:sz w:val="30"/>
        </w:rPr>
      </w:pPr>
    </w:p>
    <w:p>
      <w:pPr>
        <w:pStyle w:val="Heading2"/>
        <w:ind w:left="259"/>
      </w:pPr>
      <w:bookmarkStart w:name="_TOC_250007" w:id="47"/>
      <w:bookmarkEnd w:id="47"/>
      <w:r>
        <w:rPr/>
        <w:t>DISCUSIÓN DE LOS RESULTADOS</w:t>
      </w:r>
    </w:p>
    <w:p>
      <w:pPr>
        <w:pStyle w:val="BodyText"/>
        <w:rPr>
          <w:b/>
        </w:rPr>
      </w:pPr>
    </w:p>
    <w:p>
      <w:pPr>
        <w:pStyle w:val="BodyText"/>
        <w:rPr>
          <w:b/>
        </w:rPr>
      </w:pPr>
    </w:p>
    <w:p>
      <w:pPr>
        <w:pStyle w:val="BodyText"/>
        <w:spacing w:line="360" w:lineRule="auto" w:before="147"/>
        <w:ind w:left="259" w:right="1415"/>
        <w:jc w:val="both"/>
      </w:pPr>
      <w:r>
        <w:rPr/>
        <w:t>El objetivo de esta la investigación planteo evaluar los factores físico-naturales y sociales que definen la susceptibilidad o grado de exposición de los asentamientos humanos a los riesgos por inundación en la Zona Metropolitana de Toluca, con la finalidad de aportar estrategias de prevención y gestión urbana.</w:t>
      </w:r>
    </w:p>
    <w:p>
      <w:pPr>
        <w:pStyle w:val="BodyText"/>
        <w:spacing w:before="10"/>
      </w:pPr>
    </w:p>
    <w:p>
      <w:pPr>
        <w:pStyle w:val="BodyText"/>
        <w:spacing w:line="360" w:lineRule="auto"/>
        <w:ind w:left="259" w:right="1428"/>
        <w:jc w:val="both"/>
      </w:pPr>
      <w:r>
        <w:rPr/>
        <w:t>En este tenor se previó que la susceptibilidad de los asentamientos humanos a los riesgos por inundación, es un fenómeno localizado.</w:t>
      </w:r>
    </w:p>
    <w:p>
      <w:pPr>
        <w:spacing w:after="0" w:line="360" w:lineRule="auto"/>
        <w:jc w:val="both"/>
        <w:sectPr>
          <w:pgSz w:w="12240" w:h="15840"/>
          <w:pgMar w:header="0" w:footer="1031" w:top="1360" w:bottom="1220" w:left="1440" w:right="280"/>
        </w:sectPr>
      </w:pPr>
    </w:p>
    <w:p>
      <w:pPr>
        <w:pStyle w:val="BodyText"/>
        <w:spacing w:line="360" w:lineRule="auto" w:before="52"/>
        <w:ind w:left="119" w:right="119"/>
        <w:jc w:val="both"/>
      </w:pPr>
      <w:r>
        <w:rPr/>
        <w:t>El marco de referencia muestra abordajes generales, sobre las experiencias de los países en forma individual y continental, en tanto, que los estudios locales y regionales,</w:t>
      </w:r>
      <w:r>
        <w:rPr>
          <w:spacing w:val="-12"/>
        </w:rPr>
        <w:t> </w:t>
      </w:r>
      <w:r>
        <w:rPr/>
        <w:t>son</w:t>
      </w:r>
      <w:r>
        <w:rPr>
          <w:spacing w:val="-7"/>
        </w:rPr>
        <w:t> </w:t>
      </w:r>
      <w:r>
        <w:rPr/>
        <w:t>escasos.</w:t>
      </w:r>
      <w:r>
        <w:rPr>
          <w:spacing w:val="-7"/>
        </w:rPr>
        <w:t> </w:t>
      </w:r>
      <w:r>
        <w:rPr/>
        <w:t>Es</w:t>
      </w:r>
      <w:r>
        <w:rPr>
          <w:spacing w:val="-8"/>
        </w:rPr>
        <w:t> </w:t>
      </w:r>
      <w:r>
        <w:rPr/>
        <w:t>probable</w:t>
      </w:r>
      <w:r>
        <w:rPr>
          <w:spacing w:val="-12"/>
        </w:rPr>
        <w:t> </w:t>
      </w:r>
      <w:r>
        <w:rPr/>
        <w:t>que</w:t>
      </w:r>
      <w:r>
        <w:rPr>
          <w:spacing w:val="-12"/>
        </w:rPr>
        <w:t> </w:t>
      </w:r>
      <w:r>
        <w:rPr/>
        <w:t>el</w:t>
      </w:r>
      <w:r>
        <w:rPr>
          <w:spacing w:val="-4"/>
        </w:rPr>
        <w:t> </w:t>
      </w:r>
      <w:r>
        <w:rPr/>
        <w:t>enfoque</w:t>
      </w:r>
      <w:r>
        <w:rPr>
          <w:spacing w:val="-7"/>
        </w:rPr>
        <w:t> </w:t>
      </w:r>
      <w:r>
        <w:rPr/>
        <w:t>macro</w:t>
      </w:r>
      <w:r>
        <w:rPr>
          <w:spacing w:val="-7"/>
        </w:rPr>
        <w:t> </w:t>
      </w:r>
      <w:r>
        <w:rPr/>
        <w:t>se</w:t>
      </w:r>
      <w:r>
        <w:rPr>
          <w:spacing w:val="-7"/>
        </w:rPr>
        <w:t> </w:t>
      </w:r>
      <w:r>
        <w:rPr/>
        <w:t>deba</w:t>
      </w:r>
      <w:r>
        <w:rPr>
          <w:spacing w:val="-7"/>
        </w:rPr>
        <w:t> </w:t>
      </w:r>
      <w:r>
        <w:rPr/>
        <w:t>a</w:t>
      </w:r>
      <w:r>
        <w:rPr>
          <w:spacing w:val="-12"/>
        </w:rPr>
        <w:t> </w:t>
      </w:r>
      <w:r>
        <w:rPr/>
        <w:t>la</w:t>
      </w:r>
      <w:r>
        <w:rPr>
          <w:spacing w:val="-7"/>
        </w:rPr>
        <w:t> </w:t>
      </w:r>
      <w:r>
        <w:rPr>
          <w:spacing w:val="-3"/>
        </w:rPr>
        <w:t>muy </w:t>
      </w:r>
      <w:r>
        <w:rPr/>
        <w:t>joven institucionalización de los riesgos, las instancias internacionales y los gobiernos nacionales a través de organismos de protección civil en varios niveles de intervención, pretenden incidir con lineamientos y estrategias</w:t>
      </w:r>
      <w:r>
        <w:rPr>
          <w:spacing w:val="-36"/>
        </w:rPr>
        <w:t> </w:t>
      </w:r>
      <w:r>
        <w:rPr/>
        <w:t>generales.</w:t>
      </w:r>
    </w:p>
    <w:p>
      <w:pPr>
        <w:pStyle w:val="BodyText"/>
        <w:spacing w:before="5"/>
      </w:pPr>
    </w:p>
    <w:p>
      <w:pPr>
        <w:pStyle w:val="BodyText"/>
        <w:spacing w:line="360" w:lineRule="auto"/>
        <w:ind w:left="119" w:right="127"/>
        <w:jc w:val="both"/>
      </w:pPr>
      <w:r>
        <w:rPr/>
        <w:t>En este contexto destaca el papel protagónico de las ciudades, que capta la atención de los gobiernos y consume los recursos para resarcir los efectos de los eventos</w:t>
      </w:r>
      <w:r>
        <w:rPr>
          <w:spacing w:val="-7"/>
        </w:rPr>
        <w:t> </w:t>
      </w:r>
      <w:r>
        <w:rPr/>
        <w:t>desastrosos.</w:t>
      </w:r>
      <w:r>
        <w:rPr>
          <w:spacing w:val="-6"/>
        </w:rPr>
        <w:t> </w:t>
      </w:r>
      <w:r>
        <w:rPr/>
        <w:t>En</w:t>
      </w:r>
      <w:r>
        <w:rPr>
          <w:spacing w:val="-6"/>
        </w:rPr>
        <w:t> </w:t>
      </w:r>
      <w:r>
        <w:rPr/>
        <w:t>estas</w:t>
      </w:r>
      <w:r>
        <w:rPr>
          <w:spacing w:val="-7"/>
        </w:rPr>
        <w:t> </w:t>
      </w:r>
      <w:r>
        <w:rPr/>
        <w:t>condiciones</w:t>
      </w:r>
      <w:r>
        <w:rPr>
          <w:spacing w:val="-7"/>
        </w:rPr>
        <w:t> </w:t>
      </w:r>
      <w:r>
        <w:rPr/>
        <w:t>se</w:t>
      </w:r>
      <w:r>
        <w:rPr>
          <w:spacing w:val="-11"/>
        </w:rPr>
        <w:t> </w:t>
      </w:r>
      <w:r>
        <w:rPr/>
        <w:t>lee</w:t>
      </w:r>
      <w:r>
        <w:rPr>
          <w:spacing w:val="-6"/>
        </w:rPr>
        <w:t> </w:t>
      </w:r>
      <w:r>
        <w:rPr/>
        <w:t>el</w:t>
      </w:r>
      <w:r>
        <w:rPr>
          <w:spacing w:val="-4"/>
        </w:rPr>
        <w:t> </w:t>
      </w:r>
      <w:r>
        <w:rPr/>
        <w:t>enfoque</w:t>
      </w:r>
      <w:r>
        <w:rPr>
          <w:spacing w:val="-6"/>
        </w:rPr>
        <w:t> </w:t>
      </w:r>
      <w:r>
        <w:rPr/>
        <w:t>reactivo</w:t>
      </w:r>
      <w:r>
        <w:rPr>
          <w:spacing w:val="-6"/>
        </w:rPr>
        <w:t> </w:t>
      </w:r>
      <w:r>
        <w:rPr/>
        <w:t>para</w:t>
      </w:r>
      <w:r>
        <w:rPr>
          <w:spacing w:val="-6"/>
        </w:rPr>
        <w:t> </w:t>
      </w:r>
      <w:r>
        <w:rPr/>
        <w:t>resolver la</w:t>
      </w:r>
      <w:r>
        <w:rPr>
          <w:spacing w:val="-17"/>
        </w:rPr>
        <w:t> </w:t>
      </w:r>
      <w:r>
        <w:rPr/>
        <w:t>problemática</w:t>
      </w:r>
      <w:r>
        <w:rPr>
          <w:spacing w:val="-17"/>
        </w:rPr>
        <w:t> </w:t>
      </w:r>
      <w:r>
        <w:rPr/>
        <w:t>posterior</w:t>
      </w:r>
      <w:r>
        <w:rPr>
          <w:spacing w:val="-21"/>
        </w:rPr>
        <w:t> </w:t>
      </w:r>
      <w:r>
        <w:rPr/>
        <w:t>a</w:t>
      </w:r>
      <w:r>
        <w:rPr>
          <w:spacing w:val="-21"/>
        </w:rPr>
        <w:t> </w:t>
      </w:r>
      <w:r>
        <w:rPr/>
        <w:t>la</w:t>
      </w:r>
      <w:r>
        <w:rPr>
          <w:spacing w:val="-17"/>
        </w:rPr>
        <w:t> </w:t>
      </w:r>
      <w:r>
        <w:rPr/>
        <w:t>consumación</w:t>
      </w:r>
      <w:r>
        <w:rPr>
          <w:spacing w:val="-17"/>
        </w:rPr>
        <w:t> </w:t>
      </w:r>
      <w:r>
        <w:rPr/>
        <w:t>del</w:t>
      </w:r>
      <w:r>
        <w:rPr>
          <w:spacing w:val="-18"/>
        </w:rPr>
        <w:t> </w:t>
      </w:r>
      <w:r>
        <w:rPr/>
        <w:t>desastre,</w:t>
      </w:r>
      <w:r>
        <w:rPr>
          <w:spacing w:val="-17"/>
        </w:rPr>
        <w:t> </w:t>
      </w:r>
      <w:r>
        <w:rPr/>
        <w:t>frente</w:t>
      </w:r>
      <w:r>
        <w:rPr>
          <w:spacing w:val="-17"/>
        </w:rPr>
        <w:t> </w:t>
      </w:r>
      <w:r>
        <w:rPr/>
        <w:t>a</w:t>
      </w:r>
      <w:r>
        <w:rPr>
          <w:spacing w:val="-17"/>
        </w:rPr>
        <w:t> </w:t>
      </w:r>
      <w:r>
        <w:rPr/>
        <w:t>esta</w:t>
      </w:r>
      <w:r>
        <w:rPr>
          <w:spacing w:val="-16"/>
        </w:rPr>
        <w:t> </w:t>
      </w:r>
      <w:r>
        <w:rPr/>
        <w:t>postura,</w:t>
      </w:r>
      <w:r>
        <w:rPr>
          <w:spacing w:val="-17"/>
        </w:rPr>
        <w:t> </w:t>
      </w:r>
      <w:r>
        <w:rPr/>
        <w:t>surge </w:t>
      </w:r>
      <w:r>
        <w:rPr>
          <w:spacing w:val="-3"/>
        </w:rPr>
        <w:t>más </w:t>
      </w:r>
      <w:r>
        <w:rPr/>
        <w:t>recientemente el interés por la prevención, en cuya dimensión se ubican los conceptos de riesgo, amenaza y</w:t>
      </w:r>
      <w:r>
        <w:rPr>
          <w:spacing w:val="-22"/>
        </w:rPr>
        <w:t> </w:t>
      </w:r>
      <w:r>
        <w:rPr/>
        <w:t>vulnerabilidad.</w:t>
      </w:r>
    </w:p>
    <w:p>
      <w:pPr>
        <w:pStyle w:val="BodyText"/>
        <w:spacing w:before="10"/>
      </w:pPr>
    </w:p>
    <w:p>
      <w:pPr>
        <w:pStyle w:val="BodyText"/>
        <w:spacing w:line="360" w:lineRule="auto"/>
        <w:ind w:left="119" w:right="117"/>
        <w:jc w:val="both"/>
      </w:pPr>
      <w:r>
        <w:rPr/>
        <w:t>En esta investigación el fenómeno urbano y metropolitano de la ciudad de Toluca, se</w:t>
      </w:r>
      <w:r>
        <w:rPr>
          <w:spacing w:val="-11"/>
        </w:rPr>
        <w:t> </w:t>
      </w:r>
      <w:r>
        <w:rPr/>
        <w:t>identifico</w:t>
      </w:r>
      <w:r>
        <w:rPr>
          <w:spacing w:val="-11"/>
        </w:rPr>
        <w:t> </w:t>
      </w:r>
      <w:r>
        <w:rPr/>
        <w:t>como</w:t>
      </w:r>
      <w:r>
        <w:rPr>
          <w:spacing w:val="-6"/>
        </w:rPr>
        <w:t> </w:t>
      </w:r>
      <w:r>
        <w:rPr/>
        <w:t>un</w:t>
      </w:r>
      <w:r>
        <w:rPr>
          <w:spacing w:val="-6"/>
        </w:rPr>
        <w:t> </w:t>
      </w:r>
      <w:r>
        <w:rPr/>
        <w:t>hecho</w:t>
      </w:r>
      <w:r>
        <w:rPr>
          <w:spacing w:val="-11"/>
        </w:rPr>
        <w:t> </w:t>
      </w:r>
      <w:r>
        <w:rPr/>
        <w:t>expansivo</w:t>
      </w:r>
      <w:r>
        <w:rPr>
          <w:spacing w:val="-5"/>
        </w:rPr>
        <w:t> </w:t>
      </w:r>
      <w:r>
        <w:rPr/>
        <w:t>consumado,</w:t>
      </w:r>
      <w:r>
        <w:rPr>
          <w:spacing w:val="-6"/>
        </w:rPr>
        <w:t> </w:t>
      </w:r>
      <w:r>
        <w:rPr/>
        <w:t>que</w:t>
      </w:r>
      <w:r>
        <w:rPr>
          <w:spacing w:val="-11"/>
        </w:rPr>
        <w:t> </w:t>
      </w:r>
      <w:r>
        <w:rPr/>
        <w:t>irradia</w:t>
      </w:r>
      <w:r>
        <w:rPr>
          <w:spacing w:val="-11"/>
        </w:rPr>
        <w:t> </w:t>
      </w:r>
      <w:r>
        <w:rPr/>
        <w:t>la</w:t>
      </w:r>
      <w:r>
        <w:rPr>
          <w:spacing w:val="-11"/>
        </w:rPr>
        <w:t> </w:t>
      </w:r>
      <w:r>
        <w:rPr/>
        <w:t>fuerza</w:t>
      </w:r>
      <w:r>
        <w:rPr>
          <w:spacing w:val="-11"/>
        </w:rPr>
        <w:t> </w:t>
      </w:r>
      <w:r>
        <w:rPr/>
        <w:t>económica y política de la ciudad y </w:t>
      </w:r>
      <w:r>
        <w:rPr>
          <w:spacing w:val="-3"/>
        </w:rPr>
        <w:t>se </w:t>
      </w:r>
      <w:r>
        <w:rPr/>
        <w:t>desborda a las áreas periféricas. Tratándose de un fenómeno inconmensurable que se transforma continuamente y en tiempos cada vez </w:t>
      </w:r>
      <w:r>
        <w:rPr>
          <w:spacing w:val="-3"/>
        </w:rPr>
        <w:t>más</w:t>
      </w:r>
      <w:r>
        <w:rPr>
          <w:spacing w:val="3"/>
        </w:rPr>
        <w:t> </w:t>
      </w:r>
      <w:r>
        <w:rPr/>
        <w:t>cortos.</w:t>
      </w:r>
    </w:p>
    <w:p>
      <w:pPr>
        <w:pStyle w:val="BodyText"/>
      </w:pPr>
    </w:p>
    <w:p>
      <w:pPr>
        <w:pStyle w:val="BodyText"/>
        <w:spacing w:line="360" w:lineRule="auto" w:before="139"/>
        <w:ind w:left="119" w:right="117"/>
        <w:jc w:val="both"/>
      </w:pPr>
      <w:r>
        <w:rPr/>
        <w:t>En este estudio la ZMT se incorpora como variable independiente o causa, para explicar la susceptibilidad a los riesgos por inundación en los asentamientos humanos, está noción involucra no solo la ciudad, sino que proyecta el territorio regional delimitado por las fronteras de los municipios y caracterizado por las limitantes biofísicas y diferencias socioeconómicas.</w:t>
      </w:r>
    </w:p>
    <w:p>
      <w:pPr>
        <w:pStyle w:val="BodyText"/>
        <w:spacing w:before="10"/>
      </w:pPr>
    </w:p>
    <w:p>
      <w:pPr>
        <w:pStyle w:val="BodyText"/>
        <w:spacing w:line="360" w:lineRule="auto"/>
        <w:ind w:left="119" w:right="118"/>
        <w:jc w:val="both"/>
      </w:pPr>
      <w:r>
        <w:rPr/>
        <w:t>La evaluación propuesta en la investigación se abordó a través de un diseño no experimental transeccional correlacional, cuyas característica destacan la recopilación y procesamiento de los datos, la descripción de variables y el análisis de su interrelación en un momento dado (Hernández et al, 2006).</w:t>
      </w:r>
    </w:p>
    <w:p>
      <w:pPr>
        <w:pStyle w:val="BodyText"/>
        <w:spacing w:before="5"/>
      </w:pPr>
    </w:p>
    <w:p>
      <w:pPr>
        <w:pStyle w:val="BodyText"/>
        <w:spacing w:line="362" w:lineRule="auto"/>
        <w:ind w:left="119" w:right="127"/>
        <w:jc w:val="both"/>
      </w:pPr>
      <w:r>
        <w:rPr/>
        <w:t>Con la finalidad de identificar las causas, entender las consecuencias y aproximarnos a las propuestas de mitigación. Se construyó el esquema   analítico,</w:t>
      </w:r>
    </w:p>
    <w:p>
      <w:pPr>
        <w:spacing w:after="0" w:line="362" w:lineRule="auto"/>
        <w:jc w:val="both"/>
        <w:sectPr>
          <w:pgSz w:w="12240" w:h="15840"/>
          <w:pgMar w:header="0" w:footer="1031" w:top="1360" w:bottom="1220" w:left="1580" w:right="1580"/>
        </w:sectPr>
      </w:pPr>
    </w:p>
    <w:p>
      <w:pPr>
        <w:pStyle w:val="BodyText"/>
        <w:spacing w:line="360" w:lineRule="auto" w:before="52"/>
        <w:ind w:left="119" w:right="107"/>
        <w:jc w:val="both"/>
      </w:pPr>
      <w:r>
        <w:rPr/>
        <w:t>que identifica las condiciones biofísicas, sociales, económicas e institucionales, como variables independientes o causas que inciden en la variable dependiente, representada por los niveles susceptibilidad de la región y los asentamientos humanos a las inundaciones.</w:t>
      </w:r>
    </w:p>
    <w:p>
      <w:pPr>
        <w:pStyle w:val="BodyText"/>
        <w:spacing w:before="10"/>
      </w:pPr>
    </w:p>
    <w:p>
      <w:pPr>
        <w:pStyle w:val="BodyText"/>
        <w:spacing w:line="360" w:lineRule="auto"/>
        <w:ind w:left="119" w:right="105"/>
        <w:jc w:val="both"/>
      </w:pPr>
      <w:r>
        <w:rPr/>
        <w:t>El proceso empírico se realizó en las escalas, regional, local y comunitaria, en los primeros niveles la información se obtuvo de fuentes institucionales y el procesamiento se realizó mediante el método de Evaluación Multicriterio (EMC), esté</w:t>
      </w:r>
      <w:r>
        <w:rPr>
          <w:spacing w:val="-8"/>
        </w:rPr>
        <w:t> </w:t>
      </w:r>
      <w:r>
        <w:rPr/>
        <w:t>fue</w:t>
      </w:r>
      <w:r>
        <w:rPr>
          <w:spacing w:val="-11"/>
        </w:rPr>
        <w:t> </w:t>
      </w:r>
      <w:r>
        <w:rPr/>
        <w:t>fundamental</w:t>
      </w:r>
      <w:r>
        <w:rPr>
          <w:spacing w:val="-5"/>
        </w:rPr>
        <w:t> </w:t>
      </w:r>
      <w:r>
        <w:rPr/>
        <w:t>para</w:t>
      </w:r>
      <w:r>
        <w:rPr>
          <w:spacing w:val="-13"/>
        </w:rPr>
        <w:t> </w:t>
      </w:r>
      <w:r>
        <w:rPr/>
        <w:t>evaluar</w:t>
      </w:r>
      <w:r>
        <w:rPr>
          <w:spacing w:val="-12"/>
        </w:rPr>
        <w:t> </w:t>
      </w:r>
      <w:r>
        <w:rPr/>
        <w:t>un</w:t>
      </w:r>
      <w:r>
        <w:rPr>
          <w:spacing w:val="-13"/>
        </w:rPr>
        <w:t> </w:t>
      </w:r>
      <w:r>
        <w:rPr/>
        <w:t>conjunto</w:t>
      </w:r>
      <w:r>
        <w:rPr>
          <w:spacing w:val="-12"/>
        </w:rPr>
        <w:t> </w:t>
      </w:r>
      <w:r>
        <w:rPr/>
        <w:t>de</w:t>
      </w:r>
      <w:r>
        <w:rPr>
          <w:spacing w:val="-8"/>
        </w:rPr>
        <w:t> </w:t>
      </w:r>
      <w:r>
        <w:rPr/>
        <w:t>alternativas</w:t>
      </w:r>
      <w:r>
        <w:rPr>
          <w:spacing w:val="-9"/>
        </w:rPr>
        <w:t> </w:t>
      </w:r>
      <w:r>
        <w:rPr/>
        <w:t>(unidades</w:t>
      </w:r>
      <w:r>
        <w:rPr>
          <w:spacing w:val="-14"/>
        </w:rPr>
        <w:t> </w:t>
      </w:r>
      <w:r>
        <w:rPr/>
        <w:t>espaciales de observación) a la luz de múltiples criterios y prioridades en conflicto. Desde el punto de vista geográfico, las alternativas fueron un conjunto de porciones del territorio que fueron evaluadas con base en sus características biofísicas, sociales y</w:t>
      </w:r>
      <w:r>
        <w:rPr>
          <w:spacing w:val="-4"/>
        </w:rPr>
        <w:t> </w:t>
      </w:r>
      <w:r>
        <w:rPr/>
        <w:t>económicas.</w:t>
      </w:r>
    </w:p>
    <w:p>
      <w:pPr>
        <w:pStyle w:val="BodyText"/>
        <w:spacing w:before="10"/>
      </w:pPr>
    </w:p>
    <w:p>
      <w:pPr>
        <w:pStyle w:val="BodyText"/>
        <w:ind w:left="119"/>
        <w:jc w:val="both"/>
      </w:pPr>
      <w:r>
        <w:rPr/>
        <w:t>El análisis reporta los siguientes resultados.</w:t>
      </w:r>
    </w:p>
    <w:p>
      <w:pPr>
        <w:pStyle w:val="BodyText"/>
      </w:pPr>
    </w:p>
    <w:p>
      <w:pPr>
        <w:pStyle w:val="BodyText"/>
        <w:spacing w:line="360" w:lineRule="auto" w:before="144"/>
        <w:ind w:left="119" w:right="104"/>
        <w:jc w:val="both"/>
      </w:pPr>
      <w:r>
        <w:rPr/>
        <w:t>De acuerdo a la curva hipsométrica resultante de la morfometría, la cuenca en la que se ubica la ZMT es de tipo C, caracterizada por valles extensos y cumbres escarpadas, sometida a procesos intensos de erosión. En ausencia de cubierta vegetal</w:t>
      </w:r>
      <w:r>
        <w:rPr>
          <w:spacing w:val="-13"/>
        </w:rPr>
        <w:t> </w:t>
      </w:r>
      <w:r>
        <w:rPr/>
        <w:t>se</w:t>
      </w:r>
      <w:r>
        <w:rPr>
          <w:spacing w:val="-20"/>
        </w:rPr>
        <w:t> </w:t>
      </w:r>
      <w:r>
        <w:rPr/>
        <w:t>reduce</w:t>
      </w:r>
      <w:r>
        <w:rPr>
          <w:spacing w:val="-20"/>
        </w:rPr>
        <w:t> </w:t>
      </w:r>
      <w:r>
        <w:rPr/>
        <w:t>la</w:t>
      </w:r>
      <w:r>
        <w:rPr>
          <w:spacing w:val="-25"/>
        </w:rPr>
        <w:t> </w:t>
      </w:r>
      <w:r>
        <w:rPr/>
        <w:t>infiltración</w:t>
      </w:r>
      <w:r>
        <w:rPr>
          <w:spacing w:val="-16"/>
        </w:rPr>
        <w:t> </w:t>
      </w:r>
      <w:r>
        <w:rPr/>
        <w:t>de</w:t>
      </w:r>
      <w:r>
        <w:rPr>
          <w:spacing w:val="-17"/>
        </w:rPr>
        <w:t> </w:t>
      </w:r>
      <w:r>
        <w:rPr/>
        <w:t>agua</w:t>
      </w:r>
      <w:r>
        <w:rPr>
          <w:spacing w:val="-17"/>
        </w:rPr>
        <w:t> </w:t>
      </w:r>
      <w:r>
        <w:rPr/>
        <w:t>en</w:t>
      </w:r>
      <w:r>
        <w:rPr>
          <w:spacing w:val="-17"/>
        </w:rPr>
        <w:t> </w:t>
      </w:r>
      <w:r>
        <w:rPr/>
        <w:t>el</w:t>
      </w:r>
      <w:r>
        <w:rPr>
          <w:spacing w:val="-13"/>
        </w:rPr>
        <w:t> </w:t>
      </w:r>
      <w:r>
        <w:rPr/>
        <w:t>suelo,</w:t>
      </w:r>
      <w:r>
        <w:rPr>
          <w:spacing w:val="-21"/>
        </w:rPr>
        <w:t> </w:t>
      </w:r>
      <w:r>
        <w:rPr/>
        <w:t>la</w:t>
      </w:r>
      <w:r>
        <w:rPr>
          <w:spacing w:val="-20"/>
        </w:rPr>
        <w:t> </w:t>
      </w:r>
      <w:r>
        <w:rPr/>
        <w:t>interceptada</w:t>
      </w:r>
      <w:r>
        <w:rPr>
          <w:spacing w:val="-20"/>
        </w:rPr>
        <w:t> </w:t>
      </w:r>
      <w:r>
        <w:rPr/>
        <w:t>por</w:t>
      </w:r>
      <w:r>
        <w:rPr>
          <w:spacing w:val="-24"/>
        </w:rPr>
        <w:t> </w:t>
      </w:r>
      <w:r>
        <w:rPr/>
        <w:t>la</w:t>
      </w:r>
      <w:r>
        <w:rPr>
          <w:spacing w:val="-17"/>
        </w:rPr>
        <w:t> </w:t>
      </w:r>
      <w:r>
        <w:rPr/>
        <w:t>vegetación y se incrementa la velocidad con la que se mueve el</w:t>
      </w:r>
      <w:r>
        <w:rPr>
          <w:spacing w:val="-12"/>
        </w:rPr>
        <w:t> </w:t>
      </w:r>
      <w:r>
        <w:rPr/>
        <w:t>agua.</w:t>
      </w:r>
    </w:p>
    <w:p>
      <w:pPr>
        <w:pStyle w:val="BodyText"/>
        <w:spacing w:before="5"/>
      </w:pPr>
    </w:p>
    <w:p>
      <w:pPr>
        <w:pStyle w:val="BodyText"/>
        <w:spacing w:line="360" w:lineRule="auto"/>
        <w:ind w:left="119" w:right="109"/>
        <w:jc w:val="both"/>
      </w:pPr>
      <w:r>
        <w:rPr/>
        <w:t>La determinación del índice de riesgo biofísico considera los factores de uso de suelo y vegetación, población, hidrología y suelos.</w:t>
      </w:r>
    </w:p>
    <w:p>
      <w:pPr>
        <w:pStyle w:val="BodyText"/>
        <w:spacing w:before="10"/>
      </w:pPr>
    </w:p>
    <w:p>
      <w:pPr>
        <w:pStyle w:val="BodyText"/>
        <w:spacing w:line="357" w:lineRule="auto"/>
        <w:ind w:left="119" w:right="105"/>
        <w:jc w:val="both"/>
      </w:pPr>
      <w:r>
        <w:rPr/>
        <w:t>La</w:t>
      </w:r>
      <w:r>
        <w:rPr>
          <w:spacing w:val="-2"/>
        </w:rPr>
        <w:t> </w:t>
      </w:r>
      <w:r>
        <w:rPr/>
        <w:t>tipología</w:t>
      </w:r>
      <w:r>
        <w:rPr>
          <w:spacing w:val="-6"/>
        </w:rPr>
        <w:t> </w:t>
      </w:r>
      <w:r>
        <w:rPr/>
        <w:t>resultante,</w:t>
      </w:r>
      <w:r>
        <w:rPr>
          <w:spacing w:val="-7"/>
        </w:rPr>
        <w:t> </w:t>
      </w:r>
      <w:r>
        <w:rPr/>
        <w:t>ubica</w:t>
      </w:r>
      <w:r>
        <w:rPr>
          <w:spacing w:val="-6"/>
        </w:rPr>
        <w:t> </w:t>
      </w:r>
      <w:r>
        <w:rPr/>
        <w:t>en</w:t>
      </w:r>
      <w:r>
        <w:rPr>
          <w:spacing w:val="-6"/>
        </w:rPr>
        <w:t> </w:t>
      </w:r>
      <w:r>
        <w:rPr/>
        <w:t>el</w:t>
      </w:r>
      <w:r>
        <w:rPr>
          <w:spacing w:val="2"/>
        </w:rPr>
        <w:t> </w:t>
      </w:r>
      <w:r>
        <w:rPr/>
        <w:t>nivel</w:t>
      </w:r>
      <w:r>
        <w:rPr>
          <w:spacing w:val="-2"/>
        </w:rPr>
        <w:t> </w:t>
      </w:r>
      <w:r>
        <w:rPr/>
        <w:t>alto</w:t>
      </w:r>
      <w:r>
        <w:rPr>
          <w:spacing w:val="-10"/>
        </w:rPr>
        <w:t> </w:t>
      </w:r>
      <w:r>
        <w:rPr/>
        <w:t>la</w:t>
      </w:r>
      <w:r>
        <w:rPr>
          <w:spacing w:val="-6"/>
        </w:rPr>
        <w:t> </w:t>
      </w:r>
      <w:r>
        <w:rPr/>
        <w:t>mitad</w:t>
      </w:r>
      <w:r>
        <w:rPr>
          <w:spacing w:val="-2"/>
        </w:rPr>
        <w:t> </w:t>
      </w:r>
      <w:r>
        <w:rPr/>
        <w:t>o</w:t>
      </w:r>
      <w:r>
        <w:rPr>
          <w:spacing w:val="-6"/>
        </w:rPr>
        <w:t> </w:t>
      </w:r>
      <w:r>
        <w:rPr/>
        <w:t>55%</w:t>
      </w:r>
      <w:r>
        <w:rPr>
          <w:spacing w:val="-5"/>
        </w:rPr>
        <w:t> </w:t>
      </w:r>
      <w:r>
        <w:rPr/>
        <w:t>del</w:t>
      </w:r>
      <w:r>
        <w:rPr>
          <w:spacing w:val="-2"/>
        </w:rPr>
        <w:t> </w:t>
      </w:r>
      <w:r>
        <w:rPr/>
        <w:t>territorio</w:t>
      </w:r>
      <w:r>
        <w:rPr>
          <w:spacing w:val="-2"/>
        </w:rPr>
        <w:t> </w:t>
      </w:r>
      <w:r>
        <w:rPr/>
        <w:t>de</w:t>
      </w:r>
      <w:r>
        <w:rPr>
          <w:spacing w:val="-6"/>
        </w:rPr>
        <w:t> </w:t>
      </w:r>
      <w:r>
        <w:rPr/>
        <w:t>la</w:t>
      </w:r>
      <w:r>
        <w:rPr>
          <w:spacing w:val="-6"/>
        </w:rPr>
        <w:t> </w:t>
      </w:r>
      <w:r>
        <w:rPr/>
        <w:t>ZMT, cubre una superficie de 1032,73 </w:t>
      </w:r>
      <w:r>
        <w:rPr>
          <w:spacing w:val="-3"/>
        </w:rPr>
        <w:t>km</w:t>
      </w:r>
      <w:r>
        <w:rPr>
          <w:spacing w:val="-3"/>
          <w:position w:val="8"/>
          <w:sz w:val="16"/>
        </w:rPr>
        <w:t>2 </w:t>
      </w:r>
      <w:r>
        <w:rPr/>
        <w:t>y comprende los municipios urbanos </w:t>
      </w:r>
      <w:r>
        <w:rPr>
          <w:spacing w:val="-3"/>
        </w:rPr>
        <w:t>más </w:t>
      </w:r>
      <w:r>
        <w:rPr/>
        <w:t>consolidados, Lerma, Toluca, San Mateo Atenco y</w:t>
      </w:r>
      <w:r>
        <w:rPr>
          <w:spacing w:val="-24"/>
        </w:rPr>
        <w:t> </w:t>
      </w:r>
      <w:r>
        <w:rPr/>
        <w:t>Metepec.</w:t>
      </w:r>
    </w:p>
    <w:p>
      <w:pPr>
        <w:pStyle w:val="BodyText"/>
        <w:spacing w:before="8"/>
      </w:pPr>
    </w:p>
    <w:p>
      <w:pPr>
        <w:pStyle w:val="BodyText"/>
        <w:spacing w:line="355" w:lineRule="auto"/>
        <w:ind w:left="119" w:right="102"/>
        <w:jc w:val="both"/>
      </w:pPr>
      <w:r>
        <w:rPr/>
        <w:t>El nivel medio representa una superficie que cubre 687,20 km</w:t>
      </w:r>
      <w:r>
        <w:rPr>
          <w:position w:val="8"/>
          <w:sz w:val="16"/>
        </w:rPr>
        <w:t>2 </w:t>
      </w:r>
      <w:r>
        <w:rPr/>
        <w:t>o 30% del total. El nivel bajo cubre una superficie de 13,71 km</w:t>
      </w:r>
      <w:r>
        <w:rPr>
          <w:position w:val="8"/>
          <w:sz w:val="16"/>
        </w:rPr>
        <w:t>2  </w:t>
      </w:r>
      <w:r>
        <w:rPr/>
        <w:t>o 15% del territorio metropolitano.</w:t>
      </w:r>
    </w:p>
    <w:p>
      <w:pPr>
        <w:spacing w:after="0" w:line="355" w:lineRule="auto"/>
        <w:jc w:val="both"/>
        <w:sectPr>
          <w:pgSz w:w="12240" w:h="15840"/>
          <w:pgMar w:header="0" w:footer="1031" w:top="1360" w:bottom="1220" w:left="1580" w:right="1600"/>
        </w:sectPr>
      </w:pPr>
    </w:p>
    <w:p>
      <w:pPr>
        <w:pStyle w:val="BodyText"/>
        <w:spacing w:line="362" w:lineRule="auto" w:before="52"/>
        <w:ind w:left="119" w:right="128"/>
        <w:jc w:val="both"/>
      </w:pPr>
      <w:r>
        <w:rPr/>
        <w:t>Aunado a que 39,80% del territorio metropolitano presenta suelos proclives a las inundaciones, la textura arcillosa propia de estos suelos origina encharcamientos y potencialmente favorecen las inundaciones.</w:t>
      </w:r>
    </w:p>
    <w:p>
      <w:pPr>
        <w:pStyle w:val="BodyText"/>
        <w:spacing w:before="2"/>
      </w:pPr>
    </w:p>
    <w:p>
      <w:pPr>
        <w:pStyle w:val="BodyText"/>
        <w:spacing w:line="360" w:lineRule="auto"/>
        <w:ind w:left="119" w:right="123"/>
        <w:jc w:val="both"/>
      </w:pPr>
      <w:r>
        <w:rPr/>
        <w:t>Los resultados responden a las características seniles de la cuenca hidrográfica, que se manifiestan en su forma y sistema de drenaje. El cual ha sido alterado por las obras de infraestructura hidráulica que han modificado el curso normal de las corrientes tributarias. Las precipitaciones intensas en la parte alta de la cuenca y</w:t>
      </w:r>
      <w:r>
        <w:rPr>
          <w:spacing w:val="-42"/>
        </w:rPr>
        <w:t> </w:t>
      </w:r>
      <w:r>
        <w:rPr/>
        <w:t>la deforestación, favorecen la formación de avenidas o escurrimientos destructores acompañado de gran cantidad de material de arrastre y sedimento en</w:t>
      </w:r>
      <w:r>
        <w:rPr>
          <w:spacing w:val="-35"/>
        </w:rPr>
        <w:t> </w:t>
      </w:r>
      <w:r>
        <w:rPr/>
        <w:t>suspensión.</w:t>
      </w:r>
    </w:p>
    <w:p>
      <w:pPr>
        <w:pStyle w:val="BodyText"/>
        <w:spacing w:before="5"/>
      </w:pPr>
    </w:p>
    <w:p>
      <w:pPr>
        <w:pStyle w:val="BodyText"/>
        <w:spacing w:line="360" w:lineRule="auto"/>
        <w:ind w:left="119" w:right="121"/>
        <w:jc w:val="both"/>
      </w:pPr>
      <w:r>
        <w:rPr/>
        <w:t>La susceptibilidad social a las inundaciones está definida por el potencial de población que podría ser afectada, en este caso poco </w:t>
      </w:r>
      <w:r>
        <w:rPr>
          <w:spacing w:val="-3"/>
        </w:rPr>
        <w:t>más </w:t>
      </w:r>
      <w:r>
        <w:rPr/>
        <w:t>de tres millones de habitantes, sin embargo la población efectiva que podría ser afectada por las inundaciones focaliza las concentraciones demográficas y urbanas </w:t>
      </w:r>
      <w:r>
        <w:rPr>
          <w:spacing w:val="-3"/>
        </w:rPr>
        <w:t>más </w:t>
      </w:r>
      <w:r>
        <w:rPr/>
        <w:t>importantes,</w:t>
      </w:r>
      <w:r>
        <w:rPr>
          <w:spacing w:val="-8"/>
        </w:rPr>
        <w:t> </w:t>
      </w:r>
      <w:r>
        <w:rPr/>
        <w:t>Lerma,</w:t>
      </w:r>
      <w:r>
        <w:rPr>
          <w:spacing w:val="-8"/>
        </w:rPr>
        <w:t> </w:t>
      </w:r>
      <w:r>
        <w:rPr/>
        <w:t>Toluca,</w:t>
      </w:r>
      <w:r>
        <w:rPr>
          <w:spacing w:val="-12"/>
        </w:rPr>
        <w:t> </w:t>
      </w:r>
      <w:r>
        <w:rPr/>
        <w:t>San</w:t>
      </w:r>
      <w:r>
        <w:rPr>
          <w:spacing w:val="-8"/>
        </w:rPr>
        <w:t> </w:t>
      </w:r>
      <w:r>
        <w:rPr/>
        <w:t>Mateo</w:t>
      </w:r>
      <w:r>
        <w:rPr>
          <w:spacing w:val="-8"/>
        </w:rPr>
        <w:t> </w:t>
      </w:r>
      <w:r>
        <w:rPr/>
        <w:t>Atenco</w:t>
      </w:r>
      <w:r>
        <w:rPr>
          <w:spacing w:val="-8"/>
        </w:rPr>
        <w:t> </w:t>
      </w:r>
      <w:r>
        <w:rPr/>
        <w:t>y</w:t>
      </w:r>
      <w:r>
        <w:rPr>
          <w:spacing w:val="-9"/>
        </w:rPr>
        <w:t> </w:t>
      </w:r>
      <w:r>
        <w:rPr/>
        <w:t>Metepec,</w:t>
      </w:r>
      <w:r>
        <w:rPr>
          <w:spacing w:val="-12"/>
        </w:rPr>
        <w:t> </w:t>
      </w:r>
      <w:r>
        <w:rPr/>
        <w:t>a</w:t>
      </w:r>
      <w:r>
        <w:rPr>
          <w:spacing w:val="-8"/>
        </w:rPr>
        <w:t> </w:t>
      </w:r>
      <w:r>
        <w:rPr/>
        <w:t>pesar</w:t>
      </w:r>
      <w:r>
        <w:rPr>
          <w:spacing w:val="-11"/>
        </w:rPr>
        <w:t> </w:t>
      </w:r>
      <w:r>
        <w:rPr/>
        <w:t>de</w:t>
      </w:r>
      <w:r>
        <w:rPr>
          <w:spacing w:val="-8"/>
        </w:rPr>
        <w:t> </w:t>
      </w:r>
      <w:r>
        <w:rPr>
          <w:spacing w:val="-3"/>
        </w:rPr>
        <w:t>su</w:t>
      </w:r>
      <w:r>
        <w:rPr>
          <w:spacing w:val="-8"/>
        </w:rPr>
        <w:t> </w:t>
      </w:r>
      <w:r>
        <w:rPr/>
        <w:t>desarrollo económico, industrial, comercial y de servicios, la atención focaliza los asentamientos irregulares en áreas inapropiadas para</w:t>
      </w:r>
      <w:r>
        <w:rPr>
          <w:spacing w:val="-28"/>
        </w:rPr>
        <w:t> </w:t>
      </w:r>
      <w:r>
        <w:rPr/>
        <w:t>vivir.</w:t>
      </w:r>
    </w:p>
    <w:p>
      <w:pPr>
        <w:pStyle w:val="BodyText"/>
        <w:spacing w:before="5"/>
      </w:pPr>
    </w:p>
    <w:p>
      <w:pPr>
        <w:pStyle w:val="BodyText"/>
        <w:spacing w:line="360" w:lineRule="auto"/>
        <w:ind w:left="119" w:right="120"/>
        <w:jc w:val="both"/>
      </w:pPr>
      <w:r>
        <w:rPr/>
        <w:t>Una</w:t>
      </w:r>
      <w:r>
        <w:rPr>
          <w:spacing w:val="-5"/>
        </w:rPr>
        <w:t> </w:t>
      </w:r>
      <w:r>
        <w:rPr/>
        <w:t>vez</w:t>
      </w:r>
      <w:r>
        <w:rPr>
          <w:spacing w:val="-11"/>
        </w:rPr>
        <w:t> </w:t>
      </w:r>
      <w:r>
        <w:rPr/>
        <w:t>identificada</w:t>
      </w:r>
      <w:r>
        <w:rPr>
          <w:spacing w:val="-7"/>
        </w:rPr>
        <w:t> </w:t>
      </w:r>
      <w:r>
        <w:rPr/>
        <w:t>los</w:t>
      </w:r>
      <w:r>
        <w:rPr>
          <w:spacing w:val="-5"/>
        </w:rPr>
        <w:t> </w:t>
      </w:r>
      <w:r>
        <w:rPr/>
        <w:t>niveles</w:t>
      </w:r>
      <w:r>
        <w:rPr>
          <w:spacing w:val="-11"/>
        </w:rPr>
        <w:t> </w:t>
      </w:r>
      <w:r>
        <w:rPr/>
        <w:t>de</w:t>
      </w:r>
      <w:r>
        <w:rPr>
          <w:spacing w:val="-5"/>
        </w:rPr>
        <w:t> </w:t>
      </w:r>
      <w:r>
        <w:rPr/>
        <w:t>susceptibilidad</w:t>
      </w:r>
      <w:r>
        <w:rPr>
          <w:spacing w:val="-5"/>
        </w:rPr>
        <w:t> </w:t>
      </w:r>
      <w:r>
        <w:rPr/>
        <w:t>a</w:t>
      </w:r>
      <w:r>
        <w:rPr>
          <w:spacing w:val="-10"/>
        </w:rPr>
        <w:t> </w:t>
      </w:r>
      <w:r>
        <w:rPr/>
        <w:t>las</w:t>
      </w:r>
      <w:r>
        <w:rPr>
          <w:spacing w:val="-15"/>
        </w:rPr>
        <w:t> </w:t>
      </w:r>
      <w:r>
        <w:rPr/>
        <w:t>inundaciones</w:t>
      </w:r>
      <w:r>
        <w:rPr>
          <w:spacing w:val="-11"/>
        </w:rPr>
        <w:t> </w:t>
      </w:r>
      <w:r>
        <w:rPr/>
        <w:t>en</w:t>
      </w:r>
      <w:r>
        <w:rPr>
          <w:spacing w:val="-10"/>
        </w:rPr>
        <w:t> </w:t>
      </w:r>
      <w:r>
        <w:rPr/>
        <w:t>la</w:t>
      </w:r>
      <w:r>
        <w:rPr>
          <w:spacing w:val="-10"/>
        </w:rPr>
        <w:t> </w:t>
      </w:r>
      <w:r>
        <w:rPr/>
        <w:t>ZMT,</w:t>
      </w:r>
      <w:r>
        <w:rPr>
          <w:spacing w:val="-5"/>
        </w:rPr>
        <w:t> </w:t>
      </w:r>
      <w:r>
        <w:rPr/>
        <w:t>se eligió el municipio de </w:t>
      </w:r>
      <w:r>
        <w:rPr>
          <w:spacing w:val="-3"/>
        </w:rPr>
        <w:t>Lerma </w:t>
      </w:r>
      <w:r>
        <w:rPr/>
        <w:t>debido a que presento el mayor índice de susceptibilidad. En este municipio se realizó trabajo de </w:t>
      </w:r>
      <w:r>
        <w:rPr>
          <w:spacing w:val="-3"/>
        </w:rPr>
        <w:t>campo </w:t>
      </w:r>
      <w:r>
        <w:rPr/>
        <w:t>y se aplicó un cuestionario, que proveyó la información sobre el perfil socio demográfico, daños físicos, impacto socioeconómico, presencia de las instituciones gubernamentales y percepción del</w:t>
      </w:r>
      <w:r>
        <w:rPr>
          <w:spacing w:val="-8"/>
        </w:rPr>
        <w:t> </w:t>
      </w:r>
      <w:r>
        <w:rPr/>
        <w:t>riesgo.</w:t>
      </w:r>
    </w:p>
    <w:p>
      <w:pPr>
        <w:pStyle w:val="BodyText"/>
        <w:spacing w:before="123"/>
        <w:ind w:left="119"/>
        <w:jc w:val="both"/>
      </w:pPr>
      <w:r>
        <w:rPr/>
        <w:t>Los resultados a los que se llego, son las siguientes:</w:t>
      </w:r>
    </w:p>
    <w:p>
      <w:pPr>
        <w:pStyle w:val="BodyText"/>
      </w:pPr>
    </w:p>
    <w:p>
      <w:pPr>
        <w:pStyle w:val="BodyText"/>
        <w:spacing w:line="364" w:lineRule="auto" w:before="139"/>
        <w:ind w:left="119" w:right="117"/>
        <w:jc w:val="both"/>
      </w:pPr>
      <w:r>
        <w:rPr/>
        <w:t>En una muestra de 105 cuestionarios o 10% de la población congregada en las localidades seleccionadas.</w:t>
      </w:r>
    </w:p>
    <w:p>
      <w:pPr>
        <w:pStyle w:val="BodyText"/>
        <w:spacing w:before="11"/>
        <w:rPr>
          <w:sz w:val="23"/>
        </w:rPr>
      </w:pPr>
    </w:p>
    <w:p>
      <w:pPr>
        <w:pStyle w:val="BodyText"/>
        <w:spacing w:line="362" w:lineRule="auto"/>
        <w:ind w:left="119" w:right="129"/>
        <w:jc w:val="both"/>
      </w:pPr>
      <w:r>
        <w:rPr/>
        <w:t>El 78% de los entrevistados han sido afectados directa o indirectamente por las inundaciones, de los cuales 28% indicaron que el daño en las viviendas ha sido principalmente en el mobiliario, pisos (21%) y humedad (18%).</w:t>
      </w:r>
    </w:p>
    <w:p>
      <w:pPr>
        <w:spacing w:after="0" w:line="362" w:lineRule="auto"/>
        <w:jc w:val="both"/>
        <w:sectPr>
          <w:pgSz w:w="12240" w:h="15840"/>
          <w:pgMar w:header="0" w:footer="1031" w:top="1360" w:bottom="1220" w:left="1580" w:right="1580"/>
        </w:sectPr>
      </w:pPr>
    </w:p>
    <w:p>
      <w:pPr>
        <w:pStyle w:val="BodyText"/>
        <w:spacing w:line="360" w:lineRule="auto" w:before="52"/>
        <w:ind w:left="119" w:right="114"/>
        <w:jc w:val="both"/>
      </w:pPr>
      <w:r>
        <w:rPr/>
        <w:t>Los entrevistados coinciden en que las inundaciones afectan la economía familiar, realizaron gastos para la reparación de los daños físicos y algunos no pudieron realizar sus actividades laborales. Los gastos y el ingreso que dejaron de percibir debido a las inundaciones, oscila en tres rangos: Menos de 5,000 pesos; de 5,000- 10,000 y 10,000 o más pesos, el  segundo rango ocupo 70% del total.</w:t>
      </w:r>
    </w:p>
    <w:p>
      <w:pPr>
        <w:pStyle w:val="BodyText"/>
        <w:spacing w:before="10"/>
      </w:pPr>
    </w:p>
    <w:p>
      <w:pPr>
        <w:pStyle w:val="BodyText"/>
        <w:spacing w:line="360" w:lineRule="auto"/>
        <w:ind w:left="119" w:right="123"/>
        <w:jc w:val="both"/>
      </w:pPr>
      <w:r>
        <w:rPr/>
        <w:t>En las localidades trabajados en campo existe gran desinformación sobre las medidas preventivas antes, durante y después de una inundación, las autoridades competentes</w:t>
      </w:r>
      <w:r>
        <w:rPr>
          <w:spacing w:val="-8"/>
        </w:rPr>
        <w:t> </w:t>
      </w:r>
      <w:r>
        <w:rPr/>
        <w:t>en</w:t>
      </w:r>
      <w:r>
        <w:rPr>
          <w:spacing w:val="-7"/>
        </w:rPr>
        <w:t> </w:t>
      </w:r>
      <w:r>
        <w:rPr/>
        <w:t>la</w:t>
      </w:r>
      <w:r>
        <w:rPr>
          <w:spacing w:val="-12"/>
        </w:rPr>
        <w:t> </w:t>
      </w:r>
      <w:r>
        <w:rPr/>
        <w:t>materia</w:t>
      </w:r>
      <w:r>
        <w:rPr>
          <w:spacing w:val="-7"/>
        </w:rPr>
        <w:t> </w:t>
      </w:r>
      <w:r>
        <w:rPr/>
        <w:t>no</w:t>
      </w:r>
      <w:r>
        <w:rPr>
          <w:spacing w:val="-7"/>
        </w:rPr>
        <w:t> </w:t>
      </w:r>
      <w:r>
        <w:rPr/>
        <w:t>tienen</w:t>
      </w:r>
      <w:r>
        <w:rPr>
          <w:spacing w:val="-7"/>
        </w:rPr>
        <w:t> </w:t>
      </w:r>
      <w:r>
        <w:rPr/>
        <w:t>presencia.</w:t>
      </w:r>
      <w:r>
        <w:rPr>
          <w:spacing w:val="-7"/>
        </w:rPr>
        <w:t> </w:t>
      </w:r>
      <w:r>
        <w:rPr/>
        <w:t>Aunado</w:t>
      </w:r>
      <w:r>
        <w:rPr>
          <w:spacing w:val="-7"/>
        </w:rPr>
        <w:t> </w:t>
      </w:r>
      <w:r>
        <w:rPr/>
        <w:t>a</w:t>
      </w:r>
      <w:r>
        <w:rPr>
          <w:spacing w:val="-12"/>
        </w:rPr>
        <w:t> </w:t>
      </w:r>
      <w:r>
        <w:rPr/>
        <w:t>lo</w:t>
      </w:r>
      <w:r>
        <w:rPr>
          <w:spacing w:val="-12"/>
        </w:rPr>
        <w:t> </w:t>
      </w:r>
      <w:r>
        <w:rPr/>
        <w:t>anterior</w:t>
      </w:r>
      <w:r>
        <w:rPr>
          <w:spacing w:val="-6"/>
        </w:rPr>
        <w:t> </w:t>
      </w:r>
      <w:r>
        <w:rPr/>
        <w:t>se</w:t>
      </w:r>
      <w:r>
        <w:rPr>
          <w:spacing w:val="-7"/>
        </w:rPr>
        <w:t> </w:t>
      </w:r>
      <w:r>
        <w:rPr/>
        <w:t>verificó</w:t>
      </w:r>
      <w:r>
        <w:rPr>
          <w:spacing w:val="-7"/>
        </w:rPr>
        <w:t> </w:t>
      </w:r>
      <w:r>
        <w:rPr/>
        <w:t>que no existen grupos de habitantes organizados para prestar algún tipo de ayuda en caso de</w:t>
      </w:r>
      <w:r>
        <w:rPr>
          <w:spacing w:val="-5"/>
        </w:rPr>
        <w:t> </w:t>
      </w:r>
      <w:r>
        <w:rPr/>
        <w:t>inundación.</w:t>
      </w:r>
    </w:p>
    <w:p>
      <w:pPr>
        <w:pStyle w:val="BodyText"/>
        <w:spacing w:before="10"/>
      </w:pPr>
    </w:p>
    <w:p>
      <w:pPr>
        <w:pStyle w:val="BodyText"/>
        <w:spacing w:line="360" w:lineRule="auto"/>
        <w:ind w:left="119" w:right="129"/>
        <w:jc w:val="both"/>
      </w:pPr>
      <w:r>
        <w:rPr/>
        <w:t>Un número significativo de las viviendas en los sitios recorridos se ubican en asentamientos irregulares y al igual que los pobladores que viven en sitios regularizados, no cuentan con la información sobre el riesgo que representan las inundaciones.</w:t>
      </w:r>
    </w:p>
    <w:p>
      <w:pPr>
        <w:pStyle w:val="BodyText"/>
        <w:spacing w:before="10"/>
      </w:pPr>
    </w:p>
    <w:p>
      <w:pPr>
        <w:pStyle w:val="BodyText"/>
        <w:spacing w:line="360" w:lineRule="auto"/>
        <w:ind w:left="119" w:right="124"/>
        <w:jc w:val="both"/>
      </w:pPr>
      <w:r>
        <w:rPr/>
        <w:t>A pesar de la situación de vulnerabilidad social en la que se encontraron las comunidades en la zona, los habitantes mencionaron que no cambiarían de lugar de residencia por diversos motivos, los más importantes, son los siguientes: No contar con dinero suficiente para hacerlo, el temor a perder su fuente de trabajo actual y vivir el mayor tiempo posible en el lugar que los ha visto nacer.</w:t>
      </w:r>
    </w:p>
    <w:p>
      <w:pPr>
        <w:pStyle w:val="BodyText"/>
        <w:spacing w:before="5"/>
      </w:pPr>
    </w:p>
    <w:p>
      <w:pPr>
        <w:pStyle w:val="BodyText"/>
        <w:spacing w:line="360" w:lineRule="auto"/>
        <w:ind w:left="119" w:right="119"/>
        <w:jc w:val="both"/>
      </w:pPr>
      <w:r>
        <w:rPr/>
        <w:t>No obstante que en la muestra se contemplaron factores, como la distribución poblacional,</w:t>
      </w:r>
      <w:r>
        <w:rPr>
          <w:spacing w:val="-8"/>
        </w:rPr>
        <w:t> </w:t>
      </w:r>
      <w:r>
        <w:rPr/>
        <w:t>educación</w:t>
      </w:r>
      <w:r>
        <w:rPr>
          <w:spacing w:val="-8"/>
        </w:rPr>
        <w:t> </w:t>
      </w:r>
      <w:r>
        <w:rPr/>
        <w:t>y</w:t>
      </w:r>
      <w:r>
        <w:rPr>
          <w:spacing w:val="-9"/>
        </w:rPr>
        <w:t> </w:t>
      </w:r>
      <w:r>
        <w:rPr/>
        <w:t>vivienda,</w:t>
      </w:r>
      <w:r>
        <w:rPr>
          <w:spacing w:val="-8"/>
        </w:rPr>
        <w:t> </w:t>
      </w:r>
      <w:r>
        <w:rPr/>
        <w:t>pérdidas</w:t>
      </w:r>
      <w:r>
        <w:rPr>
          <w:spacing w:val="-9"/>
        </w:rPr>
        <w:t> </w:t>
      </w:r>
      <w:r>
        <w:rPr/>
        <w:t>monetarias</w:t>
      </w:r>
      <w:r>
        <w:rPr>
          <w:spacing w:val="-9"/>
        </w:rPr>
        <w:t> </w:t>
      </w:r>
      <w:r>
        <w:rPr/>
        <w:t>y</w:t>
      </w:r>
      <w:r>
        <w:rPr>
          <w:spacing w:val="-9"/>
        </w:rPr>
        <w:t> </w:t>
      </w:r>
      <w:r>
        <w:rPr/>
        <w:t>materiales,</w:t>
      </w:r>
      <w:r>
        <w:rPr>
          <w:spacing w:val="-8"/>
        </w:rPr>
        <w:t> </w:t>
      </w:r>
      <w:r>
        <w:rPr/>
        <w:t>consideramos que</w:t>
      </w:r>
      <w:r>
        <w:rPr>
          <w:spacing w:val="-6"/>
        </w:rPr>
        <w:t> </w:t>
      </w:r>
      <w:r>
        <w:rPr/>
        <w:t>futuras</w:t>
      </w:r>
      <w:r>
        <w:rPr>
          <w:spacing w:val="-12"/>
        </w:rPr>
        <w:t> </w:t>
      </w:r>
      <w:r>
        <w:rPr/>
        <w:t>investigaciones</w:t>
      </w:r>
      <w:r>
        <w:rPr>
          <w:spacing w:val="-7"/>
        </w:rPr>
        <w:t> </w:t>
      </w:r>
      <w:r>
        <w:rPr/>
        <w:t>se</w:t>
      </w:r>
      <w:r>
        <w:rPr>
          <w:spacing w:val="-11"/>
        </w:rPr>
        <w:t> </w:t>
      </w:r>
      <w:r>
        <w:rPr/>
        <w:t>debe</w:t>
      </w:r>
      <w:r>
        <w:rPr>
          <w:spacing w:val="-6"/>
        </w:rPr>
        <w:t> </w:t>
      </w:r>
      <w:r>
        <w:rPr/>
        <w:t>tomar</w:t>
      </w:r>
      <w:r>
        <w:rPr>
          <w:spacing w:val="-5"/>
        </w:rPr>
        <w:t> </w:t>
      </w:r>
      <w:r>
        <w:rPr/>
        <w:t>en</w:t>
      </w:r>
      <w:r>
        <w:rPr>
          <w:spacing w:val="-11"/>
        </w:rPr>
        <w:t> </w:t>
      </w:r>
      <w:r>
        <w:rPr/>
        <w:t>cuenta</w:t>
      </w:r>
      <w:r>
        <w:rPr>
          <w:spacing w:val="-10"/>
        </w:rPr>
        <w:t> </w:t>
      </w:r>
      <w:r>
        <w:rPr/>
        <w:t>la</w:t>
      </w:r>
      <w:r>
        <w:rPr>
          <w:spacing w:val="-11"/>
        </w:rPr>
        <w:t> </w:t>
      </w:r>
      <w:r>
        <w:rPr/>
        <w:t>ubicación</w:t>
      </w:r>
      <w:r>
        <w:rPr>
          <w:spacing w:val="-6"/>
        </w:rPr>
        <w:t> </w:t>
      </w:r>
      <w:r>
        <w:rPr/>
        <w:t>de</w:t>
      </w:r>
      <w:r>
        <w:rPr>
          <w:spacing w:val="-15"/>
        </w:rPr>
        <w:t> </w:t>
      </w:r>
      <w:r>
        <w:rPr/>
        <w:t>las</w:t>
      </w:r>
      <w:r>
        <w:rPr>
          <w:spacing w:val="-7"/>
        </w:rPr>
        <w:t> </w:t>
      </w:r>
      <w:r>
        <w:rPr/>
        <w:t>casas</w:t>
      </w:r>
      <w:r>
        <w:rPr>
          <w:spacing w:val="-7"/>
        </w:rPr>
        <w:t> </w:t>
      </w:r>
      <w:r>
        <w:rPr/>
        <w:t>y</w:t>
      </w:r>
      <w:r>
        <w:rPr>
          <w:spacing w:val="-12"/>
        </w:rPr>
        <w:t> </w:t>
      </w:r>
      <w:r>
        <w:rPr/>
        <w:t>las propiedades</w:t>
      </w:r>
      <w:r>
        <w:rPr>
          <w:spacing w:val="-12"/>
        </w:rPr>
        <w:t> </w:t>
      </w:r>
      <w:r>
        <w:rPr/>
        <w:t>respecto</w:t>
      </w:r>
      <w:r>
        <w:rPr>
          <w:spacing w:val="-10"/>
        </w:rPr>
        <w:t> </w:t>
      </w:r>
      <w:r>
        <w:rPr/>
        <w:t>a</w:t>
      </w:r>
      <w:r>
        <w:rPr>
          <w:spacing w:val="-16"/>
        </w:rPr>
        <w:t> </w:t>
      </w:r>
      <w:r>
        <w:rPr/>
        <w:t>la</w:t>
      </w:r>
      <w:r>
        <w:rPr>
          <w:spacing w:val="-11"/>
        </w:rPr>
        <w:t> </w:t>
      </w:r>
      <w:r>
        <w:rPr/>
        <w:t>cercanía</w:t>
      </w:r>
      <w:r>
        <w:rPr>
          <w:spacing w:val="-11"/>
        </w:rPr>
        <w:t> </w:t>
      </w:r>
      <w:r>
        <w:rPr/>
        <w:t>de</w:t>
      </w:r>
      <w:r>
        <w:rPr>
          <w:spacing w:val="-16"/>
        </w:rPr>
        <w:t> </w:t>
      </w:r>
      <w:r>
        <w:rPr/>
        <w:t>los</w:t>
      </w:r>
      <w:r>
        <w:rPr>
          <w:spacing w:val="-12"/>
        </w:rPr>
        <w:t> </w:t>
      </w:r>
      <w:r>
        <w:rPr/>
        <w:t>cuerpos</w:t>
      </w:r>
      <w:r>
        <w:rPr>
          <w:spacing w:val="-12"/>
        </w:rPr>
        <w:t> </w:t>
      </w:r>
      <w:r>
        <w:rPr/>
        <w:t>de</w:t>
      </w:r>
      <w:r>
        <w:rPr>
          <w:spacing w:val="-11"/>
        </w:rPr>
        <w:t> </w:t>
      </w:r>
      <w:r>
        <w:rPr/>
        <w:t>agua,</w:t>
      </w:r>
      <w:r>
        <w:rPr>
          <w:spacing w:val="-11"/>
        </w:rPr>
        <w:t> </w:t>
      </w:r>
      <w:r>
        <w:rPr/>
        <w:t>ya</w:t>
      </w:r>
      <w:r>
        <w:rPr>
          <w:spacing w:val="-11"/>
        </w:rPr>
        <w:t> </w:t>
      </w:r>
      <w:r>
        <w:rPr/>
        <w:t>que</w:t>
      </w:r>
      <w:r>
        <w:rPr>
          <w:spacing w:val="-11"/>
        </w:rPr>
        <w:t> </w:t>
      </w:r>
      <w:r>
        <w:rPr/>
        <w:t>en</w:t>
      </w:r>
      <w:r>
        <w:rPr>
          <w:spacing w:val="-11"/>
        </w:rPr>
        <w:t> </w:t>
      </w:r>
      <w:r>
        <w:rPr/>
        <w:t>varios</w:t>
      </w:r>
      <w:r>
        <w:rPr>
          <w:spacing w:val="-12"/>
        </w:rPr>
        <w:t> </w:t>
      </w:r>
      <w:r>
        <w:rPr/>
        <w:t>casos, el problema no es el pronóstico de los fenómenos hidrometeorológicos, como se podría pensar a primera vista, ya que la proximidad de los centros de población a los causes incrementa la vulnerabilidad a las</w:t>
      </w:r>
      <w:r>
        <w:rPr>
          <w:spacing w:val="-28"/>
        </w:rPr>
        <w:t> </w:t>
      </w:r>
      <w:r>
        <w:rPr/>
        <w:t>inundaciones.</w:t>
      </w:r>
    </w:p>
    <w:p>
      <w:pPr>
        <w:pStyle w:val="BodyText"/>
        <w:spacing w:before="5"/>
      </w:pPr>
    </w:p>
    <w:p>
      <w:pPr>
        <w:pStyle w:val="BodyText"/>
        <w:spacing w:line="362" w:lineRule="auto"/>
        <w:ind w:left="119" w:right="122"/>
        <w:jc w:val="both"/>
      </w:pPr>
      <w:r>
        <w:rPr/>
        <w:t>El riesgo (probabilidad de ocurrencia) y, por lo tanto, cada desastre (cuando se materializa), es resultado, no solo de la presencia del fenómeno y de los  </w:t>
      </w:r>
      <w:r>
        <w:rPr>
          <w:spacing w:val="59"/>
        </w:rPr>
        <w:t> </w:t>
      </w:r>
      <w:r>
        <w:rPr/>
        <w:t>factores</w:t>
      </w:r>
    </w:p>
    <w:p>
      <w:pPr>
        <w:spacing w:after="0" w:line="362" w:lineRule="auto"/>
        <w:jc w:val="both"/>
        <w:sectPr>
          <w:footerReference w:type="default" r:id="rId74"/>
          <w:pgSz w:w="12240" w:h="15840"/>
          <w:pgMar w:footer="971" w:header="0" w:top="1360" w:bottom="1160" w:left="1580" w:right="1580"/>
          <w:pgNumType w:start="119"/>
        </w:sectPr>
      </w:pPr>
    </w:p>
    <w:p>
      <w:pPr>
        <w:pStyle w:val="BodyText"/>
        <w:spacing w:line="360" w:lineRule="auto" w:before="52"/>
        <w:ind w:left="119" w:right="116"/>
        <w:jc w:val="both"/>
      </w:pPr>
      <w:r>
        <w:rPr/>
        <w:t>físico-naturales, sino también de las condiciones de exposición –es decir, la ubicación de asentamientos humanos e infraestructura que nunca debieron haber sido localizados en esos sitios–, pero también la vulnerabilidad –es decir, una</w:t>
      </w:r>
      <w:r>
        <w:rPr>
          <w:spacing w:val="-34"/>
        </w:rPr>
        <w:t> </w:t>
      </w:r>
      <w:r>
        <w:rPr/>
        <w:t>serie de</w:t>
      </w:r>
      <w:r>
        <w:rPr>
          <w:spacing w:val="-2"/>
        </w:rPr>
        <w:t> </w:t>
      </w:r>
      <w:r>
        <w:rPr/>
        <w:t>factores</w:t>
      </w:r>
      <w:r>
        <w:rPr>
          <w:spacing w:val="-7"/>
        </w:rPr>
        <w:t> </w:t>
      </w:r>
      <w:r>
        <w:rPr/>
        <w:t>de</w:t>
      </w:r>
      <w:r>
        <w:rPr>
          <w:spacing w:val="-6"/>
        </w:rPr>
        <w:t> </w:t>
      </w:r>
      <w:r>
        <w:rPr/>
        <w:t>predisposición</w:t>
      </w:r>
      <w:r>
        <w:rPr>
          <w:spacing w:val="-1"/>
        </w:rPr>
        <w:t> </w:t>
      </w:r>
      <w:r>
        <w:rPr/>
        <w:t>a</w:t>
      </w:r>
      <w:r>
        <w:rPr>
          <w:spacing w:val="-6"/>
        </w:rPr>
        <w:t> </w:t>
      </w:r>
      <w:r>
        <w:rPr/>
        <w:t>sufrir</w:t>
      </w:r>
      <w:r>
        <w:rPr>
          <w:spacing w:val="-6"/>
        </w:rPr>
        <w:t> </w:t>
      </w:r>
      <w:r>
        <w:rPr/>
        <w:t>los</w:t>
      </w:r>
      <w:r>
        <w:rPr>
          <w:spacing w:val="-7"/>
        </w:rPr>
        <w:t> </w:t>
      </w:r>
      <w:r>
        <w:rPr/>
        <w:t>efectos</w:t>
      </w:r>
      <w:r>
        <w:rPr>
          <w:spacing w:val="-2"/>
        </w:rPr>
        <w:t> </w:t>
      </w:r>
      <w:r>
        <w:rPr/>
        <w:t>adversos</w:t>
      </w:r>
      <w:r>
        <w:rPr>
          <w:spacing w:val="-2"/>
        </w:rPr>
        <w:t> </w:t>
      </w:r>
      <w:r>
        <w:rPr/>
        <w:t>cuando</w:t>
      </w:r>
      <w:r>
        <w:rPr>
          <w:spacing w:val="-6"/>
        </w:rPr>
        <w:t> </w:t>
      </w:r>
      <w:r>
        <w:rPr/>
        <w:t>se</w:t>
      </w:r>
      <w:r>
        <w:rPr>
          <w:spacing w:val="-6"/>
        </w:rPr>
        <w:t> </w:t>
      </w:r>
      <w:r>
        <w:rPr/>
        <w:t>presentan</w:t>
      </w:r>
      <w:r>
        <w:rPr>
          <w:spacing w:val="-6"/>
        </w:rPr>
        <w:t> </w:t>
      </w:r>
      <w:r>
        <w:rPr/>
        <w:t>los eventos</w:t>
      </w:r>
      <w:r>
        <w:rPr>
          <w:spacing w:val="-7"/>
        </w:rPr>
        <w:t> </w:t>
      </w:r>
      <w:r>
        <w:rPr/>
        <w:t>extraordinarios.</w:t>
      </w:r>
    </w:p>
    <w:p>
      <w:pPr>
        <w:pStyle w:val="BodyText"/>
        <w:spacing w:before="10"/>
      </w:pPr>
    </w:p>
    <w:p>
      <w:pPr>
        <w:pStyle w:val="BodyText"/>
        <w:spacing w:line="360" w:lineRule="auto"/>
        <w:ind w:left="119" w:right="117"/>
        <w:jc w:val="both"/>
      </w:pPr>
      <w:r>
        <w:rPr/>
        <w:t>La contribución de la investigación partió del análisis de una problemática, que se ubica</w:t>
      </w:r>
      <w:r>
        <w:rPr>
          <w:spacing w:val="-6"/>
        </w:rPr>
        <w:t> </w:t>
      </w:r>
      <w:r>
        <w:rPr/>
        <w:t>entre</w:t>
      </w:r>
      <w:r>
        <w:rPr>
          <w:spacing w:val="-6"/>
        </w:rPr>
        <w:t> </w:t>
      </w:r>
      <w:r>
        <w:rPr/>
        <w:t>las</w:t>
      </w:r>
      <w:r>
        <w:rPr>
          <w:spacing w:val="-2"/>
        </w:rPr>
        <w:t> </w:t>
      </w:r>
      <w:r>
        <w:rPr/>
        <w:t>prioridades</w:t>
      </w:r>
      <w:r>
        <w:rPr>
          <w:spacing w:val="-2"/>
        </w:rPr>
        <w:t> </w:t>
      </w:r>
      <w:r>
        <w:rPr/>
        <w:t>de</w:t>
      </w:r>
      <w:r>
        <w:rPr>
          <w:spacing w:val="-6"/>
        </w:rPr>
        <w:t> </w:t>
      </w:r>
      <w:r>
        <w:rPr/>
        <w:t>los</w:t>
      </w:r>
      <w:r>
        <w:rPr>
          <w:spacing w:val="-7"/>
        </w:rPr>
        <w:t> </w:t>
      </w:r>
      <w:r>
        <w:rPr/>
        <w:t>gobiernos</w:t>
      </w:r>
      <w:r>
        <w:rPr>
          <w:spacing w:val="-7"/>
        </w:rPr>
        <w:t> </w:t>
      </w:r>
      <w:r>
        <w:rPr/>
        <w:t>nacionales</w:t>
      </w:r>
      <w:r>
        <w:rPr>
          <w:spacing w:val="-2"/>
        </w:rPr>
        <w:t> </w:t>
      </w:r>
      <w:r>
        <w:rPr/>
        <w:t>y</w:t>
      </w:r>
      <w:r>
        <w:rPr>
          <w:spacing w:val="-7"/>
        </w:rPr>
        <w:t> </w:t>
      </w:r>
      <w:r>
        <w:rPr/>
        <w:t>estatales,</w:t>
      </w:r>
      <w:r>
        <w:rPr>
          <w:spacing w:val="-2"/>
        </w:rPr>
        <w:t> </w:t>
      </w:r>
      <w:r>
        <w:rPr/>
        <w:t>sin</w:t>
      </w:r>
      <w:r>
        <w:rPr>
          <w:spacing w:val="-6"/>
        </w:rPr>
        <w:t> </w:t>
      </w:r>
      <w:r>
        <w:rPr/>
        <w:t>embargo</w:t>
      </w:r>
      <w:r>
        <w:rPr>
          <w:spacing w:val="-2"/>
        </w:rPr>
        <w:t> </w:t>
      </w:r>
      <w:r>
        <w:rPr/>
        <w:t>en los ámbitos regional y urbano ha sido poco</w:t>
      </w:r>
      <w:r>
        <w:rPr>
          <w:spacing w:val="-23"/>
        </w:rPr>
        <w:t> </w:t>
      </w:r>
      <w:r>
        <w:rPr/>
        <w:t>desarrollada.</w:t>
      </w:r>
    </w:p>
    <w:p>
      <w:pPr>
        <w:pStyle w:val="BodyText"/>
        <w:spacing w:before="10"/>
      </w:pPr>
    </w:p>
    <w:p>
      <w:pPr>
        <w:pStyle w:val="BodyText"/>
        <w:spacing w:line="360" w:lineRule="auto"/>
        <w:ind w:left="119" w:right="128"/>
        <w:jc w:val="both"/>
      </w:pPr>
      <w:r>
        <w:rPr/>
        <w:t>Algunos razonamientos derivados del trabajo, permiten señalar las siguientes consideraciones:</w:t>
      </w:r>
    </w:p>
    <w:p>
      <w:pPr>
        <w:pStyle w:val="BodyText"/>
        <w:spacing w:before="10"/>
      </w:pPr>
    </w:p>
    <w:p>
      <w:pPr>
        <w:pStyle w:val="ListParagraph"/>
        <w:numPr>
          <w:ilvl w:val="0"/>
          <w:numId w:val="24"/>
        </w:numPr>
        <w:tabs>
          <w:tab w:pos="408" w:val="left" w:leader="none"/>
        </w:tabs>
        <w:spacing w:line="360" w:lineRule="auto" w:before="0" w:after="0"/>
        <w:ind w:left="119" w:right="122" w:firstLine="0"/>
        <w:jc w:val="both"/>
        <w:rPr>
          <w:sz w:val="24"/>
        </w:rPr>
      </w:pPr>
      <w:r>
        <w:rPr>
          <w:sz w:val="24"/>
        </w:rPr>
        <w:t>El riesgo o probabilidad de afectación motivada por una amenaza o peligro de orden natural, en principio es impredecible. Por ejemplo la variabilidad de los factores</w:t>
      </w:r>
      <w:r>
        <w:rPr>
          <w:spacing w:val="-8"/>
          <w:sz w:val="24"/>
        </w:rPr>
        <w:t> </w:t>
      </w:r>
      <w:r>
        <w:rPr>
          <w:sz w:val="24"/>
        </w:rPr>
        <w:t>del</w:t>
      </w:r>
      <w:r>
        <w:rPr>
          <w:spacing w:val="-4"/>
          <w:sz w:val="24"/>
        </w:rPr>
        <w:t> </w:t>
      </w:r>
      <w:r>
        <w:rPr>
          <w:sz w:val="24"/>
        </w:rPr>
        <w:t>clima</w:t>
      </w:r>
      <w:r>
        <w:rPr>
          <w:spacing w:val="-7"/>
          <w:sz w:val="24"/>
        </w:rPr>
        <w:t> </w:t>
      </w:r>
      <w:r>
        <w:rPr>
          <w:sz w:val="24"/>
        </w:rPr>
        <w:t>(Precipitación</w:t>
      </w:r>
      <w:r>
        <w:rPr>
          <w:spacing w:val="-7"/>
          <w:sz w:val="24"/>
        </w:rPr>
        <w:t> </w:t>
      </w:r>
      <w:r>
        <w:rPr>
          <w:sz w:val="24"/>
        </w:rPr>
        <w:t>y</w:t>
      </w:r>
      <w:r>
        <w:rPr>
          <w:spacing w:val="-8"/>
          <w:sz w:val="24"/>
        </w:rPr>
        <w:t> </w:t>
      </w:r>
      <w:r>
        <w:rPr>
          <w:sz w:val="24"/>
        </w:rPr>
        <w:t>temperatura)</w:t>
      </w:r>
      <w:r>
        <w:rPr>
          <w:spacing w:val="-6"/>
          <w:sz w:val="24"/>
        </w:rPr>
        <w:t> </w:t>
      </w:r>
      <w:r>
        <w:rPr>
          <w:sz w:val="24"/>
        </w:rPr>
        <w:t>en</w:t>
      </w:r>
      <w:r>
        <w:rPr>
          <w:spacing w:val="-7"/>
          <w:sz w:val="24"/>
        </w:rPr>
        <w:t> </w:t>
      </w:r>
      <w:r>
        <w:rPr>
          <w:sz w:val="24"/>
        </w:rPr>
        <w:t>un</w:t>
      </w:r>
      <w:r>
        <w:rPr>
          <w:spacing w:val="-7"/>
          <w:sz w:val="24"/>
        </w:rPr>
        <w:t> </w:t>
      </w:r>
      <w:r>
        <w:rPr>
          <w:sz w:val="24"/>
        </w:rPr>
        <w:t>momento</w:t>
      </w:r>
      <w:r>
        <w:rPr>
          <w:spacing w:val="-7"/>
          <w:sz w:val="24"/>
        </w:rPr>
        <w:t> </w:t>
      </w:r>
      <w:r>
        <w:rPr>
          <w:sz w:val="24"/>
        </w:rPr>
        <w:t>dado</w:t>
      </w:r>
      <w:r>
        <w:rPr>
          <w:spacing w:val="-7"/>
          <w:sz w:val="24"/>
        </w:rPr>
        <w:t> </w:t>
      </w:r>
      <w:r>
        <w:rPr>
          <w:sz w:val="24"/>
        </w:rPr>
        <w:t>y</w:t>
      </w:r>
      <w:r>
        <w:rPr>
          <w:spacing w:val="-8"/>
          <w:sz w:val="24"/>
        </w:rPr>
        <w:t> </w:t>
      </w:r>
      <w:r>
        <w:rPr>
          <w:sz w:val="24"/>
        </w:rPr>
        <w:t>en</w:t>
      </w:r>
      <w:r>
        <w:rPr>
          <w:spacing w:val="-7"/>
          <w:sz w:val="24"/>
        </w:rPr>
        <w:t> </w:t>
      </w:r>
      <w:r>
        <w:rPr>
          <w:sz w:val="24"/>
        </w:rPr>
        <w:t>períodos cortos de</w:t>
      </w:r>
      <w:r>
        <w:rPr>
          <w:spacing w:val="-10"/>
          <w:sz w:val="24"/>
        </w:rPr>
        <w:t> </w:t>
      </w:r>
      <w:r>
        <w:rPr>
          <w:sz w:val="24"/>
        </w:rPr>
        <w:t>tiempo.</w:t>
      </w:r>
    </w:p>
    <w:p>
      <w:pPr>
        <w:pStyle w:val="BodyText"/>
        <w:spacing w:before="5"/>
      </w:pPr>
    </w:p>
    <w:p>
      <w:pPr>
        <w:pStyle w:val="ListParagraph"/>
        <w:numPr>
          <w:ilvl w:val="0"/>
          <w:numId w:val="24"/>
        </w:numPr>
        <w:tabs>
          <w:tab w:pos="412" w:val="left" w:leader="none"/>
        </w:tabs>
        <w:spacing w:line="360" w:lineRule="auto" w:before="0" w:after="0"/>
        <w:ind w:left="119" w:right="121" w:firstLine="0"/>
        <w:jc w:val="both"/>
        <w:rPr>
          <w:sz w:val="24"/>
        </w:rPr>
      </w:pPr>
      <w:r>
        <w:rPr>
          <w:sz w:val="24"/>
        </w:rPr>
        <w:t>Por lo tanto, la probabilidad de afectación motivada por la amenaza de lluvias torrenciales</w:t>
      </w:r>
      <w:r>
        <w:rPr>
          <w:spacing w:val="-13"/>
          <w:sz w:val="24"/>
        </w:rPr>
        <w:t> </w:t>
      </w:r>
      <w:r>
        <w:rPr>
          <w:sz w:val="24"/>
        </w:rPr>
        <w:t>extraordinarias,</w:t>
      </w:r>
      <w:r>
        <w:rPr>
          <w:spacing w:val="-13"/>
          <w:sz w:val="24"/>
        </w:rPr>
        <w:t> </w:t>
      </w:r>
      <w:r>
        <w:rPr>
          <w:sz w:val="24"/>
        </w:rPr>
        <w:t>asociada</w:t>
      </w:r>
      <w:r>
        <w:rPr>
          <w:spacing w:val="-18"/>
          <w:sz w:val="24"/>
        </w:rPr>
        <w:t> </w:t>
      </w:r>
      <w:r>
        <w:rPr>
          <w:sz w:val="24"/>
        </w:rPr>
        <w:t>al</w:t>
      </w:r>
      <w:r>
        <w:rPr>
          <w:spacing w:val="-14"/>
          <w:sz w:val="24"/>
        </w:rPr>
        <w:t> </w:t>
      </w:r>
      <w:r>
        <w:rPr>
          <w:sz w:val="24"/>
        </w:rPr>
        <w:t>alto</w:t>
      </w:r>
      <w:r>
        <w:rPr>
          <w:spacing w:val="-17"/>
          <w:sz w:val="24"/>
        </w:rPr>
        <w:t> </w:t>
      </w:r>
      <w:r>
        <w:rPr>
          <w:sz w:val="24"/>
        </w:rPr>
        <w:t>nivel</w:t>
      </w:r>
      <w:r>
        <w:rPr>
          <w:spacing w:val="-14"/>
          <w:sz w:val="24"/>
        </w:rPr>
        <w:t> </w:t>
      </w:r>
      <w:r>
        <w:rPr>
          <w:sz w:val="24"/>
        </w:rPr>
        <w:t>de</w:t>
      </w:r>
      <w:r>
        <w:rPr>
          <w:spacing w:val="-13"/>
          <w:sz w:val="24"/>
        </w:rPr>
        <w:t> </w:t>
      </w:r>
      <w:r>
        <w:rPr>
          <w:sz w:val="24"/>
        </w:rPr>
        <w:t>vulnerabilidad</w:t>
      </w:r>
      <w:r>
        <w:rPr>
          <w:spacing w:val="-18"/>
          <w:sz w:val="24"/>
        </w:rPr>
        <w:t> </w:t>
      </w:r>
      <w:r>
        <w:rPr>
          <w:sz w:val="24"/>
        </w:rPr>
        <w:t>biofísica</w:t>
      </w:r>
      <w:r>
        <w:rPr>
          <w:spacing w:val="-13"/>
          <w:sz w:val="24"/>
        </w:rPr>
        <w:t> </w:t>
      </w:r>
      <w:r>
        <w:rPr>
          <w:sz w:val="24"/>
        </w:rPr>
        <w:t>y</w:t>
      </w:r>
      <w:r>
        <w:rPr>
          <w:spacing w:val="-18"/>
          <w:sz w:val="24"/>
        </w:rPr>
        <w:t> </w:t>
      </w:r>
      <w:r>
        <w:rPr>
          <w:sz w:val="24"/>
        </w:rPr>
        <w:t>social de la ZMT, municipios y comunidades, incrementa la ocurrencia de las inundaciones.</w:t>
      </w:r>
    </w:p>
    <w:p>
      <w:pPr>
        <w:pStyle w:val="BodyText"/>
        <w:spacing w:before="5"/>
      </w:pPr>
    </w:p>
    <w:p>
      <w:pPr>
        <w:pStyle w:val="ListParagraph"/>
        <w:numPr>
          <w:ilvl w:val="0"/>
          <w:numId w:val="24"/>
        </w:numPr>
        <w:tabs>
          <w:tab w:pos="408" w:val="left" w:leader="none"/>
        </w:tabs>
        <w:spacing w:line="360" w:lineRule="auto" w:before="0" w:after="0"/>
        <w:ind w:left="119" w:right="123" w:firstLine="0"/>
        <w:jc w:val="both"/>
        <w:rPr>
          <w:sz w:val="24"/>
        </w:rPr>
      </w:pPr>
      <w:r>
        <w:rPr>
          <w:sz w:val="24"/>
        </w:rPr>
        <w:t>El riesgo o probabilidad de afectación motivada por una amenaza o peligro de orden antropogenico, es predecible en la medida que su ocurrencia está normada por disposiciones generales y particulares que anticipan y sancionan su posible incidencia, por ejemplo los riesgos</w:t>
      </w:r>
      <w:r>
        <w:rPr>
          <w:spacing w:val="-22"/>
          <w:sz w:val="24"/>
        </w:rPr>
        <w:t> </w:t>
      </w:r>
      <w:r>
        <w:rPr>
          <w:sz w:val="24"/>
        </w:rPr>
        <w:t>industriales.</w:t>
      </w:r>
    </w:p>
    <w:p>
      <w:pPr>
        <w:pStyle w:val="BodyText"/>
        <w:spacing w:before="10"/>
      </w:pPr>
    </w:p>
    <w:p>
      <w:pPr>
        <w:pStyle w:val="ListParagraph"/>
        <w:numPr>
          <w:ilvl w:val="0"/>
          <w:numId w:val="24"/>
        </w:numPr>
        <w:tabs>
          <w:tab w:pos="475" w:val="left" w:leader="none"/>
        </w:tabs>
        <w:spacing w:line="360" w:lineRule="auto" w:before="0" w:after="0"/>
        <w:ind w:left="119" w:right="121" w:firstLine="0"/>
        <w:jc w:val="both"/>
        <w:rPr>
          <w:sz w:val="24"/>
        </w:rPr>
      </w:pPr>
      <w:r>
        <w:rPr>
          <w:sz w:val="24"/>
        </w:rPr>
        <w:t>En este juego de interacciones, el factor impredecible es el clima y en consecuencia</w:t>
      </w:r>
      <w:r>
        <w:rPr>
          <w:spacing w:val="-16"/>
          <w:sz w:val="24"/>
        </w:rPr>
        <w:t> </w:t>
      </w:r>
      <w:r>
        <w:rPr>
          <w:sz w:val="24"/>
        </w:rPr>
        <w:t>las</w:t>
      </w:r>
      <w:r>
        <w:rPr>
          <w:spacing w:val="-16"/>
          <w:sz w:val="24"/>
        </w:rPr>
        <w:t> </w:t>
      </w:r>
      <w:r>
        <w:rPr>
          <w:sz w:val="24"/>
        </w:rPr>
        <w:t>lluvias,</w:t>
      </w:r>
      <w:r>
        <w:rPr>
          <w:spacing w:val="-11"/>
          <w:sz w:val="24"/>
        </w:rPr>
        <w:t> </w:t>
      </w:r>
      <w:r>
        <w:rPr>
          <w:sz w:val="24"/>
        </w:rPr>
        <w:t>en</w:t>
      </w:r>
      <w:r>
        <w:rPr>
          <w:spacing w:val="-11"/>
          <w:sz w:val="24"/>
        </w:rPr>
        <w:t> </w:t>
      </w:r>
      <w:r>
        <w:rPr>
          <w:sz w:val="24"/>
        </w:rPr>
        <w:t>virtud</w:t>
      </w:r>
      <w:r>
        <w:rPr>
          <w:spacing w:val="-11"/>
          <w:sz w:val="24"/>
        </w:rPr>
        <w:t> </w:t>
      </w:r>
      <w:r>
        <w:rPr>
          <w:sz w:val="24"/>
        </w:rPr>
        <w:t>de</w:t>
      </w:r>
      <w:r>
        <w:rPr>
          <w:spacing w:val="-11"/>
          <w:sz w:val="24"/>
        </w:rPr>
        <w:t> </w:t>
      </w:r>
      <w:r>
        <w:rPr>
          <w:sz w:val="24"/>
        </w:rPr>
        <w:t>que</w:t>
      </w:r>
      <w:r>
        <w:rPr>
          <w:spacing w:val="-11"/>
          <w:sz w:val="24"/>
        </w:rPr>
        <w:t> </w:t>
      </w:r>
      <w:r>
        <w:rPr>
          <w:sz w:val="24"/>
        </w:rPr>
        <w:t>no</w:t>
      </w:r>
      <w:r>
        <w:rPr>
          <w:spacing w:val="-11"/>
          <w:sz w:val="24"/>
        </w:rPr>
        <w:t> </w:t>
      </w:r>
      <w:r>
        <w:rPr>
          <w:sz w:val="24"/>
        </w:rPr>
        <w:t>es</w:t>
      </w:r>
      <w:r>
        <w:rPr>
          <w:spacing w:val="-12"/>
          <w:sz w:val="24"/>
        </w:rPr>
        <w:t> </w:t>
      </w:r>
      <w:r>
        <w:rPr>
          <w:sz w:val="24"/>
        </w:rPr>
        <w:t>posible</w:t>
      </w:r>
      <w:r>
        <w:rPr>
          <w:spacing w:val="-11"/>
          <w:sz w:val="24"/>
        </w:rPr>
        <w:t> </w:t>
      </w:r>
      <w:r>
        <w:rPr>
          <w:sz w:val="24"/>
        </w:rPr>
        <w:t>controlar</w:t>
      </w:r>
      <w:r>
        <w:rPr>
          <w:spacing w:val="-15"/>
          <w:sz w:val="24"/>
        </w:rPr>
        <w:t> </w:t>
      </w:r>
      <w:r>
        <w:rPr>
          <w:sz w:val="24"/>
        </w:rPr>
        <w:t>el</w:t>
      </w:r>
      <w:r>
        <w:rPr>
          <w:spacing w:val="-12"/>
          <w:sz w:val="24"/>
        </w:rPr>
        <w:t> </w:t>
      </w:r>
      <w:r>
        <w:rPr>
          <w:sz w:val="24"/>
        </w:rPr>
        <w:t>comportamiento de los factores meteorológicos. La vulnerabilidad biofísica y social de la cuenca, la ZMT, los municipios que la conforman y las comunidades seleccionadas es congénita,  en  estas  condiciones  las  estrategias  y  acciones  estructurales  y</w:t>
      </w:r>
      <w:r>
        <w:rPr>
          <w:spacing w:val="20"/>
          <w:sz w:val="24"/>
        </w:rPr>
        <w:t> </w:t>
      </w:r>
      <w:r>
        <w:rPr>
          <w:sz w:val="24"/>
        </w:rPr>
        <w:t>no</w:t>
      </w:r>
    </w:p>
    <w:p>
      <w:pPr>
        <w:spacing w:after="0" w:line="360" w:lineRule="auto"/>
        <w:jc w:val="both"/>
        <w:rPr>
          <w:sz w:val="24"/>
        </w:rPr>
        <w:sectPr>
          <w:pgSz w:w="12240" w:h="15840"/>
          <w:pgMar w:header="0" w:footer="971" w:top="1360" w:bottom="1220" w:left="1580" w:right="1580"/>
        </w:sectPr>
      </w:pPr>
    </w:p>
    <w:p>
      <w:pPr>
        <w:pStyle w:val="BodyText"/>
        <w:spacing w:line="360" w:lineRule="auto" w:before="52"/>
        <w:ind w:left="119" w:right="121"/>
        <w:jc w:val="both"/>
      </w:pPr>
      <w:r>
        <w:rPr/>
        <w:t>estructurales adquieren relevancia en los procesos de anticipación, prevención y mitigación ante la susceptibilidad a las inundaciones en las áreas con alto riesgo. Cualquier acción deberá partir del consenso local participativo, en el que los habitantes y los sectores involucrados sean conviertan en actores activos en todo el proceso.</w:t>
      </w:r>
    </w:p>
    <w:p>
      <w:pPr>
        <w:pStyle w:val="BodyText"/>
        <w:spacing w:before="10"/>
      </w:pPr>
    </w:p>
    <w:p>
      <w:pPr>
        <w:pStyle w:val="BodyText"/>
        <w:spacing w:line="360" w:lineRule="auto"/>
        <w:ind w:left="119" w:right="118"/>
        <w:jc w:val="both"/>
      </w:pPr>
      <w:r>
        <w:rPr/>
        <w:t>La contribución se sintetiza en el desarrollo metodológico de la investigación, partimos de la construcción analítica del tema y problema, a través de un razonamiento y planteamiento hipotético deductivo, identificación de las variables independientes, recopilación, procesamiento y análisis de datos que se obtuvieron de</w:t>
      </w:r>
      <w:r>
        <w:rPr>
          <w:spacing w:val="-12"/>
        </w:rPr>
        <w:t> </w:t>
      </w:r>
      <w:r>
        <w:rPr/>
        <w:t>fuentes</w:t>
      </w:r>
      <w:r>
        <w:rPr>
          <w:spacing w:val="-13"/>
        </w:rPr>
        <w:t> </w:t>
      </w:r>
      <w:r>
        <w:rPr/>
        <w:t>secundarias</w:t>
      </w:r>
      <w:r>
        <w:rPr>
          <w:spacing w:val="-13"/>
        </w:rPr>
        <w:t> </w:t>
      </w:r>
      <w:r>
        <w:rPr/>
        <w:t>y</w:t>
      </w:r>
      <w:r>
        <w:rPr>
          <w:spacing w:val="-17"/>
        </w:rPr>
        <w:t> </w:t>
      </w:r>
      <w:r>
        <w:rPr/>
        <w:t>en</w:t>
      </w:r>
      <w:r>
        <w:rPr>
          <w:spacing w:val="-12"/>
        </w:rPr>
        <w:t> </w:t>
      </w:r>
      <w:r>
        <w:rPr>
          <w:spacing w:val="-3"/>
        </w:rPr>
        <w:t>campo.</w:t>
      </w:r>
      <w:r>
        <w:rPr>
          <w:spacing w:val="-12"/>
        </w:rPr>
        <w:t> </w:t>
      </w:r>
      <w:r>
        <w:rPr/>
        <w:t>Uso</w:t>
      </w:r>
      <w:r>
        <w:rPr>
          <w:spacing w:val="-12"/>
        </w:rPr>
        <w:t> </w:t>
      </w:r>
      <w:r>
        <w:rPr/>
        <w:t>de</w:t>
      </w:r>
      <w:r>
        <w:rPr>
          <w:spacing w:val="-12"/>
        </w:rPr>
        <w:t> </w:t>
      </w:r>
      <w:r>
        <w:rPr/>
        <w:t>geotecnologías</w:t>
      </w:r>
      <w:r>
        <w:rPr>
          <w:spacing w:val="-13"/>
        </w:rPr>
        <w:t> </w:t>
      </w:r>
      <w:r>
        <w:rPr/>
        <w:t>automatizadas,</w:t>
      </w:r>
      <w:r>
        <w:rPr>
          <w:spacing w:val="-12"/>
        </w:rPr>
        <w:t> </w:t>
      </w:r>
      <w:r>
        <w:rPr/>
        <w:t>método cualitativo y método</w:t>
      </w:r>
      <w:r>
        <w:rPr>
          <w:spacing w:val="-14"/>
        </w:rPr>
        <w:t> </w:t>
      </w:r>
      <w:r>
        <w:rPr/>
        <w:t>cuantitativo.</w:t>
      </w:r>
    </w:p>
    <w:p>
      <w:pPr>
        <w:pStyle w:val="BodyText"/>
        <w:spacing w:before="10"/>
      </w:pPr>
    </w:p>
    <w:p>
      <w:pPr>
        <w:pStyle w:val="BodyText"/>
        <w:spacing w:line="360" w:lineRule="auto"/>
        <w:ind w:left="119" w:right="118"/>
        <w:jc w:val="both"/>
      </w:pPr>
      <w:r>
        <w:rPr/>
        <w:t>Una vez realizado el estudio, obtuvimos un índice de susceptibilidad que sintetiza las condicionantes biofísicas, sociales y económicas de la región. Su importancia radica en su naturaleza preventiva, la que anticipa el grado de exposición de los asentamientos humanos a las inundaciones, y advierte que cuando ocurren los eventos extraordinarios, los impactos se manifiestan localmente y adquieren magnitudes diferenciadas.</w:t>
      </w:r>
    </w:p>
    <w:p>
      <w:pPr>
        <w:pStyle w:val="BodyText"/>
        <w:spacing w:before="10"/>
      </w:pPr>
    </w:p>
    <w:p>
      <w:pPr>
        <w:pStyle w:val="BodyText"/>
        <w:spacing w:line="360" w:lineRule="auto"/>
        <w:ind w:left="119" w:right="115"/>
        <w:jc w:val="both"/>
      </w:pPr>
      <w:r>
        <w:rPr/>
        <w:t>Puesto que la tipología del riesgo biofísico y social, establece la prioridad de atención municipal, misma que compete a las autoridades locales, estos agentes son los responsables de reforzar los programas y proyectos de ordenamiento territorial incorporando estrategias y acciones de prevención ante la amenaza de inundaciones, apoyo a los planes de seguridad pública, programas de protección civil o en adecuación de los planes de desarrollo urbano incorporando explícitamente la atención a los riesgos hidrometeorológicos.</w:t>
      </w:r>
    </w:p>
    <w:p>
      <w:pPr>
        <w:spacing w:after="0" w:line="360" w:lineRule="auto"/>
        <w:jc w:val="both"/>
        <w:sectPr>
          <w:pgSz w:w="12240" w:h="15840"/>
          <w:pgMar w:header="0" w:footer="971" w:top="1360" w:bottom="1220" w:left="1580" w:right="1580"/>
        </w:sectPr>
      </w:pPr>
    </w:p>
    <w:p>
      <w:pPr>
        <w:pStyle w:val="Heading2"/>
        <w:spacing w:before="47"/>
      </w:pPr>
      <w:bookmarkStart w:name="_TOC_250006" w:id="48"/>
      <w:bookmarkEnd w:id="48"/>
      <w:r>
        <w:rPr/>
        <w:t>CONCLUSIONES</w:t>
      </w:r>
    </w:p>
    <w:p>
      <w:pPr>
        <w:pStyle w:val="BodyText"/>
        <w:rPr>
          <w:b/>
        </w:rPr>
      </w:pPr>
    </w:p>
    <w:p>
      <w:pPr>
        <w:pStyle w:val="BodyText"/>
        <w:spacing w:line="360" w:lineRule="auto" w:before="149"/>
        <w:ind w:left="119" w:right="127"/>
        <w:jc w:val="both"/>
      </w:pPr>
      <w:r>
        <w:rPr/>
        <w:t>El carácter preventivo del índice se susceptibilidad sintetiza las condicionantes biofísicas, sociales y económicas que son propiciatorias de las inundaciones en la región en estudio. Asimismo en su noción amplia la susceptibilidad es un atributo endógeno o interno de la cuenca, la ZMT y los asentamientos humanos.</w:t>
      </w:r>
    </w:p>
    <w:p>
      <w:pPr>
        <w:pStyle w:val="BodyText"/>
        <w:spacing w:before="5"/>
      </w:pPr>
    </w:p>
    <w:p>
      <w:pPr>
        <w:pStyle w:val="BodyText"/>
        <w:spacing w:line="360" w:lineRule="auto"/>
        <w:ind w:left="119" w:right="122"/>
        <w:jc w:val="both"/>
      </w:pPr>
      <w:r>
        <w:rPr/>
        <w:t>La importancia relativa </w:t>
      </w:r>
      <w:r>
        <w:rPr>
          <w:spacing w:val="-3"/>
        </w:rPr>
        <w:t>del </w:t>
      </w:r>
      <w:r>
        <w:rPr/>
        <w:t>índice de susceptibilidad se pondero por medio de una clasificación</w:t>
      </w:r>
      <w:r>
        <w:rPr>
          <w:spacing w:val="-20"/>
        </w:rPr>
        <w:t> </w:t>
      </w:r>
      <w:r>
        <w:rPr/>
        <w:t>cualitativa,</w:t>
      </w:r>
      <w:r>
        <w:rPr>
          <w:spacing w:val="-16"/>
        </w:rPr>
        <w:t> </w:t>
      </w:r>
      <w:r>
        <w:rPr/>
        <w:t>misma</w:t>
      </w:r>
      <w:r>
        <w:rPr>
          <w:spacing w:val="-16"/>
        </w:rPr>
        <w:t> </w:t>
      </w:r>
      <w:r>
        <w:rPr/>
        <w:t>que</w:t>
      </w:r>
      <w:r>
        <w:rPr>
          <w:spacing w:val="-16"/>
        </w:rPr>
        <w:t> </w:t>
      </w:r>
      <w:r>
        <w:rPr/>
        <w:t>facilita</w:t>
      </w:r>
      <w:r>
        <w:rPr>
          <w:spacing w:val="-20"/>
        </w:rPr>
        <w:t> </w:t>
      </w:r>
      <w:r>
        <w:rPr/>
        <w:t>la</w:t>
      </w:r>
      <w:r>
        <w:rPr>
          <w:spacing w:val="-20"/>
        </w:rPr>
        <w:t> </w:t>
      </w:r>
      <w:r>
        <w:rPr/>
        <w:t>lectura</w:t>
      </w:r>
      <w:r>
        <w:rPr>
          <w:spacing w:val="-16"/>
        </w:rPr>
        <w:t> </w:t>
      </w:r>
      <w:r>
        <w:rPr/>
        <w:t>para</w:t>
      </w:r>
      <w:r>
        <w:rPr>
          <w:spacing w:val="-16"/>
        </w:rPr>
        <w:t> </w:t>
      </w:r>
      <w:r>
        <w:rPr/>
        <w:t>personal</w:t>
      </w:r>
      <w:r>
        <w:rPr>
          <w:spacing w:val="-13"/>
        </w:rPr>
        <w:t> </w:t>
      </w:r>
      <w:r>
        <w:rPr/>
        <w:t>no</w:t>
      </w:r>
      <w:r>
        <w:rPr>
          <w:spacing w:val="-16"/>
        </w:rPr>
        <w:t> </w:t>
      </w:r>
      <w:r>
        <w:rPr/>
        <w:t>especializado, que cumple la función de administrar el patrimonio de los</w:t>
      </w:r>
      <w:r>
        <w:rPr>
          <w:spacing w:val="-27"/>
        </w:rPr>
        <w:t> </w:t>
      </w:r>
      <w:r>
        <w:rPr/>
        <w:t>municipios.</w:t>
      </w:r>
    </w:p>
    <w:p>
      <w:pPr>
        <w:pStyle w:val="BodyText"/>
        <w:spacing w:before="5"/>
      </w:pPr>
    </w:p>
    <w:p>
      <w:pPr>
        <w:pStyle w:val="BodyText"/>
        <w:spacing w:line="360" w:lineRule="auto"/>
        <w:ind w:left="119" w:right="126"/>
        <w:jc w:val="both"/>
      </w:pPr>
      <w:r>
        <w:rPr/>
        <w:t>La tipología es la síntesis espacial del índice de susceptibilidad del territorio a las inundaciones, sin embargo, solo es indicativa de la problemática en un momento dado.</w:t>
      </w:r>
    </w:p>
    <w:p>
      <w:pPr>
        <w:pStyle w:val="BodyText"/>
        <w:spacing w:before="5"/>
      </w:pPr>
    </w:p>
    <w:p>
      <w:pPr>
        <w:pStyle w:val="BodyText"/>
        <w:spacing w:line="362" w:lineRule="auto"/>
        <w:ind w:left="119" w:right="129"/>
        <w:jc w:val="both"/>
      </w:pPr>
      <w:r>
        <w:rPr/>
        <w:t>La metodología utilizada en esta investigación puede ser replicada en otros sitios que presenten evidencia de inundaciones.</w:t>
      </w:r>
    </w:p>
    <w:p>
      <w:pPr>
        <w:pStyle w:val="BodyText"/>
        <w:spacing w:before="2"/>
      </w:pPr>
    </w:p>
    <w:p>
      <w:pPr>
        <w:pStyle w:val="BodyText"/>
        <w:spacing w:line="360" w:lineRule="auto" w:before="1"/>
        <w:ind w:left="119" w:right="128"/>
        <w:jc w:val="both"/>
      </w:pPr>
      <w:r>
        <w:rPr/>
        <w:t>Los resultados de este trabajo cumplen con las expectativas de los usuarios primarios potenciales, que según el artículo 115 de la constitución mexicana, son los municipios.</w:t>
      </w:r>
    </w:p>
    <w:p>
      <w:pPr>
        <w:pStyle w:val="BodyText"/>
        <w:spacing w:before="5"/>
      </w:pPr>
    </w:p>
    <w:p>
      <w:pPr>
        <w:pStyle w:val="BodyText"/>
        <w:spacing w:line="360" w:lineRule="auto"/>
        <w:ind w:left="119" w:right="113"/>
        <w:jc w:val="both"/>
      </w:pPr>
      <w:r>
        <w:rPr/>
        <w:t>Las</w:t>
      </w:r>
      <w:r>
        <w:rPr>
          <w:spacing w:val="-16"/>
        </w:rPr>
        <w:t> </w:t>
      </w:r>
      <w:r>
        <w:rPr/>
        <w:t>experiencias</w:t>
      </w:r>
      <w:r>
        <w:rPr>
          <w:spacing w:val="-21"/>
        </w:rPr>
        <w:t> </w:t>
      </w:r>
      <w:r>
        <w:rPr/>
        <w:t>parcialmente</w:t>
      </w:r>
      <w:r>
        <w:rPr>
          <w:spacing w:val="-15"/>
        </w:rPr>
        <w:t> </w:t>
      </w:r>
      <w:r>
        <w:rPr/>
        <w:t>documentadas</w:t>
      </w:r>
      <w:r>
        <w:rPr>
          <w:spacing w:val="-21"/>
        </w:rPr>
        <w:t> </w:t>
      </w:r>
      <w:r>
        <w:rPr/>
        <w:t>en</w:t>
      </w:r>
      <w:r>
        <w:rPr>
          <w:spacing w:val="-20"/>
        </w:rPr>
        <w:t> </w:t>
      </w:r>
      <w:r>
        <w:rPr/>
        <w:t>la</w:t>
      </w:r>
      <w:r>
        <w:rPr>
          <w:spacing w:val="-20"/>
        </w:rPr>
        <w:t> </w:t>
      </w:r>
      <w:r>
        <w:rPr/>
        <w:t>zona</w:t>
      </w:r>
      <w:r>
        <w:rPr>
          <w:spacing w:val="-20"/>
        </w:rPr>
        <w:t> </w:t>
      </w:r>
      <w:r>
        <w:rPr/>
        <w:t>de</w:t>
      </w:r>
      <w:r>
        <w:rPr>
          <w:spacing w:val="-20"/>
        </w:rPr>
        <w:t> </w:t>
      </w:r>
      <w:r>
        <w:rPr/>
        <w:t>estudio</w:t>
      </w:r>
      <w:r>
        <w:rPr>
          <w:spacing w:val="-20"/>
        </w:rPr>
        <w:t> </w:t>
      </w:r>
      <w:r>
        <w:rPr/>
        <w:t>y</w:t>
      </w:r>
      <w:r>
        <w:rPr>
          <w:spacing w:val="-21"/>
        </w:rPr>
        <w:t> </w:t>
      </w:r>
      <w:r>
        <w:rPr/>
        <w:t>las</w:t>
      </w:r>
      <w:r>
        <w:rPr>
          <w:spacing w:val="-16"/>
        </w:rPr>
        <w:t> </w:t>
      </w:r>
      <w:r>
        <w:rPr/>
        <w:t>entrevistas realizadas en sitios seleccionados, muestran que las instituciones y las personas focalizan</w:t>
      </w:r>
      <w:r>
        <w:rPr>
          <w:spacing w:val="-15"/>
        </w:rPr>
        <w:t> </w:t>
      </w:r>
      <w:r>
        <w:rPr/>
        <w:t>y</w:t>
      </w:r>
      <w:r>
        <w:rPr>
          <w:spacing w:val="-15"/>
        </w:rPr>
        <w:t> </w:t>
      </w:r>
      <w:r>
        <w:rPr/>
        <w:t>guardan</w:t>
      </w:r>
      <w:r>
        <w:rPr>
          <w:spacing w:val="-15"/>
        </w:rPr>
        <w:t> </w:t>
      </w:r>
      <w:r>
        <w:rPr/>
        <w:t>en</w:t>
      </w:r>
      <w:r>
        <w:rPr>
          <w:spacing w:val="-19"/>
        </w:rPr>
        <w:t> </w:t>
      </w:r>
      <w:r>
        <w:rPr/>
        <w:t>la</w:t>
      </w:r>
      <w:r>
        <w:rPr>
          <w:spacing w:val="-15"/>
        </w:rPr>
        <w:t> </w:t>
      </w:r>
      <w:r>
        <w:rPr/>
        <w:t>memoria</w:t>
      </w:r>
      <w:r>
        <w:rPr>
          <w:spacing w:val="-15"/>
        </w:rPr>
        <w:t> </w:t>
      </w:r>
      <w:r>
        <w:rPr/>
        <w:t>histórica</w:t>
      </w:r>
      <w:r>
        <w:rPr>
          <w:spacing w:val="-19"/>
        </w:rPr>
        <w:t> </w:t>
      </w:r>
      <w:r>
        <w:rPr/>
        <w:t>los</w:t>
      </w:r>
      <w:r>
        <w:rPr>
          <w:spacing w:val="-20"/>
        </w:rPr>
        <w:t> </w:t>
      </w:r>
      <w:r>
        <w:rPr/>
        <w:t>efectos</w:t>
      </w:r>
      <w:r>
        <w:rPr>
          <w:spacing w:val="-15"/>
        </w:rPr>
        <w:t> </w:t>
      </w:r>
      <w:r>
        <w:rPr/>
        <w:t>dañinos</w:t>
      </w:r>
      <w:r>
        <w:rPr>
          <w:spacing w:val="-15"/>
        </w:rPr>
        <w:t> </w:t>
      </w:r>
      <w:r>
        <w:rPr/>
        <w:t>de</w:t>
      </w:r>
      <w:r>
        <w:rPr>
          <w:spacing w:val="-19"/>
        </w:rPr>
        <w:t> </w:t>
      </w:r>
      <w:r>
        <w:rPr/>
        <w:t>las</w:t>
      </w:r>
      <w:r>
        <w:rPr>
          <w:spacing w:val="-20"/>
        </w:rPr>
        <w:t> </w:t>
      </w:r>
      <w:r>
        <w:rPr/>
        <w:t>inundaciones, y está ausente la anticipación y la</w:t>
      </w:r>
      <w:r>
        <w:rPr>
          <w:spacing w:val="-15"/>
        </w:rPr>
        <w:t> </w:t>
      </w:r>
      <w:r>
        <w:rPr/>
        <w:t>previsión.</w:t>
      </w:r>
    </w:p>
    <w:p>
      <w:pPr>
        <w:pStyle w:val="BodyText"/>
        <w:spacing w:before="10"/>
      </w:pPr>
    </w:p>
    <w:p>
      <w:pPr>
        <w:pStyle w:val="BodyText"/>
        <w:spacing w:line="360" w:lineRule="auto"/>
        <w:ind w:left="119" w:right="120"/>
        <w:jc w:val="both"/>
      </w:pPr>
      <w:r>
        <w:rPr/>
        <w:t>Las entrevistas colocan en el primer lugar las afectaciones que repercuten en los costos para recuperar los bienes, sin embargo se constato que los efectos de las inundaciones se viven particular e individualmente, aunque no existe la cultura de la organización, la solidaridad y la ayuda se convierte en un valor que pudiera cohesionar la organización</w:t>
      </w:r>
    </w:p>
    <w:p>
      <w:pPr>
        <w:spacing w:after="0" w:line="360" w:lineRule="auto"/>
        <w:jc w:val="both"/>
        <w:sectPr>
          <w:pgSz w:w="12240" w:h="15840"/>
          <w:pgMar w:header="0" w:footer="971" w:top="1360" w:bottom="1220" w:left="1580" w:right="1580"/>
        </w:sectPr>
      </w:pPr>
    </w:p>
    <w:p>
      <w:pPr>
        <w:pStyle w:val="BodyText"/>
        <w:spacing w:line="360" w:lineRule="auto" w:before="52"/>
        <w:ind w:left="119" w:right="107"/>
        <w:jc w:val="both"/>
      </w:pPr>
      <w:r>
        <w:rPr/>
        <w:t>Dada</w:t>
      </w:r>
      <w:r>
        <w:rPr>
          <w:spacing w:val="-6"/>
        </w:rPr>
        <w:t> </w:t>
      </w:r>
      <w:r>
        <w:rPr/>
        <w:t>cuenta</w:t>
      </w:r>
      <w:r>
        <w:rPr>
          <w:spacing w:val="-6"/>
        </w:rPr>
        <w:t> </w:t>
      </w:r>
      <w:r>
        <w:rPr/>
        <w:t>de</w:t>
      </w:r>
      <w:r>
        <w:rPr>
          <w:spacing w:val="-6"/>
        </w:rPr>
        <w:t> </w:t>
      </w:r>
      <w:r>
        <w:rPr/>
        <w:t>que</w:t>
      </w:r>
      <w:r>
        <w:rPr>
          <w:spacing w:val="-6"/>
        </w:rPr>
        <w:t> </w:t>
      </w:r>
      <w:r>
        <w:rPr/>
        <w:t>aproximadamente</w:t>
      </w:r>
      <w:r>
        <w:rPr>
          <w:spacing w:val="-6"/>
        </w:rPr>
        <w:t> </w:t>
      </w:r>
      <w:r>
        <w:rPr/>
        <w:t>40%</w:t>
      </w:r>
      <w:r>
        <w:rPr>
          <w:spacing w:val="-9"/>
        </w:rPr>
        <w:t> </w:t>
      </w:r>
      <w:r>
        <w:rPr>
          <w:spacing w:val="2"/>
        </w:rPr>
        <w:t>de</w:t>
      </w:r>
      <w:r>
        <w:rPr>
          <w:spacing w:val="-6"/>
        </w:rPr>
        <w:t> </w:t>
      </w:r>
      <w:r>
        <w:rPr/>
        <w:t>los</w:t>
      </w:r>
      <w:r>
        <w:rPr>
          <w:spacing w:val="-7"/>
        </w:rPr>
        <w:t> </w:t>
      </w:r>
      <w:r>
        <w:rPr/>
        <w:t>entrevistados</w:t>
      </w:r>
      <w:r>
        <w:rPr>
          <w:spacing w:val="-7"/>
        </w:rPr>
        <w:t> </w:t>
      </w:r>
      <w:r>
        <w:rPr/>
        <w:t>en</w:t>
      </w:r>
      <w:r>
        <w:rPr>
          <w:spacing w:val="-6"/>
        </w:rPr>
        <w:t> </w:t>
      </w:r>
      <w:r>
        <w:rPr/>
        <w:t>las</w:t>
      </w:r>
      <w:r>
        <w:rPr>
          <w:spacing w:val="-12"/>
        </w:rPr>
        <w:t> </w:t>
      </w:r>
      <w:r>
        <w:rPr/>
        <w:t>localidades seleccionadas, no nacieron en la entidad. Su presencia refuerza el círculo vicioso entre la ocupación irregular de tierras no aptas para los asentamientos humanos y el proceso de urbanización desordenada y</w:t>
      </w:r>
      <w:r>
        <w:rPr>
          <w:spacing w:val="-22"/>
        </w:rPr>
        <w:t> </w:t>
      </w:r>
      <w:r>
        <w:rPr/>
        <w:t>caótica.</w:t>
      </w:r>
    </w:p>
    <w:p>
      <w:pPr>
        <w:pStyle w:val="BodyText"/>
        <w:spacing w:before="10"/>
      </w:pPr>
    </w:p>
    <w:p>
      <w:pPr>
        <w:pStyle w:val="BodyText"/>
        <w:spacing w:line="360" w:lineRule="auto"/>
        <w:ind w:left="119" w:right="98"/>
        <w:jc w:val="both"/>
      </w:pPr>
      <w:r>
        <w:rPr/>
        <w:t>En estas condiciones la urbanización desordenada y caótica de la zona de</w:t>
      </w:r>
      <w:r>
        <w:rPr>
          <w:spacing w:val="-44"/>
        </w:rPr>
        <w:t> </w:t>
      </w:r>
      <w:r>
        <w:rPr/>
        <w:t>estudio, es consecuencia no solo de la ocupación irregular del suelo para uso habitacional, sino también como se ha visto, está asociada a la pobreza urbana y marginación social. En otro frente resalta el proceso inmobiliario en tierras de propiedad</w:t>
      </w:r>
      <w:r>
        <w:rPr>
          <w:spacing w:val="-41"/>
        </w:rPr>
        <w:t> </w:t>
      </w:r>
      <w:r>
        <w:rPr/>
        <w:t>social.</w:t>
      </w:r>
    </w:p>
    <w:p>
      <w:pPr>
        <w:pStyle w:val="BodyText"/>
        <w:spacing w:before="10"/>
      </w:pPr>
    </w:p>
    <w:p>
      <w:pPr>
        <w:pStyle w:val="BodyText"/>
        <w:spacing w:line="360" w:lineRule="auto"/>
        <w:ind w:left="119" w:right="107"/>
        <w:jc w:val="both"/>
      </w:pPr>
      <w:r>
        <w:rPr/>
        <w:t>El aumento de la población que caracteriza la ZMCT tiene como resultado el surgimiento</w:t>
      </w:r>
      <w:r>
        <w:rPr>
          <w:spacing w:val="-7"/>
        </w:rPr>
        <w:t> </w:t>
      </w:r>
      <w:r>
        <w:rPr/>
        <w:t>de</w:t>
      </w:r>
      <w:r>
        <w:rPr>
          <w:spacing w:val="-7"/>
        </w:rPr>
        <w:t> </w:t>
      </w:r>
      <w:r>
        <w:rPr/>
        <w:t>asentamientos</w:t>
      </w:r>
      <w:r>
        <w:rPr>
          <w:spacing w:val="-8"/>
        </w:rPr>
        <w:t> </w:t>
      </w:r>
      <w:r>
        <w:rPr/>
        <w:t>precarios</w:t>
      </w:r>
      <w:r>
        <w:rPr>
          <w:spacing w:val="-7"/>
        </w:rPr>
        <w:t> </w:t>
      </w:r>
      <w:r>
        <w:rPr/>
        <w:t>en</w:t>
      </w:r>
      <w:r>
        <w:rPr>
          <w:spacing w:val="-7"/>
        </w:rPr>
        <w:t> </w:t>
      </w:r>
      <w:r>
        <w:rPr/>
        <w:t>zonas</w:t>
      </w:r>
      <w:r>
        <w:rPr>
          <w:spacing w:val="-8"/>
        </w:rPr>
        <w:t> </w:t>
      </w:r>
      <w:r>
        <w:rPr/>
        <w:t>marginales,</w:t>
      </w:r>
      <w:r>
        <w:rPr>
          <w:spacing w:val="-7"/>
        </w:rPr>
        <w:t> </w:t>
      </w:r>
      <w:r>
        <w:rPr/>
        <w:t>tal</w:t>
      </w:r>
      <w:r>
        <w:rPr>
          <w:spacing w:val="-4"/>
        </w:rPr>
        <w:t> </w:t>
      </w:r>
      <w:r>
        <w:rPr/>
        <w:t>como</w:t>
      </w:r>
      <w:r>
        <w:rPr>
          <w:spacing w:val="-7"/>
        </w:rPr>
        <w:t> </w:t>
      </w:r>
      <w:r>
        <w:rPr/>
        <w:t>se</w:t>
      </w:r>
      <w:r>
        <w:rPr>
          <w:spacing w:val="-7"/>
        </w:rPr>
        <w:t> </w:t>
      </w:r>
      <w:r>
        <w:rPr/>
        <w:t>constató en las localidades seleccionadas, los afectados se encuentran en desventaja durante las fases de rehabilitación y reconstrucción, es difícil que puedan afrontar gastos</w:t>
      </w:r>
      <w:r>
        <w:rPr>
          <w:spacing w:val="-14"/>
        </w:rPr>
        <w:t> </w:t>
      </w:r>
      <w:r>
        <w:rPr/>
        <w:t>adicionales</w:t>
      </w:r>
      <w:r>
        <w:rPr>
          <w:spacing w:val="-14"/>
        </w:rPr>
        <w:t> </w:t>
      </w:r>
      <w:r>
        <w:rPr/>
        <w:t>en</w:t>
      </w:r>
      <w:r>
        <w:rPr>
          <w:spacing w:val="-18"/>
        </w:rPr>
        <w:t> </w:t>
      </w:r>
      <w:r>
        <w:rPr>
          <w:spacing w:val="3"/>
        </w:rPr>
        <w:t>la</w:t>
      </w:r>
      <w:r>
        <w:rPr>
          <w:spacing w:val="-13"/>
        </w:rPr>
        <w:t> </w:t>
      </w:r>
      <w:r>
        <w:rPr/>
        <w:t>compra</w:t>
      </w:r>
      <w:r>
        <w:rPr>
          <w:spacing w:val="-13"/>
        </w:rPr>
        <w:t> </w:t>
      </w:r>
      <w:r>
        <w:rPr/>
        <w:t>de</w:t>
      </w:r>
      <w:r>
        <w:rPr>
          <w:spacing w:val="-13"/>
        </w:rPr>
        <w:t> </w:t>
      </w:r>
      <w:r>
        <w:rPr/>
        <w:t>materiales</w:t>
      </w:r>
      <w:r>
        <w:rPr>
          <w:spacing w:val="-18"/>
        </w:rPr>
        <w:t> </w:t>
      </w:r>
      <w:r>
        <w:rPr/>
        <w:t>para</w:t>
      </w:r>
      <w:r>
        <w:rPr>
          <w:spacing w:val="-17"/>
        </w:rPr>
        <w:t> </w:t>
      </w:r>
      <w:r>
        <w:rPr/>
        <w:t>la</w:t>
      </w:r>
      <w:r>
        <w:rPr>
          <w:spacing w:val="-13"/>
        </w:rPr>
        <w:t> </w:t>
      </w:r>
      <w:r>
        <w:rPr/>
        <w:t>reconstrucción,</w:t>
      </w:r>
      <w:r>
        <w:rPr>
          <w:spacing w:val="-13"/>
        </w:rPr>
        <w:t> </w:t>
      </w:r>
      <w:r>
        <w:rPr/>
        <w:t>de</w:t>
      </w:r>
      <w:r>
        <w:rPr>
          <w:spacing w:val="-13"/>
        </w:rPr>
        <w:t> </w:t>
      </w:r>
      <w:r>
        <w:rPr/>
        <w:t>esta</w:t>
      </w:r>
      <w:r>
        <w:rPr>
          <w:spacing w:val="-13"/>
        </w:rPr>
        <w:t> </w:t>
      </w:r>
      <w:r>
        <w:rPr/>
        <w:t>forma se acelera el ciclo de empobrecimiento y consecuentemente, aumenta la vulnerabilidad frente a las</w:t>
      </w:r>
      <w:r>
        <w:rPr>
          <w:spacing w:val="-17"/>
        </w:rPr>
        <w:t> </w:t>
      </w:r>
      <w:r>
        <w:rPr/>
        <w:t>inundaciones.</w:t>
      </w:r>
    </w:p>
    <w:p>
      <w:pPr>
        <w:pStyle w:val="BodyText"/>
        <w:spacing w:before="10"/>
      </w:pPr>
    </w:p>
    <w:p>
      <w:pPr>
        <w:pStyle w:val="BodyText"/>
        <w:spacing w:line="360" w:lineRule="auto"/>
        <w:ind w:left="119" w:right="108"/>
        <w:jc w:val="both"/>
      </w:pPr>
      <w:r>
        <w:rPr/>
        <w:t>Las inundaciones tienen un impacto de largo plazo, que se expresa en los costos de reparación</w:t>
      </w:r>
      <w:r>
        <w:rPr>
          <w:spacing w:val="-2"/>
        </w:rPr>
        <w:t> </w:t>
      </w:r>
      <w:r>
        <w:rPr/>
        <w:t>de</w:t>
      </w:r>
      <w:r>
        <w:rPr>
          <w:spacing w:val="-11"/>
        </w:rPr>
        <w:t> </w:t>
      </w:r>
      <w:r>
        <w:rPr/>
        <w:t>la</w:t>
      </w:r>
      <w:r>
        <w:rPr>
          <w:spacing w:val="-6"/>
        </w:rPr>
        <w:t> </w:t>
      </w:r>
      <w:r>
        <w:rPr/>
        <w:t>infraestructura</w:t>
      </w:r>
      <w:r>
        <w:rPr>
          <w:spacing w:val="-6"/>
        </w:rPr>
        <w:t> </w:t>
      </w:r>
      <w:r>
        <w:rPr/>
        <w:t>pública</w:t>
      </w:r>
      <w:r>
        <w:rPr>
          <w:spacing w:val="-6"/>
        </w:rPr>
        <w:t> </w:t>
      </w:r>
      <w:r>
        <w:rPr/>
        <w:t>por</w:t>
      </w:r>
      <w:r>
        <w:rPr>
          <w:spacing w:val="-6"/>
        </w:rPr>
        <w:t> </w:t>
      </w:r>
      <w:r>
        <w:rPr/>
        <w:t>parte</w:t>
      </w:r>
      <w:r>
        <w:rPr>
          <w:spacing w:val="-2"/>
        </w:rPr>
        <w:t> </w:t>
      </w:r>
      <w:r>
        <w:rPr/>
        <w:t>de</w:t>
      </w:r>
      <w:r>
        <w:rPr>
          <w:spacing w:val="-11"/>
        </w:rPr>
        <w:t> </w:t>
      </w:r>
      <w:r>
        <w:rPr/>
        <w:t>los</w:t>
      </w:r>
      <w:r>
        <w:rPr>
          <w:spacing w:val="-7"/>
        </w:rPr>
        <w:t> </w:t>
      </w:r>
      <w:r>
        <w:rPr/>
        <w:t>gobiernos</w:t>
      </w:r>
      <w:r>
        <w:rPr>
          <w:spacing w:val="-2"/>
        </w:rPr>
        <w:t> </w:t>
      </w:r>
      <w:r>
        <w:rPr/>
        <w:t>municipales</w:t>
      </w:r>
      <w:r>
        <w:rPr>
          <w:spacing w:val="-7"/>
        </w:rPr>
        <w:t> </w:t>
      </w:r>
      <w:r>
        <w:rPr/>
        <w:t>y minimiza la ayuda específica para las localidades</w:t>
      </w:r>
      <w:r>
        <w:rPr>
          <w:spacing w:val="-23"/>
        </w:rPr>
        <w:t> </w:t>
      </w:r>
      <w:r>
        <w:rPr/>
        <w:t>afectadas.</w:t>
      </w:r>
    </w:p>
    <w:p>
      <w:pPr>
        <w:pStyle w:val="BodyText"/>
        <w:spacing w:before="5"/>
      </w:pPr>
    </w:p>
    <w:p>
      <w:pPr>
        <w:pStyle w:val="BodyText"/>
        <w:spacing w:line="360" w:lineRule="auto"/>
        <w:ind w:left="119" w:right="107"/>
        <w:jc w:val="both"/>
      </w:pPr>
      <w:r>
        <w:rPr/>
        <w:t>Los</w:t>
      </w:r>
      <w:r>
        <w:rPr>
          <w:spacing w:val="-12"/>
        </w:rPr>
        <w:t> </w:t>
      </w:r>
      <w:r>
        <w:rPr/>
        <w:t>niveles</w:t>
      </w:r>
      <w:r>
        <w:rPr>
          <w:spacing w:val="-16"/>
        </w:rPr>
        <w:t> </w:t>
      </w:r>
      <w:r>
        <w:rPr/>
        <w:t>de</w:t>
      </w:r>
      <w:r>
        <w:rPr>
          <w:spacing w:val="-11"/>
        </w:rPr>
        <w:t> </w:t>
      </w:r>
      <w:r>
        <w:rPr/>
        <w:t>susceptibilidad</w:t>
      </w:r>
      <w:r>
        <w:rPr>
          <w:spacing w:val="-15"/>
        </w:rPr>
        <w:t> </w:t>
      </w:r>
      <w:r>
        <w:rPr/>
        <w:t>a</w:t>
      </w:r>
      <w:r>
        <w:rPr>
          <w:spacing w:val="-16"/>
        </w:rPr>
        <w:t> </w:t>
      </w:r>
      <w:r>
        <w:rPr/>
        <w:t>los</w:t>
      </w:r>
      <w:r>
        <w:rPr>
          <w:spacing w:val="-16"/>
        </w:rPr>
        <w:t> </w:t>
      </w:r>
      <w:r>
        <w:rPr/>
        <w:t>riesgos</w:t>
      </w:r>
      <w:r>
        <w:rPr>
          <w:spacing w:val="-12"/>
        </w:rPr>
        <w:t> </w:t>
      </w:r>
      <w:r>
        <w:rPr/>
        <w:t>por</w:t>
      </w:r>
      <w:r>
        <w:rPr>
          <w:spacing w:val="-15"/>
        </w:rPr>
        <w:t> </w:t>
      </w:r>
      <w:r>
        <w:rPr/>
        <w:t>inundación</w:t>
      </w:r>
      <w:r>
        <w:rPr>
          <w:spacing w:val="-10"/>
        </w:rPr>
        <w:t> </w:t>
      </w:r>
      <w:r>
        <w:rPr/>
        <w:t>en</w:t>
      </w:r>
      <w:r>
        <w:rPr>
          <w:spacing w:val="-16"/>
        </w:rPr>
        <w:t> </w:t>
      </w:r>
      <w:r>
        <w:rPr/>
        <w:t>la</w:t>
      </w:r>
      <w:r>
        <w:rPr>
          <w:spacing w:val="-16"/>
        </w:rPr>
        <w:t> </w:t>
      </w:r>
      <w:r>
        <w:rPr/>
        <w:t>ZMT,</w:t>
      </w:r>
      <w:r>
        <w:rPr>
          <w:spacing w:val="-11"/>
        </w:rPr>
        <w:t> </w:t>
      </w:r>
      <w:r>
        <w:rPr/>
        <w:t>muestran</w:t>
      </w:r>
      <w:r>
        <w:rPr>
          <w:spacing w:val="-11"/>
        </w:rPr>
        <w:t> </w:t>
      </w:r>
      <w:r>
        <w:rPr/>
        <w:t>que se cuenta con escasa capacidad social y biofísica para absorber los impactos, en este escenario, las pérdidas se concentran en los grupos marginales y los costes se asumen individualmente, lo cual se debe a la exclusión social y pobreza, y a los ineficientes sistemas de</w:t>
      </w:r>
      <w:r>
        <w:rPr>
          <w:spacing w:val="-10"/>
        </w:rPr>
        <w:t> </w:t>
      </w:r>
      <w:r>
        <w:rPr/>
        <w:t>prevención.</w:t>
      </w:r>
    </w:p>
    <w:p>
      <w:pPr>
        <w:pStyle w:val="BodyText"/>
        <w:spacing w:before="10"/>
      </w:pPr>
    </w:p>
    <w:p>
      <w:pPr>
        <w:pStyle w:val="BodyText"/>
        <w:spacing w:line="360" w:lineRule="auto"/>
        <w:ind w:left="119" w:right="104"/>
        <w:jc w:val="both"/>
      </w:pPr>
      <w:r>
        <w:rPr/>
        <w:t>En los asentamientos humanos marginales, los impactos son altos a causa de su menor capacidad de respuesta y recuperación. Las acciones de emergencia, soslayan la importancia de la prevención y la mitigación en la escala local, los esfuerzos no se corresponde con los impactos de las inundaciones, lo que se atribuye  a la  distribución  de la  población,  deficiente  actuación  política,  escasa</w:t>
      </w:r>
    </w:p>
    <w:p>
      <w:pPr>
        <w:spacing w:after="0" w:line="360" w:lineRule="auto"/>
        <w:jc w:val="both"/>
        <w:sectPr>
          <w:pgSz w:w="12240" w:h="15840"/>
          <w:pgMar w:header="0" w:footer="971" w:top="1360" w:bottom="1220" w:left="1580" w:right="1600"/>
        </w:sectPr>
      </w:pPr>
    </w:p>
    <w:p>
      <w:pPr>
        <w:pStyle w:val="BodyText"/>
        <w:spacing w:line="362" w:lineRule="auto" w:before="52"/>
        <w:ind w:left="119" w:right="128"/>
        <w:jc w:val="both"/>
      </w:pPr>
      <w:r>
        <w:rPr/>
        <w:t>concienciación social y una gestión territorial inoperante, así como carencia de comunicación y conexión entre la comunidad científica y la población afectada.</w:t>
      </w:r>
    </w:p>
    <w:p>
      <w:pPr>
        <w:pStyle w:val="BodyText"/>
        <w:spacing w:before="3"/>
      </w:pPr>
    </w:p>
    <w:p>
      <w:pPr>
        <w:pStyle w:val="BodyText"/>
        <w:spacing w:line="360" w:lineRule="auto"/>
        <w:ind w:left="119" w:right="129"/>
        <w:jc w:val="both"/>
      </w:pPr>
      <w:r>
        <w:rPr/>
        <w:t>La eficacia de los gobiernos municipales en la gestión de los riesgos e impactos ocasionados por las inundaciones, es insatisfactoria, lo cual en buena medida se debe a la falta de recursos para absorber las consecuencias de las inundaciones y reparar la infraestructura dañada.</w:t>
      </w:r>
    </w:p>
    <w:p>
      <w:pPr>
        <w:pStyle w:val="BodyText"/>
        <w:spacing w:before="10"/>
      </w:pPr>
    </w:p>
    <w:p>
      <w:pPr>
        <w:pStyle w:val="BodyText"/>
        <w:spacing w:line="360" w:lineRule="auto"/>
        <w:ind w:left="119" w:right="115"/>
        <w:jc w:val="both"/>
      </w:pPr>
      <w:r>
        <w:rPr/>
        <w:t>La puesta en evidencia de la vulnerabilidad regional y local de la zona de estudio ante las inundaciones requiere de medidas que reduzcan la vulnerabilidad por medio de la creación y fortalecimiento de las instituciones responsables; en el ámbito regional y local, es fundamental organizar grupos de protección y prevención, a fin de atender los procesos de mitigación y reducción de la vulnerabilidad, y anticiparse a partir de la integración de la gestión del riesgo en las políticas de desarrollo urbano y ordenamiento territorial.</w:t>
      </w:r>
    </w:p>
    <w:p>
      <w:pPr>
        <w:pStyle w:val="BodyText"/>
        <w:spacing w:before="10"/>
      </w:pPr>
    </w:p>
    <w:p>
      <w:pPr>
        <w:pStyle w:val="BodyText"/>
        <w:spacing w:line="360" w:lineRule="auto"/>
        <w:ind w:left="119" w:right="121"/>
        <w:jc w:val="both"/>
      </w:pPr>
      <w:r>
        <w:rPr/>
        <w:t>Tratar</w:t>
      </w:r>
      <w:r>
        <w:rPr>
          <w:spacing w:val="-11"/>
        </w:rPr>
        <w:t> </w:t>
      </w:r>
      <w:r>
        <w:rPr/>
        <w:t>el</w:t>
      </w:r>
      <w:r>
        <w:rPr>
          <w:spacing w:val="-8"/>
        </w:rPr>
        <w:t> </w:t>
      </w:r>
      <w:r>
        <w:rPr/>
        <w:t>riesgo</w:t>
      </w:r>
      <w:r>
        <w:rPr>
          <w:spacing w:val="-12"/>
        </w:rPr>
        <w:t> </w:t>
      </w:r>
      <w:r>
        <w:rPr/>
        <w:t>o</w:t>
      </w:r>
      <w:r>
        <w:rPr>
          <w:spacing w:val="-12"/>
        </w:rPr>
        <w:t> </w:t>
      </w:r>
      <w:r>
        <w:rPr/>
        <w:t>probabilidad,</w:t>
      </w:r>
      <w:r>
        <w:rPr>
          <w:spacing w:val="-12"/>
        </w:rPr>
        <w:t> </w:t>
      </w:r>
      <w:r>
        <w:rPr/>
        <w:t>la</w:t>
      </w:r>
      <w:r>
        <w:rPr>
          <w:spacing w:val="-12"/>
        </w:rPr>
        <w:t> </w:t>
      </w:r>
      <w:r>
        <w:rPr/>
        <w:t>vulnerabilidad</w:t>
      </w:r>
      <w:r>
        <w:rPr>
          <w:spacing w:val="-12"/>
        </w:rPr>
        <w:t> </w:t>
      </w:r>
      <w:r>
        <w:rPr/>
        <w:t>y</w:t>
      </w:r>
      <w:r>
        <w:rPr>
          <w:spacing w:val="-13"/>
        </w:rPr>
        <w:t> </w:t>
      </w:r>
      <w:r>
        <w:rPr/>
        <w:t>susceptibilidad</w:t>
      </w:r>
      <w:r>
        <w:rPr>
          <w:spacing w:val="-17"/>
        </w:rPr>
        <w:t> </w:t>
      </w:r>
      <w:r>
        <w:rPr/>
        <w:t>a</w:t>
      </w:r>
      <w:r>
        <w:rPr>
          <w:spacing w:val="-12"/>
        </w:rPr>
        <w:t> </w:t>
      </w:r>
      <w:r>
        <w:rPr/>
        <w:t>las</w:t>
      </w:r>
      <w:r>
        <w:rPr>
          <w:spacing w:val="-17"/>
        </w:rPr>
        <w:t> </w:t>
      </w:r>
      <w:r>
        <w:rPr/>
        <w:t>inundaciones de manera proactiva, significa superar la óptica reactiva y abandonar la noción de eventos</w:t>
      </w:r>
      <w:r>
        <w:rPr>
          <w:spacing w:val="-8"/>
        </w:rPr>
        <w:t> </w:t>
      </w:r>
      <w:r>
        <w:rPr/>
        <w:t>extraordinarios</w:t>
      </w:r>
      <w:r>
        <w:rPr>
          <w:spacing w:val="-8"/>
        </w:rPr>
        <w:t> </w:t>
      </w:r>
      <w:r>
        <w:rPr/>
        <w:t>y</w:t>
      </w:r>
      <w:r>
        <w:rPr>
          <w:spacing w:val="-8"/>
        </w:rPr>
        <w:t> </w:t>
      </w:r>
      <w:r>
        <w:rPr/>
        <w:t>espontáneos,</w:t>
      </w:r>
      <w:r>
        <w:rPr>
          <w:spacing w:val="-1"/>
        </w:rPr>
        <w:t> </w:t>
      </w:r>
      <w:r>
        <w:rPr/>
        <w:t>y</w:t>
      </w:r>
      <w:r>
        <w:rPr>
          <w:spacing w:val="-8"/>
        </w:rPr>
        <w:t> </w:t>
      </w:r>
      <w:r>
        <w:rPr/>
        <w:t>reforzar</w:t>
      </w:r>
      <w:r>
        <w:rPr>
          <w:spacing w:val="-11"/>
        </w:rPr>
        <w:t> </w:t>
      </w:r>
      <w:r>
        <w:rPr/>
        <w:t>la</w:t>
      </w:r>
      <w:r>
        <w:rPr>
          <w:spacing w:val="-7"/>
        </w:rPr>
        <w:t> </w:t>
      </w:r>
      <w:r>
        <w:rPr/>
        <w:t>prevención</w:t>
      </w:r>
      <w:r>
        <w:rPr>
          <w:spacing w:val="-7"/>
        </w:rPr>
        <w:t> </w:t>
      </w:r>
      <w:r>
        <w:rPr/>
        <w:t>como</w:t>
      </w:r>
      <w:r>
        <w:rPr>
          <w:spacing w:val="-7"/>
        </w:rPr>
        <w:t> </w:t>
      </w:r>
      <w:r>
        <w:rPr/>
        <w:t>estrategia</w:t>
      </w:r>
      <w:r>
        <w:rPr>
          <w:spacing w:val="-7"/>
        </w:rPr>
        <w:t> </w:t>
      </w:r>
      <w:r>
        <w:rPr/>
        <w:t>de defensa agresiva para colapsar los efectos perniciosos de las</w:t>
      </w:r>
      <w:r>
        <w:rPr>
          <w:spacing w:val="-30"/>
        </w:rPr>
        <w:t> </w:t>
      </w:r>
      <w:r>
        <w:rPr/>
        <w:t>inundaciones.</w:t>
      </w:r>
    </w:p>
    <w:p>
      <w:pPr>
        <w:pStyle w:val="BodyText"/>
        <w:spacing w:before="10"/>
      </w:pPr>
    </w:p>
    <w:p>
      <w:pPr>
        <w:pStyle w:val="BodyText"/>
        <w:spacing w:line="360" w:lineRule="auto"/>
        <w:ind w:left="119" w:right="116"/>
        <w:jc w:val="both"/>
      </w:pPr>
      <w:r>
        <w:rPr/>
        <w:t>La evaluación de la vulnerabilidad y la gestión de los riesgos se constituyen en piezas clave que debe integrarse en los procesos de decisión a través de las políticas públicas y promover la mejora de los sistemas de prevención, atención y comprensión de los riesgos y amenazas.</w:t>
      </w:r>
    </w:p>
    <w:p>
      <w:pPr>
        <w:spacing w:after="0" w:line="360" w:lineRule="auto"/>
        <w:jc w:val="both"/>
        <w:sectPr>
          <w:pgSz w:w="12240" w:h="15840"/>
          <w:pgMar w:header="0" w:footer="971" w:top="1360" w:bottom="1220" w:left="1580" w:right="1580"/>
        </w:sectPr>
      </w:pPr>
    </w:p>
    <w:p>
      <w:pPr>
        <w:pStyle w:val="Heading2"/>
        <w:spacing w:before="42"/>
      </w:pPr>
      <w:bookmarkStart w:name="_TOC_250005" w:id="49"/>
      <w:bookmarkEnd w:id="49"/>
      <w:r>
        <w:rPr/>
        <w:t>BIBLIOGRAFÍA</w:t>
      </w:r>
    </w:p>
    <w:p>
      <w:pPr>
        <w:pStyle w:val="BodyText"/>
        <w:rPr>
          <w:b/>
        </w:rPr>
      </w:pPr>
    </w:p>
    <w:p>
      <w:pPr>
        <w:pStyle w:val="BodyText"/>
        <w:spacing w:before="8"/>
        <w:rPr>
          <w:b/>
          <w:sz w:val="21"/>
        </w:rPr>
      </w:pPr>
    </w:p>
    <w:p>
      <w:pPr>
        <w:pStyle w:val="BodyText"/>
        <w:spacing w:line="360" w:lineRule="auto"/>
        <w:ind w:left="119" w:right="200"/>
        <w:jc w:val="both"/>
      </w:pPr>
      <w:r>
        <w:rPr/>
        <w:t>BARBA-ROMERO, S. y POMEROL, J.-C. (1997), "Decisiones Multicriterio. Fundamentos teóricos y utilización práctica”, Madrid, Ed. Universidad de Alcalá de Henares.</w:t>
      </w:r>
    </w:p>
    <w:p>
      <w:pPr>
        <w:pStyle w:val="BodyText"/>
      </w:pPr>
    </w:p>
    <w:p>
      <w:pPr>
        <w:pStyle w:val="BodyText"/>
        <w:spacing w:line="360" w:lineRule="auto" w:before="140"/>
        <w:ind w:left="119" w:right="207"/>
        <w:jc w:val="both"/>
      </w:pPr>
      <w:r>
        <w:rPr/>
        <w:t>BARREDO CANO, J. I. (1996) Sistemas de Información Geográfica y Evaluación Multicriterio en la Ordenación del Territorio, RA-MA, Madrid, pp.1-58.</w:t>
      </w:r>
    </w:p>
    <w:p>
      <w:pPr>
        <w:pStyle w:val="BodyText"/>
      </w:pPr>
    </w:p>
    <w:p>
      <w:pPr>
        <w:pStyle w:val="BodyText"/>
        <w:spacing w:line="360" w:lineRule="auto" w:before="145"/>
        <w:ind w:left="119" w:right="194"/>
        <w:jc w:val="both"/>
      </w:pPr>
      <w:r>
        <w:rPr/>
        <w:t>BATES,</w:t>
      </w:r>
      <w:r>
        <w:rPr>
          <w:spacing w:val="-17"/>
        </w:rPr>
        <w:t> </w:t>
      </w:r>
      <w:r>
        <w:rPr/>
        <w:t>L.</w:t>
      </w:r>
      <w:r>
        <w:rPr>
          <w:spacing w:val="-17"/>
        </w:rPr>
        <w:t> </w:t>
      </w:r>
      <w:r>
        <w:rPr/>
        <w:t>Y</w:t>
      </w:r>
      <w:r>
        <w:rPr>
          <w:spacing w:val="-14"/>
        </w:rPr>
        <w:t> </w:t>
      </w:r>
      <w:r>
        <w:rPr/>
        <w:t>PEACOCK</w:t>
      </w:r>
      <w:r>
        <w:rPr>
          <w:spacing w:val="-19"/>
        </w:rPr>
        <w:t> </w:t>
      </w:r>
      <w:r>
        <w:rPr>
          <w:spacing w:val="6"/>
        </w:rPr>
        <w:t>W.</w:t>
      </w:r>
      <w:r>
        <w:rPr>
          <w:spacing w:val="-17"/>
        </w:rPr>
        <w:t> </w:t>
      </w:r>
      <w:r>
        <w:rPr/>
        <w:t>"Disasters</w:t>
      </w:r>
      <w:r>
        <w:rPr>
          <w:spacing w:val="-17"/>
        </w:rPr>
        <w:t> </w:t>
      </w:r>
      <w:r>
        <w:rPr/>
        <w:t>and</w:t>
      </w:r>
      <w:r>
        <w:rPr>
          <w:spacing w:val="-17"/>
        </w:rPr>
        <w:t> </w:t>
      </w:r>
      <w:r>
        <w:rPr/>
        <w:t>Social</w:t>
      </w:r>
      <w:r>
        <w:rPr>
          <w:spacing w:val="-13"/>
        </w:rPr>
        <w:t> </w:t>
      </w:r>
      <w:r>
        <w:rPr/>
        <w:t>Change".</w:t>
      </w:r>
      <w:r>
        <w:rPr>
          <w:spacing w:val="-10"/>
        </w:rPr>
        <w:t> </w:t>
      </w:r>
      <w:r>
        <w:rPr/>
        <w:t>En:</w:t>
      </w:r>
      <w:r>
        <w:rPr>
          <w:spacing w:val="-17"/>
        </w:rPr>
        <w:t> </w:t>
      </w:r>
      <w:r>
        <w:rPr/>
        <w:t>Dynes,</w:t>
      </w:r>
      <w:r>
        <w:rPr>
          <w:spacing w:val="-17"/>
        </w:rPr>
        <w:t> </w:t>
      </w:r>
      <w:r>
        <w:rPr/>
        <w:t>B.</w:t>
      </w:r>
      <w:r>
        <w:rPr>
          <w:spacing w:val="-17"/>
        </w:rPr>
        <w:t> </w:t>
      </w:r>
      <w:r>
        <w:rPr/>
        <w:t>de</w:t>
      </w:r>
      <w:r>
        <w:rPr>
          <w:spacing w:val="-17"/>
        </w:rPr>
        <w:t> </w:t>
      </w:r>
      <w:r>
        <w:rPr/>
        <w:t>Marchi y C. Pelanda (eds.) </w:t>
      </w:r>
      <w:r>
        <w:rPr>
          <w:i/>
        </w:rPr>
        <w:t>Sociology of Disaster, </w:t>
      </w:r>
      <w:r>
        <w:rPr/>
        <w:t>Franco Angeli Libri, Milano, 1987, pp. 291-330.</w:t>
      </w:r>
    </w:p>
    <w:p>
      <w:pPr>
        <w:pStyle w:val="BodyText"/>
      </w:pPr>
    </w:p>
    <w:p>
      <w:pPr>
        <w:pStyle w:val="BodyText"/>
        <w:spacing w:line="360" w:lineRule="auto" w:before="144"/>
        <w:ind w:left="119" w:right="218"/>
        <w:jc w:val="both"/>
      </w:pPr>
      <w:r>
        <w:rPr>
          <w:spacing w:val="2"/>
        </w:rPr>
        <w:t>BID </w:t>
      </w:r>
      <w:r>
        <w:rPr>
          <w:spacing w:val="3"/>
        </w:rPr>
        <w:t>(Banco </w:t>
      </w:r>
      <w:r>
        <w:rPr>
          <w:spacing w:val="4"/>
        </w:rPr>
        <w:t>Interamericano </w:t>
      </w:r>
      <w:r>
        <w:rPr/>
        <w:t>de </w:t>
      </w:r>
      <w:r>
        <w:rPr>
          <w:spacing w:val="4"/>
        </w:rPr>
        <w:t>Desarrollo), </w:t>
      </w:r>
      <w:r>
        <w:rPr>
          <w:spacing w:val="3"/>
        </w:rPr>
        <w:t>1999. </w:t>
      </w:r>
      <w:r>
        <w:rPr>
          <w:spacing w:val="4"/>
        </w:rPr>
        <w:t>Reducción </w:t>
      </w:r>
      <w:r>
        <w:rPr/>
        <w:t>de </w:t>
      </w:r>
      <w:r>
        <w:rPr>
          <w:spacing w:val="4"/>
        </w:rPr>
        <w:t>la </w:t>
      </w:r>
      <w:r>
        <w:rPr>
          <w:spacing w:val="3"/>
        </w:rPr>
        <w:t>vulnerabilidad ante amenazas </w:t>
      </w:r>
      <w:r>
        <w:rPr>
          <w:spacing w:val="4"/>
        </w:rPr>
        <w:t>naturales: Lecciones aprendidas </w:t>
      </w:r>
      <w:r>
        <w:rPr/>
        <w:t>del </w:t>
      </w:r>
      <w:r>
        <w:rPr>
          <w:spacing w:val="3"/>
        </w:rPr>
        <w:t>huracán</w:t>
      </w:r>
      <w:r>
        <w:rPr>
          <w:spacing w:val="68"/>
        </w:rPr>
        <w:t> </w:t>
      </w:r>
      <w:r>
        <w:rPr>
          <w:spacing w:val="3"/>
        </w:rPr>
        <w:t>Mitch.</w:t>
      </w:r>
    </w:p>
    <w:p>
      <w:pPr>
        <w:pStyle w:val="BodyText"/>
        <w:spacing w:line="362" w:lineRule="auto" w:before="2"/>
        <w:ind w:left="119" w:right="114"/>
        <w:jc w:val="both"/>
      </w:pPr>
      <w:r>
        <w:rPr/>
        <w:t>BLAIKIE,</w:t>
      </w:r>
      <w:r>
        <w:rPr>
          <w:spacing w:val="-16"/>
        </w:rPr>
        <w:t> </w:t>
      </w:r>
      <w:r>
        <w:rPr/>
        <w:t>P.,</w:t>
      </w:r>
      <w:r>
        <w:rPr>
          <w:spacing w:val="-16"/>
        </w:rPr>
        <w:t> </w:t>
      </w:r>
      <w:r>
        <w:rPr/>
        <w:t>T.</w:t>
      </w:r>
      <w:r>
        <w:rPr>
          <w:spacing w:val="-16"/>
        </w:rPr>
        <w:t> </w:t>
      </w:r>
      <w:r>
        <w:rPr/>
        <w:t>Cannon,</w:t>
      </w:r>
      <w:r>
        <w:rPr>
          <w:spacing w:val="-16"/>
        </w:rPr>
        <w:t> </w:t>
      </w:r>
      <w:r>
        <w:rPr/>
        <w:t>I.</w:t>
      </w:r>
      <w:r>
        <w:rPr>
          <w:spacing w:val="-16"/>
        </w:rPr>
        <w:t> </w:t>
      </w:r>
      <w:r>
        <w:rPr/>
        <w:t>Davis</w:t>
      </w:r>
      <w:r>
        <w:rPr>
          <w:spacing w:val="-16"/>
        </w:rPr>
        <w:t> </w:t>
      </w:r>
      <w:r>
        <w:rPr/>
        <w:t>y</w:t>
      </w:r>
      <w:r>
        <w:rPr>
          <w:spacing w:val="-16"/>
        </w:rPr>
        <w:t> </w:t>
      </w:r>
      <w:r>
        <w:rPr/>
        <w:t>B.</w:t>
      </w:r>
      <w:r>
        <w:rPr>
          <w:spacing w:val="-21"/>
        </w:rPr>
        <w:t> </w:t>
      </w:r>
      <w:r>
        <w:rPr/>
        <w:t>Wisner</w:t>
      </w:r>
      <w:r>
        <w:rPr>
          <w:spacing w:val="-15"/>
        </w:rPr>
        <w:t> </w:t>
      </w:r>
      <w:r>
        <w:rPr/>
        <w:t>(1996):</w:t>
      </w:r>
      <w:r>
        <w:rPr>
          <w:spacing w:val="-16"/>
        </w:rPr>
        <w:t> </w:t>
      </w:r>
      <w:r>
        <w:rPr/>
        <w:t>Vulnerabilidad:</w:t>
      </w:r>
      <w:r>
        <w:rPr>
          <w:spacing w:val="-21"/>
        </w:rPr>
        <w:t> </w:t>
      </w:r>
      <w:r>
        <w:rPr/>
        <w:t>el</w:t>
      </w:r>
      <w:r>
        <w:rPr>
          <w:spacing w:val="-17"/>
        </w:rPr>
        <w:t> </w:t>
      </w:r>
      <w:r>
        <w:rPr/>
        <w:t>entorno</w:t>
      </w:r>
      <w:r>
        <w:rPr>
          <w:spacing w:val="-16"/>
        </w:rPr>
        <w:t> </w:t>
      </w:r>
      <w:r>
        <w:rPr/>
        <w:t>social, político y económico de los desastres, La Red - ITDG,</w:t>
      </w:r>
      <w:r>
        <w:rPr>
          <w:spacing w:val="-14"/>
        </w:rPr>
        <w:t> </w:t>
      </w:r>
      <w:r>
        <w:rPr/>
        <w:t>Bogotá.</w:t>
      </w:r>
    </w:p>
    <w:p>
      <w:pPr>
        <w:pStyle w:val="BodyText"/>
        <w:spacing w:before="10"/>
        <w:rPr>
          <w:sz w:val="35"/>
        </w:rPr>
      </w:pPr>
    </w:p>
    <w:p>
      <w:pPr>
        <w:pStyle w:val="BodyText"/>
        <w:spacing w:line="360" w:lineRule="auto" w:before="1"/>
        <w:ind w:left="119" w:right="204"/>
        <w:jc w:val="both"/>
      </w:pPr>
      <w:r>
        <w:rPr/>
        <w:t>CABRERA C., 1987. Identificación de áreas críticas con base en criterios biofísicos y análisis básico de la degradación específica y transporte de sedimentos en la cuenca superior del río Chixoy, Guatemala. Tesis Mag. Sc. Turrialba, CR, CATIE. 174 p.</w:t>
      </w:r>
    </w:p>
    <w:p>
      <w:pPr>
        <w:pStyle w:val="BodyText"/>
      </w:pPr>
    </w:p>
    <w:p>
      <w:pPr>
        <w:pStyle w:val="BodyText"/>
        <w:spacing w:line="362" w:lineRule="auto" w:before="139"/>
        <w:ind w:left="119" w:right="289"/>
        <w:jc w:val="both"/>
      </w:pPr>
      <w:r>
        <w:rPr/>
        <w:t>CAEM, 2007. Comisión del Agua del Estado de México .Atlas de inundaciones 14, Cuenca del rio Lerma.</w:t>
      </w:r>
    </w:p>
    <w:p>
      <w:pPr>
        <w:pStyle w:val="BodyText"/>
        <w:spacing w:before="10"/>
        <w:rPr>
          <w:sz w:val="35"/>
        </w:rPr>
      </w:pPr>
    </w:p>
    <w:p>
      <w:pPr>
        <w:pStyle w:val="BodyText"/>
        <w:spacing w:line="360" w:lineRule="auto"/>
        <w:ind w:left="119" w:right="195"/>
        <w:jc w:val="both"/>
      </w:pPr>
      <w:r>
        <w:rPr/>
        <w:t>CALDERÓN,</w:t>
      </w:r>
      <w:r>
        <w:rPr>
          <w:spacing w:val="-16"/>
        </w:rPr>
        <w:t> </w:t>
      </w:r>
      <w:r>
        <w:rPr/>
        <w:t>G.,</w:t>
      </w:r>
      <w:r>
        <w:rPr>
          <w:spacing w:val="-16"/>
        </w:rPr>
        <w:t> </w:t>
      </w:r>
      <w:r>
        <w:rPr/>
        <w:t>2001.</w:t>
      </w:r>
      <w:r>
        <w:rPr>
          <w:spacing w:val="-16"/>
        </w:rPr>
        <w:t> </w:t>
      </w:r>
      <w:r>
        <w:rPr/>
        <w:t>Construcción</w:t>
      </w:r>
      <w:r>
        <w:rPr>
          <w:spacing w:val="-16"/>
        </w:rPr>
        <w:t> </w:t>
      </w:r>
      <w:r>
        <w:rPr/>
        <w:t>y</w:t>
      </w:r>
      <w:r>
        <w:rPr>
          <w:spacing w:val="-16"/>
        </w:rPr>
        <w:t> </w:t>
      </w:r>
      <w:r>
        <w:rPr/>
        <w:t>Reconstrucción</w:t>
      </w:r>
      <w:r>
        <w:rPr>
          <w:spacing w:val="-16"/>
        </w:rPr>
        <w:t> </w:t>
      </w:r>
      <w:r>
        <w:rPr/>
        <w:t>del</w:t>
      </w:r>
      <w:r>
        <w:rPr>
          <w:spacing w:val="-12"/>
        </w:rPr>
        <w:t> </w:t>
      </w:r>
      <w:r>
        <w:rPr/>
        <w:t>Desastre.</w:t>
      </w:r>
      <w:r>
        <w:rPr>
          <w:spacing w:val="-8"/>
        </w:rPr>
        <w:t> </w:t>
      </w:r>
      <w:r>
        <w:rPr/>
        <w:t>Plaza</w:t>
      </w:r>
      <w:r>
        <w:rPr>
          <w:spacing w:val="-16"/>
        </w:rPr>
        <w:t> </w:t>
      </w:r>
      <w:r>
        <w:rPr/>
        <w:t>y</w:t>
      </w:r>
      <w:r>
        <w:rPr>
          <w:spacing w:val="-16"/>
        </w:rPr>
        <w:t> </w:t>
      </w:r>
      <w:r>
        <w:rPr/>
        <w:t>Valdés Editores. México. 502</w:t>
      </w:r>
      <w:r>
        <w:rPr>
          <w:spacing w:val="-11"/>
        </w:rPr>
        <w:t> </w:t>
      </w:r>
      <w:r>
        <w:rPr/>
        <w:t>p.</w:t>
      </w:r>
    </w:p>
    <w:p>
      <w:pPr>
        <w:pStyle w:val="BodyText"/>
      </w:pPr>
    </w:p>
    <w:p>
      <w:pPr>
        <w:pStyle w:val="BodyText"/>
        <w:spacing w:line="360" w:lineRule="auto" w:before="144"/>
        <w:ind w:left="119" w:right="963"/>
      </w:pPr>
      <w:r>
        <w:rPr/>
        <w:t>CAMPOS, A., 1987. Procesos del ciclo hidrológico. Universidad de san Luis Potosí. Editorial Universitaria Potosina. p. 2-15.</w:t>
      </w:r>
    </w:p>
    <w:p>
      <w:pPr>
        <w:spacing w:after="0" w:line="360" w:lineRule="auto"/>
        <w:sectPr>
          <w:pgSz w:w="12240" w:h="15840"/>
          <w:pgMar w:header="0" w:footer="971" w:top="1360" w:bottom="1220" w:left="1580" w:right="1500"/>
        </w:sectPr>
      </w:pPr>
    </w:p>
    <w:p>
      <w:pPr>
        <w:pStyle w:val="BodyText"/>
        <w:spacing w:before="7"/>
        <w:rPr>
          <w:sz w:val="22"/>
        </w:rPr>
      </w:pPr>
    </w:p>
    <w:p>
      <w:pPr>
        <w:pStyle w:val="BodyText"/>
        <w:spacing w:line="360" w:lineRule="auto" w:before="69"/>
        <w:ind w:left="119" w:right="115"/>
        <w:jc w:val="both"/>
      </w:pPr>
      <w:r>
        <w:rPr/>
        <w:t>CANTOS, J., 1999. “Síntesis de los riesgos climáticos que afectan al espacio europeo”. Investigaciones geográficas, nº 22, pp. 69-78 Universidad de Alicante. Instituto Universitario de Geografía.</w:t>
      </w:r>
    </w:p>
    <w:p>
      <w:pPr>
        <w:pStyle w:val="BodyText"/>
        <w:spacing w:before="5"/>
      </w:pPr>
    </w:p>
    <w:p>
      <w:pPr>
        <w:pStyle w:val="BodyText"/>
        <w:spacing w:line="276" w:lineRule="auto"/>
        <w:ind w:left="119" w:right="116"/>
        <w:jc w:val="both"/>
        <w:rPr>
          <w:i/>
        </w:rPr>
      </w:pPr>
      <w:r>
        <w:rPr/>
        <w:t>Cardona, Omar. (2001). La necesidad de repensar de manera holística los conceptos de vulnerabilidad y riesgo: “Una crítica y una revisión necesaria para la Gestión”. [versión electrónica]. Ponencia para International Work-Conference on Vulnerability in Disaster Theory and Practice, 29 y 30 de junio de 2001, Disaster Studies of Wageningen University and Research Centre, Wageningen, Holanda. Consultado el 7 de noviembre de 2006 en: </w:t>
      </w:r>
      <w:hyperlink r:id="rId75">
        <w:r>
          <w:rPr>
            <w:i/>
          </w:rPr>
          <w:t>http://www.desenredando.org/public/articulos/2001/repvuln/index.html</w:t>
        </w:r>
      </w:hyperlink>
    </w:p>
    <w:p>
      <w:pPr>
        <w:pStyle w:val="BodyText"/>
        <w:spacing w:before="7"/>
        <w:rPr>
          <w:i/>
        </w:rPr>
      </w:pPr>
    </w:p>
    <w:p>
      <w:pPr>
        <w:pStyle w:val="BodyText"/>
        <w:spacing w:line="360" w:lineRule="auto" w:before="1"/>
        <w:ind w:left="119" w:right="119"/>
        <w:jc w:val="both"/>
      </w:pPr>
      <w:r>
        <w:rPr/>
        <w:t>CARDONA A., 2005, Indicadores de riesgo de desastre y gestión de riesgos. Programa para América Latina y el Caribe, Banco Interamericano de Desarrollo, Departamento de Desarrollo Sostenible, Washington, D. C. p: 54</w:t>
      </w:r>
    </w:p>
    <w:p>
      <w:pPr>
        <w:pStyle w:val="BodyText"/>
      </w:pPr>
    </w:p>
    <w:p>
      <w:pPr>
        <w:pStyle w:val="BodyText"/>
      </w:pPr>
    </w:p>
    <w:p>
      <w:pPr>
        <w:pStyle w:val="BodyText"/>
        <w:spacing w:line="276" w:lineRule="auto" w:before="147"/>
        <w:ind w:left="119" w:right="119"/>
        <w:jc w:val="both"/>
      </w:pPr>
      <w:r>
        <w:rPr/>
        <w:t>Cardona A. Omar Darío (2005), Indicadores de riesgo de desastre y gestión de riesgos. Programa para América Latina y el Caribe, Banco Interamericano de Desarrollo, Departamento de Desarrollo Sostenible, Washington, D. C. p: 54</w:t>
      </w:r>
    </w:p>
    <w:p>
      <w:pPr>
        <w:pStyle w:val="BodyText"/>
      </w:pPr>
    </w:p>
    <w:p>
      <w:pPr>
        <w:pStyle w:val="BodyText"/>
      </w:pPr>
    </w:p>
    <w:p>
      <w:pPr>
        <w:pStyle w:val="BodyText"/>
        <w:spacing w:line="360" w:lineRule="auto" w:before="144"/>
        <w:ind w:left="119" w:right="139"/>
        <w:jc w:val="both"/>
      </w:pPr>
      <w:r>
        <w:rPr/>
        <w:t>CARDONA A., 1993. Evaluación de la amenaza, la vulnerabilidad y el riesgo. In Los desastres no son naturales. Colombia, La Red, p. 51 –  74.</w:t>
      </w:r>
    </w:p>
    <w:p>
      <w:pPr>
        <w:pStyle w:val="BodyText"/>
      </w:pPr>
    </w:p>
    <w:p>
      <w:pPr>
        <w:pStyle w:val="BodyText"/>
        <w:spacing w:line="360" w:lineRule="auto" w:before="144"/>
        <w:ind w:left="119" w:right="116"/>
        <w:jc w:val="both"/>
      </w:pPr>
      <w:r>
        <w:rPr/>
        <w:t>CARDONA, O., 2001. La necesidad de repensar de manera holística los</w:t>
      </w:r>
      <w:r>
        <w:rPr>
          <w:spacing w:val="-45"/>
        </w:rPr>
        <w:t> </w:t>
      </w:r>
      <w:r>
        <w:rPr/>
        <w:t>conceptos de vulnerabilidad y riesgo: “Una crítica y una revisión necesaria para la Gestión”. [Versión electrónica]. Ponencia para: International Work-Conference on Vulnerability in Disaster Theory and Practice, 29 y 30 de junio de 2001, Disaster Studies of Wageningen University and Research Centre, Wageningen, Holanda. Consultado el 7 de noviembre de 2006 en: </w:t>
      </w:r>
      <w:hyperlink r:id="rId75">
        <w:r>
          <w:rPr/>
          <w:t>http://www.desenredando.org/public/articulos/2001/repvuln/index.html</w:t>
        </w:r>
      </w:hyperlink>
    </w:p>
    <w:p>
      <w:pPr>
        <w:spacing w:after="0" w:line="360" w:lineRule="auto"/>
        <w:jc w:val="both"/>
        <w:sectPr>
          <w:pgSz w:w="12240" w:h="15840"/>
          <w:pgMar w:header="0" w:footer="971" w:top="1500" w:bottom="1220" w:left="1580" w:right="1580"/>
        </w:sectPr>
      </w:pPr>
    </w:p>
    <w:p>
      <w:pPr>
        <w:pStyle w:val="BodyText"/>
        <w:spacing w:line="360" w:lineRule="auto" w:before="52"/>
        <w:ind w:left="119" w:right="113"/>
        <w:jc w:val="both"/>
      </w:pPr>
      <w:r>
        <w:rPr/>
        <w:t>CENAPRED (Centro Nacional de Prevención de Desastres), 2006. Elaboración de mapas de riesgo por inundaciones y avenidas súbitas en zonas rurales, con arrastre de sedimentos, Coordinación de investigación, Área de riesgos hidrometeorológicos, México.</w:t>
      </w:r>
    </w:p>
    <w:p>
      <w:pPr>
        <w:pStyle w:val="BodyText"/>
      </w:pPr>
    </w:p>
    <w:p>
      <w:pPr>
        <w:pStyle w:val="BodyText"/>
        <w:spacing w:line="360" w:lineRule="auto" w:before="144"/>
        <w:ind w:left="119" w:right="118"/>
        <w:jc w:val="both"/>
      </w:pPr>
      <w:r>
        <w:rPr/>
        <w:t>CIAT (Centro Internacional de Agricultura Tropical), UNA (Universidad Nacional Agraria), UNAG – Matagalpa (Unión Nacional de Agricultores y Ganaderos), 1997. Fundamentos básicos de cuencas hidrográficas: curso taller corto. Matagalpa, NI, CIAT. 47 p.</w:t>
      </w:r>
    </w:p>
    <w:p>
      <w:pPr>
        <w:pStyle w:val="BodyText"/>
        <w:spacing w:line="360" w:lineRule="auto" w:before="8"/>
        <w:ind w:left="119" w:right="124"/>
        <w:jc w:val="both"/>
      </w:pPr>
      <w:r>
        <w:rPr/>
        <w:t>CIDIAT (Centro Interamericano de Desarrollo Integral de Aguas y Tierras, VE) / MARNR (Ministerio del Ambiente y de los Recursos Naturales Renovables, VE), 1984. Diagnóstico físico conservacionista en cuencas hidrográficas. Mérida, VE, CIDIAT. 63 p.</w:t>
      </w:r>
    </w:p>
    <w:p>
      <w:pPr>
        <w:pStyle w:val="BodyText"/>
      </w:pPr>
    </w:p>
    <w:p>
      <w:pPr>
        <w:pStyle w:val="BodyText"/>
        <w:spacing w:line="360" w:lineRule="auto" w:before="144"/>
        <w:ind w:left="119" w:right="137"/>
        <w:jc w:val="both"/>
      </w:pPr>
      <w:r>
        <w:rPr/>
        <w:t>CNA (Comisión Nacional del Agua), 1993. “Manual de Ingeniería de Ríos”, Capítulo 3, estudio hidrológico para obras de protección, Subdirección General de Administración del Agua, Gerencia de Aguas Superficiales e Ingeniería de Ríos, México.</w:t>
      </w:r>
    </w:p>
    <w:p>
      <w:pPr>
        <w:pStyle w:val="BodyText"/>
      </w:pPr>
    </w:p>
    <w:p>
      <w:pPr>
        <w:pStyle w:val="BodyText"/>
        <w:spacing w:line="360" w:lineRule="auto" w:before="139"/>
        <w:ind w:left="119" w:right="509"/>
      </w:pPr>
      <w:r>
        <w:rPr/>
        <w:t>COESPO, 2010, (</w:t>
      </w:r>
      <w:hyperlink r:id="rId76">
        <w:r>
          <w:rPr/>
          <w:t>Consejo Estatal de Población),</w:t>
        </w:r>
      </w:hyperlink>
      <w:r>
        <w:rPr/>
        <w:t> Centro de Documentación del Consejo Estatal de Población .</w:t>
      </w:r>
    </w:p>
    <w:p>
      <w:pPr>
        <w:pStyle w:val="BodyText"/>
      </w:pPr>
    </w:p>
    <w:p>
      <w:pPr>
        <w:pStyle w:val="BodyText"/>
        <w:spacing w:line="360" w:lineRule="auto" w:before="144"/>
        <w:ind w:left="119" w:right="116"/>
        <w:jc w:val="both"/>
      </w:pPr>
      <w:r>
        <w:rPr/>
        <w:t>COTLER, Helena y Priego S. Ángel (2004) “Análisis del paisaje como base para el manejo integrado de cuencas. El Caso de la Cuenca Lerma-Chapala”. En:   Cotler,</w:t>
      </w:r>
    </w:p>
    <w:p>
      <w:pPr>
        <w:spacing w:line="360" w:lineRule="auto" w:before="3"/>
        <w:ind w:left="119" w:right="133" w:firstLine="0"/>
        <w:jc w:val="both"/>
        <w:rPr>
          <w:sz w:val="24"/>
        </w:rPr>
      </w:pPr>
      <w:r>
        <w:rPr>
          <w:sz w:val="24"/>
        </w:rPr>
        <w:t>H. (compiladora) </w:t>
      </w:r>
      <w:r>
        <w:rPr>
          <w:i/>
          <w:sz w:val="24"/>
        </w:rPr>
        <w:t>El Manejo Integral de Cuencas en México. Estudios y reflexiones </w:t>
      </w:r>
      <w:r>
        <w:rPr>
          <w:i/>
          <w:sz w:val="24"/>
        </w:rPr>
        <w:t>para orientar la política ambiental</w:t>
      </w:r>
      <w:r>
        <w:rPr>
          <w:sz w:val="24"/>
        </w:rPr>
        <w:t>. SEMARNAT–INE  Pp 63 – 74.</w:t>
      </w:r>
    </w:p>
    <w:p>
      <w:pPr>
        <w:pStyle w:val="BodyText"/>
      </w:pPr>
    </w:p>
    <w:p>
      <w:pPr>
        <w:pStyle w:val="BodyText"/>
        <w:spacing w:line="360" w:lineRule="auto" w:before="145"/>
        <w:ind w:left="119" w:right="119"/>
        <w:jc w:val="both"/>
      </w:pPr>
      <w:r>
        <w:rPr/>
        <w:t>D.O.F. (Diario Oficial de la Federación), 1993. Ley General de Asentamientos Humanos, publicada el 21 de julio de 1993.</w:t>
      </w:r>
    </w:p>
    <w:p>
      <w:pPr>
        <w:spacing w:after="0" w:line="360" w:lineRule="auto"/>
        <w:jc w:val="both"/>
        <w:sectPr>
          <w:pgSz w:w="12240" w:h="15840"/>
          <w:pgMar w:header="0" w:footer="971" w:top="1360" w:bottom="1220" w:left="1580" w:right="1580"/>
        </w:sectPr>
      </w:pPr>
    </w:p>
    <w:p>
      <w:pPr>
        <w:pStyle w:val="BodyText"/>
        <w:spacing w:line="362" w:lineRule="auto" w:before="52"/>
        <w:ind w:left="119" w:right="121"/>
        <w:jc w:val="both"/>
      </w:pPr>
      <w:r>
        <w:rPr/>
        <w:t>D.O.F. (Diario Oficial de la Federación), 2006. Declaratoria de Desastre Natural para efectos de las Reglas de Operación del Fondo de Desastres Naturales (FONDEN).</w:t>
      </w:r>
    </w:p>
    <w:p>
      <w:pPr>
        <w:pStyle w:val="BodyText"/>
        <w:spacing w:before="10"/>
        <w:rPr>
          <w:sz w:val="35"/>
        </w:rPr>
      </w:pPr>
    </w:p>
    <w:p>
      <w:pPr>
        <w:pStyle w:val="BodyText"/>
        <w:spacing w:line="360" w:lineRule="auto"/>
        <w:ind w:left="119" w:right="127"/>
        <w:jc w:val="both"/>
      </w:pPr>
      <w:r>
        <w:rPr/>
        <w:t>DEHAYS ROCHA, J., 2005. Riesgo y Desastre en zonas urbanas: un tema impostergable en la agenda de la investigación y la gestión. Comisión Económica para América Latina y el Caribe (CEPAL), Elementos Conceptuales para la Prevención y reducción de Daños, Organización de las Naciones Unidas.</w:t>
      </w:r>
    </w:p>
    <w:p>
      <w:pPr>
        <w:pStyle w:val="BodyText"/>
      </w:pPr>
    </w:p>
    <w:p>
      <w:pPr>
        <w:pStyle w:val="BodyText"/>
        <w:spacing w:line="360" w:lineRule="auto" w:before="145"/>
        <w:ind w:left="119" w:right="125"/>
        <w:jc w:val="both"/>
      </w:pPr>
      <w:r>
        <w:rPr/>
        <w:t>DÍAZ-DELGADO, C. y Vega, G., 2001. “Análisis de gran visión de las inundaciones en la Cuenca Alta del Río Lerma: caso de la Subcuenca del río Tejalpa, Estado de México, México” en Ingeniería Hidráulica en México XVI (1) 73-86.</w:t>
      </w:r>
    </w:p>
    <w:p>
      <w:pPr>
        <w:pStyle w:val="BodyText"/>
      </w:pPr>
    </w:p>
    <w:p>
      <w:pPr>
        <w:pStyle w:val="BodyText"/>
        <w:spacing w:line="360" w:lineRule="auto" w:before="144"/>
        <w:ind w:left="119" w:right="137"/>
        <w:jc w:val="both"/>
      </w:pPr>
      <w:r>
        <w:rPr/>
        <w:t>DOMÍNGUEZ E., 2000. Protocolo para la modelación matemática de procesos hidrológicos en Meteorología Colombiana, Bogotá, Colombia.</w:t>
      </w:r>
    </w:p>
    <w:p>
      <w:pPr>
        <w:pStyle w:val="BodyText"/>
      </w:pPr>
    </w:p>
    <w:p>
      <w:pPr>
        <w:pStyle w:val="BodyText"/>
        <w:spacing w:line="360" w:lineRule="auto" w:before="140"/>
        <w:ind w:left="119" w:right="116"/>
        <w:jc w:val="both"/>
      </w:pPr>
      <w:r>
        <w:rPr/>
        <w:t>DURAND PRADO, J. Huaraz, PE. 1995. Planificación urbana y mitigación de desastres, Sistema Nacional de Defensa Civil, Instituto Geo-físico del Perú</w:t>
      </w:r>
      <w:r>
        <w:rPr>
          <w:spacing w:val="-41"/>
        </w:rPr>
        <w:t> </w:t>
      </w:r>
      <w:r>
        <w:rPr/>
        <w:t>(I.G.P.), Perú.</w:t>
      </w:r>
    </w:p>
    <w:p>
      <w:pPr>
        <w:pStyle w:val="BodyText"/>
      </w:pPr>
    </w:p>
    <w:p>
      <w:pPr>
        <w:spacing w:line="362" w:lineRule="auto" w:before="140"/>
        <w:ind w:left="119" w:right="116" w:firstLine="0"/>
        <w:jc w:val="both"/>
        <w:rPr>
          <w:sz w:val="24"/>
        </w:rPr>
      </w:pPr>
      <w:r>
        <w:rPr>
          <w:sz w:val="24"/>
        </w:rPr>
        <w:t>DYNES,</w:t>
      </w:r>
      <w:r>
        <w:rPr>
          <w:spacing w:val="-7"/>
          <w:sz w:val="24"/>
        </w:rPr>
        <w:t> </w:t>
      </w:r>
      <w:r>
        <w:rPr>
          <w:sz w:val="24"/>
        </w:rPr>
        <w:t>DE</w:t>
      </w:r>
      <w:r>
        <w:rPr>
          <w:spacing w:val="-10"/>
          <w:sz w:val="24"/>
        </w:rPr>
        <w:t> </w:t>
      </w:r>
      <w:r>
        <w:rPr>
          <w:sz w:val="24"/>
        </w:rPr>
        <w:t>MARCHI</w:t>
      </w:r>
      <w:r>
        <w:rPr>
          <w:spacing w:val="-8"/>
          <w:sz w:val="24"/>
        </w:rPr>
        <w:t> </w:t>
      </w:r>
      <w:r>
        <w:rPr>
          <w:sz w:val="24"/>
        </w:rPr>
        <w:t>Y</w:t>
      </w:r>
      <w:r>
        <w:rPr>
          <w:spacing w:val="-9"/>
          <w:sz w:val="24"/>
        </w:rPr>
        <w:t> </w:t>
      </w:r>
      <w:r>
        <w:rPr>
          <w:sz w:val="24"/>
        </w:rPr>
        <w:t>PELANDA</w:t>
      </w:r>
      <w:r>
        <w:rPr>
          <w:spacing w:val="-14"/>
          <w:sz w:val="24"/>
        </w:rPr>
        <w:t> </w:t>
      </w:r>
      <w:r>
        <w:rPr>
          <w:sz w:val="24"/>
        </w:rPr>
        <w:t>(eds.)</w:t>
      </w:r>
      <w:r>
        <w:rPr>
          <w:spacing w:val="-7"/>
          <w:sz w:val="24"/>
        </w:rPr>
        <w:t> </w:t>
      </w:r>
      <w:r>
        <w:rPr>
          <w:i/>
          <w:sz w:val="24"/>
        </w:rPr>
        <w:t>Sociology</w:t>
      </w:r>
      <w:r>
        <w:rPr>
          <w:i/>
          <w:spacing w:val="-13"/>
          <w:sz w:val="24"/>
        </w:rPr>
        <w:t> </w:t>
      </w:r>
      <w:r>
        <w:rPr>
          <w:i/>
          <w:sz w:val="24"/>
        </w:rPr>
        <w:t>of</w:t>
      </w:r>
      <w:r>
        <w:rPr>
          <w:i/>
          <w:spacing w:val="-12"/>
          <w:sz w:val="24"/>
        </w:rPr>
        <w:t> </w:t>
      </w:r>
      <w:r>
        <w:rPr>
          <w:i/>
          <w:sz w:val="24"/>
        </w:rPr>
        <w:t>Disaster,</w:t>
      </w:r>
      <w:r>
        <w:rPr>
          <w:i/>
          <w:spacing w:val="-9"/>
          <w:sz w:val="24"/>
        </w:rPr>
        <w:t> </w:t>
      </w:r>
      <w:r>
        <w:rPr>
          <w:sz w:val="24"/>
        </w:rPr>
        <w:t>Franco</w:t>
      </w:r>
      <w:r>
        <w:rPr>
          <w:spacing w:val="-12"/>
          <w:sz w:val="24"/>
        </w:rPr>
        <w:t> </w:t>
      </w:r>
      <w:r>
        <w:rPr>
          <w:sz w:val="24"/>
        </w:rPr>
        <w:t>Angeli</w:t>
      </w:r>
      <w:r>
        <w:rPr>
          <w:spacing w:val="-9"/>
          <w:sz w:val="24"/>
        </w:rPr>
        <w:t> </w:t>
      </w:r>
      <w:r>
        <w:rPr>
          <w:sz w:val="24"/>
        </w:rPr>
        <w:t>Libri, Milano, 1987, pp.</w:t>
      </w:r>
      <w:r>
        <w:rPr>
          <w:spacing w:val="-9"/>
          <w:sz w:val="24"/>
        </w:rPr>
        <w:t> </w:t>
      </w:r>
      <w:r>
        <w:rPr>
          <w:sz w:val="24"/>
        </w:rPr>
        <w:t>13-30.</w:t>
      </w:r>
    </w:p>
    <w:p>
      <w:pPr>
        <w:pStyle w:val="BodyText"/>
        <w:spacing w:before="10"/>
        <w:rPr>
          <w:sz w:val="35"/>
        </w:rPr>
      </w:pPr>
    </w:p>
    <w:p>
      <w:pPr>
        <w:pStyle w:val="BodyText"/>
        <w:ind w:left="119"/>
        <w:jc w:val="both"/>
        <w:rPr>
          <w:i/>
        </w:rPr>
      </w:pPr>
      <w:r>
        <w:rPr/>
        <w:t>EASTMAN, J. R., KYEM, P. A. K., TOLEDANO, J., AND JIN, W., 1993, </w:t>
      </w:r>
      <w:r>
        <w:rPr>
          <w:i/>
        </w:rPr>
        <w:t>GIS and</w:t>
      </w:r>
    </w:p>
    <w:p>
      <w:pPr>
        <w:spacing w:before="132"/>
        <w:ind w:left="119" w:right="0" w:firstLine="0"/>
        <w:jc w:val="both"/>
        <w:rPr>
          <w:b/>
          <w:sz w:val="24"/>
        </w:rPr>
      </w:pPr>
      <w:r>
        <w:rPr>
          <w:i/>
          <w:sz w:val="24"/>
        </w:rPr>
        <w:t>decision making. Explorations in  Geographic Information System T echnology</w:t>
      </w:r>
      <w:r>
        <w:rPr>
          <w:sz w:val="24"/>
        </w:rPr>
        <w:t>,    </w:t>
      </w:r>
      <w:r>
        <w:rPr>
          <w:b/>
          <w:sz w:val="24"/>
        </w:rPr>
        <w:t>4</w:t>
      </w:r>
    </w:p>
    <w:p>
      <w:pPr>
        <w:pStyle w:val="BodyText"/>
        <w:spacing w:before="141"/>
        <w:ind w:left="119"/>
        <w:jc w:val="both"/>
      </w:pPr>
      <w:r>
        <w:rPr/>
        <w:t>(Geneva: UNITAR) (single volume).</w:t>
      </w:r>
    </w:p>
    <w:p>
      <w:pPr>
        <w:pStyle w:val="BodyText"/>
      </w:pPr>
    </w:p>
    <w:p>
      <w:pPr>
        <w:pStyle w:val="BodyText"/>
        <w:spacing w:before="3"/>
      </w:pPr>
    </w:p>
    <w:p>
      <w:pPr>
        <w:pStyle w:val="BodyText"/>
        <w:spacing w:line="360" w:lineRule="auto"/>
        <w:ind w:left="119" w:right="116"/>
        <w:jc w:val="both"/>
      </w:pPr>
      <w:r>
        <w:rPr/>
        <w:t>ENGEBAK, P. 1999. Vulnerabilidad social: desastres, vulnerabilidad social y derechos humanos. </w:t>
      </w:r>
      <w:r>
        <w:rPr>
          <w:i/>
        </w:rPr>
        <w:t>In </w:t>
      </w:r>
      <w:r>
        <w:rPr/>
        <w:t>Uribe, A., Franklin, H. Eds. Memorias del taller sobre vulnerabilidad ecológica y social. Memoria. Estocolmo, SE. p. 141 – 143.</w:t>
      </w:r>
    </w:p>
    <w:p>
      <w:pPr>
        <w:spacing w:after="0" w:line="360" w:lineRule="auto"/>
        <w:jc w:val="both"/>
        <w:sectPr>
          <w:pgSz w:w="12240" w:h="15840"/>
          <w:pgMar w:header="0" w:footer="971" w:top="1360" w:bottom="1220" w:left="1580" w:right="1580"/>
        </w:sectPr>
      </w:pPr>
    </w:p>
    <w:p>
      <w:pPr>
        <w:pStyle w:val="BodyText"/>
        <w:spacing w:line="362" w:lineRule="auto" w:before="52"/>
        <w:ind w:left="119" w:right="124"/>
        <w:jc w:val="both"/>
      </w:pPr>
      <w:r>
        <w:rPr/>
        <w:t>FAO (1992).Manual de Campo para la ordenación de cuencas hidrográficas. Estudio y planificación de Cuencas hidrológicas.</w:t>
      </w:r>
    </w:p>
    <w:p>
      <w:pPr>
        <w:pStyle w:val="BodyText"/>
        <w:spacing w:before="11"/>
        <w:rPr>
          <w:sz w:val="35"/>
        </w:rPr>
      </w:pPr>
    </w:p>
    <w:p>
      <w:pPr>
        <w:pStyle w:val="BodyText"/>
        <w:spacing w:line="360" w:lineRule="auto"/>
        <w:ind w:left="119" w:right="113"/>
        <w:jc w:val="both"/>
      </w:pPr>
      <w:r>
        <w:rPr/>
        <w:t>Franco-Maass S, 2009, Aplicación de las técnicas de evaluación multicriterio para la caracterización agroecológica del territorio, Acercamientos conceptuales y metodológicos para el estudio de la realidad agropecuaria y rural de México, ICAR, UAEM, Toluca, pp. 13-51.</w:t>
      </w:r>
    </w:p>
    <w:p>
      <w:pPr>
        <w:pStyle w:val="BodyText"/>
      </w:pPr>
    </w:p>
    <w:p>
      <w:pPr>
        <w:pStyle w:val="BodyText"/>
        <w:spacing w:line="364" w:lineRule="auto" w:before="139"/>
        <w:ind w:left="119" w:right="126"/>
        <w:jc w:val="both"/>
      </w:pPr>
      <w:r>
        <w:rPr/>
        <w:t>GARCÍA, A. 1993, “Enfoques teóricos para el estudio histórico de los desastres naturales”, pp. 128-140.</w:t>
      </w:r>
    </w:p>
    <w:p>
      <w:pPr>
        <w:pStyle w:val="BodyText"/>
        <w:spacing w:before="7"/>
        <w:rPr>
          <w:sz w:val="35"/>
        </w:rPr>
      </w:pPr>
    </w:p>
    <w:p>
      <w:pPr>
        <w:pStyle w:val="BodyText"/>
        <w:spacing w:line="360" w:lineRule="auto"/>
        <w:ind w:left="119" w:right="70"/>
      </w:pPr>
      <w:r>
        <w:rPr/>
        <w:t>Garnica Peña, Ricardo JavierAlcántara Ayala, Irasema. Riesgos por inundación asociados a eventos de precipitación extraordinaria en el curso bajo del río Tecolutla, Veracruz Investigaciones Geográficas (Mx) [en línea] 2004, (diciembre) : [fecha de consulta: 15 de abril de 2012] Disponible en:</w:t>
      </w:r>
    </w:p>
    <w:p>
      <w:pPr>
        <w:pStyle w:val="BodyText"/>
        <w:spacing w:line="360" w:lineRule="auto" w:before="2"/>
        <w:ind w:left="119" w:right="160"/>
        <w:jc w:val="both"/>
      </w:pPr>
      <w:hyperlink r:id="rId77">
        <w:r>
          <w:rPr/>
          <w:t>&lt;http://redalyc.uaemex.mx/redalyc/src/inicio/ArtPdfRed.jsp?iCve=56905503&gt;</w:t>
        </w:r>
      </w:hyperlink>
      <w:r>
        <w:rPr/>
        <w:t> ISSN 0188-4611</w:t>
      </w:r>
    </w:p>
    <w:p>
      <w:pPr>
        <w:pStyle w:val="BodyText"/>
      </w:pPr>
    </w:p>
    <w:p>
      <w:pPr>
        <w:spacing w:line="360" w:lineRule="auto" w:before="144"/>
        <w:ind w:left="119" w:right="550" w:firstLine="0"/>
        <w:jc w:val="left"/>
        <w:rPr>
          <w:sz w:val="24"/>
        </w:rPr>
      </w:pPr>
      <w:r>
        <w:rPr>
          <w:sz w:val="24"/>
        </w:rPr>
        <w:t>Gómez Orea, D. 2002. </w:t>
      </w:r>
      <w:r>
        <w:rPr>
          <w:i/>
          <w:sz w:val="24"/>
        </w:rPr>
        <w:t>Ordenación territorial. </w:t>
      </w:r>
      <w:r>
        <w:rPr>
          <w:sz w:val="24"/>
        </w:rPr>
        <w:t>Ediciones Mundi-Prensa/Editorial Agrícola Española.Madrid, España. 704 p.</w:t>
      </w:r>
    </w:p>
    <w:p>
      <w:pPr>
        <w:pStyle w:val="BodyText"/>
        <w:spacing w:before="3"/>
        <w:rPr>
          <w:sz w:val="33"/>
        </w:rPr>
      </w:pPr>
    </w:p>
    <w:p>
      <w:pPr>
        <w:spacing w:line="360" w:lineRule="auto" w:before="0"/>
        <w:ind w:left="119" w:right="128" w:firstLine="0"/>
        <w:jc w:val="both"/>
        <w:rPr>
          <w:sz w:val="24"/>
        </w:rPr>
      </w:pPr>
      <w:r>
        <w:rPr>
          <w:sz w:val="24"/>
        </w:rPr>
        <w:t>GEM. (2012). </w:t>
      </w:r>
      <w:r>
        <w:rPr>
          <w:i/>
          <w:sz w:val="24"/>
        </w:rPr>
        <w:t>Programa Anual de Protección Civil para la Temporada de Lluvias. </w:t>
      </w:r>
      <w:r>
        <w:rPr>
          <w:sz w:val="24"/>
        </w:rPr>
        <w:t>Toluca, Estado de México: Secretaría de Seguridad Ciudadana (SSC), Protección Civil Estatal, pp. 1-32.</w:t>
      </w:r>
    </w:p>
    <w:p>
      <w:pPr>
        <w:pStyle w:val="BodyText"/>
      </w:pPr>
    </w:p>
    <w:p>
      <w:pPr>
        <w:pStyle w:val="BodyText"/>
        <w:spacing w:before="6"/>
        <w:rPr>
          <w:sz w:val="20"/>
        </w:rPr>
      </w:pPr>
    </w:p>
    <w:p>
      <w:pPr>
        <w:spacing w:line="360" w:lineRule="auto" w:before="0"/>
        <w:ind w:left="119" w:right="122" w:firstLine="0"/>
        <w:jc w:val="both"/>
        <w:rPr>
          <w:sz w:val="24"/>
        </w:rPr>
      </w:pPr>
      <w:r>
        <w:rPr>
          <w:sz w:val="24"/>
        </w:rPr>
        <w:t>Wisner,</w:t>
      </w:r>
      <w:r>
        <w:rPr>
          <w:spacing w:val="-18"/>
          <w:sz w:val="24"/>
        </w:rPr>
        <w:t> </w:t>
      </w:r>
      <w:r>
        <w:rPr>
          <w:sz w:val="24"/>
        </w:rPr>
        <w:t>B.,</w:t>
      </w:r>
      <w:r>
        <w:rPr>
          <w:spacing w:val="-18"/>
          <w:sz w:val="24"/>
        </w:rPr>
        <w:t> </w:t>
      </w:r>
      <w:r>
        <w:rPr>
          <w:sz w:val="24"/>
        </w:rPr>
        <w:t>P.</w:t>
      </w:r>
      <w:r>
        <w:rPr>
          <w:spacing w:val="-18"/>
          <w:sz w:val="24"/>
        </w:rPr>
        <w:t> </w:t>
      </w:r>
      <w:r>
        <w:rPr>
          <w:sz w:val="24"/>
        </w:rPr>
        <w:t>Blaikie,</w:t>
      </w:r>
      <w:r>
        <w:rPr>
          <w:spacing w:val="-22"/>
          <w:sz w:val="24"/>
        </w:rPr>
        <w:t> </w:t>
      </w:r>
      <w:r>
        <w:rPr>
          <w:sz w:val="24"/>
        </w:rPr>
        <w:t>T.</w:t>
      </w:r>
      <w:r>
        <w:rPr>
          <w:spacing w:val="-18"/>
          <w:sz w:val="24"/>
        </w:rPr>
        <w:t> </w:t>
      </w:r>
      <w:r>
        <w:rPr>
          <w:sz w:val="24"/>
        </w:rPr>
        <w:t>Cannon</w:t>
      </w:r>
      <w:r>
        <w:rPr>
          <w:spacing w:val="-21"/>
          <w:sz w:val="24"/>
        </w:rPr>
        <w:t> </w:t>
      </w:r>
      <w:r>
        <w:rPr>
          <w:sz w:val="24"/>
        </w:rPr>
        <w:t>y</w:t>
      </w:r>
      <w:r>
        <w:rPr>
          <w:spacing w:val="-18"/>
          <w:sz w:val="24"/>
        </w:rPr>
        <w:t> </w:t>
      </w:r>
      <w:r>
        <w:rPr>
          <w:sz w:val="24"/>
        </w:rPr>
        <w:t>I.</w:t>
      </w:r>
      <w:r>
        <w:rPr>
          <w:spacing w:val="-21"/>
          <w:sz w:val="24"/>
        </w:rPr>
        <w:t> </w:t>
      </w:r>
      <w:r>
        <w:rPr>
          <w:sz w:val="24"/>
        </w:rPr>
        <w:t>Davis.</w:t>
      </w:r>
      <w:r>
        <w:rPr>
          <w:spacing w:val="-18"/>
          <w:sz w:val="24"/>
        </w:rPr>
        <w:t> </w:t>
      </w:r>
      <w:r>
        <w:rPr>
          <w:sz w:val="24"/>
        </w:rPr>
        <w:t>2003.</w:t>
      </w:r>
      <w:r>
        <w:rPr>
          <w:spacing w:val="-12"/>
          <w:sz w:val="24"/>
        </w:rPr>
        <w:t> </w:t>
      </w:r>
      <w:r>
        <w:rPr>
          <w:i/>
          <w:sz w:val="24"/>
        </w:rPr>
        <w:t>At</w:t>
      </w:r>
      <w:r>
        <w:rPr>
          <w:i/>
          <w:spacing w:val="-18"/>
          <w:sz w:val="24"/>
        </w:rPr>
        <w:t> </w:t>
      </w:r>
      <w:r>
        <w:rPr>
          <w:i/>
          <w:sz w:val="24"/>
        </w:rPr>
        <w:t>Risk:</w:t>
      </w:r>
      <w:r>
        <w:rPr>
          <w:i/>
          <w:spacing w:val="-18"/>
          <w:sz w:val="24"/>
        </w:rPr>
        <w:t> </w:t>
      </w:r>
      <w:r>
        <w:rPr>
          <w:i/>
          <w:sz w:val="24"/>
        </w:rPr>
        <w:t>Natural</w:t>
      </w:r>
      <w:r>
        <w:rPr>
          <w:i/>
          <w:spacing w:val="-19"/>
          <w:sz w:val="24"/>
        </w:rPr>
        <w:t> </w:t>
      </w:r>
      <w:r>
        <w:rPr>
          <w:i/>
          <w:sz w:val="24"/>
        </w:rPr>
        <w:t>Hazards,</w:t>
      </w:r>
      <w:r>
        <w:rPr>
          <w:i/>
          <w:spacing w:val="-18"/>
          <w:sz w:val="24"/>
        </w:rPr>
        <w:t> </w:t>
      </w:r>
      <w:r>
        <w:rPr>
          <w:i/>
          <w:sz w:val="24"/>
        </w:rPr>
        <w:t>People´s </w:t>
      </w:r>
      <w:r>
        <w:rPr>
          <w:i/>
          <w:sz w:val="24"/>
        </w:rPr>
        <w:t>Vulnerability and Disasters</w:t>
      </w:r>
      <w:r>
        <w:rPr>
          <w:sz w:val="24"/>
        </w:rPr>
        <w:t>. Londres:</w:t>
      </w:r>
      <w:r>
        <w:rPr>
          <w:spacing w:val="-19"/>
          <w:sz w:val="24"/>
        </w:rPr>
        <w:t> </w:t>
      </w:r>
      <w:r>
        <w:rPr>
          <w:sz w:val="24"/>
        </w:rPr>
        <w:t>Routledge.</w:t>
      </w:r>
    </w:p>
    <w:p>
      <w:pPr>
        <w:pStyle w:val="BodyText"/>
        <w:spacing w:before="8"/>
        <w:ind w:left="119"/>
        <w:jc w:val="both"/>
      </w:pPr>
      <w:r>
        <w:rPr/>
        <w:t>HEMPEL, C. G. (1966). Filosofía de la ciencia natural, Madrid, Alianza, 1972.</w:t>
      </w:r>
    </w:p>
    <w:p>
      <w:pPr>
        <w:spacing w:after="0"/>
        <w:jc w:val="both"/>
        <w:sectPr>
          <w:pgSz w:w="12240" w:h="15840"/>
          <w:pgMar w:header="0" w:footer="971" w:top="1360" w:bottom="1220" w:left="1580" w:right="1580"/>
        </w:sectPr>
      </w:pPr>
    </w:p>
    <w:p>
      <w:pPr>
        <w:spacing w:line="362" w:lineRule="auto" w:before="52"/>
        <w:ind w:left="119" w:right="331" w:firstLine="0"/>
        <w:jc w:val="left"/>
        <w:rPr>
          <w:sz w:val="24"/>
        </w:rPr>
      </w:pPr>
      <w:r>
        <w:rPr>
          <w:sz w:val="24"/>
        </w:rPr>
        <w:t>HENRY. P. 1920. "Catastrophe and Social Change: Based upon a Sociological Study of the Halifax Disaster". En: </w:t>
      </w:r>
      <w:r>
        <w:rPr>
          <w:i/>
          <w:sz w:val="24"/>
        </w:rPr>
        <w:t>Studies in History, Economics and Public Law</w:t>
      </w:r>
      <w:r>
        <w:rPr>
          <w:sz w:val="24"/>
        </w:rPr>
        <w:t>, vol. 94:1-152, Columbia University Press, New York.</w:t>
      </w:r>
    </w:p>
    <w:p>
      <w:pPr>
        <w:pStyle w:val="BodyText"/>
        <w:spacing w:before="10"/>
        <w:rPr>
          <w:sz w:val="35"/>
        </w:rPr>
      </w:pPr>
    </w:p>
    <w:p>
      <w:pPr>
        <w:pStyle w:val="BodyText"/>
        <w:spacing w:line="362" w:lineRule="auto"/>
        <w:ind w:left="119" w:right="140"/>
        <w:jc w:val="both"/>
      </w:pPr>
      <w:r>
        <w:rPr/>
        <w:t>INEGI (Instituto Nacional de Estadística Geografía e Informática) 2000. Conteo de Población y Vivienda.</w:t>
      </w:r>
    </w:p>
    <w:p>
      <w:pPr>
        <w:pStyle w:val="BodyText"/>
        <w:spacing w:before="10"/>
        <w:rPr>
          <w:sz w:val="35"/>
        </w:rPr>
      </w:pPr>
    </w:p>
    <w:p>
      <w:pPr>
        <w:pStyle w:val="BodyText"/>
        <w:spacing w:line="360" w:lineRule="auto" w:before="1"/>
        <w:ind w:left="119" w:right="140"/>
        <w:jc w:val="both"/>
      </w:pPr>
      <w:r>
        <w:rPr/>
        <w:t>INEGI (Instituto Nacional de Estadística Geografía e Informática) 2010. Conteo de Población y Vivienda.</w:t>
      </w:r>
    </w:p>
    <w:p>
      <w:pPr>
        <w:pStyle w:val="BodyText"/>
      </w:pPr>
    </w:p>
    <w:p>
      <w:pPr>
        <w:pStyle w:val="BodyText"/>
        <w:spacing w:line="360" w:lineRule="auto" w:before="145"/>
        <w:ind w:left="119" w:right="127"/>
        <w:jc w:val="both"/>
      </w:pPr>
      <w:r>
        <w:rPr/>
        <w:t>LAVELL, A., (1996). “Degradación ambiental, riesgo y desastre urbano. Problemas y conceptos: hacia la definición de una agenda de investigación”, en M. Fernández (comp.), Ciudades en riesgo. Degradación ambiental, riesgos urbanos y desastres en América Latina, La RED, Lima, pp. 21-60.</w:t>
      </w:r>
    </w:p>
    <w:p>
      <w:pPr>
        <w:pStyle w:val="BodyText"/>
      </w:pPr>
    </w:p>
    <w:p>
      <w:pPr>
        <w:pStyle w:val="ListParagraph"/>
        <w:numPr>
          <w:ilvl w:val="0"/>
          <w:numId w:val="25"/>
        </w:numPr>
        <w:tabs>
          <w:tab w:pos="202" w:val="left" w:leader="none"/>
          <w:tab w:pos="1862" w:val="left" w:leader="none"/>
        </w:tabs>
        <w:spacing w:line="362" w:lineRule="auto" w:before="139" w:after="0"/>
        <w:ind w:left="119" w:right="128" w:firstLine="0"/>
        <w:jc w:val="both"/>
        <w:rPr>
          <w:sz w:val="24"/>
        </w:rPr>
      </w:pPr>
      <w:r>
        <w:rPr>
          <w:w w:val="100"/>
          <w:sz w:val="24"/>
          <w:u w:val="single"/>
        </w:rPr>
        <w:t> </w:t>
      </w:r>
      <w:r>
        <w:rPr>
          <w:sz w:val="24"/>
          <w:u w:val="single"/>
        </w:rPr>
        <w:tab/>
      </w:r>
      <w:r>
        <w:rPr>
          <w:sz w:val="24"/>
        </w:rPr>
        <w:t>y MANUEL A. (2003): Gestión de riesgo, un </w:t>
      </w:r>
      <w:r>
        <w:rPr>
          <w:spacing w:val="16"/>
          <w:sz w:val="24"/>
        </w:rPr>
        <w:t> </w:t>
      </w:r>
      <w:r>
        <w:rPr>
          <w:sz w:val="24"/>
        </w:rPr>
        <w:t>enfoque</w:t>
      </w:r>
      <w:r>
        <w:rPr>
          <w:spacing w:val="10"/>
          <w:sz w:val="24"/>
        </w:rPr>
        <w:t> </w:t>
      </w:r>
      <w:r>
        <w:rPr>
          <w:sz w:val="24"/>
        </w:rPr>
        <w:t>prospectivo.</w:t>
      </w:r>
      <w:r>
        <w:rPr>
          <w:w w:val="100"/>
          <w:sz w:val="24"/>
        </w:rPr>
        <w:t> </w:t>
      </w:r>
      <w:r>
        <w:rPr>
          <w:sz w:val="24"/>
        </w:rPr>
        <w:t>Las Naciones Unidas y su respuesta ante el Mitch. 1ra Ed. Tegucigalpa, PNUD. Colección de Cuadernos Prospectiva. ISBN: 99926-662-8-5. 37</w:t>
      </w:r>
      <w:r>
        <w:rPr>
          <w:spacing w:val="-17"/>
          <w:sz w:val="24"/>
        </w:rPr>
        <w:t> </w:t>
      </w:r>
      <w:r>
        <w:rPr>
          <w:sz w:val="24"/>
        </w:rPr>
        <w:t>p.</w:t>
      </w:r>
    </w:p>
    <w:p>
      <w:pPr>
        <w:pStyle w:val="BodyText"/>
        <w:spacing w:before="10"/>
        <w:rPr>
          <w:sz w:val="35"/>
        </w:rPr>
      </w:pPr>
    </w:p>
    <w:p>
      <w:pPr>
        <w:pStyle w:val="ListParagraph"/>
        <w:numPr>
          <w:ilvl w:val="0"/>
          <w:numId w:val="25"/>
        </w:numPr>
        <w:tabs>
          <w:tab w:pos="202" w:val="left" w:leader="none"/>
          <w:tab w:pos="1936" w:val="left" w:leader="none"/>
          <w:tab w:pos="3036" w:val="left" w:leader="none"/>
          <w:tab w:pos="5934" w:val="left" w:leader="none"/>
          <w:tab w:pos="8621" w:val="left" w:leader="none"/>
        </w:tabs>
        <w:spacing w:line="360" w:lineRule="auto" w:before="0" w:after="0"/>
        <w:ind w:left="119" w:right="120" w:firstLine="0"/>
        <w:jc w:val="both"/>
        <w:rPr>
          <w:sz w:val="24"/>
        </w:rPr>
      </w:pPr>
      <w:r>
        <w:rPr>
          <w:w w:val="100"/>
          <w:sz w:val="24"/>
          <w:u w:val="single"/>
        </w:rPr>
        <w:t> </w:t>
      </w:r>
      <w:r>
        <w:rPr>
          <w:sz w:val="24"/>
          <w:u w:val="single"/>
        </w:rPr>
        <w:tab/>
      </w:r>
      <w:r>
        <w:rPr>
          <w:sz w:val="24"/>
        </w:rPr>
        <w:t>. 2001. Desastres y  Desarrollo: Hacia un Entendimiento    </w:t>
      </w:r>
      <w:r>
        <w:rPr>
          <w:spacing w:val="10"/>
          <w:sz w:val="24"/>
        </w:rPr>
        <w:t> </w:t>
      </w:r>
      <w:r>
        <w:rPr>
          <w:sz w:val="24"/>
        </w:rPr>
        <w:t>de</w:t>
      </w:r>
      <w:r>
        <w:rPr>
          <w:spacing w:val="42"/>
          <w:sz w:val="24"/>
        </w:rPr>
        <w:t> </w:t>
      </w:r>
      <w:r>
        <w:rPr>
          <w:sz w:val="24"/>
        </w:rPr>
        <w:t>las </w:t>
      </w:r>
      <w:r>
        <w:rPr>
          <w:sz w:val="24"/>
        </w:rPr>
        <w:t>Formas de Construcción Social de un Desastre: </w:t>
      </w:r>
      <w:r>
        <w:rPr>
          <w:spacing w:val="-4"/>
          <w:sz w:val="24"/>
        </w:rPr>
        <w:t>El </w:t>
      </w:r>
      <w:r>
        <w:rPr>
          <w:sz w:val="24"/>
        </w:rPr>
        <w:t>Caso del Huracán Mitch en Centroamérica. En: GARITA, N.; J. NOWALSKI. Del Desastre al Desarrollo Sostenible: Huracán Mitch en Centroamérica. [en línea]. [S.l.]: BID-CIDHS, 2000. [Consultado:</w:t>
        <w:tab/>
        <w:tab/>
        <w:t>20/06/2007].</w:t>
        <w:tab/>
        <w:t>Disponible</w:t>
        <w:tab/>
        <w:t>en: </w:t>
      </w:r>
      <w:hyperlink r:id="rId78">
        <w:r>
          <w:rPr>
            <w:sz w:val="24"/>
          </w:rPr>
          <w:t>http://www.desenredando.org/public/articulos/200/dyd/DyD2000_mar-1-2002.pdf</w:t>
        </w:r>
      </w:hyperlink>
    </w:p>
    <w:p>
      <w:pPr>
        <w:pStyle w:val="BodyText"/>
      </w:pPr>
    </w:p>
    <w:p>
      <w:pPr>
        <w:spacing w:before="144"/>
        <w:ind w:left="119" w:right="0" w:firstLine="0"/>
        <w:jc w:val="both"/>
        <w:rPr>
          <w:sz w:val="24"/>
        </w:rPr>
      </w:pPr>
      <w:r>
        <w:rPr>
          <w:sz w:val="24"/>
        </w:rPr>
        <w:t>Llamas, J., (1993). </w:t>
      </w:r>
      <w:r>
        <w:rPr>
          <w:i/>
          <w:sz w:val="24"/>
        </w:rPr>
        <w:t>Hidrología general</w:t>
      </w:r>
      <w:r>
        <w:rPr>
          <w:sz w:val="24"/>
        </w:rPr>
        <w:t>. Universidad del Estado de México. Toluca.</w:t>
      </w:r>
    </w:p>
    <w:p>
      <w:pPr>
        <w:pStyle w:val="BodyText"/>
      </w:pPr>
    </w:p>
    <w:p>
      <w:pPr>
        <w:pStyle w:val="BodyText"/>
        <w:spacing w:before="9"/>
        <w:rPr>
          <w:sz w:val="23"/>
        </w:rPr>
      </w:pPr>
    </w:p>
    <w:p>
      <w:pPr>
        <w:pStyle w:val="BodyText"/>
        <w:spacing w:line="360" w:lineRule="auto"/>
        <w:ind w:left="119" w:right="116"/>
        <w:jc w:val="both"/>
      </w:pPr>
      <w:r>
        <w:rPr/>
        <w:t>MANSILLA,</w:t>
      </w:r>
      <w:r>
        <w:rPr>
          <w:spacing w:val="-6"/>
        </w:rPr>
        <w:t> </w:t>
      </w:r>
      <w:r>
        <w:rPr/>
        <w:t>E.,</w:t>
      </w:r>
      <w:r>
        <w:rPr>
          <w:spacing w:val="-11"/>
        </w:rPr>
        <w:t> </w:t>
      </w:r>
      <w:r>
        <w:rPr/>
        <w:t>(1993).</w:t>
      </w:r>
      <w:r>
        <w:rPr>
          <w:spacing w:val="-8"/>
        </w:rPr>
        <w:t> </w:t>
      </w:r>
      <w:r>
        <w:rPr/>
        <w:t>Desastres</w:t>
      </w:r>
      <w:r>
        <w:rPr>
          <w:spacing w:val="-12"/>
        </w:rPr>
        <w:t> </w:t>
      </w:r>
      <w:r>
        <w:rPr/>
        <w:t>y</w:t>
      </w:r>
      <w:r>
        <w:rPr>
          <w:spacing w:val="-12"/>
        </w:rPr>
        <w:t> </w:t>
      </w:r>
      <w:r>
        <w:rPr/>
        <w:t>desarrollo</w:t>
      </w:r>
      <w:r>
        <w:rPr>
          <w:spacing w:val="-15"/>
        </w:rPr>
        <w:t> </w:t>
      </w:r>
      <w:r>
        <w:rPr/>
        <w:t>en</w:t>
      </w:r>
      <w:r>
        <w:rPr>
          <w:spacing w:val="-11"/>
        </w:rPr>
        <w:t> </w:t>
      </w:r>
      <w:r>
        <w:rPr/>
        <w:t>México,</w:t>
      </w:r>
      <w:r>
        <w:rPr>
          <w:spacing w:val="-9"/>
        </w:rPr>
        <w:t> </w:t>
      </w:r>
      <w:r>
        <w:rPr/>
        <w:t>Red</w:t>
      </w:r>
      <w:r>
        <w:rPr>
          <w:spacing w:val="-10"/>
        </w:rPr>
        <w:t> </w:t>
      </w:r>
      <w:r>
        <w:rPr/>
        <w:t>de</w:t>
      </w:r>
      <w:r>
        <w:rPr>
          <w:spacing w:val="-11"/>
        </w:rPr>
        <w:t> </w:t>
      </w:r>
      <w:r>
        <w:rPr/>
        <w:t>Estudios</w:t>
      </w:r>
      <w:r>
        <w:rPr>
          <w:spacing w:val="-12"/>
        </w:rPr>
        <w:t> </w:t>
      </w:r>
      <w:r>
        <w:rPr/>
        <w:t>Sociales en Prevención de Desastres en América Latina. jul-dic. 1993. Bogotá.</w:t>
      </w:r>
      <w:r>
        <w:rPr>
          <w:spacing w:val="-32"/>
        </w:rPr>
        <w:t> </w:t>
      </w:r>
      <w:r>
        <w:rPr/>
        <w:t>Colombia.</w:t>
      </w:r>
    </w:p>
    <w:p>
      <w:pPr>
        <w:spacing w:after="0" w:line="360" w:lineRule="auto"/>
        <w:jc w:val="both"/>
        <w:sectPr>
          <w:pgSz w:w="12240" w:h="15840"/>
          <w:pgMar w:header="0" w:footer="971" w:top="1360" w:bottom="1220" w:left="1580" w:right="1580"/>
        </w:sectPr>
      </w:pPr>
    </w:p>
    <w:p>
      <w:pPr>
        <w:pStyle w:val="BodyText"/>
        <w:spacing w:line="362" w:lineRule="auto" w:before="47"/>
        <w:ind w:left="119" w:right="115"/>
        <w:jc w:val="both"/>
      </w:pPr>
      <w:r>
        <w:rPr/>
        <w:t>MANSILLA, E., (2002). </w:t>
      </w:r>
      <w:r>
        <w:rPr>
          <w:b/>
        </w:rPr>
        <w:t>“</w:t>
      </w:r>
      <w:r>
        <w:rPr/>
        <w:t>La ciudad: El nuevo escenario del riesgo”, Oficina de Planificación</w:t>
      </w:r>
      <w:r>
        <w:rPr>
          <w:spacing w:val="-8"/>
        </w:rPr>
        <w:t> </w:t>
      </w:r>
      <w:r>
        <w:rPr/>
        <w:t>del</w:t>
      </w:r>
      <w:r>
        <w:rPr>
          <w:spacing w:val="-5"/>
        </w:rPr>
        <w:t> </w:t>
      </w:r>
      <w:r>
        <w:rPr/>
        <w:t>Área</w:t>
      </w:r>
      <w:r>
        <w:rPr>
          <w:spacing w:val="-8"/>
        </w:rPr>
        <w:t> </w:t>
      </w:r>
      <w:r>
        <w:rPr/>
        <w:t>Metropolitana</w:t>
      </w:r>
      <w:r>
        <w:rPr>
          <w:spacing w:val="-8"/>
        </w:rPr>
        <w:t> </w:t>
      </w:r>
      <w:r>
        <w:rPr/>
        <w:t>de</w:t>
      </w:r>
      <w:r>
        <w:rPr>
          <w:spacing w:val="-8"/>
        </w:rPr>
        <w:t> </w:t>
      </w:r>
      <w:r>
        <w:rPr/>
        <w:t>San</w:t>
      </w:r>
      <w:r>
        <w:rPr>
          <w:spacing w:val="-8"/>
        </w:rPr>
        <w:t> </w:t>
      </w:r>
      <w:r>
        <w:rPr/>
        <w:t>Salvador</w:t>
      </w:r>
      <w:r>
        <w:rPr>
          <w:spacing w:val="-7"/>
        </w:rPr>
        <w:t> </w:t>
      </w:r>
      <w:r>
        <w:rPr/>
        <w:t>(OPAMSS).</w:t>
      </w:r>
      <w:r>
        <w:rPr>
          <w:spacing w:val="-8"/>
        </w:rPr>
        <w:t> </w:t>
      </w:r>
      <w:r>
        <w:rPr/>
        <w:t>Mayo,</w:t>
      </w:r>
      <w:r>
        <w:rPr>
          <w:spacing w:val="-8"/>
        </w:rPr>
        <w:t> </w:t>
      </w:r>
      <w:r>
        <w:rPr/>
        <w:t>2002.</w:t>
      </w:r>
      <w:r>
        <w:rPr>
          <w:spacing w:val="-8"/>
        </w:rPr>
        <w:t> </w:t>
      </w:r>
      <w:r>
        <w:rPr/>
        <w:t>San Salvador. SV., El</w:t>
      </w:r>
      <w:r>
        <w:rPr>
          <w:spacing w:val="-9"/>
        </w:rPr>
        <w:t> </w:t>
      </w:r>
      <w:r>
        <w:rPr/>
        <w:t>Salvador.</w:t>
      </w:r>
    </w:p>
    <w:p>
      <w:pPr>
        <w:pStyle w:val="BodyText"/>
        <w:spacing w:before="10"/>
        <w:rPr>
          <w:sz w:val="35"/>
        </w:rPr>
      </w:pPr>
    </w:p>
    <w:p>
      <w:pPr>
        <w:pStyle w:val="BodyText"/>
        <w:spacing w:line="360" w:lineRule="auto"/>
        <w:ind w:left="119" w:right="115"/>
        <w:jc w:val="both"/>
      </w:pPr>
      <w:r>
        <w:rPr/>
        <w:t>MARTÍNEZ, J. M., (2007). Gestión de Riesgos. Inundaciones Urbanas en El Salvador. Ministerio del Medio Ambiente y Recursos Naturales (MARN)- Servicio Nacional de Estudios Territoriales- El Salvador, en: Jornadas Iberoamericanas sobre Inundaciones y Desastres Naturales, San Carlos, Brasil.</w:t>
      </w:r>
    </w:p>
    <w:p>
      <w:pPr>
        <w:pStyle w:val="BodyText"/>
      </w:pPr>
    </w:p>
    <w:p>
      <w:pPr>
        <w:spacing w:before="145"/>
        <w:ind w:left="119" w:right="0" w:firstLine="0"/>
        <w:jc w:val="both"/>
        <w:rPr>
          <w:sz w:val="24"/>
        </w:rPr>
      </w:pPr>
      <w:r>
        <w:rPr>
          <w:sz w:val="24"/>
        </w:rPr>
        <w:t>MASKREY, Andrew (comp.) (1993) </w:t>
      </w:r>
      <w:r>
        <w:rPr>
          <w:i/>
          <w:sz w:val="24"/>
        </w:rPr>
        <w:t>Los desastres no son naturales</w:t>
      </w:r>
      <w:r>
        <w:rPr>
          <w:sz w:val="24"/>
        </w:rPr>
        <w:t>. Colombia, LA</w:t>
      </w:r>
    </w:p>
    <w:p>
      <w:pPr>
        <w:pStyle w:val="BodyText"/>
      </w:pPr>
    </w:p>
    <w:p>
      <w:pPr>
        <w:pStyle w:val="BodyText"/>
        <w:spacing w:before="9"/>
        <w:rPr>
          <w:sz w:val="23"/>
        </w:rPr>
      </w:pPr>
    </w:p>
    <w:p>
      <w:pPr>
        <w:pStyle w:val="BodyText"/>
        <w:spacing w:line="360" w:lineRule="auto"/>
        <w:ind w:left="119" w:right="132"/>
        <w:jc w:val="both"/>
      </w:pPr>
      <w:r>
        <w:rPr/>
        <w:t>MAZA, A. y Franco, V., (1993). “Manual de Ingeniería de Ríos”, Capítulo 16, Obras de protección para control de inundaciones, Subdirección General de Administración del Agua, Gerencia de Aguas Superficiales e Ingeniería de Ríos, México.</w:t>
      </w:r>
    </w:p>
    <w:p>
      <w:pPr>
        <w:pStyle w:val="BodyText"/>
      </w:pPr>
    </w:p>
    <w:p>
      <w:pPr>
        <w:pStyle w:val="BodyText"/>
        <w:spacing w:before="140"/>
        <w:ind w:left="119"/>
        <w:jc w:val="both"/>
      </w:pPr>
      <w:r>
        <w:rPr/>
        <w:t>-MEDAWAR, P. B. 1967. El arte de lo soluble. Monte Avila Editores. 214 p.</w:t>
      </w:r>
    </w:p>
    <w:p>
      <w:pPr>
        <w:pStyle w:val="BodyText"/>
      </w:pPr>
    </w:p>
    <w:p>
      <w:pPr>
        <w:pStyle w:val="BodyText"/>
        <w:spacing w:before="2"/>
      </w:pPr>
    </w:p>
    <w:p>
      <w:pPr>
        <w:pStyle w:val="BodyText"/>
        <w:spacing w:line="360" w:lineRule="auto"/>
        <w:ind w:left="119" w:right="134"/>
        <w:jc w:val="both"/>
      </w:pPr>
      <w:r>
        <w:rPr>
          <w:spacing w:val="3"/>
        </w:rPr>
        <w:t>MEDINA, </w:t>
      </w:r>
      <w:r>
        <w:rPr/>
        <w:t>B. </w:t>
      </w:r>
      <w:r>
        <w:rPr>
          <w:spacing w:val="4"/>
        </w:rPr>
        <w:t>1995. Identificación </w:t>
      </w:r>
      <w:r>
        <w:rPr>
          <w:spacing w:val="2"/>
        </w:rPr>
        <w:t>de áreas </w:t>
      </w:r>
      <w:r>
        <w:rPr>
          <w:spacing w:val="4"/>
        </w:rPr>
        <w:t>críticas </w:t>
      </w:r>
      <w:r>
        <w:rPr/>
        <w:t>y plan </w:t>
      </w:r>
      <w:r>
        <w:rPr>
          <w:spacing w:val="2"/>
        </w:rPr>
        <w:t>de </w:t>
      </w:r>
      <w:r>
        <w:rPr>
          <w:spacing w:val="4"/>
        </w:rPr>
        <w:t>reforestación mediante </w:t>
      </w:r>
      <w:r>
        <w:rPr>
          <w:spacing w:val="2"/>
        </w:rPr>
        <w:t>sistemas de </w:t>
      </w:r>
      <w:r>
        <w:rPr>
          <w:spacing w:val="3"/>
        </w:rPr>
        <w:t>información geográfica, </w:t>
      </w:r>
      <w:r>
        <w:rPr>
          <w:spacing w:val="2"/>
        </w:rPr>
        <w:t>en </w:t>
      </w:r>
      <w:r>
        <w:rPr>
          <w:spacing w:val="4"/>
        </w:rPr>
        <w:t>la </w:t>
      </w:r>
      <w:r>
        <w:rPr>
          <w:spacing w:val="3"/>
        </w:rPr>
        <w:t>cuenca </w:t>
      </w:r>
      <w:r>
        <w:rPr/>
        <w:t>del </w:t>
      </w:r>
      <w:r>
        <w:rPr>
          <w:spacing w:val="3"/>
        </w:rPr>
        <w:t>río Purires,</w:t>
      </w:r>
      <w:r>
        <w:rPr>
          <w:spacing w:val="72"/>
        </w:rPr>
        <w:t> </w:t>
      </w:r>
      <w:r>
        <w:rPr>
          <w:spacing w:val="3"/>
        </w:rPr>
        <w:t>Costa </w:t>
      </w:r>
      <w:r>
        <w:rPr>
          <w:spacing w:val="4"/>
        </w:rPr>
        <w:t>Rica. Tesis </w:t>
      </w:r>
      <w:r>
        <w:rPr>
          <w:spacing w:val="2"/>
        </w:rPr>
        <w:t>Mag. Sc. </w:t>
      </w:r>
      <w:r>
        <w:rPr>
          <w:spacing w:val="3"/>
        </w:rPr>
        <w:t>Turrialba, </w:t>
      </w:r>
      <w:r>
        <w:rPr>
          <w:spacing w:val="2"/>
        </w:rPr>
        <w:t>CR. </w:t>
      </w:r>
      <w:r>
        <w:rPr>
          <w:spacing w:val="3"/>
        </w:rPr>
        <w:t>CATIE. </w:t>
      </w:r>
      <w:r>
        <w:rPr/>
        <w:t>P. </w:t>
      </w:r>
      <w:r>
        <w:rPr>
          <w:spacing w:val="15"/>
        </w:rPr>
        <w:t> </w:t>
      </w:r>
      <w:r>
        <w:rPr>
          <w:spacing w:val="2"/>
        </w:rPr>
        <w:t>88</w:t>
      </w:r>
    </w:p>
    <w:p>
      <w:pPr>
        <w:pStyle w:val="BodyText"/>
      </w:pPr>
    </w:p>
    <w:p>
      <w:pPr>
        <w:pStyle w:val="BodyText"/>
        <w:spacing w:line="360" w:lineRule="auto" w:before="144"/>
        <w:ind w:left="119" w:right="123"/>
        <w:jc w:val="both"/>
      </w:pPr>
      <w:r>
        <w:rPr/>
        <w:t>MÉNDEZ, W Y MARCUCCI E. (2006). Análisis Morfométrico de la microcuenca Quebrada Curucutí, estado de Vargas – Venezuela. Vol. 47.México 627 pp.</w:t>
      </w:r>
    </w:p>
    <w:p>
      <w:pPr>
        <w:pStyle w:val="BodyText"/>
      </w:pPr>
    </w:p>
    <w:p>
      <w:pPr>
        <w:pStyle w:val="BodyText"/>
        <w:spacing w:line="362" w:lineRule="auto" w:before="140"/>
        <w:ind w:left="119" w:right="130"/>
        <w:jc w:val="both"/>
      </w:pPr>
      <w:r>
        <w:rPr/>
        <w:t>Michael Barry y Heinz Rüther, (2001), Colección y gerencia de datos para mejoras de establecimientos informales, International Conference on Spatial Information for Sustainable Development. Nairobi, Kenya.</w:t>
      </w:r>
    </w:p>
    <w:p>
      <w:pPr>
        <w:pStyle w:val="BodyText"/>
        <w:spacing w:before="10"/>
        <w:rPr>
          <w:sz w:val="35"/>
        </w:rPr>
      </w:pPr>
    </w:p>
    <w:p>
      <w:pPr>
        <w:pStyle w:val="BodyText"/>
        <w:ind w:left="119"/>
        <w:jc w:val="both"/>
      </w:pPr>
      <w:r>
        <w:rPr/>
        <w:t>MILL, J. 1978.  A System of Logic, 3 vols., P. 70</w:t>
      </w:r>
    </w:p>
    <w:p>
      <w:pPr>
        <w:spacing w:after="0"/>
        <w:jc w:val="both"/>
        <w:sectPr>
          <w:pgSz w:w="12240" w:h="15840"/>
          <w:pgMar w:header="0" w:footer="971" w:top="1360" w:bottom="1220" w:left="1580" w:right="1580"/>
        </w:sectPr>
      </w:pPr>
    </w:p>
    <w:p>
      <w:pPr>
        <w:pStyle w:val="BodyText"/>
        <w:spacing w:line="362" w:lineRule="auto" w:before="52"/>
        <w:ind w:left="119" w:right="126"/>
        <w:jc w:val="both"/>
      </w:pPr>
      <w:r>
        <w:rPr/>
        <w:t>MITCHELL, J. K., (1996). Negociando los contextos para la prevención. En: Mansilla, E. (edit.) Desastres. Modelo para Armar. pp. 72-76.</w:t>
      </w:r>
    </w:p>
    <w:p>
      <w:pPr>
        <w:pStyle w:val="BodyText"/>
        <w:spacing w:before="11"/>
        <w:rPr>
          <w:sz w:val="35"/>
        </w:rPr>
      </w:pPr>
    </w:p>
    <w:p>
      <w:pPr>
        <w:pStyle w:val="BodyText"/>
        <w:spacing w:line="360" w:lineRule="auto"/>
        <w:ind w:left="119" w:right="115"/>
        <w:jc w:val="both"/>
      </w:pPr>
      <w:r>
        <w:rPr/>
        <w:t>OROZCO HERNÁNDEZ, María Estela, Nancy González Hernández, Dulce Leonor Gutiérrez Sánchez (2013), “Metodología de la investigación ambiental. Aproximaciones sucesivas”, Comunidades y recursos naturales gestión del desarrollo rural, Orozco Hernández, María Estela (Coord), Universidad Autónoma del Estado de México, Secretaría de Difusión Cultural, Toluca, México, páginas:31- 60.</w:t>
      </w:r>
    </w:p>
    <w:p>
      <w:pPr>
        <w:pStyle w:val="BodyText"/>
      </w:pPr>
    </w:p>
    <w:p>
      <w:pPr>
        <w:pStyle w:val="BodyText"/>
        <w:spacing w:line="360" w:lineRule="auto" w:before="145"/>
        <w:ind w:left="119" w:right="115"/>
        <w:jc w:val="both"/>
      </w:pPr>
      <w:r>
        <w:rPr/>
        <w:t>Olcina Cantos, Jorge (2010), “El tratamiento de los riesgos naturales en la planificación</w:t>
      </w:r>
      <w:r>
        <w:rPr>
          <w:spacing w:val="-15"/>
        </w:rPr>
        <w:t> </w:t>
      </w:r>
      <w:r>
        <w:rPr/>
        <w:t>territorial</w:t>
      </w:r>
      <w:r>
        <w:rPr>
          <w:spacing w:val="-12"/>
        </w:rPr>
        <w:t> </w:t>
      </w:r>
      <w:r>
        <w:rPr/>
        <w:t>de</w:t>
      </w:r>
      <w:r>
        <w:rPr>
          <w:spacing w:val="-20"/>
        </w:rPr>
        <w:t> </w:t>
      </w:r>
      <w:r>
        <w:rPr/>
        <w:t>escala</w:t>
      </w:r>
      <w:r>
        <w:rPr>
          <w:spacing w:val="-20"/>
        </w:rPr>
        <w:t> </w:t>
      </w:r>
      <w:r>
        <w:rPr/>
        <w:t>regional”,</w:t>
      </w:r>
      <w:r>
        <w:rPr>
          <w:spacing w:val="-21"/>
        </w:rPr>
        <w:t> </w:t>
      </w:r>
      <w:r>
        <w:rPr/>
        <w:t>Papeles</w:t>
      </w:r>
      <w:r>
        <w:rPr>
          <w:spacing w:val="-21"/>
        </w:rPr>
        <w:t> </w:t>
      </w:r>
      <w:r>
        <w:rPr/>
        <w:t>de</w:t>
      </w:r>
      <w:r>
        <w:rPr>
          <w:spacing w:val="-16"/>
        </w:rPr>
        <w:t> </w:t>
      </w:r>
      <w:r>
        <w:rPr/>
        <w:t>Geografía,</w:t>
      </w:r>
      <w:r>
        <w:rPr>
          <w:spacing w:val="-16"/>
        </w:rPr>
        <w:t> </w:t>
      </w:r>
      <w:r>
        <w:rPr/>
        <w:t>N°</w:t>
      </w:r>
      <w:r>
        <w:rPr>
          <w:spacing w:val="-22"/>
        </w:rPr>
        <w:t> </w:t>
      </w:r>
      <w:r>
        <w:rPr/>
        <w:t>51-52,</w:t>
      </w:r>
      <w:r>
        <w:rPr>
          <w:spacing w:val="-16"/>
        </w:rPr>
        <w:t> </w:t>
      </w:r>
      <w:r>
        <w:rPr/>
        <w:t>Pp:</w:t>
      </w:r>
      <w:r>
        <w:rPr>
          <w:spacing w:val="-21"/>
        </w:rPr>
        <w:t> </w:t>
      </w:r>
      <w:r>
        <w:rPr/>
        <w:t>223- 23;</w:t>
      </w:r>
      <w:r>
        <w:rPr>
          <w:spacing w:val="-3"/>
        </w:rPr>
        <w:t> </w:t>
      </w:r>
      <w:r>
        <w:rPr/>
        <w:t>España.</w:t>
      </w:r>
    </w:p>
    <w:p>
      <w:pPr>
        <w:pStyle w:val="BodyText"/>
        <w:spacing w:line="360" w:lineRule="auto" w:before="8"/>
        <w:ind w:left="119" w:right="211"/>
        <w:jc w:val="both"/>
      </w:pPr>
      <w:r>
        <w:rPr/>
        <w:t>Ortiz 2004. Evaluación hidrológica en Revista Hidro Red, Red Latinoamericana de Micro Hidroenergía. pp 2-10</w:t>
      </w:r>
    </w:p>
    <w:p>
      <w:pPr>
        <w:pStyle w:val="BodyText"/>
      </w:pPr>
    </w:p>
    <w:p>
      <w:pPr>
        <w:pStyle w:val="BodyText"/>
        <w:spacing w:line="360" w:lineRule="auto" w:before="140"/>
        <w:ind w:left="119" w:right="116"/>
        <w:jc w:val="both"/>
      </w:pPr>
      <w:r>
        <w:rPr/>
        <w:t>Peraza M. La construcción social del riesgo REDVET Revista electrónica de Veterinaria, Vol. 11, </w:t>
      </w:r>
      <w:r>
        <w:rPr>
          <w:spacing w:val="-4"/>
        </w:rPr>
        <w:t>Núm.</w:t>
      </w:r>
      <w:r>
        <w:rPr>
          <w:spacing w:val="58"/>
        </w:rPr>
        <w:t> </w:t>
      </w:r>
      <w:r>
        <w:rPr/>
        <w:t>3, marzo-sin mes, 2010, pp. 1-15 Veterinaria Organización España. RED, ITDG.</w:t>
      </w:r>
    </w:p>
    <w:p>
      <w:pPr>
        <w:pStyle w:val="BodyText"/>
        <w:spacing w:before="10"/>
      </w:pPr>
    </w:p>
    <w:p>
      <w:pPr>
        <w:pStyle w:val="BodyText"/>
        <w:ind w:left="119"/>
        <w:jc w:val="both"/>
      </w:pPr>
      <w:r>
        <w:rPr/>
        <w:t>PNUD, 2004 </w:t>
      </w:r>
      <w:hyperlink r:id="rId79">
        <w:r>
          <w:rPr/>
          <w:t>www.undp.org/cpr/disred/documents/publications/rdr/espanol/c2/b.pdf</w:t>
        </w:r>
      </w:hyperlink>
    </w:p>
    <w:p>
      <w:pPr>
        <w:pStyle w:val="BodyText"/>
      </w:pPr>
    </w:p>
    <w:p>
      <w:pPr>
        <w:pStyle w:val="BodyText"/>
        <w:spacing w:line="360" w:lineRule="auto"/>
        <w:ind w:left="119" w:right="126"/>
        <w:jc w:val="both"/>
      </w:pPr>
      <w:r>
        <w:rPr/>
        <w:t>SAATY, T.L. (1980): Multicriteria Decision Making: The Analytic Hierarchy Process. McGraw-Hill, New York. (2ªimpresión 1990, RSW Pub. Pittsburgh)</w:t>
      </w:r>
    </w:p>
    <w:p>
      <w:pPr>
        <w:pStyle w:val="BodyText"/>
        <w:spacing w:line="360" w:lineRule="auto" w:before="7"/>
        <w:ind w:left="119" w:right="140"/>
        <w:jc w:val="both"/>
      </w:pPr>
      <w:r>
        <w:rPr/>
        <w:t>SÁENZ S. 1995. Identificación de áreas críticas para el manejo de un sector de la cuenca del Río Pacuare, Costa Rica. Tesis Mag. Sc. Turrialba, CR, CATIE. 145 p.</w:t>
      </w:r>
    </w:p>
    <w:p>
      <w:pPr>
        <w:pStyle w:val="BodyText"/>
      </w:pPr>
    </w:p>
    <w:p>
      <w:pPr>
        <w:pStyle w:val="BodyText"/>
        <w:spacing w:line="360" w:lineRule="auto" w:before="145"/>
        <w:ind w:left="119" w:right="125"/>
        <w:jc w:val="both"/>
      </w:pPr>
      <w:r>
        <w:rPr/>
        <w:t>SALAS, M. A., (1999). “Obras de Protección contra inundaciones”, serie cuadernos de investigación, No. 49, CENAPRED, Coordinación  de investigación, Área de riesgos hidrometeorológicos, México.</w:t>
      </w:r>
    </w:p>
    <w:p>
      <w:pPr>
        <w:spacing w:after="0" w:line="360" w:lineRule="auto"/>
        <w:jc w:val="both"/>
        <w:sectPr>
          <w:pgSz w:w="12240" w:h="15840"/>
          <w:pgMar w:header="0" w:footer="971" w:top="1360" w:bottom="1220" w:left="1580" w:right="1580"/>
        </w:sectPr>
      </w:pPr>
    </w:p>
    <w:p>
      <w:pPr>
        <w:pStyle w:val="BodyText"/>
        <w:spacing w:line="360" w:lineRule="auto" w:before="52"/>
        <w:ind w:left="119" w:right="115"/>
        <w:jc w:val="both"/>
      </w:pPr>
      <w:r>
        <w:rPr/>
        <w:t>SANTOS Ocampo, A., Cuanalo de la Cerda, H., Ortiz Solorio, Carlos A. (1989). “Metodología de regionalización natural para grandes territorios, basada en el concepto de paisaje”, Revista de Geografía Agrícola, números 9-10 julio de 1985- enero de 1986, UACH, México: 14-24.</w:t>
      </w:r>
    </w:p>
    <w:p>
      <w:pPr>
        <w:pStyle w:val="BodyText"/>
      </w:pPr>
    </w:p>
    <w:p>
      <w:pPr>
        <w:pStyle w:val="BodyText"/>
        <w:spacing w:line="360" w:lineRule="auto" w:before="144"/>
        <w:ind w:left="119" w:right="117"/>
        <w:jc w:val="both"/>
      </w:pPr>
      <w:r>
        <w:rPr/>
        <w:t>Secretaría de Desarrollo Social, Consejo Nacional de Población, Instituto Nacional de Estadística, Geografía e Informática (2004). Delimitación de las zonas metropolitanas de México, primera edición, SEDESOL/ CONAPO/ INEGI; México, pp.112.</w:t>
      </w:r>
    </w:p>
    <w:p>
      <w:pPr>
        <w:pStyle w:val="BodyText"/>
      </w:pPr>
    </w:p>
    <w:p>
      <w:pPr>
        <w:pStyle w:val="BodyText"/>
        <w:spacing w:line="360" w:lineRule="auto" w:before="145"/>
        <w:ind w:left="119" w:right="509"/>
      </w:pPr>
      <w:r>
        <w:rPr/>
        <w:t>Senciales, J.M. y FERRE, E. 1992. «Análisis morfométrico de la cuenca del río Benamargosa (provincia de Málaga)». En López Bermúdez, F.; Conesa, C. y Romero, M.A. (Eds.): Estudios de Geomorfología en España. Actas de la II Reunión Nacional de Geomorfología, Murcia, S.E.G., pp. 365-375.</w:t>
      </w:r>
    </w:p>
    <w:p>
      <w:pPr>
        <w:pStyle w:val="BodyText"/>
      </w:pPr>
    </w:p>
    <w:p>
      <w:pPr>
        <w:spacing w:before="139"/>
        <w:ind w:left="119" w:right="0" w:firstLine="0"/>
        <w:jc w:val="both"/>
        <w:rPr>
          <w:sz w:val="24"/>
        </w:rPr>
      </w:pPr>
      <w:r>
        <w:rPr>
          <w:sz w:val="24"/>
        </w:rPr>
        <w:t>SOROKIN, PITRIM A., </w:t>
      </w:r>
      <w:r>
        <w:rPr>
          <w:i/>
          <w:sz w:val="24"/>
        </w:rPr>
        <w:t>Man and Society in Calamity</w:t>
      </w:r>
      <w:r>
        <w:rPr>
          <w:sz w:val="24"/>
        </w:rPr>
        <w:t>, Dutton, Nueva York, 1942.</w:t>
      </w:r>
    </w:p>
    <w:p>
      <w:pPr>
        <w:pStyle w:val="BodyText"/>
      </w:pPr>
    </w:p>
    <w:p>
      <w:pPr>
        <w:pStyle w:val="BodyText"/>
        <w:spacing w:before="2"/>
      </w:pPr>
    </w:p>
    <w:p>
      <w:pPr>
        <w:pStyle w:val="BodyText"/>
        <w:spacing w:line="360" w:lineRule="auto" w:before="1"/>
        <w:ind w:left="119" w:right="417"/>
      </w:pPr>
      <w:r>
        <w:rPr/>
        <w:t>TOSCANA ET. AL. 2009. Departamento de Política y Cultura, UAM–Xochimilco, México D. F.</w:t>
      </w:r>
    </w:p>
    <w:p>
      <w:pPr>
        <w:pStyle w:val="BodyText"/>
      </w:pPr>
    </w:p>
    <w:p>
      <w:pPr>
        <w:pStyle w:val="BodyText"/>
        <w:spacing w:line="360" w:lineRule="auto" w:before="140"/>
        <w:ind w:left="119" w:right="128"/>
        <w:jc w:val="both"/>
      </w:pPr>
      <w:r>
        <w:rPr/>
        <w:t>VALTIERRA, J. G., 2007. Desarrollo de una herramienta computacional para el diagnóstico hidrológico de cuencas. Tesis de Maestría. Maestría en Gestión Integrada de Cuencas. Universidad Autónoma de Querétaro. 148p.</w:t>
      </w:r>
    </w:p>
    <w:p>
      <w:pPr>
        <w:pStyle w:val="BodyText"/>
        <w:spacing w:line="360" w:lineRule="auto" w:before="2"/>
        <w:ind w:left="119" w:right="128"/>
        <w:jc w:val="both"/>
      </w:pPr>
      <w:r>
        <w:rPr/>
        <w:t>VALTIERRA, J. G., 2007. Desarrollo de una herramienta computacional para el diagnóstico hidrológico de cuencas. Tesis de Maestría. Maestría en Gestión Integrada de Cuencas. Universidad Autónoma de Querétaro. 148p.</w:t>
      </w:r>
    </w:p>
    <w:p>
      <w:pPr>
        <w:pStyle w:val="BodyText"/>
      </w:pPr>
    </w:p>
    <w:p>
      <w:pPr>
        <w:pStyle w:val="BodyText"/>
        <w:spacing w:line="360" w:lineRule="auto" w:before="145"/>
        <w:ind w:left="119" w:right="127"/>
        <w:jc w:val="both"/>
      </w:pPr>
      <w:r>
        <w:rPr/>
        <w:t>VIESSMAN, W., ET AL, 1977. Introduction to Hydrology, 2nd edition, Harper and Row.</w:t>
      </w:r>
    </w:p>
    <w:p>
      <w:pPr>
        <w:spacing w:after="0" w:line="360" w:lineRule="auto"/>
        <w:jc w:val="both"/>
        <w:sectPr>
          <w:pgSz w:w="12240" w:h="15840"/>
          <w:pgMar w:header="0" w:footer="971" w:top="1360" w:bottom="1220" w:left="1580" w:right="1580"/>
        </w:sectPr>
      </w:pPr>
    </w:p>
    <w:p>
      <w:pPr>
        <w:pStyle w:val="BodyText"/>
        <w:spacing w:line="360" w:lineRule="auto" w:before="52"/>
        <w:ind w:left="119" w:right="120"/>
        <w:jc w:val="both"/>
      </w:pPr>
      <w:r>
        <w:rPr>
          <w:spacing w:val="3"/>
        </w:rPr>
        <w:t>VIRGINIA </w:t>
      </w:r>
      <w:r>
        <w:rPr>
          <w:spacing w:val="2"/>
        </w:rPr>
        <w:t>G. </w:t>
      </w:r>
      <w:r>
        <w:rPr>
          <w:spacing w:val="4"/>
        </w:rPr>
        <w:t>2005. </w:t>
      </w:r>
      <w:r>
        <w:rPr/>
        <w:t>El </w:t>
      </w:r>
      <w:r>
        <w:rPr>
          <w:spacing w:val="4"/>
        </w:rPr>
        <w:t>riesgo </w:t>
      </w:r>
      <w:r>
        <w:rPr/>
        <w:t>como </w:t>
      </w:r>
      <w:r>
        <w:rPr>
          <w:spacing w:val="4"/>
        </w:rPr>
        <w:t>construcción </w:t>
      </w:r>
      <w:r>
        <w:rPr>
          <w:spacing w:val="2"/>
        </w:rPr>
        <w:t>social </w:t>
      </w:r>
      <w:r>
        <w:rPr/>
        <w:t>y </w:t>
      </w:r>
      <w:r>
        <w:rPr>
          <w:spacing w:val="4"/>
        </w:rPr>
        <w:t>la construcción </w:t>
      </w:r>
      <w:r>
        <w:rPr>
          <w:spacing w:val="2"/>
        </w:rPr>
        <w:t>social de </w:t>
      </w:r>
      <w:r>
        <w:rPr>
          <w:spacing w:val="3"/>
        </w:rPr>
        <w:t>Riesgos, </w:t>
      </w:r>
      <w:r>
        <w:rPr>
          <w:spacing w:val="4"/>
        </w:rPr>
        <w:t>Desacatos, septiembre-diciembre, </w:t>
      </w:r>
      <w:r>
        <w:rPr>
          <w:spacing w:val="2"/>
        </w:rPr>
        <w:t>número </w:t>
      </w:r>
      <w:r>
        <w:rPr>
          <w:spacing w:val="3"/>
        </w:rPr>
        <w:t>019 </w:t>
      </w:r>
      <w:r>
        <w:rPr>
          <w:spacing w:val="4"/>
        </w:rPr>
        <w:t>Centro </w:t>
      </w:r>
      <w:r>
        <w:rPr>
          <w:spacing w:val="2"/>
        </w:rPr>
        <w:t>de </w:t>
      </w:r>
      <w:r>
        <w:rPr>
          <w:spacing w:val="4"/>
        </w:rPr>
        <w:t>Investigaciones </w:t>
      </w:r>
      <w:r>
        <w:rPr/>
        <w:t>y </w:t>
      </w:r>
      <w:r>
        <w:rPr>
          <w:spacing w:val="3"/>
        </w:rPr>
        <w:t>Estudios Superiores </w:t>
      </w:r>
      <w:r>
        <w:rPr>
          <w:spacing w:val="2"/>
        </w:rPr>
        <w:t>en </w:t>
      </w:r>
      <w:r>
        <w:rPr>
          <w:spacing w:val="4"/>
        </w:rPr>
        <w:t>Antropología </w:t>
      </w:r>
      <w:r>
        <w:rPr>
          <w:spacing w:val="2"/>
        </w:rPr>
        <w:t>Social </w:t>
      </w:r>
      <w:r>
        <w:rPr>
          <w:spacing w:val="3"/>
        </w:rPr>
        <w:t>Distrito </w:t>
      </w:r>
      <w:r>
        <w:rPr>
          <w:spacing w:val="4"/>
        </w:rPr>
        <w:t>Federal, </w:t>
      </w:r>
      <w:r>
        <w:rPr>
          <w:spacing w:val="3"/>
        </w:rPr>
        <w:t>México pp.</w:t>
      </w:r>
      <w:r>
        <w:rPr>
          <w:spacing w:val="22"/>
        </w:rPr>
        <w:t> </w:t>
      </w:r>
      <w:r>
        <w:rPr>
          <w:spacing w:val="5"/>
        </w:rPr>
        <w:t>11-24.</w:t>
      </w:r>
    </w:p>
    <w:p>
      <w:pPr>
        <w:pStyle w:val="BodyText"/>
      </w:pPr>
    </w:p>
    <w:p>
      <w:pPr>
        <w:pStyle w:val="BodyText"/>
        <w:spacing w:line="360" w:lineRule="auto" w:before="144"/>
        <w:ind w:left="119" w:right="127"/>
        <w:jc w:val="both"/>
      </w:pPr>
      <w:r>
        <w:rPr/>
        <w:t>VOOGD H, (1983), Multiciteria Evaluation for Urban and Regional Planning, Pion, London.</w:t>
      </w:r>
    </w:p>
    <w:p>
      <w:pPr>
        <w:pStyle w:val="BodyText"/>
      </w:pPr>
    </w:p>
    <w:p>
      <w:pPr>
        <w:pStyle w:val="BodyText"/>
        <w:spacing w:line="360" w:lineRule="auto" w:before="139"/>
        <w:ind w:left="119" w:right="117"/>
        <w:jc w:val="both"/>
      </w:pPr>
      <w:r>
        <w:rPr/>
        <w:t>VREEKER, RON &amp; NIJKAMP, PETER, 2001. "Advances in multicriteria decision support</w:t>
      </w:r>
      <w:r>
        <w:rPr>
          <w:spacing w:val="-11"/>
        </w:rPr>
        <w:t> </w:t>
      </w:r>
      <w:r>
        <w:rPr/>
        <w:t>methods</w:t>
      </w:r>
      <w:r>
        <w:rPr>
          <w:spacing w:val="-12"/>
        </w:rPr>
        <w:t> </w:t>
      </w:r>
      <w:r>
        <w:rPr/>
        <w:t>for</w:t>
      </w:r>
      <w:r>
        <w:rPr>
          <w:spacing w:val="-10"/>
        </w:rPr>
        <w:t> </w:t>
      </w:r>
      <w:r>
        <w:rPr/>
        <w:t>evaluating</w:t>
      </w:r>
      <w:r>
        <w:rPr>
          <w:spacing w:val="-11"/>
        </w:rPr>
        <w:t> </w:t>
      </w:r>
      <w:r>
        <w:rPr/>
        <w:t>development</w:t>
      </w:r>
      <w:r>
        <w:rPr>
          <w:spacing w:val="-11"/>
        </w:rPr>
        <w:t> </w:t>
      </w:r>
      <w:r>
        <w:rPr/>
        <w:t>scenarios</w:t>
      </w:r>
      <w:r>
        <w:rPr>
          <w:spacing w:val="-12"/>
        </w:rPr>
        <w:t> </w:t>
      </w:r>
      <w:r>
        <w:rPr/>
        <w:t>:</w:t>
      </w:r>
      <w:r>
        <w:rPr>
          <w:spacing w:val="-11"/>
        </w:rPr>
        <w:t> </w:t>
      </w:r>
      <w:r>
        <w:rPr/>
        <w:t>an</w:t>
      </w:r>
      <w:r>
        <w:rPr>
          <w:spacing w:val="-11"/>
        </w:rPr>
        <w:t> </w:t>
      </w:r>
      <w:r>
        <w:rPr/>
        <w:t>application</w:t>
      </w:r>
      <w:r>
        <w:rPr>
          <w:spacing w:val="-11"/>
        </w:rPr>
        <w:t> </w:t>
      </w:r>
      <w:r>
        <w:rPr/>
        <w:t>to</w:t>
      </w:r>
      <w:r>
        <w:rPr>
          <w:spacing w:val="-10"/>
        </w:rPr>
        <w:t> </w:t>
      </w:r>
      <w:r>
        <w:rPr/>
        <w:t>Thailand," Serie</w:t>
      </w:r>
      <w:r>
        <w:rPr>
          <w:spacing w:val="-18"/>
        </w:rPr>
        <w:t> </w:t>
      </w:r>
      <w:r>
        <w:rPr/>
        <w:t>Research</w:t>
      </w:r>
      <w:r>
        <w:rPr>
          <w:spacing w:val="-18"/>
        </w:rPr>
        <w:t> </w:t>
      </w:r>
      <w:r>
        <w:rPr/>
        <w:t>Memoranda</w:t>
      </w:r>
      <w:r>
        <w:rPr>
          <w:spacing w:val="-18"/>
        </w:rPr>
        <w:t> </w:t>
      </w:r>
      <w:r>
        <w:rPr/>
        <w:t>0015,</w:t>
      </w:r>
      <w:r>
        <w:rPr>
          <w:spacing w:val="-18"/>
        </w:rPr>
        <w:t> </w:t>
      </w:r>
      <w:r>
        <w:rPr/>
        <w:t>VU</w:t>
      </w:r>
      <w:r>
        <w:rPr>
          <w:spacing w:val="-19"/>
        </w:rPr>
        <w:t> </w:t>
      </w:r>
      <w:r>
        <w:rPr/>
        <w:t>University</w:t>
      </w:r>
      <w:r>
        <w:rPr>
          <w:spacing w:val="-18"/>
        </w:rPr>
        <w:t> </w:t>
      </w:r>
      <w:r>
        <w:rPr/>
        <w:t>Amsterdam,</w:t>
      </w:r>
      <w:r>
        <w:rPr>
          <w:spacing w:val="-18"/>
        </w:rPr>
        <w:t> </w:t>
      </w:r>
      <w:r>
        <w:rPr/>
        <w:t>Faculty</w:t>
      </w:r>
      <w:r>
        <w:rPr>
          <w:spacing w:val="-22"/>
        </w:rPr>
        <w:t> </w:t>
      </w:r>
      <w:r>
        <w:rPr/>
        <w:t>of</w:t>
      </w:r>
      <w:r>
        <w:rPr>
          <w:spacing w:val="-18"/>
        </w:rPr>
        <w:t> </w:t>
      </w:r>
      <w:r>
        <w:rPr/>
        <w:t>Economics, Business Administration and</w:t>
      </w:r>
      <w:r>
        <w:rPr>
          <w:spacing w:val="-18"/>
        </w:rPr>
        <w:t> </w:t>
      </w:r>
      <w:r>
        <w:rPr/>
        <w:t>Econometrics.</w:t>
      </w:r>
    </w:p>
    <w:p>
      <w:pPr>
        <w:pStyle w:val="BodyText"/>
      </w:pPr>
    </w:p>
    <w:p>
      <w:pPr>
        <w:pStyle w:val="BodyText"/>
        <w:spacing w:line="360" w:lineRule="auto" w:before="144"/>
        <w:ind w:left="119" w:right="115"/>
        <w:jc w:val="both"/>
      </w:pPr>
      <w:r>
        <w:rPr/>
        <w:t>WENGER, DENNIS E., 1987, 213-238. "Collective Behavior and Disaster Research". En: Dynes, De Marchi y Pelanda (eds.), </w:t>
      </w:r>
      <w:r>
        <w:rPr>
          <w:i/>
        </w:rPr>
        <w:t>Sociology of Disasters, </w:t>
      </w:r>
      <w:r>
        <w:rPr/>
        <w:t>Franco Angeli Libri, Milano.</w:t>
      </w:r>
    </w:p>
    <w:p>
      <w:pPr>
        <w:pStyle w:val="BodyText"/>
      </w:pPr>
    </w:p>
    <w:p>
      <w:pPr>
        <w:pStyle w:val="BodyText"/>
        <w:spacing w:line="360" w:lineRule="auto" w:before="144"/>
        <w:ind w:left="119" w:right="143"/>
        <w:jc w:val="both"/>
      </w:pPr>
      <w:r>
        <w:rPr/>
        <w:t>WILCHES-CHAUX, G. 1993. La vulnerabilidad global. In Maskrey, A. Comp. Los desastres no son naturales. Colombia. La Red. pp. 9 –  50.</w:t>
      </w:r>
    </w:p>
    <w:p>
      <w:pPr>
        <w:pStyle w:val="BodyText"/>
      </w:pPr>
    </w:p>
    <w:p>
      <w:pPr>
        <w:pStyle w:val="BodyText"/>
        <w:spacing w:line="362" w:lineRule="auto" w:before="140"/>
        <w:ind w:left="119" w:right="129"/>
        <w:jc w:val="both"/>
      </w:pPr>
      <w:r>
        <w:rPr/>
        <w:t>WOLFE, A. B. (1924). “Functional economics”. En R. G. Tugwell (ed.), The trend of economics. Nueva York: Alfred A. Knopf,  Inc.</w:t>
      </w:r>
    </w:p>
    <w:p>
      <w:pPr>
        <w:pStyle w:val="BodyText"/>
        <w:spacing w:before="10"/>
        <w:rPr>
          <w:sz w:val="35"/>
        </w:rPr>
      </w:pPr>
    </w:p>
    <w:p>
      <w:pPr>
        <w:pStyle w:val="BodyText"/>
        <w:spacing w:line="360" w:lineRule="auto"/>
        <w:ind w:left="119" w:right="115"/>
        <w:jc w:val="both"/>
      </w:pPr>
      <w:r>
        <w:rPr/>
        <w:t>ZICCARDI, A. (2003), "La planeación urbana municipal ¿Función normativa o sustento de la gobernabilidad local?", en Cabrero, E. (coord.), Políticas públicas municipales. Una agenda en construcción, CIDE, México.</w:t>
      </w:r>
    </w:p>
    <w:p>
      <w:pPr>
        <w:spacing w:after="0" w:line="360" w:lineRule="auto"/>
        <w:jc w:val="both"/>
        <w:sectPr>
          <w:pgSz w:w="12240" w:h="15840"/>
          <w:pgMar w:header="0" w:footer="971" w:top="1360" w:bottom="122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spacing w:line="1082" w:lineRule="exact" w:before="0"/>
        <w:ind w:left="2664" w:right="0" w:firstLine="0"/>
        <w:jc w:val="left"/>
        <w:rPr>
          <w:b/>
          <w:sz w:val="96"/>
        </w:rPr>
      </w:pPr>
      <w:r>
        <w:rPr>
          <w:b/>
          <w:sz w:val="96"/>
        </w:rPr>
        <w:t>Anexos</w:t>
      </w:r>
    </w:p>
    <w:p>
      <w:pPr>
        <w:spacing w:after="0" w:line="1082" w:lineRule="exact"/>
        <w:jc w:val="left"/>
        <w:rPr>
          <w:sz w:val="96"/>
        </w:rPr>
        <w:sectPr>
          <w:pgSz w:w="12240" w:h="15840"/>
          <w:pgMar w:header="0" w:footer="971" w:top="1500" w:bottom="1220" w:left="1720" w:right="1720"/>
        </w:sectPr>
      </w:pPr>
    </w:p>
    <w:p>
      <w:pPr>
        <w:pStyle w:val="Heading2"/>
        <w:spacing w:before="42"/>
        <w:jc w:val="left"/>
      </w:pPr>
      <w:bookmarkStart w:name="_TOC_250004" w:id="50"/>
      <w:bookmarkEnd w:id="50"/>
      <w:r>
        <w:rPr/>
        <w:t>Índice de tablas</w:t>
      </w:r>
    </w:p>
    <w:p>
      <w:pPr>
        <w:pStyle w:val="BodyText"/>
        <w:tabs>
          <w:tab w:pos="9349" w:val="right" w:leader="dot"/>
        </w:tabs>
        <w:spacing w:before="593"/>
        <w:ind w:left="336"/>
      </w:pPr>
      <w:r>
        <w:rPr/>
        <w:t>Tabla 1. Síntesis de las variables</w:t>
      </w:r>
      <w:r>
        <w:rPr>
          <w:spacing w:val="-10"/>
        </w:rPr>
        <w:t> </w:t>
      </w:r>
      <w:r>
        <w:rPr/>
        <w:t>e</w:t>
      </w:r>
      <w:r>
        <w:rPr>
          <w:spacing w:val="-5"/>
        </w:rPr>
        <w:t> </w:t>
      </w:r>
      <w:r>
        <w:rPr/>
        <w:t>indicadores…</w:t>
        <w:tab/>
        <w:t>19</w:t>
      </w:r>
    </w:p>
    <w:p>
      <w:pPr>
        <w:pStyle w:val="BodyText"/>
        <w:tabs>
          <w:tab w:pos="9348" w:val="right" w:leader="dot"/>
        </w:tabs>
        <w:spacing w:line="362" w:lineRule="auto" w:before="137"/>
        <w:ind w:left="336" w:right="108"/>
      </w:pPr>
      <w:r>
        <w:rPr/>
        <w:t>Tabla 2. Síntesis de las aportaciones metodológicas de los estudios de caso… 28 Tabla 3. La Matriz</w:t>
      </w:r>
      <w:r>
        <w:rPr>
          <w:spacing w:val="-2"/>
        </w:rPr>
        <w:t> </w:t>
      </w:r>
      <w:r>
        <w:rPr/>
        <w:t>de</w:t>
      </w:r>
      <w:r>
        <w:rPr>
          <w:spacing w:val="62"/>
        </w:rPr>
        <w:t> </w:t>
      </w:r>
      <w:r>
        <w:rPr/>
        <w:t>decisión</w:t>
        <w:tab/>
        <w:t>47</w:t>
      </w:r>
    </w:p>
    <w:p>
      <w:pPr>
        <w:pStyle w:val="BodyText"/>
        <w:tabs>
          <w:tab w:pos="9349" w:val="right" w:leader="dot"/>
        </w:tabs>
        <w:ind w:left="336"/>
      </w:pPr>
      <w:r>
        <w:rPr/>
        <w:t>Tabla 4. Escala de juicios de valor propuesta por</w:t>
      </w:r>
      <w:r>
        <w:rPr>
          <w:spacing w:val="-14"/>
        </w:rPr>
        <w:t> </w:t>
      </w:r>
      <w:r>
        <w:rPr/>
        <w:t>Saaty</w:t>
      </w:r>
      <w:r>
        <w:rPr>
          <w:spacing w:val="-1"/>
        </w:rPr>
        <w:t> </w:t>
      </w:r>
      <w:r>
        <w:rPr/>
        <w:t>(1997)</w:t>
        <w:tab/>
        <w:t>51</w:t>
      </w:r>
    </w:p>
    <w:p>
      <w:pPr>
        <w:pStyle w:val="BodyText"/>
        <w:tabs>
          <w:tab w:pos="9349" w:val="right" w:leader="none"/>
        </w:tabs>
        <w:spacing w:before="137"/>
        <w:ind w:left="336"/>
      </w:pPr>
      <w:r>
        <w:rPr/>
        <w:t>Tabla 5. Parámetros morfométricos obtenidos</w:t>
      </w:r>
      <w:r>
        <w:rPr>
          <w:spacing w:val="-12"/>
        </w:rPr>
        <w:t> </w:t>
      </w:r>
      <w:r>
        <w:rPr/>
        <w:t>por</w:t>
      </w:r>
      <w:r>
        <w:rPr>
          <w:spacing w:val="-1"/>
        </w:rPr>
        <w:t> </w:t>
      </w:r>
      <w:r>
        <w:rPr/>
        <w:t>cuenca………………………</w:t>
        <w:tab/>
        <w:t>53</w:t>
      </w:r>
    </w:p>
    <w:p>
      <w:pPr>
        <w:pStyle w:val="BodyText"/>
        <w:tabs>
          <w:tab w:pos="9349" w:val="right" w:leader="dot"/>
        </w:tabs>
        <w:spacing w:before="137"/>
        <w:ind w:left="336"/>
      </w:pPr>
      <w:r>
        <w:rPr/>
        <w:t>Tabla 6. Parámetros de forma de la cuenca de</w:t>
      </w:r>
      <w:r>
        <w:rPr>
          <w:spacing w:val="-4"/>
        </w:rPr>
        <w:t> </w:t>
      </w:r>
      <w:r>
        <w:rPr/>
        <w:t>la</w:t>
      </w:r>
      <w:r>
        <w:rPr>
          <w:spacing w:val="-5"/>
        </w:rPr>
        <w:t> </w:t>
      </w:r>
      <w:r>
        <w:rPr/>
        <w:t>ZMT</w:t>
        <w:tab/>
        <w:t>73</w:t>
      </w:r>
    </w:p>
    <w:p>
      <w:pPr>
        <w:pStyle w:val="BodyText"/>
        <w:tabs>
          <w:tab w:pos="9349" w:val="right" w:leader="dot"/>
        </w:tabs>
        <w:spacing w:before="137"/>
        <w:ind w:left="336"/>
      </w:pPr>
      <w:r>
        <w:rPr/>
        <w:t>Tabla 7. Parámetros de la red de drenaje de la cuenca de</w:t>
      </w:r>
      <w:r>
        <w:rPr>
          <w:spacing w:val="-16"/>
        </w:rPr>
        <w:t> </w:t>
      </w:r>
      <w:r>
        <w:rPr/>
        <w:t>la</w:t>
      </w:r>
      <w:r>
        <w:rPr>
          <w:spacing w:val="-1"/>
        </w:rPr>
        <w:t> </w:t>
      </w:r>
      <w:r>
        <w:rPr/>
        <w:t>ZMT</w:t>
        <w:tab/>
        <w:t>75</w:t>
      </w:r>
    </w:p>
    <w:p>
      <w:pPr>
        <w:pStyle w:val="BodyText"/>
        <w:tabs>
          <w:tab w:pos="9348" w:val="right" w:leader="dot"/>
        </w:tabs>
        <w:spacing w:before="142"/>
        <w:ind w:left="336"/>
      </w:pPr>
      <w:r>
        <w:rPr/>
        <w:t>Tabla 8. Indicadores de Pendiente de la de la cuenca de</w:t>
      </w:r>
      <w:r>
        <w:rPr>
          <w:spacing w:val="-24"/>
        </w:rPr>
        <w:t> </w:t>
      </w:r>
      <w:r>
        <w:rPr/>
        <w:t>la</w:t>
      </w:r>
      <w:r>
        <w:rPr>
          <w:spacing w:val="-4"/>
        </w:rPr>
        <w:t> </w:t>
      </w:r>
      <w:r>
        <w:rPr/>
        <w:t>ZMT</w:t>
        <w:tab/>
        <w:t>76</w:t>
      </w:r>
    </w:p>
    <w:p>
      <w:pPr>
        <w:pStyle w:val="BodyText"/>
        <w:tabs>
          <w:tab w:pos="9348" w:val="right" w:leader="none"/>
        </w:tabs>
        <w:spacing w:before="137"/>
        <w:ind w:left="336"/>
      </w:pPr>
      <w:r>
        <w:rPr/>
        <w:t>Tabla 9.Población de</w:t>
      </w:r>
      <w:r>
        <w:rPr>
          <w:spacing w:val="-6"/>
        </w:rPr>
        <w:t> </w:t>
      </w:r>
      <w:r>
        <w:rPr/>
        <w:t>la</w:t>
      </w:r>
      <w:r>
        <w:rPr>
          <w:spacing w:val="-5"/>
        </w:rPr>
        <w:t> </w:t>
      </w:r>
      <w:r>
        <w:rPr/>
        <w:t>ZMT…………………………………………………………</w:t>
        <w:tab/>
        <w:t>78</w:t>
      </w:r>
    </w:p>
    <w:p>
      <w:pPr>
        <w:pStyle w:val="BodyText"/>
        <w:tabs>
          <w:tab w:pos="9349" w:val="right" w:leader="dot"/>
        </w:tabs>
        <w:spacing w:before="137"/>
        <w:ind w:left="336"/>
      </w:pPr>
      <w:r>
        <w:rPr/>
        <w:t>Tabla 10. Distribución poblacional de la ZMT por</w:t>
      </w:r>
      <w:r>
        <w:rPr>
          <w:spacing w:val="-11"/>
        </w:rPr>
        <w:t> </w:t>
      </w:r>
      <w:r>
        <w:rPr/>
        <w:t>municipio,</w:t>
      </w:r>
      <w:r>
        <w:rPr>
          <w:spacing w:val="10"/>
        </w:rPr>
        <w:t> </w:t>
      </w:r>
      <w:r>
        <w:rPr/>
        <w:t>2010</w:t>
        <w:tab/>
        <w:t>80</w:t>
      </w:r>
    </w:p>
    <w:p>
      <w:pPr>
        <w:pStyle w:val="BodyText"/>
        <w:tabs>
          <w:tab w:pos="9349" w:val="right" w:leader="dot"/>
        </w:tabs>
        <w:spacing w:before="137"/>
        <w:ind w:left="336"/>
      </w:pPr>
      <w:r>
        <w:rPr/>
        <w:t>Tabla 11. Índice de marginación por municipio de</w:t>
      </w:r>
      <w:r>
        <w:rPr>
          <w:spacing w:val="-17"/>
        </w:rPr>
        <w:t> </w:t>
      </w:r>
      <w:r>
        <w:rPr/>
        <w:t>la</w:t>
      </w:r>
      <w:r>
        <w:rPr>
          <w:spacing w:val="-1"/>
        </w:rPr>
        <w:t> </w:t>
      </w:r>
      <w:r>
        <w:rPr/>
        <w:t>ZMT</w:t>
        <w:tab/>
        <w:t>86</w:t>
      </w:r>
    </w:p>
    <w:p>
      <w:pPr>
        <w:pStyle w:val="BodyText"/>
        <w:tabs>
          <w:tab w:pos="9349" w:val="right" w:leader="dot"/>
        </w:tabs>
        <w:spacing w:before="142"/>
        <w:ind w:left="336"/>
      </w:pPr>
      <w:r>
        <w:rPr/>
        <w:t>Tabla 13. Temas abordados en</w:t>
      </w:r>
      <w:r>
        <w:rPr>
          <w:spacing w:val="-5"/>
        </w:rPr>
        <w:t> </w:t>
      </w:r>
      <w:r>
        <w:rPr/>
        <w:t>las</w:t>
      </w:r>
      <w:r>
        <w:rPr>
          <w:spacing w:val="-6"/>
        </w:rPr>
        <w:t> </w:t>
      </w:r>
      <w:r>
        <w:rPr/>
        <w:t>encuestas</w:t>
        <w:tab/>
        <w:t>93</w:t>
      </w:r>
    </w:p>
    <w:p>
      <w:pPr>
        <w:pStyle w:val="BodyText"/>
        <w:tabs>
          <w:tab w:pos="9349" w:val="right" w:leader="none"/>
        </w:tabs>
        <w:spacing w:line="360" w:lineRule="auto" w:before="137"/>
        <w:ind w:left="336" w:right="108"/>
      </w:pPr>
      <w:r>
        <w:rPr/>
        <w:t>Tabla 14. Características de los servicios e infraestructura en la vivienda en las localidades de estudio del municipio</w:t>
      </w:r>
      <w:r>
        <w:rPr>
          <w:spacing w:val="-5"/>
        </w:rPr>
        <w:t> </w:t>
      </w:r>
      <w:r>
        <w:rPr/>
        <w:t>de</w:t>
      </w:r>
      <w:r>
        <w:rPr>
          <w:spacing w:val="-1"/>
        </w:rPr>
        <w:t> </w:t>
      </w:r>
      <w:r>
        <w:rPr/>
        <w:t>Lerma………………………………...</w:t>
        <w:tab/>
        <w:t>97</w:t>
      </w:r>
    </w:p>
    <w:p>
      <w:pPr>
        <w:spacing w:after="0" w:line="360" w:lineRule="auto"/>
        <w:sectPr>
          <w:pgSz w:w="12240" w:h="15840"/>
          <w:pgMar w:header="0" w:footer="971" w:top="1360" w:bottom="1220" w:left="1580" w:right="1200"/>
        </w:sectPr>
      </w:pPr>
    </w:p>
    <w:p>
      <w:pPr>
        <w:pStyle w:val="Heading2"/>
        <w:spacing w:before="42"/>
        <w:jc w:val="left"/>
      </w:pPr>
      <w:bookmarkStart w:name="_TOC_250003" w:id="51"/>
      <w:bookmarkEnd w:id="51"/>
      <w:r>
        <w:rPr/>
        <w:t>Índice de figuras</w:t>
      </w:r>
    </w:p>
    <w:p>
      <w:pPr>
        <w:pStyle w:val="BodyText"/>
        <w:rPr>
          <w:b/>
        </w:rPr>
      </w:pPr>
    </w:p>
    <w:p>
      <w:pPr>
        <w:pStyle w:val="BodyText"/>
        <w:spacing w:before="1"/>
        <w:rPr>
          <w:b/>
          <w:sz w:val="30"/>
        </w:rPr>
      </w:pPr>
    </w:p>
    <w:p>
      <w:pPr>
        <w:pStyle w:val="BodyText"/>
        <w:tabs>
          <w:tab w:pos="8930" w:val="left" w:leader="dot"/>
        </w:tabs>
        <w:ind w:left="230"/>
      </w:pPr>
      <w:r>
        <w:rPr/>
        <w:t>Figura 1. Diagrama de flujo de</w:t>
      </w:r>
      <w:r>
        <w:rPr>
          <w:spacing w:val="-18"/>
        </w:rPr>
        <w:t> </w:t>
      </w:r>
      <w:r>
        <w:rPr/>
        <w:t>la</w:t>
      </w:r>
      <w:r>
        <w:rPr>
          <w:spacing w:val="-6"/>
        </w:rPr>
        <w:t> </w:t>
      </w:r>
      <w:r>
        <w:rPr/>
        <w:t>investigación</w:t>
        <w:tab/>
        <w:t>18</w:t>
      </w:r>
    </w:p>
    <w:p>
      <w:pPr>
        <w:pStyle w:val="BodyText"/>
        <w:tabs>
          <w:tab w:pos="8930" w:val="left" w:leader="dot"/>
        </w:tabs>
        <w:spacing w:before="137"/>
        <w:ind w:left="230"/>
      </w:pPr>
      <w:r>
        <w:rPr/>
        <w:t>Figura 2. Niveles de</w:t>
      </w:r>
      <w:r>
        <w:rPr>
          <w:spacing w:val="-9"/>
        </w:rPr>
        <w:t> </w:t>
      </w:r>
      <w:r>
        <w:rPr/>
        <w:t>la</w:t>
      </w:r>
      <w:r>
        <w:rPr>
          <w:spacing w:val="-5"/>
        </w:rPr>
        <w:t> </w:t>
      </w:r>
      <w:r>
        <w:rPr/>
        <w:t>investigación</w:t>
        <w:tab/>
        <w:t>44</w:t>
      </w:r>
    </w:p>
    <w:p>
      <w:pPr>
        <w:pStyle w:val="BodyText"/>
        <w:tabs>
          <w:tab w:pos="8930" w:val="left" w:leader="dot"/>
        </w:tabs>
        <w:spacing w:before="141"/>
        <w:ind w:left="230"/>
      </w:pPr>
      <w:r>
        <w:rPr/>
        <w:t>Figura 3. Diagrama de flujo para la obtención</w:t>
      </w:r>
      <w:r>
        <w:rPr>
          <w:spacing w:val="-27"/>
        </w:rPr>
        <w:t> </w:t>
      </w:r>
      <w:r>
        <w:rPr/>
        <w:t>de</w:t>
      </w:r>
      <w:r>
        <w:rPr>
          <w:spacing w:val="9"/>
        </w:rPr>
        <w:t> </w:t>
      </w:r>
      <w:r>
        <w:rPr/>
        <w:t>información</w:t>
        <w:tab/>
        <w:t>45</w:t>
      </w:r>
    </w:p>
    <w:p>
      <w:pPr>
        <w:pStyle w:val="BodyText"/>
        <w:tabs>
          <w:tab w:pos="8930" w:val="left" w:leader="none"/>
        </w:tabs>
        <w:spacing w:line="360" w:lineRule="auto" w:before="137"/>
        <w:ind w:left="230" w:right="198"/>
      </w:pPr>
      <w:r>
        <w:rPr/>
        <w:t>Figura 4. Zona Metropolitana de Toluca en el contexto de la República Mexicana……………………………………………………………………………….</w:t>
        <w:tab/>
        <w:t>61</w:t>
      </w:r>
    </w:p>
    <w:p>
      <w:pPr>
        <w:pStyle w:val="BodyText"/>
        <w:tabs>
          <w:tab w:pos="8930" w:val="left" w:leader="dot"/>
        </w:tabs>
        <w:spacing w:line="360" w:lineRule="auto" w:before="2"/>
        <w:ind w:left="230" w:right="198"/>
      </w:pPr>
      <w:r>
        <w:rPr/>
        <w:t>Figura  5.  Requerimientos  para  calcular  los  parámetros  de  la  cuenca  de  la ZMT</w:t>
        <w:tab/>
        <w:t>72</w:t>
      </w:r>
    </w:p>
    <w:p>
      <w:pPr>
        <w:pStyle w:val="BodyText"/>
        <w:tabs>
          <w:tab w:pos="8930" w:val="left" w:leader="dot"/>
        </w:tabs>
        <w:spacing w:before="8"/>
        <w:ind w:left="230"/>
      </w:pPr>
      <w:r>
        <w:rPr/>
        <w:t>Figura 6. Esquema conceptual de</w:t>
      </w:r>
      <w:r>
        <w:rPr>
          <w:spacing w:val="-12"/>
        </w:rPr>
        <w:t> </w:t>
      </w:r>
      <w:r>
        <w:rPr/>
        <w:t>la</w:t>
      </w:r>
      <w:r>
        <w:rPr>
          <w:spacing w:val="-2"/>
        </w:rPr>
        <w:t> </w:t>
      </w:r>
      <w:r>
        <w:rPr/>
        <w:t>marginación</w:t>
        <w:tab/>
        <w:t>84</w:t>
      </w:r>
    </w:p>
    <w:p>
      <w:pPr>
        <w:pStyle w:val="BodyText"/>
        <w:tabs>
          <w:tab w:pos="8863" w:val="left" w:leader="dot"/>
        </w:tabs>
        <w:spacing w:before="137"/>
        <w:ind w:left="230"/>
      </w:pPr>
      <w:r>
        <w:rPr/>
        <w:t>Figura7. Ejemplo de dique</w:t>
      </w:r>
      <w:r>
        <w:rPr>
          <w:spacing w:val="-11"/>
        </w:rPr>
        <w:t> </w:t>
      </w:r>
      <w:r>
        <w:rPr/>
        <w:t>de</w:t>
      </w:r>
      <w:r>
        <w:rPr>
          <w:spacing w:val="-2"/>
        </w:rPr>
        <w:t> </w:t>
      </w:r>
      <w:r>
        <w:rPr/>
        <w:t>consolidación</w:t>
        <w:tab/>
        <w:t>114</w:t>
      </w:r>
    </w:p>
    <w:p>
      <w:pPr>
        <w:pStyle w:val="BodyText"/>
        <w:tabs>
          <w:tab w:pos="8863" w:val="left" w:leader="dot"/>
        </w:tabs>
        <w:spacing w:before="137"/>
        <w:ind w:left="230"/>
      </w:pPr>
      <w:r>
        <w:rPr/>
        <w:t>Figura 8. Algunos sitios sugeridos dentro de</w:t>
      </w:r>
      <w:r>
        <w:rPr>
          <w:spacing w:val="-21"/>
        </w:rPr>
        <w:t> </w:t>
      </w:r>
      <w:r>
        <w:rPr/>
        <w:t>la</w:t>
      </w:r>
      <w:r>
        <w:rPr>
          <w:spacing w:val="-2"/>
        </w:rPr>
        <w:t> </w:t>
      </w:r>
      <w:r>
        <w:rPr/>
        <w:t>ZMT</w:t>
        <w:tab/>
        <w:t>114</w:t>
      </w:r>
    </w:p>
    <w:p>
      <w:pPr>
        <w:pStyle w:val="BodyText"/>
        <w:tabs>
          <w:tab w:pos="8863" w:val="left" w:leader="dot"/>
        </w:tabs>
        <w:spacing w:before="137"/>
        <w:ind w:left="230"/>
      </w:pPr>
      <w:r>
        <w:rPr/>
        <w:t>Figura 9. Ejemplo de escollera sobre</w:t>
      </w:r>
      <w:r>
        <w:rPr>
          <w:spacing w:val="-16"/>
        </w:rPr>
        <w:t> </w:t>
      </w:r>
      <w:r>
        <w:rPr/>
        <w:t>un</w:t>
      </w:r>
      <w:r>
        <w:rPr>
          <w:spacing w:val="5"/>
        </w:rPr>
        <w:t> </w:t>
      </w:r>
      <w:r>
        <w:rPr/>
        <w:t>cauce</w:t>
        <w:tab/>
        <w:t>115</w:t>
      </w:r>
    </w:p>
    <w:p>
      <w:pPr>
        <w:pStyle w:val="BodyText"/>
        <w:tabs>
          <w:tab w:pos="8863" w:val="left" w:leader="dot"/>
        </w:tabs>
        <w:spacing w:before="142"/>
        <w:ind w:left="230"/>
      </w:pPr>
      <w:r>
        <w:rPr/>
        <w:t>Figura 10. Sitio sugerido en el  municipio</w:t>
      </w:r>
      <w:r>
        <w:rPr>
          <w:spacing w:val="-14"/>
        </w:rPr>
        <w:t> </w:t>
      </w:r>
      <w:r>
        <w:rPr/>
        <w:t>de</w:t>
      </w:r>
      <w:r>
        <w:rPr>
          <w:spacing w:val="-6"/>
        </w:rPr>
        <w:t> </w:t>
      </w:r>
      <w:r>
        <w:rPr/>
        <w:t>Zinacantepec…</w:t>
        <w:tab/>
        <w:t>115</w:t>
      </w:r>
    </w:p>
    <w:p>
      <w:pPr>
        <w:pStyle w:val="BodyText"/>
      </w:pPr>
    </w:p>
    <w:p>
      <w:pPr>
        <w:pStyle w:val="BodyText"/>
      </w:pPr>
    </w:p>
    <w:p>
      <w:pPr>
        <w:pStyle w:val="BodyText"/>
      </w:pPr>
    </w:p>
    <w:p>
      <w:pPr>
        <w:pStyle w:val="BodyText"/>
      </w:pPr>
    </w:p>
    <w:p>
      <w:pPr>
        <w:pStyle w:val="BodyText"/>
        <w:spacing w:before="3"/>
        <w:rPr>
          <w:sz w:val="25"/>
        </w:rPr>
      </w:pPr>
    </w:p>
    <w:p>
      <w:pPr>
        <w:pStyle w:val="Heading2"/>
        <w:jc w:val="left"/>
      </w:pPr>
      <w:bookmarkStart w:name="_TOC_250002" w:id="52"/>
      <w:bookmarkEnd w:id="52"/>
      <w:r>
        <w:rPr/>
        <w:t>Índice de mapas</w:t>
      </w:r>
    </w:p>
    <w:p>
      <w:pPr>
        <w:pStyle w:val="BodyText"/>
        <w:spacing w:before="8"/>
        <w:rPr>
          <w:b/>
          <w:sz w:val="11"/>
        </w:rPr>
      </w:pPr>
    </w:p>
    <w:tbl>
      <w:tblPr>
        <w:tblW w:w="0" w:type="auto"/>
        <w:jc w:val="left"/>
        <w:tblInd w:w="19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682"/>
        <w:gridCol w:w="421"/>
      </w:tblGrid>
      <w:tr>
        <w:trPr>
          <w:trHeight w:val="426" w:hRule="exact"/>
        </w:trPr>
        <w:tc>
          <w:tcPr>
            <w:tcW w:w="8682" w:type="dxa"/>
          </w:tcPr>
          <w:p>
            <w:pPr>
              <w:pStyle w:val="TableParagraph"/>
              <w:spacing w:before="69"/>
              <w:ind w:left="35"/>
              <w:rPr>
                <w:sz w:val="24"/>
              </w:rPr>
            </w:pPr>
            <w:r>
              <w:rPr>
                <w:sz w:val="24"/>
              </w:rPr>
              <w:t>Mapa 1. Tipos de suelo en la ZMT…………………………………………………….</w:t>
            </w:r>
          </w:p>
        </w:tc>
        <w:tc>
          <w:tcPr>
            <w:tcW w:w="421" w:type="dxa"/>
          </w:tcPr>
          <w:p>
            <w:pPr>
              <w:pStyle w:val="TableParagraph"/>
              <w:spacing w:before="69"/>
              <w:ind w:right="33"/>
              <w:jc w:val="right"/>
              <w:rPr>
                <w:sz w:val="24"/>
              </w:rPr>
            </w:pPr>
            <w:r>
              <w:rPr>
                <w:sz w:val="24"/>
              </w:rPr>
              <w:t>62</w:t>
            </w:r>
          </w:p>
        </w:tc>
      </w:tr>
      <w:tr>
        <w:trPr>
          <w:trHeight w:val="413" w:hRule="exact"/>
        </w:trPr>
        <w:tc>
          <w:tcPr>
            <w:tcW w:w="8682" w:type="dxa"/>
          </w:tcPr>
          <w:p>
            <w:pPr>
              <w:pStyle w:val="TableParagraph"/>
              <w:spacing w:before="55"/>
              <w:ind w:left="35"/>
              <w:rPr>
                <w:sz w:val="24"/>
              </w:rPr>
            </w:pPr>
            <w:r>
              <w:rPr>
                <w:sz w:val="24"/>
              </w:rPr>
              <w:t>Mapa 2. Clasificación de la vulnerabilidad edafológica……………………………..</w:t>
            </w:r>
          </w:p>
        </w:tc>
        <w:tc>
          <w:tcPr>
            <w:tcW w:w="421" w:type="dxa"/>
          </w:tcPr>
          <w:p>
            <w:pPr>
              <w:pStyle w:val="TableParagraph"/>
              <w:spacing w:before="55"/>
              <w:ind w:right="33"/>
              <w:jc w:val="right"/>
              <w:rPr>
                <w:sz w:val="24"/>
              </w:rPr>
            </w:pPr>
            <w:r>
              <w:rPr>
                <w:sz w:val="24"/>
              </w:rPr>
              <w:t>64</w:t>
            </w:r>
          </w:p>
        </w:tc>
      </w:tr>
      <w:tr>
        <w:trPr>
          <w:trHeight w:val="416" w:hRule="exact"/>
        </w:trPr>
        <w:tc>
          <w:tcPr>
            <w:tcW w:w="8682" w:type="dxa"/>
          </w:tcPr>
          <w:p>
            <w:pPr>
              <w:pStyle w:val="TableParagraph"/>
              <w:spacing w:before="56"/>
              <w:ind w:left="35"/>
              <w:rPr>
                <w:sz w:val="24"/>
              </w:rPr>
            </w:pPr>
            <w:r>
              <w:rPr>
                <w:sz w:val="24"/>
              </w:rPr>
              <w:t>Mapa 3. Uso de suelo y vegetación de la ZMT………………………………………</w:t>
            </w:r>
          </w:p>
        </w:tc>
        <w:tc>
          <w:tcPr>
            <w:tcW w:w="421" w:type="dxa"/>
          </w:tcPr>
          <w:p>
            <w:pPr>
              <w:pStyle w:val="TableParagraph"/>
              <w:spacing w:before="56"/>
              <w:ind w:right="33"/>
              <w:jc w:val="right"/>
              <w:rPr>
                <w:sz w:val="24"/>
              </w:rPr>
            </w:pPr>
            <w:r>
              <w:rPr>
                <w:sz w:val="24"/>
              </w:rPr>
              <w:t>65</w:t>
            </w:r>
          </w:p>
        </w:tc>
      </w:tr>
      <w:tr>
        <w:trPr>
          <w:trHeight w:val="415" w:hRule="exact"/>
        </w:trPr>
        <w:tc>
          <w:tcPr>
            <w:tcW w:w="8682" w:type="dxa"/>
          </w:tcPr>
          <w:p>
            <w:pPr>
              <w:pStyle w:val="TableParagraph"/>
              <w:spacing w:before="58"/>
              <w:ind w:left="35"/>
              <w:rPr>
                <w:sz w:val="24"/>
              </w:rPr>
            </w:pPr>
            <w:r>
              <w:rPr>
                <w:sz w:val="24"/>
              </w:rPr>
              <w:t>Mapa 4. Clasificación de la vulnerabilidad del uso de suelo y la vegetación……..</w:t>
            </w:r>
          </w:p>
        </w:tc>
        <w:tc>
          <w:tcPr>
            <w:tcW w:w="421" w:type="dxa"/>
          </w:tcPr>
          <w:p>
            <w:pPr>
              <w:pStyle w:val="TableParagraph"/>
              <w:spacing w:before="58"/>
              <w:ind w:right="33"/>
              <w:jc w:val="right"/>
              <w:rPr>
                <w:sz w:val="24"/>
              </w:rPr>
            </w:pPr>
            <w:r>
              <w:rPr>
                <w:sz w:val="24"/>
              </w:rPr>
              <w:t>67</w:t>
            </w:r>
          </w:p>
        </w:tc>
      </w:tr>
      <w:tr>
        <w:trPr>
          <w:trHeight w:val="413" w:hRule="exact"/>
        </w:trPr>
        <w:tc>
          <w:tcPr>
            <w:tcW w:w="8682" w:type="dxa"/>
          </w:tcPr>
          <w:p>
            <w:pPr>
              <w:pStyle w:val="TableParagraph"/>
              <w:spacing w:before="55"/>
              <w:ind w:left="35"/>
              <w:rPr>
                <w:sz w:val="24"/>
              </w:rPr>
            </w:pPr>
            <w:r>
              <w:rPr>
                <w:sz w:val="24"/>
              </w:rPr>
              <w:t>Mapa 5. Hidrología de la ZMT………………………………………………………….</w:t>
            </w:r>
          </w:p>
        </w:tc>
        <w:tc>
          <w:tcPr>
            <w:tcW w:w="421" w:type="dxa"/>
          </w:tcPr>
          <w:p>
            <w:pPr>
              <w:pStyle w:val="TableParagraph"/>
              <w:spacing w:before="55"/>
              <w:ind w:right="33"/>
              <w:jc w:val="right"/>
              <w:rPr>
                <w:sz w:val="24"/>
              </w:rPr>
            </w:pPr>
            <w:r>
              <w:rPr>
                <w:sz w:val="24"/>
              </w:rPr>
              <w:t>60</w:t>
            </w:r>
          </w:p>
        </w:tc>
      </w:tr>
      <w:tr>
        <w:trPr>
          <w:trHeight w:val="413" w:hRule="exact"/>
        </w:trPr>
        <w:tc>
          <w:tcPr>
            <w:tcW w:w="8682" w:type="dxa"/>
          </w:tcPr>
          <w:p>
            <w:pPr>
              <w:pStyle w:val="TableParagraph"/>
              <w:spacing w:before="56"/>
              <w:ind w:left="35"/>
              <w:rPr>
                <w:sz w:val="24"/>
              </w:rPr>
            </w:pPr>
            <w:r>
              <w:rPr>
                <w:sz w:val="24"/>
              </w:rPr>
              <w:t>Mapa 6. . Clasificación de la vulnerabilidad hidrológica en la ZMT………………..</w:t>
            </w:r>
          </w:p>
        </w:tc>
        <w:tc>
          <w:tcPr>
            <w:tcW w:w="421" w:type="dxa"/>
          </w:tcPr>
          <w:p>
            <w:pPr>
              <w:pStyle w:val="TableParagraph"/>
              <w:spacing w:before="56"/>
              <w:ind w:right="33"/>
              <w:jc w:val="right"/>
              <w:rPr>
                <w:sz w:val="24"/>
              </w:rPr>
            </w:pPr>
            <w:r>
              <w:rPr>
                <w:sz w:val="24"/>
              </w:rPr>
              <w:t>71</w:t>
            </w:r>
          </w:p>
        </w:tc>
      </w:tr>
      <w:tr>
        <w:trPr>
          <w:trHeight w:val="413" w:hRule="exact"/>
        </w:trPr>
        <w:tc>
          <w:tcPr>
            <w:tcW w:w="8682" w:type="dxa"/>
          </w:tcPr>
          <w:p>
            <w:pPr>
              <w:pStyle w:val="TableParagraph"/>
              <w:spacing w:before="55"/>
              <w:ind w:left="35"/>
              <w:rPr>
                <w:sz w:val="24"/>
              </w:rPr>
            </w:pPr>
            <w:r>
              <w:rPr>
                <w:sz w:val="24"/>
              </w:rPr>
              <w:t>Mapa 7. Clasificación de la vulnerabilidad poblacional.</w:t>
            </w:r>
          </w:p>
        </w:tc>
        <w:tc>
          <w:tcPr>
            <w:tcW w:w="421" w:type="dxa"/>
          </w:tcPr>
          <w:p>
            <w:pPr>
              <w:pStyle w:val="TableParagraph"/>
              <w:spacing w:before="55"/>
              <w:ind w:right="33"/>
              <w:jc w:val="right"/>
              <w:rPr>
                <w:sz w:val="24"/>
              </w:rPr>
            </w:pPr>
            <w:r>
              <w:rPr>
                <w:sz w:val="24"/>
              </w:rPr>
              <w:t>81</w:t>
            </w:r>
          </w:p>
        </w:tc>
      </w:tr>
      <w:tr>
        <w:trPr>
          <w:trHeight w:val="415" w:hRule="exact"/>
        </w:trPr>
        <w:tc>
          <w:tcPr>
            <w:tcW w:w="8682" w:type="dxa"/>
          </w:tcPr>
          <w:p>
            <w:pPr>
              <w:pStyle w:val="TableParagraph"/>
              <w:spacing w:before="55"/>
              <w:ind w:left="35"/>
              <w:rPr>
                <w:sz w:val="24"/>
              </w:rPr>
            </w:pPr>
            <w:r>
              <w:rPr>
                <w:sz w:val="24"/>
              </w:rPr>
              <w:t>Mapa 8. Clasificación de la vulnerabilidad con base al índice de marginación…..</w:t>
            </w:r>
          </w:p>
        </w:tc>
        <w:tc>
          <w:tcPr>
            <w:tcW w:w="421" w:type="dxa"/>
          </w:tcPr>
          <w:p>
            <w:pPr>
              <w:pStyle w:val="TableParagraph"/>
              <w:spacing w:before="55"/>
              <w:ind w:right="33"/>
              <w:jc w:val="right"/>
              <w:rPr>
                <w:sz w:val="24"/>
              </w:rPr>
            </w:pPr>
            <w:r>
              <w:rPr>
                <w:sz w:val="24"/>
              </w:rPr>
              <w:t>85</w:t>
            </w:r>
          </w:p>
        </w:tc>
      </w:tr>
      <w:tr>
        <w:trPr>
          <w:trHeight w:val="415" w:hRule="exact"/>
        </w:trPr>
        <w:tc>
          <w:tcPr>
            <w:tcW w:w="8682" w:type="dxa"/>
          </w:tcPr>
          <w:p>
            <w:pPr>
              <w:pStyle w:val="TableParagraph"/>
              <w:spacing w:before="58"/>
              <w:ind w:left="35"/>
              <w:rPr>
                <w:sz w:val="24"/>
              </w:rPr>
            </w:pPr>
            <w:r>
              <w:rPr>
                <w:sz w:val="24"/>
              </w:rPr>
              <w:t>Mapa 9. Clasificación del riesgo a inundaciones en la ZMT………………………..</w:t>
            </w:r>
          </w:p>
        </w:tc>
        <w:tc>
          <w:tcPr>
            <w:tcW w:w="421" w:type="dxa"/>
          </w:tcPr>
          <w:p>
            <w:pPr>
              <w:pStyle w:val="TableParagraph"/>
              <w:spacing w:before="58"/>
              <w:ind w:right="33"/>
              <w:jc w:val="right"/>
              <w:rPr>
                <w:sz w:val="24"/>
              </w:rPr>
            </w:pPr>
            <w:r>
              <w:rPr>
                <w:sz w:val="24"/>
              </w:rPr>
              <w:t>87</w:t>
            </w:r>
          </w:p>
        </w:tc>
      </w:tr>
      <w:tr>
        <w:trPr>
          <w:trHeight w:val="427" w:hRule="exact"/>
        </w:trPr>
        <w:tc>
          <w:tcPr>
            <w:tcW w:w="8682" w:type="dxa"/>
          </w:tcPr>
          <w:p>
            <w:pPr>
              <w:pStyle w:val="TableParagraph"/>
              <w:spacing w:before="56"/>
              <w:ind w:left="35"/>
              <w:rPr>
                <w:sz w:val="24"/>
              </w:rPr>
            </w:pPr>
            <w:r>
              <w:rPr>
                <w:sz w:val="24"/>
              </w:rPr>
              <w:t>Mapa 10. Riesgo a inundaciones en el municipio de Lerma………………………..</w:t>
            </w:r>
          </w:p>
        </w:tc>
        <w:tc>
          <w:tcPr>
            <w:tcW w:w="421" w:type="dxa"/>
          </w:tcPr>
          <w:p>
            <w:pPr>
              <w:pStyle w:val="TableParagraph"/>
              <w:spacing w:before="56"/>
              <w:ind w:right="33"/>
              <w:jc w:val="right"/>
              <w:rPr>
                <w:sz w:val="24"/>
              </w:rPr>
            </w:pPr>
            <w:r>
              <w:rPr>
                <w:sz w:val="24"/>
              </w:rPr>
              <w:t>90</w:t>
            </w:r>
          </w:p>
        </w:tc>
      </w:tr>
    </w:tbl>
    <w:p>
      <w:pPr>
        <w:spacing w:after="0"/>
        <w:jc w:val="right"/>
        <w:rPr>
          <w:sz w:val="24"/>
        </w:rPr>
        <w:sectPr>
          <w:pgSz w:w="12240" w:h="15840"/>
          <w:pgMar w:header="0" w:footer="971" w:top="1360" w:bottom="1220" w:left="1580" w:right="1260"/>
        </w:sectPr>
      </w:pPr>
    </w:p>
    <w:p>
      <w:pPr>
        <w:pStyle w:val="Heading2"/>
        <w:spacing w:before="47"/>
        <w:jc w:val="left"/>
      </w:pPr>
      <w:bookmarkStart w:name="_TOC_250001" w:id="53"/>
      <w:bookmarkEnd w:id="53"/>
      <w:r>
        <w:rPr/>
        <w:t>Índice de gráficas</w:t>
      </w:r>
    </w:p>
    <w:p>
      <w:pPr>
        <w:pStyle w:val="BodyText"/>
        <w:tabs>
          <w:tab w:pos="9132" w:val="right" w:leader="dot"/>
        </w:tabs>
        <w:spacing w:before="204"/>
        <w:ind w:left="230"/>
      </w:pPr>
      <w:r>
        <w:rPr/>
        <w:t>Gráfica 1 .Curva Hipsométrica de cuenca de</w:t>
      </w:r>
      <w:r>
        <w:rPr>
          <w:spacing w:val="-9"/>
        </w:rPr>
        <w:t> </w:t>
      </w:r>
      <w:r>
        <w:rPr/>
        <w:t>la</w:t>
      </w:r>
      <w:r>
        <w:rPr>
          <w:spacing w:val="-1"/>
        </w:rPr>
        <w:t> </w:t>
      </w:r>
      <w:r>
        <w:rPr/>
        <w:t>ZMT</w:t>
        <w:tab/>
        <w:t>74</w:t>
      </w:r>
    </w:p>
    <w:p>
      <w:pPr>
        <w:pStyle w:val="BodyText"/>
        <w:tabs>
          <w:tab w:pos="9132" w:val="right" w:leader="none"/>
        </w:tabs>
        <w:spacing w:before="137"/>
        <w:ind w:left="230"/>
      </w:pPr>
      <w:r>
        <w:rPr/>
        <w:t>Gráfica 2. Distribución porcentual de la  población por municipio de</w:t>
      </w:r>
      <w:r>
        <w:rPr>
          <w:spacing w:val="-21"/>
        </w:rPr>
        <w:t> </w:t>
      </w:r>
      <w:r>
        <w:rPr/>
        <w:t>la</w:t>
      </w:r>
      <w:r>
        <w:rPr>
          <w:spacing w:val="-1"/>
        </w:rPr>
        <w:t> </w:t>
      </w:r>
      <w:r>
        <w:rPr/>
        <w:t>ZMT,</w:t>
        <w:tab/>
        <w:t>79</w:t>
      </w:r>
    </w:p>
    <w:p>
      <w:pPr>
        <w:pStyle w:val="BodyText"/>
        <w:tabs>
          <w:tab w:pos="8863" w:val="left" w:leader="none"/>
        </w:tabs>
        <w:spacing w:line="360" w:lineRule="auto" w:before="141"/>
        <w:ind w:left="230" w:right="245"/>
      </w:pPr>
      <w:r>
        <w:rPr/>
        <w:t>2010……………………………………………………………………………………... Gráfica 3. Tasas de crecimiento intercensal en el Estado de México</w:t>
      </w:r>
      <w:r>
        <w:rPr>
          <w:spacing w:val="-22"/>
        </w:rPr>
        <w:t> </w:t>
      </w:r>
      <w:r>
        <w:rPr/>
        <w:t>y</w:t>
      </w:r>
      <w:r>
        <w:rPr>
          <w:spacing w:val="-6"/>
        </w:rPr>
        <w:t> </w:t>
      </w:r>
      <w:r>
        <w:rPr/>
        <w:t>el</w:t>
        <w:tab/>
        <w:t>95 municipio de</w:t>
      </w:r>
      <w:r>
        <w:rPr>
          <w:spacing w:val="-12"/>
        </w:rPr>
        <w:t> </w:t>
      </w:r>
      <w:r>
        <w:rPr/>
        <w:t>Lerma.1950-2010………………………………………………………</w:t>
      </w:r>
    </w:p>
    <w:p>
      <w:pPr>
        <w:pStyle w:val="BodyText"/>
        <w:tabs>
          <w:tab w:pos="8863" w:val="left" w:leader="dot"/>
        </w:tabs>
        <w:spacing w:line="362" w:lineRule="auto" w:before="2"/>
        <w:ind w:left="230" w:right="245"/>
      </w:pPr>
      <w:r>
        <w:rPr/>
        <w:t>Gráfica 4. Género de los encuestados en porcentaje en el municipio de Lerma. 95 Gráfica 5. Nivel educativo en porcentaje en el municipio</w:t>
      </w:r>
      <w:r>
        <w:rPr>
          <w:spacing w:val="-23"/>
        </w:rPr>
        <w:t> </w:t>
      </w:r>
      <w:r>
        <w:rPr/>
        <w:t>de</w:t>
      </w:r>
      <w:r>
        <w:rPr>
          <w:spacing w:val="-6"/>
        </w:rPr>
        <w:t> </w:t>
      </w:r>
      <w:r>
        <w:rPr/>
        <w:t>Lerma</w:t>
        <w:tab/>
        <w:t>96</w:t>
      </w:r>
    </w:p>
    <w:p>
      <w:pPr>
        <w:pStyle w:val="BodyText"/>
        <w:tabs>
          <w:tab w:pos="8863" w:val="left" w:leader="dot"/>
        </w:tabs>
        <w:spacing w:line="360" w:lineRule="auto"/>
        <w:ind w:left="230" w:right="245"/>
      </w:pPr>
      <w:r>
        <w:rPr/>
        <w:t>Gráfica 6. Porcentaje de personas afectadas por inundación en el municipio de Lerma</w:t>
        <w:tab/>
        <w:t>99</w:t>
      </w:r>
    </w:p>
    <w:p>
      <w:pPr>
        <w:pStyle w:val="BodyText"/>
        <w:tabs>
          <w:tab w:pos="8863" w:val="left" w:leader="dot"/>
        </w:tabs>
        <w:spacing w:line="360" w:lineRule="auto" w:before="2"/>
        <w:ind w:left="230" w:right="112"/>
      </w:pPr>
      <w:r>
        <w:rPr/>
        <w:t>Gráfica 7. Tipo de daños que presento la vivienda expresado en porcentaje….. 100 Gráfica 8. Tipo de afectaciones que implico gasto económico expresado en porcentaje</w:t>
        <w:tab/>
        <w:t>101</w:t>
      </w:r>
    </w:p>
    <w:p>
      <w:pPr>
        <w:spacing w:after="0" w:line="360" w:lineRule="auto"/>
        <w:sectPr>
          <w:pgSz w:w="12240" w:h="15840"/>
          <w:pgMar w:header="0" w:footer="971" w:top="1360" w:bottom="1220" w:left="1580" w:right="1280"/>
        </w:sectPr>
      </w:pPr>
    </w:p>
    <w:p>
      <w:pPr>
        <w:pStyle w:val="BodyText"/>
        <w:spacing w:line="360" w:lineRule="auto" w:before="3"/>
        <w:ind w:left="230"/>
      </w:pPr>
      <w:r>
        <w:rPr/>
        <w:t>Gráfica 9. Clasificación de la vulnerabilidad a inundaciones de las viviendas según el índice de vulnerabilidad del CENAPRED, expresado en porcentaje… Gráfica 10. Clasificación de la vulnerabilidad a inundaciones de las viviendas por parte de los pobladores encuestados, en</w:t>
      </w:r>
      <w:r>
        <w:rPr>
          <w:spacing w:val="-29"/>
        </w:rPr>
        <w:t> </w:t>
      </w:r>
      <w:r>
        <w:rPr/>
        <w:t>porcentaje………………………….</w:t>
      </w:r>
    </w:p>
    <w:p>
      <w:pPr>
        <w:spacing w:before="3"/>
        <w:ind w:left="196" w:right="0" w:firstLine="0"/>
        <w:jc w:val="left"/>
        <w:rPr>
          <w:sz w:val="24"/>
        </w:rPr>
      </w:pPr>
      <w:r>
        <w:rPr/>
        <w:br w:type="column"/>
      </w:r>
      <w:r>
        <w:rPr>
          <w:sz w:val="24"/>
        </w:rPr>
        <w:t>103</w:t>
      </w:r>
    </w:p>
    <w:p>
      <w:pPr>
        <w:pStyle w:val="BodyText"/>
        <w:spacing w:before="554"/>
        <w:ind w:left="196"/>
      </w:pPr>
      <w:r>
        <w:rPr/>
        <w:t>104</w:t>
      </w:r>
    </w:p>
    <w:p>
      <w:pPr>
        <w:spacing w:after="0"/>
        <w:sectPr>
          <w:type w:val="continuous"/>
          <w:pgSz w:w="12240" w:h="15840"/>
          <w:pgMar w:top="1500" w:bottom="280" w:left="1580" w:right="1280"/>
          <w:cols w:num="2" w:equalWidth="0">
            <w:col w:w="8627" w:space="40"/>
            <w:col w:w="713"/>
          </w:cols>
        </w:sectPr>
      </w:pPr>
    </w:p>
    <w:p>
      <w:pPr>
        <w:pStyle w:val="Heading2"/>
        <w:spacing w:before="42"/>
        <w:jc w:val="left"/>
      </w:pPr>
      <w:r>
        <w:rPr/>
        <w:drawing>
          <wp:anchor distT="0" distB="0" distL="0" distR="0" allowOverlap="1" layoutInCell="1" locked="0" behindDoc="0" simplePos="0" relativeHeight="3592">
            <wp:simplePos x="0" y="0"/>
            <wp:positionH relativeFrom="page">
              <wp:posOffset>1509775</wp:posOffset>
            </wp:positionH>
            <wp:positionV relativeFrom="paragraph">
              <wp:posOffset>276146</wp:posOffset>
            </wp:positionV>
            <wp:extent cx="4722065" cy="7615237"/>
            <wp:effectExtent l="0" t="0" r="0" b="0"/>
            <wp:wrapTopAndBottom/>
            <wp:docPr id="37" name="image55.png" descr=""/>
            <wp:cNvGraphicFramePr>
              <a:graphicFrameLocks noChangeAspect="1"/>
            </wp:cNvGraphicFramePr>
            <a:graphic>
              <a:graphicData uri="http://schemas.openxmlformats.org/drawingml/2006/picture">
                <pic:pic>
                  <pic:nvPicPr>
                    <pic:cNvPr id="38" name="image55.png"/>
                    <pic:cNvPicPr/>
                  </pic:nvPicPr>
                  <pic:blipFill>
                    <a:blip r:embed="rId80" cstate="print"/>
                    <a:stretch>
                      <a:fillRect/>
                    </a:stretch>
                  </pic:blipFill>
                  <pic:spPr>
                    <a:xfrm>
                      <a:off x="0" y="0"/>
                      <a:ext cx="4722065" cy="7615237"/>
                    </a:xfrm>
                    <a:prstGeom prst="rect">
                      <a:avLst/>
                    </a:prstGeom>
                  </pic:spPr>
                </pic:pic>
              </a:graphicData>
            </a:graphic>
          </wp:anchor>
        </w:drawing>
      </w:r>
      <w:bookmarkStart w:name="_TOC_250000" w:id="54"/>
      <w:bookmarkEnd w:id="54"/>
      <w:r>
        <w:rPr/>
        <w:t>Documentos probatorios de publicaciones.</w:t>
      </w:r>
    </w:p>
    <w:p>
      <w:pPr>
        <w:spacing w:after="0"/>
        <w:jc w:val="left"/>
        <w:sectPr>
          <w:pgSz w:w="12240" w:h="15840"/>
          <w:pgMar w:header="0" w:footer="971" w:top="1360" w:bottom="1220" w:left="1580" w:right="1720"/>
        </w:sectPr>
      </w:pPr>
    </w:p>
    <w:p>
      <w:pPr>
        <w:pStyle w:val="BodyText"/>
        <w:ind w:left="890"/>
        <w:rPr>
          <w:sz w:val="20"/>
        </w:rPr>
      </w:pPr>
      <w:r>
        <w:rPr>
          <w:sz w:val="20"/>
        </w:rPr>
        <w:drawing>
          <wp:inline distT="0" distB="0" distL="0" distR="0">
            <wp:extent cx="4440749" cy="6583679"/>
            <wp:effectExtent l="0" t="0" r="0" b="0"/>
            <wp:docPr id="39" name="image56.jpeg" descr=""/>
            <wp:cNvGraphicFramePr>
              <a:graphicFrameLocks noChangeAspect="1"/>
            </wp:cNvGraphicFramePr>
            <a:graphic>
              <a:graphicData uri="http://schemas.openxmlformats.org/drawingml/2006/picture">
                <pic:pic>
                  <pic:nvPicPr>
                    <pic:cNvPr id="40" name="image56.jpeg"/>
                    <pic:cNvPicPr/>
                  </pic:nvPicPr>
                  <pic:blipFill>
                    <a:blip r:embed="rId81" cstate="print"/>
                    <a:stretch>
                      <a:fillRect/>
                    </a:stretch>
                  </pic:blipFill>
                  <pic:spPr>
                    <a:xfrm>
                      <a:off x="0" y="0"/>
                      <a:ext cx="4440749" cy="6583679"/>
                    </a:xfrm>
                    <a:prstGeom prst="rect">
                      <a:avLst/>
                    </a:prstGeom>
                  </pic:spPr>
                </pic:pic>
              </a:graphicData>
            </a:graphic>
          </wp:inline>
        </w:drawing>
      </w:r>
      <w:r>
        <w:rPr>
          <w:sz w:val="20"/>
        </w:rPr>
      </w:r>
    </w:p>
    <w:p>
      <w:pPr>
        <w:spacing w:after="0"/>
        <w:rPr>
          <w:sz w:val="20"/>
        </w:rPr>
        <w:sectPr>
          <w:pgSz w:w="12240" w:h="15840"/>
          <w:pgMar w:header="0" w:footer="971" w:top="1420" w:bottom="1160" w:left="1720" w:right="1720"/>
        </w:sectPr>
      </w:pPr>
    </w:p>
    <w:p>
      <w:pPr>
        <w:pStyle w:val="BodyText"/>
        <w:spacing w:before="52"/>
        <w:ind w:left="119" w:right="116"/>
        <w:jc w:val="both"/>
      </w:pPr>
      <w:r>
        <w:rPr>
          <w:b/>
          <w:i/>
          <w:u w:val="thick"/>
        </w:rPr>
        <w:t>Mendoza-Mejía, Jesús B</w:t>
      </w:r>
      <w:r>
        <w:rPr>
          <w:b/>
          <w:i/>
        </w:rPr>
        <w:t>, </w:t>
      </w:r>
      <w:r>
        <w:rPr>
          <w:i/>
        </w:rPr>
        <w:t>Orozco-Hernández, María E. (2014), </w:t>
      </w:r>
      <w:r>
        <w:rPr/>
        <w:t>Vulnerabilidad física y social ante las inundaciones, en asentamientos humanos del municipio de Lerma,</w:t>
      </w:r>
      <w:r>
        <w:rPr>
          <w:spacing w:val="-8"/>
        </w:rPr>
        <w:t> </w:t>
      </w:r>
      <w:r>
        <w:rPr/>
        <w:t>Estado</w:t>
      </w:r>
      <w:r>
        <w:rPr>
          <w:spacing w:val="-8"/>
        </w:rPr>
        <w:t> </w:t>
      </w:r>
      <w:r>
        <w:rPr/>
        <w:t>de</w:t>
      </w:r>
      <w:r>
        <w:rPr>
          <w:spacing w:val="-8"/>
        </w:rPr>
        <w:t> </w:t>
      </w:r>
      <w:r>
        <w:rPr/>
        <w:t>México,</w:t>
      </w:r>
      <w:r>
        <w:rPr>
          <w:spacing w:val="-13"/>
        </w:rPr>
        <w:t> </w:t>
      </w:r>
      <w:r>
        <w:rPr/>
        <w:t>en</w:t>
      </w:r>
      <w:r>
        <w:rPr>
          <w:spacing w:val="-8"/>
        </w:rPr>
        <w:t> </w:t>
      </w:r>
      <w:r>
        <w:rPr/>
        <w:t>Revista</w:t>
      </w:r>
      <w:r>
        <w:rPr>
          <w:spacing w:val="-12"/>
        </w:rPr>
        <w:t> </w:t>
      </w:r>
      <w:r>
        <w:rPr/>
        <w:t>arbitrada</w:t>
      </w:r>
      <w:r>
        <w:rPr>
          <w:spacing w:val="-8"/>
        </w:rPr>
        <w:t> </w:t>
      </w:r>
      <w:r>
        <w:rPr/>
        <w:t>Proyección,</w:t>
      </w:r>
      <w:r>
        <w:rPr>
          <w:spacing w:val="-13"/>
        </w:rPr>
        <w:t> </w:t>
      </w:r>
      <w:r>
        <w:rPr/>
        <w:t>Instituto</w:t>
      </w:r>
      <w:r>
        <w:rPr>
          <w:spacing w:val="-8"/>
        </w:rPr>
        <w:t> </w:t>
      </w:r>
      <w:r>
        <w:rPr/>
        <w:t>de</w:t>
      </w:r>
      <w:r>
        <w:rPr>
          <w:spacing w:val="-13"/>
        </w:rPr>
        <w:t> </w:t>
      </w:r>
      <w:r>
        <w:rPr/>
        <w:t>Cartografía, Investigación y Formación para el Ordenamiento Territorial (CIFOT), de la</w:t>
      </w:r>
      <w:r>
        <w:rPr>
          <w:spacing w:val="-36"/>
        </w:rPr>
        <w:t> </w:t>
      </w:r>
      <w:r>
        <w:rPr/>
        <w:t>Facultad de Filosofía y Letras de la Universidad Nacional de Cuyo,</w:t>
      </w:r>
      <w:r>
        <w:rPr>
          <w:spacing w:val="-29"/>
        </w:rPr>
        <w:t> </w:t>
      </w:r>
      <w:r>
        <w:rPr/>
        <w:t>Argentina.</w:t>
      </w:r>
    </w:p>
    <w:p>
      <w:pPr>
        <w:pStyle w:val="BodyText"/>
        <w:spacing w:before="8"/>
        <w:rPr>
          <w:sz w:val="15"/>
        </w:rPr>
      </w:pPr>
      <w:r>
        <w:rPr/>
        <w:pict>
          <v:group style="position:absolute;margin-left:135.755005pt;margin-top:11.012005pt;width:340.5pt;height:478.5pt;mso-position-horizontal-relative:page;mso-position-vertical-relative:paragraph;z-index:3616;mso-wrap-distance-left:0;mso-wrap-distance-right:0" coordorigin="2715,220" coordsize="6810,9570">
            <v:shape style="position:absolute;left:2730;top:240;width:6782;height:9536" type="#_x0000_t75" stroked="false">
              <v:imagedata r:id="rId82" o:title=""/>
            </v:shape>
            <v:rect style="position:absolute;left:2723;top:228;width:6795;height:9555" filled="false" stroked="true" strokeweight=".75pt" strokecolor="#000000"/>
            <w10:wrap type="topAndBottom"/>
          </v:group>
        </w:pict>
      </w:r>
    </w:p>
    <w:sectPr>
      <w:pgSz w:w="12240" w:h="15840"/>
      <w:pgMar w:header="0" w:footer="971" w:top="1360" w:bottom="1160" w:left="15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mbria Math">
    <w:altName w:val="Cambria Math"/>
    <w:charset w:val="0"/>
    <w:family w:val="roman"/>
    <w:pitch w:val="variable"/>
  </w:font>
  <w:font w:name="Trebuchet MS">
    <w:altName w:val="Trebuchet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0.519989pt;margin-top:729.436218pt;width:10.7pt;height:14pt;mso-position-horizontal-relative:page;mso-position-vertical-relative:page;z-index:-120568" type="#_x0000_t202" filled="false" stroked="false">
          <v:textbox inset="0,0,0,0">
            <w:txbxContent>
              <w:p>
                <w:pPr>
                  <w:pStyle w:val="BodyText"/>
                  <w:spacing w:line="265" w:lineRule="exact"/>
                  <w:ind w:left="40"/>
                </w:pPr>
                <w:r>
                  <w:rPr/>
                  <w:fldChar w:fldCharType="begin"/>
                </w:r>
                <w:r>
                  <w:rPr>
                    <w:w w:val="99"/>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7.160004pt;margin-top:549.412231pt;width:17.45pt;height:14pt;mso-position-horizontal-relative:page;mso-position-vertical-relative:page;z-index:-1203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84</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160004pt;margin-top:729.436218pt;width:17.45pt;height:14pt;mso-position-horizontal-relative:page;mso-position-vertical-relative:page;z-index:-1203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86</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160004pt;margin-top:729.436218pt;width:17.45pt;height:14pt;mso-position-horizontal-relative:page;mso-position-vertical-relative:page;z-index:-1203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98</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040009pt;margin-top:729.436218pt;width:22.2pt;height:14pt;mso-position-horizontal-relative:page;mso-position-vertical-relative:page;z-index:-120304" type="#_x0000_t202" filled="false" stroked="false">
          <v:textbox inset="0,0,0,0">
            <w:txbxContent>
              <w:p>
                <w:pPr>
                  <w:pStyle w:val="BodyText"/>
                  <w:spacing w:line="265" w:lineRule="exact"/>
                  <w:ind w:left="20"/>
                </w:pPr>
                <w:r>
                  <w:rPr/>
                  <w:t>100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040009pt;margin-top:729.436218pt;width:24.2pt;height:14pt;mso-position-horizontal-relative:page;mso-position-vertical-relative:page;z-index:-1202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4.040009pt;margin-top:729.436218pt;width:24.2pt;height:14pt;mso-position-horizontal-relative:page;mso-position-vertical-relative:page;z-index:-1202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140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160004pt;margin-top:729.436218pt;width:17.45pt;height:14pt;mso-position-horizontal-relative:page;mso-position-vertical-relative:page;z-index:-1205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160004pt;margin-top:729.436218pt;width:17.45pt;height:14pt;mso-position-horizontal-relative:page;mso-position-vertical-relative:page;z-index:-1205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22</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7.160004pt;margin-top:549.412231pt;width:17.45pt;height:14pt;mso-position-horizontal-relative:page;mso-position-vertical-relative:page;z-index:-1204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28</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160004pt;margin-top:729.436218pt;width:17.45pt;height:14pt;mso-position-horizontal-relative:page;mso-position-vertical-relative:page;z-index:-1204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160004pt;margin-top:729.436218pt;width:17.45pt;height:14pt;mso-position-horizontal-relative:page;mso-position-vertical-relative:page;z-index:-1204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33</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160004pt;margin-top:729.436218pt;width:17.45pt;height:14pt;mso-position-horizontal-relative:page;mso-position-vertical-relative:page;z-index:-1204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160004pt;margin-top:729.436218pt;width:17.45pt;height:14pt;mso-position-horizontal-relative:page;mso-position-vertical-relative:page;z-index:-1204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48</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4">
    <w:multiLevelType w:val="hybridMultilevel"/>
    <w:lvl w:ilvl="0">
      <w:start w:val="1"/>
      <w:numFmt w:val="bullet"/>
      <w:lvlText w:val="-"/>
      <w:lvlJc w:val="left"/>
      <w:pPr>
        <w:ind w:left="119" w:hanging="82"/>
      </w:pPr>
      <w:rPr>
        <w:rFonts w:hint="default" w:ascii="Arial" w:hAnsi="Arial" w:eastAsia="Arial" w:cs="Arial"/>
        <w:spacing w:val="1"/>
        <w:w w:val="99"/>
        <w:sz w:val="24"/>
        <w:szCs w:val="24"/>
      </w:rPr>
    </w:lvl>
    <w:lvl w:ilvl="1">
      <w:start w:val="1"/>
      <w:numFmt w:val="bullet"/>
      <w:lvlText w:val="•"/>
      <w:lvlJc w:val="left"/>
      <w:pPr>
        <w:ind w:left="1016" w:hanging="82"/>
      </w:pPr>
      <w:rPr>
        <w:rFonts w:hint="default"/>
      </w:rPr>
    </w:lvl>
    <w:lvl w:ilvl="2">
      <w:start w:val="1"/>
      <w:numFmt w:val="bullet"/>
      <w:lvlText w:val="•"/>
      <w:lvlJc w:val="left"/>
      <w:pPr>
        <w:ind w:left="1912" w:hanging="82"/>
      </w:pPr>
      <w:rPr>
        <w:rFonts w:hint="default"/>
      </w:rPr>
    </w:lvl>
    <w:lvl w:ilvl="3">
      <w:start w:val="1"/>
      <w:numFmt w:val="bullet"/>
      <w:lvlText w:val="•"/>
      <w:lvlJc w:val="left"/>
      <w:pPr>
        <w:ind w:left="2808" w:hanging="82"/>
      </w:pPr>
      <w:rPr>
        <w:rFonts w:hint="default"/>
      </w:rPr>
    </w:lvl>
    <w:lvl w:ilvl="4">
      <w:start w:val="1"/>
      <w:numFmt w:val="bullet"/>
      <w:lvlText w:val="•"/>
      <w:lvlJc w:val="left"/>
      <w:pPr>
        <w:ind w:left="3704" w:hanging="82"/>
      </w:pPr>
      <w:rPr>
        <w:rFonts w:hint="default"/>
      </w:rPr>
    </w:lvl>
    <w:lvl w:ilvl="5">
      <w:start w:val="1"/>
      <w:numFmt w:val="bullet"/>
      <w:lvlText w:val="•"/>
      <w:lvlJc w:val="left"/>
      <w:pPr>
        <w:ind w:left="4600" w:hanging="82"/>
      </w:pPr>
      <w:rPr>
        <w:rFonts w:hint="default"/>
      </w:rPr>
    </w:lvl>
    <w:lvl w:ilvl="6">
      <w:start w:val="1"/>
      <w:numFmt w:val="bullet"/>
      <w:lvlText w:val="•"/>
      <w:lvlJc w:val="left"/>
      <w:pPr>
        <w:ind w:left="5496" w:hanging="82"/>
      </w:pPr>
      <w:rPr>
        <w:rFonts w:hint="default"/>
      </w:rPr>
    </w:lvl>
    <w:lvl w:ilvl="7">
      <w:start w:val="1"/>
      <w:numFmt w:val="bullet"/>
      <w:lvlText w:val="•"/>
      <w:lvlJc w:val="left"/>
      <w:pPr>
        <w:ind w:left="6392" w:hanging="82"/>
      </w:pPr>
      <w:rPr>
        <w:rFonts w:hint="default"/>
      </w:rPr>
    </w:lvl>
    <w:lvl w:ilvl="8">
      <w:start w:val="1"/>
      <w:numFmt w:val="bullet"/>
      <w:lvlText w:val="•"/>
      <w:lvlJc w:val="left"/>
      <w:pPr>
        <w:ind w:left="7288" w:hanging="82"/>
      </w:pPr>
      <w:rPr>
        <w:rFonts w:hint="default"/>
      </w:rPr>
    </w:lvl>
  </w:abstractNum>
  <w:abstractNum w:abstractNumId="23">
    <w:multiLevelType w:val="hybridMultilevel"/>
    <w:lvl w:ilvl="0">
      <w:start w:val="1"/>
      <w:numFmt w:val="decimal"/>
      <w:lvlText w:val="%1."/>
      <w:lvlJc w:val="left"/>
      <w:pPr>
        <w:ind w:left="119" w:hanging="288"/>
        <w:jc w:val="left"/>
      </w:pPr>
      <w:rPr>
        <w:rFonts w:hint="default" w:ascii="Arial" w:hAnsi="Arial" w:eastAsia="Arial" w:cs="Arial"/>
        <w:w w:val="99"/>
        <w:sz w:val="24"/>
        <w:szCs w:val="24"/>
      </w:rPr>
    </w:lvl>
    <w:lvl w:ilvl="1">
      <w:start w:val="1"/>
      <w:numFmt w:val="bullet"/>
      <w:lvlText w:val="•"/>
      <w:lvlJc w:val="left"/>
      <w:pPr>
        <w:ind w:left="1016" w:hanging="288"/>
      </w:pPr>
      <w:rPr>
        <w:rFonts w:hint="default"/>
      </w:rPr>
    </w:lvl>
    <w:lvl w:ilvl="2">
      <w:start w:val="1"/>
      <w:numFmt w:val="bullet"/>
      <w:lvlText w:val="•"/>
      <w:lvlJc w:val="left"/>
      <w:pPr>
        <w:ind w:left="1912" w:hanging="288"/>
      </w:pPr>
      <w:rPr>
        <w:rFonts w:hint="default"/>
      </w:rPr>
    </w:lvl>
    <w:lvl w:ilvl="3">
      <w:start w:val="1"/>
      <w:numFmt w:val="bullet"/>
      <w:lvlText w:val="•"/>
      <w:lvlJc w:val="left"/>
      <w:pPr>
        <w:ind w:left="2808" w:hanging="288"/>
      </w:pPr>
      <w:rPr>
        <w:rFonts w:hint="default"/>
      </w:rPr>
    </w:lvl>
    <w:lvl w:ilvl="4">
      <w:start w:val="1"/>
      <w:numFmt w:val="bullet"/>
      <w:lvlText w:val="•"/>
      <w:lvlJc w:val="left"/>
      <w:pPr>
        <w:ind w:left="3704" w:hanging="288"/>
      </w:pPr>
      <w:rPr>
        <w:rFonts w:hint="default"/>
      </w:rPr>
    </w:lvl>
    <w:lvl w:ilvl="5">
      <w:start w:val="1"/>
      <w:numFmt w:val="bullet"/>
      <w:lvlText w:val="•"/>
      <w:lvlJc w:val="left"/>
      <w:pPr>
        <w:ind w:left="4600" w:hanging="288"/>
      </w:pPr>
      <w:rPr>
        <w:rFonts w:hint="default"/>
      </w:rPr>
    </w:lvl>
    <w:lvl w:ilvl="6">
      <w:start w:val="1"/>
      <w:numFmt w:val="bullet"/>
      <w:lvlText w:val="•"/>
      <w:lvlJc w:val="left"/>
      <w:pPr>
        <w:ind w:left="5496" w:hanging="288"/>
      </w:pPr>
      <w:rPr>
        <w:rFonts w:hint="default"/>
      </w:rPr>
    </w:lvl>
    <w:lvl w:ilvl="7">
      <w:start w:val="1"/>
      <w:numFmt w:val="bullet"/>
      <w:lvlText w:val="•"/>
      <w:lvlJc w:val="left"/>
      <w:pPr>
        <w:ind w:left="6392" w:hanging="288"/>
      </w:pPr>
      <w:rPr>
        <w:rFonts w:hint="default"/>
      </w:rPr>
    </w:lvl>
    <w:lvl w:ilvl="8">
      <w:start w:val="1"/>
      <w:numFmt w:val="bullet"/>
      <w:lvlText w:val="•"/>
      <w:lvlJc w:val="left"/>
      <w:pPr>
        <w:ind w:left="7288" w:hanging="288"/>
      </w:pPr>
      <w:rPr>
        <w:rFonts w:hint="default"/>
      </w:rPr>
    </w:lvl>
  </w:abstractNum>
  <w:abstractNum w:abstractNumId="22">
    <w:multiLevelType w:val="hybridMultilevel"/>
    <w:lvl w:ilvl="0">
      <w:start w:val="1"/>
      <w:numFmt w:val="bullet"/>
      <w:lvlText w:val=""/>
      <w:lvlJc w:val="left"/>
      <w:pPr>
        <w:ind w:left="840" w:hanging="360"/>
      </w:pPr>
      <w:rPr>
        <w:rFonts w:hint="default" w:ascii="Symbol" w:hAnsi="Symbol" w:eastAsia="Symbol" w:cs="Symbol"/>
        <w:w w:val="100"/>
        <w:sz w:val="24"/>
        <w:szCs w:val="24"/>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21">
    <w:multiLevelType w:val="hybridMultilevel"/>
    <w:lvl w:ilvl="0">
      <w:start w:val="5"/>
      <w:numFmt w:val="decimal"/>
      <w:lvlText w:val="%1"/>
      <w:lvlJc w:val="left"/>
      <w:pPr>
        <w:ind w:left="523" w:hanging="404"/>
        <w:jc w:val="left"/>
      </w:pPr>
      <w:rPr>
        <w:rFonts w:hint="default"/>
      </w:rPr>
    </w:lvl>
    <w:lvl w:ilvl="1">
      <w:start w:val="1"/>
      <w:numFmt w:val="decimal"/>
      <w:lvlText w:val="%1.%2"/>
      <w:lvlJc w:val="left"/>
      <w:pPr>
        <w:ind w:left="840" w:hanging="404"/>
        <w:jc w:val="right"/>
      </w:pPr>
      <w:rPr>
        <w:rFonts w:hint="default"/>
        <w:b/>
        <w:bCs/>
        <w:spacing w:val="0"/>
        <w:w w:val="99"/>
      </w:rPr>
    </w:lvl>
    <w:lvl w:ilvl="2">
      <w:start w:val="1"/>
      <w:numFmt w:val="bullet"/>
      <w:lvlText w:val="•"/>
      <w:lvlJc w:val="left"/>
      <w:pPr>
        <w:ind w:left="1755" w:hanging="404"/>
      </w:pPr>
      <w:rPr>
        <w:rFonts w:hint="default"/>
      </w:rPr>
    </w:lvl>
    <w:lvl w:ilvl="3">
      <w:start w:val="1"/>
      <w:numFmt w:val="bullet"/>
      <w:lvlText w:val="•"/>
      <w:lvlJc w:val="left"/>
      <w:pPr>
        <w:ind w:left="2671" w:hanging="404"/>
      </w:pPr>
      <w:rPr>
        <w:rFonts w:hint="default"/>
      </w:rPr>
    </w:lvl>
    <w:lvl w:ilvl="4">
      <w:start w:val="1"/>
      <w:numFmt w:val="bullet"/>
      <w:lvlText w:val="•"/>
      <w:lvlJc w:val="left"/>
      <w:pPr>
        <w:ind w:left="3586" w:hanging="404"/>
      </w:pPr>
      <w:rPr>
        <w:rFonts w:hint="default"/>
      </w:rPr>
    </w:lvl>
    <w:lvl w:ilvl="5">
      <w:start w:val="1"/>
      <w:numFmt w:val="bullet"/>
      <w:lvlText w:val="•"/>
      <w:lvlJc w:val="left"/>
      <w:pPr>
        <w:ind w:left="4502" w:hanging="404"/>
      </w:pPr>
      <w:rPr>
        <w:rFonts w:hint="default"/>
      </w:rPr>
    </w:lvl>
    <w:lvl w:ilvl="6">
      <w:start w:val="1"/>
      <w:numFmt w:val="bullet"/>
      <w:lvlText w:val="•"/>
      <w:lvlJc w:val="left"/>
      <w:pPr>
        <w:ind w:left="5417" w:hanging="404"/>
      </w:pPr>
      <w:rPr>
        <w:rFonts w:hint="default"/>
      </w:rPr>
    </w:lvl>
    <w:lvl w:ilvl="7">
      <w:start w:val="1"/>
      <w:numFmt w:val="bullet"/>
      <w:lvlText w:val="•"/>
      <w:lvlJc w:val="left"/>
      <w:pPr>
        <w:ind w:left="6333" w:hanging="404"/>
      </w:pPr>
      <w:rPr>
        <w:rFonts w:hint="default"/>
      </w:rPr>
    </w:lvl>
    <w:lvl w:ilvl="8">
      <w:start w:val="1"/>
      <w:numFmt w:val="bullet"/>
      <w:lvlText w:val="•"/>
      <w:lvlJc w:val="left"/>
      <w:pPr>
        <w:ind w:left="7248" w:hanging="404"/>
      </w:pPr>
      <w:rPr>
        <w:rFonts w:hint="default"/>
      </w:rPr>
    </w:lvl>
  </w:abstractNum>
  <w:abstractNum w:abstractNumId="20">
    <w:multiLevelType w:val="hybridMultilevel"/>
    <w:lvl w:ilvl="0">
      <w:start w:val="4"/>
      <w:numFmt w:val="decimal"/>
      <w:lvlText w:val="%1"/>
      <w:lvlJc w:val="left"/>
      <w:pPr>
        <w:ind w:left="119" w:hanging="403"/>
        <w:jc w:val="left"/>
      </w:pPr>
      <w:rPr>
        <w:rFonts w:hint="default"/>
      </w:rPr>
    </w:lvl>
    <w:lvl w:ilvl="1">
      <w:start w:val="3"/>
      <w:numFmt w:val="decimal"/>
      <w:lvlText w:val="%1.%2"/>
      <w:lvlJc w:val="left"/>
      <w:pPr>
        <w:ind w:left="119" w:hanging="403"/>
        <w:jc w:val="left"/>
      </w:pPr>
      <w:rPr>
        <w:rFonts w:hint="default" w:ascii="Arial" w:hAnsi="Arial" w:eastAsia="Arial" w:cs="Arial"/>
        <w:b/>
        <w:bCs/>
        <w:w w:val="99"/>
        <w:sz w:val="24"/>
        <w:szCs w:val="24"/>
      </w:rPr>
    </w:lvl>
    <w:lvl w:ilvl="2">
      <w:start w:val="1"/>
      <w:numFmt w:val="bullet"/>
      <w:lvlText w:val="•"/>
      <w:lvlJc w:val="left"/>
      <w:pPr>
        <w:ind w:left="1912" w:hanging="403"/>
      </w:pPr>
      <w:rPr>
        <w:rFonts w:hint="default"/>
      </w:rPr>
    </w:lvl>
    <w:lvl w:ilvl="3">
      <w:start w:val="1"/>
      <w:numFmt w:val="bullet"/>
      <w:lvlText w:val="•"/>
      <w:lvlJc w:val="left"/>
      <w:pPr>
        <w:ind w:left="2808" w:hanging="403"/>
      </w:pPr>
      <w:rPr>
        <w:rFonts w:hint="default"/>
      </w:rPr>
    </w:lvl>
    <w:lvl w:ilvl="4">
      <w:start w:val="1"/>
      <w:numFmt w:val="bullet"/>
      <w:lvlText w:val="•"/>
      <w:lvlJc w:val="left"/>
      <w:pPr>
        <w:ind w:left="3704" w:hanging="403"/>
      </w:pPr>
      <w:rPr>
        <w:rFonts w:hint="default"/>
      </w:rPr>
    </w:lvl>
    <w:lvl w:ilvl="5">
      <w:start w:val="1"/>
      <w:numFmt w:val="bullet"/>
      <w:lvlText w:val="•"/>
      <w:lvlJc w:val="left"/>
      <w:pPr>
        <w:ind w:left="4600" w:hanging="403"/>
      </w:pPr>
      <w:rPr>
        <w:rFonts w:hint="default"/>
      </w:rPr>
    </w:lvl>
    <w:lvl w:ilvl="6">
      <w:start w:val="1"/>
      <w:numFmt w:val="bullet"/>
      <w:lvlText w:val="•"/>
      <w:lvlJc w:val="left"/>
      <w:pPr>
        <w:ind w:left="5496" w:hanging="403"/>
      </w:pPr>
      <w:rPr>
        <w:rFonts w:hint="default"/>
      </w:rPr>
    </w:lvl>
    <w:lvl w:ilvl="7">
      <w:start w:val="1"/>
      <w:numFmt w:val="bullet"/>
      <w:lvlText w:val="•"/>
      <w:lvlJc w:val="left"/>
      <w:pPr>
        <w:ind w:left="6392" w:hanging="403"/>
      </w:pPr>
      <w:rPr>
        <w:rFonts w:hint="default"/>
      </w:rPr>
    </w:lvl>
    <w:lvl w:ilvl="8">
      <w:start w:val="1"/>
      <w:numFmt w:val="bullet"/>
      <w:lvlText w:val="•"/>
      <w:lvlJc w:val="left"/>
      <w:pPr>
        <w:ind w:left="7288" w:hanging="403"/>
      </w:pPr>
      <w:rPr>
        <w:rFonts w:hint="default"/>
      </w:rPr>
    </w:lvl>
  </w:abstractNum>
  <w:abstractNum w:abstractNumId="19">
    <w:multiLevelType w:val="hybridMultilevel"/>
    <w:lvl w:ilvl="0">
      <w:start w:val="1"/>
      <w:numFmt w:val="lowerLetter"/>
      <w:lvlText w:val="%1)"/>
      <w:lvlJc w:val="left"/>
      <w:pPr>
        <w:ind w:left="840" w:hanging="360"/>
        <w:jc w:val="left"/>
      </w:pPr>
      <w:rPr>
        <w:rFonts w:hint="default" w:ascii="Arial" w:hAnsi="Arial" w:eastAsia="Arial" w:cs="Arial"/>
        <w:w w:val="99"/>
        <w:sz w:val="24"/>
        <w:szCs w:val="24"/>
      </w:rPr>
    </w:lvl>
    <w:lvl w:ilvl="1">
      <w:start w:val="1"/>
      <w:numFmt w:val="bullet"/>
      <w:lvlText w:val="•"/>
      <w:lvlJc w:val="left"/>
      <w:pPr>
        <w:ind w:left="1662" w:hanging="360"/>
      </w:pPr>
      <w:rPr>
        <w:rFonts w:hint="default"/>
      </w:rPr>
    </w:lvl>
    <w:lvl w:ilvl="2">
      <w:start w:val="1"/>
      <w:numFmt w:val="bullet"/>
      <w:lvlText w:val="•"/>
      <w:lvlJc w:val="left"/>
      <w:pPr>
        <w:ind w:left="2484" w:hanging="360"/>
      </w:pPr>
      <w:rPr>
        <w:rFonts w:hint="default"/>
      </w:rPr>
    </w:lvl>
    <w:lvl w:ilvl="3">
      <w:start w:val="1"/>
      <w:numFmt w:val="bullet"/>
      <w:lvlText w:val="•"/>
      <w:lvlJc w:val="left"/>
      <w:pPr>
        <w:ind w:left="3306" w:hanging="360"/>
      </w:pPr>
      <w:rPr>
        <w:rFonts w:hint="default"/>
      </w:rPr>
    </w:lvl>
    <w:lvl w:ilvl="4">
      <w:start w:val="1"/>
      <w:numFmt w:val="bullet"/>
      <w:lvlText w:val="•"/>
      <w:lvlJc w:val="left"/>
      <w:pPr>
        <w:ind w:left="4128" w:hanging="360"/>
      </w:pPr>
      <w:rPr>
        <w:rFonts w:hint="default"/>
      </w:rPr>
    </w:lvl>
    <w:lvl w:ilvl="5">
      <w:start w:val="1"/>
      <w:numFmt w:val="bullet"/>
      <w:lvlText w:val="•"/>
      <w:lvlJc w:val="left"/>
      <w:pPr>
        <w:ind w:left="4950" w:hanging="360"/>
      </w:pPr>
      <w:rPr>
        <w:rFonts w:hint="default"/>
      </w:rPr>
    </w:lvl>
    <w:lvl w:ilvl="6">
      <w:start w:val="1"/>
      <w:numFmt w:val="bullet"/>
      <w:lvlText w:val="•"/>
      <w:lvlJc w:val="left"/>
      <w:pPr>
        <w:ind w:left="5772" w:hanging="360"/>
      </w:pPr>
      <w:rPr>
        <w:rFonts w:hint="default"/>
      </w:rPr>
    </w:lvl>
    <w:lvl w:ilvl="7">
      <w:start w:val="1"/>
      <w:numFmt w:val="bullet"/>
      <w:lvlText w:val="•"/>
      <w:lvlJc w:val="left"/>
      <w:pPr>
        <w:ind w:left="6594" w:hanging="360"/>
      </w:pPr>
      <w:rPr>
        <w:rFonts w:hint="default"/>
      </w:rPr>
    </w:lvl>
    <w:lvl w:ilvl="8">
      <w:start w:val="1"/>
      <w:numFmt w:val="bullet"/>
      <w:lvlText w:val="•"/>
      <w:lvlJc w:val="left"/>
      <w:pPr>
        <w:ind w:left="7416" w:hanging="360"/>
      </w:pPr>
      <w:rPr>
        <w:rFonts w:hint="default"/>
      </w:rPr>
    </w:lvl>
  </w:abstractNum>
  <w:abstractNum w:abstractNumId="18">
    <w:multiLevelType w:val="hybridMultilevel"/>
    <w:lvl w:ilvl="0">
      <w:start w:val="1"/>
      <w:numFmt w:val="bullet"/>
      <w:lvlText w:val="•"/>
      <w:lvlJc w:val="left"/>
      <w:pPr>
        <w:ind w:left="119" w:hanging="173"/>
      </w:pPr>
      <w:rPr>
        <w:rFonts w:hint="default" w:ascii="Arial" w:hAnsi="Arial" w:eastAsia="Arial" w:cs="Arial"/>
        <w:w w:val="99"/>
        <w:sz w:val="24"/>
        <w:szCs w:val="24"/>
      </w:rPr>
    </w:lvl>
    <w:lvl w:ilvl="1">
      <w:start w:val="1"/>
      <w:numFmt w:val="bullet"/>
      <w:lvlText w:val=""/>
      <w:lvlJc w:val="left"/>
      <w:pPr>
        <w:ind w:left="840" w:hanging="360"/>
      </w:pPr>
      <w:rPr>
        <w:rFonts w:hint="default" w:ascii="Symbol" w:hAnsi="Symbol" w:eastAsia="Symbol" w:cs="Symbol"/>
        <w:w w:val="100"/>
        <w:sz w:val="24"/>
        <w:szCs w:val="24"/>
      </w:rPr>
    </w:lvl>
    <w:lvl w:ilvl="2">
      <w:start w:val="1"/>
      <w:numFmt w:val="bullet"/>
      <w:lvlText w:val="•"/>
      <w:lvlJc w:val="left"/>
      <w:pPr>
        <w:ind w:left="1753" w:hanging="360"/>
      </w:pPr>
      <w:rPr>
        <w:rFonts w:hint="default"/>
      </w:rPr>
    </w:lvl>
    <w:lvl w:ilvl="3">
      <w:start w:val="1"/>
      <w:numFmt w:val="bullet"/>
      <w:lvlText w:val="•"/>
      <w:lvlJc w:val="left"/>
      <w:pPr>
        <w:ind w:left="2666" w:hanging="360"/>
      </w:pPr>
      <w:rPr>
        <w:rFonts w:hint="default"/>
      </w:rPr>
    </w:lvl>
    <w:lvl w:ilvl="4">
      <w:start w:val="1"/>
      <w:numFmt w:val="bullet"/>
      <w:lvlText w:val="•"/>
      <w:lvlJc w:val="left"/>
      <w:pPr>
        <w:ind w:left="3580" w:hanging="360"/>
      </w:pPr>
      <w:rPr>
        <w:rFonts w:hint="default"/>
      </w:rPr>
    </w:lvl>
    <w:lvl w:ilvl="5">
      <w:start w:val="1"/>
      <w:numFmt w:val="bullet"/>
      <w:lvlText w:val="•"/>
      <w:lvlJc w:val="left"/>
      <w:pPr>
        <w:ind w:left="4493" w:hanging="360"/>
      </w:pPr>
      <w:rPr>
        <w:rFonts w:hint="default"/>
      </w:rPr>
    </w:lvl>
    <w:lvl w:ilvl="6">
      <w:start w:val="1"/>
      <w:numFmt w:val="bullet"/>
      <w:lvlText w:val="•"/>
      <w:lvlJc w:val="left"/>
      <w:pPr>
        <w:ind w:left="5406" w:hanging="360"/>
      </w:pPr>
      <w:rPr>
        <w:rFonts w:hint="default"/>
      </w:rPr>
    </w:lvl>
    <w:lvl w:ilvl="7">
      <w:start w:val="1"/>
      <w:numFmt w:val="bullet"/>
      <w:lvlText w:val="•"/>
      <w:lvlJc w:val="left"/>
      <w:pPr>
        <w:ind w:left="6320" w:hanging="360"/>
      </w:pPr>
      <w:rPr>
        <w:rFonts w:hint="default"/>
      </w:rPr>
    </w:lvl>
    <w:lvl w:ilvl="8">
      <w:start w:val="1"/>
      <w:numFmt w:val="bullet"/>
      <w:lvlText w:val="•"/>
      <w:lvlJc w:val="left"/>
      <w:pPr>
        <w:ind w:left="7233" w:hanging="360"/>
      </w:pPr>
      <w:rPr>
        <w:rFonts w:hint="default"/>
      </w:rPr>
    </w:lvl>
  </w:abstractNum>
  <w:abstractNum w:abstractNumId="17">
    <w:multiLevelType w:val="hybridMultilevel"/>
    <w:lvl w:ilvl="0">
      <w:start w:val="3"/>
      <w:numFmt w:val="decimal"/>
      <w:lvlText w:val="%1"/>
      <w:lvlJc w:val="left"/>
      <w:pPr>
        <w:ind w:left="522" w:hanging="403"/>
        <w:jc w:val="left"/>
      </w:pPr>
      <w:rPr>
        <w:rFonts w:hint="default"/>
      </w:rPr>
    </w:lvl>
    <w:lvl w:ilvl="1">
      <w:start w:val="1"/>
      <w:numFmt w:val="decimal"/>
      <w:lvlText w:val="%1.%2"/>
      <w:lvlJc w:val="left"/>
      <w:pPr>
        <w:ind w:left="522" w:hanging="403"/>
        <w:jc w:val="left"/>
      </w:pPr>
      <w:rPr>
        <w:rFonts w:hint="default" w:ascii="Arial" w:hAnsi="Arial" w:eastAsia="Arial" w:cs="Arial"/>
        <w:b/>
        <w:bCs/>
        <w:spacing w:val="0"/>
        <w:w w:val="99"/>
        <w:sz w:val="24"/>
        <w:szCs w:val="24"/>
      </w:rPr>
    </w:lvl>
    <w:lvl w:ilvl="2">
      <w:start w:val="1"/>
      <w:numFmt w:val="decimal"/>
      <w:lvlText w:val="%1.%2.%3"/>
      <w:lvlJc w:val="left"/>
      <w:pPr>
        <w:ind w:left="1488" w:hanging="649"/>
        <w:jc w:val="left"/>
      </w:pPr>
      <w:rPr>
        <w:rFonts w:hint="default"/>
        <w:b/>
        <w:bCs/>
        <w:spacing w:val="-1"/>
        <w:w w:val="99"/>
      </w:rPr>
    </w:lvl>
    <w:lvl w:ilvl="3">
      <w:start w:val="1"/>
      <w:numFmt w:val="bullet"/>
      <w:lvlText w:val="•"/>
      <w:lvlJc w:val="left"/>
      <w:pPr>
        <w:ind w:left="1800" w:hanging="649"/>
      </w:pPr>
      <w:rPr>
        <w:rFonts w:hint="default"/>
      </w:rPr>
    </w:lvl>
    <w:lvl w:ilvl="4">
      <w:start w:val="1"/>
      <w:numFmt w:val="bullet"/>
      <w:lvlText w:val="•"/>
      <w:lvlJc w:val="left"/>
      <w:pPr>
        <w:ind w:left="2837" w:hanging="649"/>
      </w:pPr>
      <w:rPr>
        <w:rFonts w:hint="default"/>
      </w:rPr>
    </w:lvl>
    <w:lvl w:ilvl="5">
      <w:start w:val="1"/>
      <w:numFmt w:val="bullet"/>
      <w:lvlText w:val="•"/>
      <w:lvlJc w:val="left"/>
      <w:pPr>
        <w:ind w:left="3874" w:hanging="649"/>
      </w:pPr>
      <w:rPr>
        <w:rFonts w:hint="default"/>
      </w:rPr>
    </w:lvl>
    <w:lvl w:ilvl="6">
      <w:start w:val="1"/>
      <w:numFmt w:val="bullet"/>
      <w:lvlText w:val="•"/>
      <w:lvlJc w:val="left"/>
      <w:pPr>
        <w:ind w:left="4911" w:hanging="649"/>
      </w:pPr>
      <w:rPr>
        <w:rFonts w:hint="default"/>
      </w:rPr>
    </w:lvl>
    <w:lvl w:ilvl="7">
      <w:start w:val="1"/>
      <w:numFmt w:val="bullet"/>
      <w:lvlText w:val="•"/>
      <w:lvlJc w:val="left"/>
      <w:pPr>
        <w:ind w:left="5948" w:hanging="649"/>
      </w:pPr>
      <w:rPr>
        <w:rFonts w:hint="default"/>
      </w:rPr>
    </w:lvl>
    <w:lvl w:ilvl="8">
      <w:start w:val="1"/>
      <w:numFmt w:val="bullet"/>
      <w:lvlText w:val="•"/>
      <w:lvlJc w:val="left"/>
      <w:pPr>
        <w:ind w:left="6985" w:hanging="649"/>
      </w:pPr>
      <w:rPr>
        <w:rFonts w:hint="default"/>
      </w:rPr>
    </w:lvl>
  </w:abstractNum>
  <w:abstractNum w:abstractNumId="16">
    <w:multiLevelType w:val="hybridMultilevel"/>
    <w:lvl w:ilvl="0">
      <w:start w:val="1"/>
      <w:numFmt w:val="decimal"/>
      <w:lvlText w:val="%1."/>
      <w:lvlJc w:val="left"/>
      <w:pPr>
        <w:ind w:left="119" w:hanging="269"/>
        <w:jc w:val="left"/>
      </w:pPr>
      <w:rPr>
        <w:rFonts w:hint="default" w:ascii="Arial" w:hAnsi="Arial" w:eastAsia="Arial" w:cs="Arial"/>
        <w:w w:val="99"/>
        <w:sz w:val="24"/>
        <w:szCs w:val="24"/>
      </w:rPr>
    </w:lvl>
    <w:lvl w:ilvl="1">
      <w:start w:val="1"/>
      <w:numFmt w:val="bullet"/>
      <w:lvlText w:val="•"/>
      <w:lvlJc w:val="left"/>
      <w:pPr>
        <w:ind w:left="1016" w:hanging="269"/>
      </w:pPr>
      <w:rPr>
        <w:rFonts w:hint="default"/>
      </w:rPr>
    </w:lvl>
    <w:lvl w:ilvl="2">
      <w:start w:val="1"/>
      <w:numFmt w:val="bullet"/>
      <w:lvlText w:val="•"/>
      <w:lvlJc w:val="left"/>
      <w:pPr>
        <w:ind w:left="1912" w:hanging="269"/>
      </w:pPr>
      <w:rPr>
        <w:rFonts w:hint="default"/>
      </w:rPr>
    </w:lvl>
    <w:lvl w:ilvl="3">
      <w:start w:val="1"/>
      <w:numFmt w:val="bullet"/>
      <w:lvlText w:val="•"/>
      <w:lvlJc w:val="left"/>
      <w:pPr>
        <w:ind w:left="2808" w:hanging="269"/>
      </w:pPr>
      <w:rPr>
        <w:rFonts w:hint="default"/>
      </w:rPr>
    </w:lvl>
    <w:lvl w:ilvl="4">
      <w:start w:val="1"/>
      <w:numFmt w:val="bullet"/>
      <w:lvlText w:val="•"/>
      <w:lvlJc w:val="left"/>
      <w:pPr>
        <w:ind w:left="3704" w:hanging="269"/>
      </w:pPr>
      <w:rPr>
        <w:rFonts w:hint="default"/>
      </w:rPr>
    </w:lvl>
    <w:lvl w:ilvl="5">
      <w:start w:val="1"/>
      <w:numFmt w:val="bullet"/>
      <w:lvlText w:val="•"/>
      <w:lvlJc w:val="left"/>
      <w:pPr>
        <w:ind w:left="4600" w:hanging="269"/>
      </w:pPr>
      <w:rPr>
        <w:rFonts w:hint="default"/>
      </w:rPr>
    </w:lvl>
    <w:lvl w:ilvl="6">
      <w:start w:val="1"/>
      <w:numFmt w:val="bullet"/>
      <w:lvlText w:val="•"/>
      <w:lvlJc w:val="left"/>
      <w:pPr>
        <w:ind w:left="5496" w:hanging="269"/>
      </w:pPr>
      <w:rPr>
        <w:rFonts w:hint="default"/>
      </w:rPr>
    </w:lvl>
    <w:lvl w:ilvl="7">
      <w:start w:val="1"/>
      <w:numFmt w:val="bullet"/>
      <w:lvlText w:val="•"/>
      <w:lvlJc w:val="left"/>
      <w:pPr>
        <w:ind w:left="6392" w:hanging="269"/>
      </w:pPr>
      <w:rPr>
        <w:rFonts w:hint="default"/>
      </w:rPr>
    </w:lvl>
    <w:lvl w:ilvl="8">
      <w:start w:val="1"/>
      <w:numFmt w:val="bullet"/>
      <w:lvlText w:val="•"/>
      <w:lvlJc w:val="left"/>
      <w:pPr>
        <w:ind w:left="7288" w:hanging="269"/>
      </w:pPr>
      <w:rPr>
        <w:rFonts w:hint="default"/>
      </w:rPr>
    </w:lvl>
  </w:abstractNum>
  <w:abstractNum w:abstractNumId="15">
    <w:multiLevelType w:val="hybridMultilevel"/>
    <w:lvl w:ilvl="0">
      <w:start w:val="2"/>
      <w:numFmt w:val="decimal"/>
      <w:lvlText w:val="%1"/>
      <w:lvlJc w:val="left"/>
      <w:pPr>
        <w:ind w:left="984" w:hanging="806"/>
        <w:jc w:val="left"/>
      </w:pPr>
      <w:rPr>
        <w:rFonts w:hint="default"/>
      </w:rPr>
    </w:lvl>
    <w:lvl w:ilvl="1">
      <w:start w:val="3"/>
      <w:numFmt w:val="decimal"/>
      <w:lvlText w:val="%1.%2"/>
      <w:lvlJc w:val="left"/>
      <w:pPr>
        <w:ind w:left="984" w:hanging="806"/>
        <w:jc w:val="left"/>
      </w:pPr>
      <w:rPr>
        <w:rFonts w:hint="default"/>
      </w:rPr>
    </w:lvl>
    <w:lvl w:ilvl="2">
      <w:start w:val="2"/>
      <w:numFmt w:val="decimal"/>
      <w:lvlText w:val="%1.%2.%3"/>
      <w:lvlJc w:val="left"/>
      <w:pPr>
        <w:ind w:left="984" w:hanging="806"/>
        <w:jc w:val="left"/>
      </w:pPr>
      <w:rPr>
        <w:rFonts w:hint="default"/>
      </w:rPr>
    </w:lvl>
    <w:lvl w:ilvl="3">
      <w:start w:val="4"/>
      <w:numFmt w:val="decimal"/>
      <w:lvlText w:val="%1.%2.%3.%4"/>
      <w:lvlJc w:val="left"/>
      <w:pPr>
        <w:ind w:left="984" w:hanging="806"/>
        <w:jc w:val="left"/>
      </w:pPr>
      <w:rPr>
        <w:rFonts w:hint="default" w:ascii="Arial" w:hAnsi="Arial" w:eastAsia="Arial" w:cs="Arial"/>
        <w:b/>
        <w:bCs/>
        <w:w w:val="99"/>
        <w:sz w:val="24"/>
        <w:szCs w:val="24"/>
      </w:rPr>
    </w:lvl>
    <w:lvl w:ilvl="4">
      <w:start w:val="1"/>
      <w:numFmt w:val="bullet"/>
      <w:lvlText w:val="•"/>
      <w:lvlJc w:val="left"/>
      <w:pPr>
        <w:ind w:left="4220" w:hanging="806"/>
      </w:pPr>
      <w:rPr>
        <w:rFonts w:hint="default"/>
      </w:rPr>
    </w:lvl>
    <w:lvl w:ilvl="5">
      <w:start w:val="1"/>
      <w:numFmt w:val="bullet"/>
      <w:lvlText w:val="•"/>
      <w:lvlJc w:val="left"/>
      <w:pPr>
        <w:ind w:left="5030" w:hanging="806"/>
      </w:pPr>
      <w:rPr>
        <w:rFonts w:hint="default"/>
      </w:rPr>
    </w:lvl>
    <w:lvl w:ilvl="6">
      <w:start w:val="1"/>
      <w:numFmt w:val="bullet"/>
      <w:lvlText w:val="•"/>
      <w:lvlJc w:val="left"/>
      <w:pPr>
        <w:ind w:left="5840" w:hanging="806"/>
      </w:pPr>
      <w:rPr>
        <w:rFonts w:hint="default"/>
      </w:rPr>
    </w:lvl>
    <w:lvl w:ilvl="7">
      <w:start w:val="1"/>
      <w:numFmt w:val="bullet"/>
      <w:lvlText w:val="•"/>
      <w:lvlJc w:val="left"/>
      <w:pPr>
        <w:ind w:left="6650" w:hanging="806"/>
      </w:pPr>
      <w:rPr>
        <w:rFonts w:hint="default"/>
      </w:rPr>
    </w:lvl>
    <w:lvl w:ilvl="8">
      <w:start w:val="1"/>
      <w:numFmt w:val="bullet"/>
      <w:lvlText w:val="•"/>
      <w:lvlJc w:val="left"/>
      <w:pPr>
        <w:ind w:left="7460" w:hanging="806"/>
      </w:pPr>
      <w:rPr>
        <w:rFonts w:hint="default"/>
      </w:rPr>
    </w:lvl>
  </w:abstractNum>
  <w:abstractNum w:abstractNumId="14">
    <w:multiLevelType w:val="hybridMultilevel"/>
    <w:lvl w:ilvl="0">
      <w:start w:val="1"/>
      <w:numFmt w:val="bullet"/>
      <w:lvlText w:val=""/>
      <w:lvlJc w:val="left"/>
      <w:pPr>
        <w:ind w:left="480" w:hanging="361"/>
      </w:pPr>
      <w:rPr>
        <w:rFonts w:hint="default" w:ascii="Symbol" w:hAnsi="Symbol" w:eastAsia="Symbol" w:cs="Symbol"/>
        <w:w w:val="100"/>
        <w:sz w:val="24"/>
        <w:szCs w:val="24"/>
      </w:rPr>
    </w:lvl>
    <w:lvl w:ilvl="1">
      <w:start w:val="1"/>
      <w:numFmt w:val="bullet"/>
      <w:lvlText w:val="•"/>
      <w:lvlJc w:val="left"/>
      <w:pPr>
        <w:ind w:left="1340" w:hanging="361"/>
      </w:pPr>
      <w:rPr>
        <w:rFonts w:hint="default"/>
      </w:rPr>
    </w:lvl>
    <w:lvl w:ilvl="2">
      <w:start w:val="1"/>
      <w:numFmt w:val="bullet"/>
      <w:lvlText w:val="•"/>
      <w:lvlJc w:val="left"/>
      <w:pPr>
        <w:ind w:left="2200" w:hanging="361"/>
      </w:pPr>
      <w:rPr>
        <w:rFonts w:hint="default"/>
      </w:rPr>
    </w:lvl>
    <w:lvl w:ilvl="3">
      <w:start w:val="1"/>
      <w:numFmt w:val="bullet"/>
      <w:lvlText w:val="•"/>
      <w:lvlJc w:val="left"/>
      <w:pPr>
        <w:ind w:left="3060" w:hanging="361"/>
      </w:pPr>
      <w:rPr>
        <w:rFonts w:hint="default"/>
      </w:rPr>
    </w:lvl>
    <w:lvl w:ilvl="4">
      <w:start w:val="1"/>
      <w:numFmt w:val="bullet"/>
      <w:lvlText w:val="•"/>
      <w:lvlJc w:val="left"/>
      <w:pPr>
        <w:ind w:left="3920" w:hanging="361"/>
      </w:pPr>
      <w:rPr>
        <w:rFonts w:hint="default"/>
      </w:rPr>
    </w:lvl>
    <w:lvl w:ilvl="5">
      <w:start w:val="1"/>
      <w:numFmt w:val="bullet"/>
      <w:lvlText w:val="•"/>
      <w:lvlJc w:val="left"/>
      <w:pPr>
        <w:ind w:left="4780" w:hanging="361"/>
      </w:pPr>
      <w:rPr>
        <w:rFonts w:hint="default"/>
      </w:rPr>
    </w:lvl>
    <w:lvl w:ilvl="6">
      <w:start w:val="1"/>
      <w:numFmt w:val="bullet"/>
      <w:lvlText w:val="•"/>
      <w:lvlJc w:val="left"/>
      <w:pPr>
        <w:ind w:left="5640" w:hanging="361"/>
      </w:pPr>
      <w:rPr>
        <w:rFonts w:hint="default"/>
      </w:rPr>
    </w:lvl>
    <w:lvl w:ilvl="7">
      <w:start w:val="1"/>
      <w:numFmt w:val="bullet"/>
      <w:lvlText w:val="•"/>
      <w:lvlJc w:val="left"/>
      <w:pPr>
        <w:ind w:left="6500" w:hanging="361"/>
      </w:pPr>
      <w:rPr>
        <w:rFonts w:hint="default"/>
      </w:rPr>
    </w:lvl>
    <w:lvl w:ilvl="8">
      <w:start w:val="1"/>
      <w:numFmt w:val="bullet"/>
      <w:lvlText w:val="•"/>
      <w:lvlJc w:val="left"/>
      <w:pPr>
        <w:ind w:left="7360" w:hanging="361"/>
      </w:pPr>
      <w:rPr>
        <w:rFonts w:hint="default"/>
      </w:rPr>
    </w:lvl>
  </w:abstractNum>
  <w:abstractNum w:abstractNumId="13">
    <w:multiLevelType w:val="hybridMultilevel"/>
    <w:lvl w:ilvl="0">
      <w:start w:val="2"/>
      <w:numFmt w:val="decimal"/>
      <w:lvlText w:val="%1"/>
      <w:lvlJc w:val="left"/>
      <w:pPr>
        <w:ind w:left="590" w:hanging="471"/>
        <w:jc w:val="left"/>
      </w:pPr>
      <w:rPr>
        <w:rFonts w:hint="default"/>
      </w:rPr>
    </w:lvl>
    <w:lvl w:ilvl="1">
      <w:start w:val="3"/>
      <w:numFmt w:val="decimal"/>
      <w:lvlText w:val="%1.%2."/>
      <w:lvlJc w:val="left"/>
      <w:pPr>
        <w:ind w:left="590" w:hanging="471"/>
        <w:jc w:val="left"/>
      </w:pPr>
      <w:rPr>
        <w:rFonts w:hint="default" w:ascii="Arial" w:hAnsi="Arial" w:eastAsia="Arial" w:cs="Arial"/>
        <w:b/>
        <w:bCs/>
        <w:spacing w:val="0"/>
        <w:w w:val="99"/>
        <w:sz w:val="24"/>
        <w:szCs w:val="24"/>
      </w:rPr>
    </w:lvl>
    <w:lvl w:ilvl="2">
      <w:start w:val="1"/>
      <w:numFmt w:val="decimal"/>
      <w:lvlText w:val="%3."/>
      <w:lvlJc w:val="left"/>
      <w:pPr>
        <w:ind w:left="840" w:hanging="360"/>
        <w:jc w:val="left"/>
      </w:pPr>
      <w:rPr>
        <w:rFonts w:hint="default" w:ascii="Arial" w:hAnsi="Arial" w:eastAsia="Arial" w:cs="Arial"/>
        <w:spacing w:val="-14"/>
        <w:w w:val="99"/>
        <w:sz w:val="24"/>
        <w:szCs w:val="24"/>
      </w:rPr>
    </w:lvl>
    <w:lvl w:ilvl="3">
      <w:start w:val="1"/>
      <w:numFmt w:val="bullet"/>
      <w:lvlText w:val="•"/>
      <w:lvlJc w:val="left"/>
      <w:pPr>
        <w:ind w:left="2671" w:hanging="360"/>
      </w:pPr>
      <w:rPr>
        <w:rFonts w:hint="default"/>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12">
    <w:multiLevelType w:val="hybridMultilevel"/>
    <w:lvl w:ilvl="0">
      <w:start w:val="2"/>
      <w:numFmt w:val="decimal"/>
      <w:lvlText w:val="%1"/>
      <w:lvlJc w:val="left"/>
      <w:pPr>
        <w:ind w:left="1488" w:hanging="649"/>
        <w:jc w:val="left"/>
      </w:pPr>
      <w:rPr>
        <w:rFonts w:hint="default"/>
      </w:rPr>
    </w:lvl>
    <w:lvl w:ilvl="1">
      <w:start w:val="1"/>
      <w:numFmt w:val="decimal"/>
      <w:lvlText w:val="%1.%2"/>
      <w:lvlJc w:val="left"/>
      <w:pPr>
        <w:ind w:left="1488" w:hanging="649"/>
        <w:jc w:val="left"/>
      </w:pPr>
      <w:rPr>
        <w:rFonts w:hint="default"/>
      </w:rPr>
    </w:lvl>
    <w:lvl w:ilvl="2">
      <w:start w:val="5"/>
      <w:numFmt w:val="decimal"/>
      <w:lvlText w:val="%1.%2.%3"/>
      <w:lvlJc w:val="left"/>
      <w:pPr>
        <w:ind w:left="1488" w:hanging="649"/>
        <w:jc w:val="left"/>
      </w:pPr>
      <w:rPr>
        <w:rFonts w:hint="default" w:ascii="Arial" w:hAnsi="Arial" w:eastAsia="Arial" w:cs="Arial"/>
        <w:b/>
        <w:bCs/>
        <w:spacing w:val="-1"/>
        <w:w w:val="99"/>
        <w:sz w:val="26"/>
        <w:szCs w:val="26"/>
      </w:rPr>
    </w:lvl>
    <w:lvl w:ilvl="3">
      <w:start w:val="1"/>
      <w:numFmt w:val="decimal"/>
      <w:lvlText w:val="%1.%2.%3.%4"/>
      <w:lvlJc w:val="left"/>
      <w:pPr>
        <w:ind w:left="119" w:hanging="805"/>
        <w:jc w:val="right"/>
      </w:pPr>
      <w:rPr>
        <w:rFonts w:hint="default"/>
        <w:b/>
        <w:bCs/>
        <w:w w:val="99"/>
      </w:rPr>
    </w:lvl>
    <w:lvl w:ilvl="4">
      <w:start w:val="1"/>
      <w:numFmt w:val="bullet"/>
      <w:lvlText w:val="•"/>
      <w:lvlJc w:val="left"/>
      <w:pPr>
        <w:ind w:left="4013" w:hanging="805"/>
      </w:pPr>
      <w:rPr>
        <w:rFonts w:hint="default"/>
      </w:rPr>
    </w:lvl>
    <w:lvl w:ilvl="5">
      <w:start w:val="1"/>
      <w:numFmt w:val="bullet"/>
      <w:lvlText w:val="•"/>
      <w:lvlJc w:val="left"/>
      <w:pPr>
        <w:ind w:left="4857" w:hanging="805"/>
      </w:pPr>
      <w:rPr>
        <w:rFonts w:hint="default"/>
      </w:rPr>
    </w:lvl>
    <w:lvl w:ilvl="6">
      <w:start w:val="1"/>
      <w:numFmt w:val="bullet"/>
      <w:lvlText w:val="•"/>
      <w:lvlJc w:val="left"/>
      <w:pPr>
        <w:ind w:left="5702" w:hanging="805"/>
      </w:pPr>
      <w:rPr>
        <w:rFonts w:hint="default"/>
      </w:rPr>
    </w:lvl>
    <w:lvl w:ilvl="7">
      <w:start w:val="1"/>
      <w:numFmt w:val="bullet"/>
      <w:lvlText w:val="•"/>
      <w:lvlJc w:val="left"/>
      <w:pPr>
        <w:ind w:left="6546" w:hanging="805"/>
      </w:pPr>
      <w:rPr>
        <w:rFonts w:hint="default"/>
      </w:rPr>
    </w:lvl>
    <w:lvl w:ilvl="8">
      <w:start w:val="1"/>
      <w:numFmt w:val="bullet"/>
      <w:lvlText w:val="•"/>
      <w:lvlJc w:val="left"/>
      <w:pPr>
        <w:ind w:left="7391" w:hanging="805"/>
      </w:pPr>
      <w:rPr>
        <w:rFonts w:hint="default"/>
      </w:rPr>
    </w:lvl>
  </w:abstractNum>
  <w:abstractNum w:abstractNumId="11">
    <w:multiLevelType w:val="hybridMultilevel"/>
    <w:lvl w:ilvl="0">
      <w:start w:val="2"/>
      <w:numFmt w:val="decimal"/>
      <w:lvlText w:val="%1"/>
      <w:lvlJc w:val="left"/>
      <w:pPr>
        <w:ind w:left="791" w:hanging="672"/>
        <w:jc w:val="left"/>
      </w:pPr>
      <w:rPr>
        <w:rFonts w:hint="default"/>
      </w:rPr>
    </w:lvl>
    <w:lvl w:ilvl="1">
      <w:start w:val="1"/>
      <w:numFmt w:val="decimal"/>
      <w:lvlText w:val="%1.%2"/>
      <w:lvlJc w:val="left"/>
      <w:pPr>
        <w:ind w:left="791" w:hanging="672"/>
        <w:jc w:val="left"/>
      </w:pPr>
      <w:rPr>
        <w:rFonts w:hint="default"/>
      </w:rPr>
    </w:lvl>
    <w:lvl w:ilvl="2">
      <w:start w:val="4"/>
      <w:numFmt w:val="decimal"/>
      <w:lvlText w:val="%1.%2.%3."/>
      <w:lvlJc w:val="left"/>
      <w:pPr>
        <w:ind w:left="791" w:hanging="672"/>
        <w:jc w:val="left"/>
      </w:pPr>
      <w:rPr>
        <w:rFonts w:hint="default" w:ascii="Arial" w:hAnsi="Arial" w:eastAsia="Arial" w:cs="Arial"/>
        <w:b/>
        <w:bCs/>
        <w:spacing w:val="0"/>
        <w:w w:val="99"/>
        <w:sz w:val="24"/>
        <w:szCs w:val="24"/>
      </w:rPr>
    </w:lvl>
    <w:lvl w:ilvl="3">
      <w:start w:val="1"/>
      <w:numFmt w:val="decimal"/>
      <w:lvlText w:val="%1.%2.%3.%4."/>
      <w:lvlJc w:val="left"/>
      <w:pPr>
        <w:ind w:left="993" w:hanging="874"/>
        <w:jc w:val="left"/>
      </w:pPr>
      <w:rPr>
        <w:rFonts w:hint="default" w:ascii="Arial" w:hAnsi="Arial" w:eastAsia="Arial" w:cs="Arial"/>
        <w:b/>
        <w:bCs/>
        <w:spacing w:val="0"/>
        <w:w w:val="99"/>
        <w:sz w:val="24"/>
        <w:szCs w:val="24"/>
      </w:rPr>
    </w:lvl>
    <w:lvl w:ilvl="4">
      <w:start w:val="1"/>
      <w:numFmt w:val="bullet"/>
      <w:lvlText w:val="•"/>
      <w:lvlJc w:val="left"/>
      <w:pPr>
        <w:ind w:left="3693" w:hanging="874"/>
      </w:pPr>
      <w:rPr>
        <w:rFonts w:hint="default"/>
      </w:rPr>
    </w:lvl>
    <w:lvl w:ilvl="5">
      <w:start w:val="1"/>
      <w:numFmt w:val="bullet"/>
      <w:lvlText w:val="•"/>
      <w:lvlJc w:val="left"/>
      <w:pPr>
        <w:ind w:left="4591" w:hanging="874"/>
      </w:pPr>
      <w:rPr>
        <w:rFonts w:hint="default"/>
      </w:rPr>
    </w:lvl>
    <w:lvl w:ilvl="6">
      <w:start w:val="1"/>
      <w:numFmt w:val="bullet"/>
      <w:lvlText w:val="•"/>
      <w:lvlJc w:val="left"/>
      <w:pPr>
        <w:ind w:left="5488" w:hanging="874"/>
      </w:pPr>
      <w:rPr>
        <w:rFonts w:hint="default"/>
      </w:rPr>
    </w:lvl>
    <w:lvl w:ilvl="7">
      <w:start w:val="1"/>
      <w:numFmt w:val="bullet"/>
      <w:lvlText w:val="•"/>
      <w:lvlJc w:val="left"/>
      <w:pPr>
        <w:ind w:left="6386" w:hanging="874"/>
      </w:pPr>
      <w:rPr>
        <w:rFonts w:hint="default"/>
      </w:rPr>
    </w:lvl>
    <w:lvl w:ilvl="8">
      <w:start w:val="1"/>
      <w:numFmt w:val="bullet"/>
      <w:lvlText w:val="•"/>
      <w:lvlJc w:val="left"/>
      <w:pPr>
        <w:ind w:left="7284" w:hanging="874"/>
      </w:pPr>
      <w:rPr>
        <w:rFonts w:hint="default"/>
      </w:rPr>
    </w:lvl>
  </w:abstractNum>
  <w:abstractNum w:abstractNumId="10">
    <w:multiLevelType w:val="hybridMultilevel"/>
    <w:lvl w:ilvl="0">
      <w:start w:val="2"/>
      <w:numFmt w:val="decimal"/>
      <w:lvlText w:val="%1"/>
      <w:lvlJc w:val="left"/>
      <w:pPr>
        <w:ind w:left="725" w:hanging="606"/>
        <w:jc w:val="left"/>
      </w:pPr>
      <w:rPr>
        <w:rFonts w:hint="default"/>
      </w:rPr>
    </w:lvl>
    <w:lvl w:ilvl="1">
      <w:start w:val="1"/>
      <w:numFmt w:val="decimal"/>
      <w:lvlText w:val="%1.%2"/>
      <w:lvlJc w:val="left"/>
      <w:pPr>
        <w:ind w:left="725" w:hanging="606"/>
        <w:jc w:val="left"/>
      </w:pPr>
      <w:rPr>
        <w:rFonts w:hint="default"/>
      </w:rPr>
    </w:lvl>
    <w:lvl w:ilvl="2">
      <w:start w:val="1"/>
      <w:numFmt w:val="decimal"/>
      <w:lvlText w:val="%1.%2.%3"/>
      <w:lvlJc w:val="left"/>
      <w:pPr>
        <w:ind w:left="725" w:hanging="606"/>
        <w:jc w:val="left"/>
      </w:pPr>
      <w:rPr>
        <w:rFonts w:hint="default" w:ascii="Arial" w:hAnsi="Arial" w:eastAsia="Arial" w:cs="Arial"/>
        <w:b/>
        <w:bCs/>
        <w:w w:val="99"/>
        <w:sz w:val="24"/>
        <w:szCs w:val="24"/>
      </w:rPr>
    </w:lvl>
    <w:lvl w:ilvl="3">
      <w:start w:val="1"/>
      <w:numFmt w:val="bullet"/>
      <w:lvlText w:val="•"/>
      <w:lvlJc w:val="left"/>
      <w:pPr>
        <w:ind w:left="3228" w:hanging="606"/>
      </w:pPr>
      <w:rPr>
        <w:rFonts w:hint="default"/>
      </w:rPr>
    </w:lvl>
    <w:lvl w:ilvl="4">
      <w:start w:val="1"/>
      <w:numFmt w:val="bullet"/>
      <w:lvlText w:val="•"/>
      <w:lvlJc w:val="left"/>
      <w:pPr>
        <w:ind w:left="4064" w:hanging="606"/>
      </w:pPr>
      <w:rPr>
        <w:rFonts w:hint="default"/>
      </w:rPr>
    </w:lvl>
    <w:lvl w:ilvl="5">
      <w:start w:val="1"/>
      <w:numFmt w:val="bullet"/>
      <w:lvlText w:val="•"/>
      <w:lvlJc w:val="left"/>
      <w:pPr>
        <w:ind w:left="4900" w:hanging="606"/>
      </w:pPr>
      <w:rPr>
        <w:rFonts w:hint="default"/>
      </w:rPr>
    </w:lvl>
    <w:lvl w:ilvl="6">
      <w:start w:val="1"/>
      <w:numFmt w:val="bullet"/>
      <w:lvlText w:val="•"/>
      <w:lvlJc w:val="left"/>
      <w:pPr>
        <w:ind w:left="5736" w:hanging="606"/>
      </w:pPr>
      <w:rPr>
        <w:rFonts w:hint="default"/>
      </w:rPr>
    </w:lvl>
    <w:lvl w:ilvl="7">
      <w:start w:val="1"/>
      <w:numFmt w:val="bullet"/>
      <w:lvlText w:val="•"/>
      <w:lvlJc w:val="left"/>
      <w:pPr>
        <w:ind w:left="6572" w:hanging="606"/>
      </w:pPr>
      <w:rPr>
        <w:rFonts w:hint="default"/>
      </w:rPr>
    </w:lvl>
    <w:lvl w:ilvl="8">
      <w:start w:val="1"/>
      <w:numFmt w:val="bullet"/>
      <w:lvlText w:val="•"/>
      <w:lvlJc w:val="left"/>
      <w:pPr>
        <w:ind w:left="7408" w:hanging="606"/>
      </w:pPr>
      <w:rPr>
        <w:rFonts w:hint="default"/>
      </w:rPr>
    </w:lvl>
  </w:abstractNum>
  <w:abstractNum w:abstractNumId="9">
    <w:multiLevelType w:val="hybridMultilevel"/>
    <w:lvl w:ilvl="0">
      <w:start w:val="1"/>
      <w:numFmt w:val="decimal"/>
      <w:lvlText w:val="%1"/>
      <w:lvlJc w:val="left"/>
      <w:pPr>
        <w:ind w:left="1065" w:hanging="369"/>
        <w:jc w:val="left"/>
      </w:pPr>
      <w:rPr>
        <w:rFonts w:hint="default"/>
      </w:rPr>
    </w:lvl>
    <w:lvl w:ilvl="1">
      <w:start w:val="1"/>
      <w:numFmt w:val="decimal"/>
      <w:lvlText w:val="%1.%2"/>
      <w:lvlJc w:val="left"/>
      <w:pPr>
        <w:ind w:left="1065" w:hanging="369"/>
        <w:jc w:val="right"/>
      </w:pPr>
      <w:rPr>
        <w:rFonts w:hint="default"/>
        <w:b/>
        <w:bCs/>
        <w:spacing w:val="0"/>
        <w:w w:val="100"/>
      </w:rPr>
    </w:lvl>
    <w:lvl w:ilvl="2">
      <w:start w:val="1"/>
      <w:numFmt w:val="decimal"/>
      <w:lvlText w:val="%3."/>
      <w:lvlJc w:val="left"/>
      <w:pPr>
        <w:ind w:left="835" w:hanging="360"/>
        <w:jc w:val="left"/>
      </w:pPr>
      <w:rPr>
        <w:rFonts w:hint="default" w:ascii="Arial" w:hAnsi="Arial" w:eastAsia="Arial" w:cs="Arial"/>
        <w:spacing w:val="-13"/>
        <w:w w:val="99"/>
        <w:sz w:val="24"/>
        <w:szCs w:val="24"/>
      </w:rPr>
    </w:lvl>
    <w:lvl w:ilvl="3">
      <w:start w:val="1"/>
      <w:numFmt w:val="bullet"/>
      <w:lvlText w:val="•"/>
      <w:lvlJc w:val="left"/>
      <w:pPr>
        <w:ind w:left="2842" w:hanging="360"/>
      </w:pPr>
      <w:rPr>
        <w:rFonts w:hint="default"/>
      </w:rPr>
    </w:lvl>
    <w:lvl w:ilvl="4">
      <w:start w:val="1"/>
      <w:numFmt w:val="bullet"/>
      <w:lvlText w:val="•"/>
      <w:lvlJc w:val="left"/>
      <w:pPr>
        <w:ind w:left="3733" w:hanging="360"/>
      </w:pPr>
      <w:rPr>
        <w:rFonts w:hint="default"/>
      </w:rPr>
    </w:lvl>
    <w:lvl w:ilvl="5">
      <w:start w:val="1"/>
      <w:numFmt w:val="bullet"/>
      <w:lvlText w:val="•"/>
      <w:lvlJc w:val="left"/>
      <w:pPr>
        <w:ind w:left="4624" w:hanging="360"/>
      </w:pPr>
      <w:rPr>
        <w:rFonts w:hint="default"/>
      </w:rPr>
    </w:lvl>
    <w:lvl w:ilvl="6">
      <w:start w:val="1"/>
      <w:numFmt w:val="bullet"/>
      <w:lvlText w:val="•"/>
      <w:lvlJc w:val="left"/>
      <w:pPr>
        <w:ind w:left="5515" w:hanging="360"/>
      </w:pPr>
      <w:rPr>
        <w:rFonts w:hint="default"/>
      </w:rPr>
    </w:lvl>
    <w:lvl w:ilvl="7">
      <w:start w:val="1"/>
      <w:numFmt w:val="bullet"/>
      <w:lvlText w:val="•"/>
      <w:lvlJc w:val="left"/>
      <w:pPr>
        <w:ind w:left="6406" w:hanging="360"/>
      </w:pPr>
      <w:rPr>
        <w:rFonts w:hint="default"/>
      </w:rPr>
    </w:lvl>
    <w:lvl w:ilvl="8">
      <w:start w:val="1"/>
      <w:numFmt w:val="bullet"/>
      <w:lvlText w:val="•"/>
      <w:lvlJc w:val="left"/>
      <w:pPr>
        <w:ind w:left="7297" w:hanging="360"/>
      </w:pPr>
      <w:rPr>
        <w:rFonts w:hint="default"/>
      </w:rPr>
    </w:lvl>
  </w:abstractNum>
  <w:abstractNum w:abstractNumId="8">
    <w:multiLevelType w:val="hybridMultilevel"/>
    <w:lvl w:ilvl="0">
      <w:start w:val="5"/>
      <w:numFmt w:val="decimal"/>
      <w:lvlText w:val="%1"/>
      <w:lvlJc w:val="left"/>
      <w:pPr>
        <w:ind w:left="667" w:hanging="327"/>
        <w:jc w:val="left"/>
      </w:pPr>
      <w:rPr>
        <w:rFonts w:hint="default"/>
      </w:rPr>
    </w:lvl>
    <w:lvl w:ilvl="1">
      <w:start w:val="1"/>
      <w:numFmt w:val="decimal"/>
      <w:lvlText w:val="%1.%2"/>
      <w:lvlJc w:val="left"/>
      <w:pPr>
        <w:ind w:left="340" w:hanging="327"/>
        <w:jc w:val="left"/>
      </w:pPr>
      <w:rPr>
        <w:rFonts w:hint="default" w:ascii="Calibri" w:hAnsi="Calibri" w:eastAsia="Calibri" w:cs="Calibri"/>
        <w:spacing w:val="-2"/>
        <w:w w:val="100"/>
        <w:sz w:val="22"/>
        <w:szCs w:val="22"/>
      </w:rPr>
    </w:lvl>
    <w:lvl w:ilvl="2">
      <w:start w:val="1"/>
      <w:numFmt w:val="bullet"/>
      <w:lvlText w:val="•"/>
      <w:lvlJc w:val="left"/>
      <w:pPr>
        <w:ind w:left="1593" w:hanging="327"/>
      </w:pPr>
      <w:rPr>
        <w:rFonts w:hint="default"/>
      </w:rPr>
    </w:lvl>
    <w:lvl w:ilvl="3">
      <w:start w:val="1"/>
      <w:numFmt w:val="bullet"/>
      <w:lvlText w:val="•"/>
      <w:lvlJc w:val="left"/>
      <w:pPr>
        <w:ind w:left="2526" w:hanging="327"/>
      </w:pPr>
      <w:rPr>
        <w:rFonts w:hint="default"/>
      </w:rPr>
    </w:lvl>
    <w:lvl w:ilvl="4">
      <w:start w:val="1"/>
      <w:numFmt w:val="bullet"/>
      <w:lvlText w:val="•"/>
      <w:lvlJc w:val="left"/>
      <w:pPr>
        <w:ind w:left="3460" w:hanging="327"/>
      </w:pPr>
      <w:rPr>
        <w:rFonts w:hint="default"/>
      </w:rPr>
    </w:lvl>
    <w:lvl w:ilvl="5">
      <w:start w:val="1"/>
      <w:numFmt w:val="bullet"/>
      <w:lvlText w:val="•"/>
      <w:lvlJc w:val="left"/>
      <w:pPr>
        <w:ind w:left="4393" w:hanging="327"/>
      </w:pPr>
      <w:rPr>
        <w:rFonts w:hint="default"/>
      </w:rPr>
    </w:lvl>
    <w:lvl w:ilvl="6">
      <w:start w:val="1"/>
      <w:numFmt w:val="bullet"/>
      <w:lvlText w:val="•"/>
      <w:lvlJc w:val="left"/>
      <w:pPr>
        <w:ind w:left="5326" w:hanging="327"/>
      </w:pPr>
      <w:rPr>
        <w:rFonts w:hint="default"/>
      </w:rPr>
    </w:lvl>
    <w:lvl w:ilvl="7">
      <w:start w:val="1"/>
      <w:numFmt w:val="bullet"/>
      <w:lvlText w:val="•"/>
      <w:lvlJc w:val="left"/>
      <w:pPr>
        <w:ind w:left="6260" w:hanging="327"/>
      </w:pPr>
      <w:rPr>
        <w:rFonts w:hint="default"/>
      </w:rPr>
    </w:lvl>
    <w:lvl w:ilvl="8">
      <w:start w:val="1"/>
      <w:numFmt w:val="bullet"/>
      <w:lvlText w:val="•"/>
      <w:lvlJc w:val="left"/>
      <w:pPr>
        <w:ind w:left="7193" w:hanging="327"/>
      </w:pPr>
      <w:rPr>
        <w:rFonts w:hint="default"/>
      </w:rPr>
    </w:lvl>
  </w:abstractNum>
  <w:abstractNum w:abstractNumId="7">
    <w:multiLevelType w:val="hybridMultilevel"/>
    <w:lvl w:ilvl="0">
      <w:start w:val="4"/>
      <w:numFmt w:val="decimal"/>
      <w:lvlText w:val="%1"/>
      <w:lvlJc w:val="left"/>
      <w:pPr>
        <w:ind w:left="340" w:hanging="327"/>
        <w:jc w:val="left"/>
      </w:pPr>
      <w:rPr>
        <w:rFonts w:hint="default"/>
      </w:rPr>
    </w:lvl>
    <w:lvl w:ilvl="1">
      <w:start w:val="3"/>
      <w:numFmt w:val="decimal"/>
      <w:lvlText w:val="%1.%2"/>
      <w:lvlJc w:val="left"/>
      <w:pPr>
        <w:ind w:left="340" w:hanging="327"/>
        <w:jc w:val="left"/>
      </w:pPr>
      <w:rPr>
        <w:rFonts w:hint="default" w:ascii="Calibri" w:hAnsi="Calibri" w:eastAsia="Calibri" w:cs="Calibri"/>
        <w:spacing w:val="-2"/>
        <w:w w:val="100"/>
        <w:sz w:val="22"/>
        <w:szCs w:val="22"/>
      </w:rPr>
    </w:lvl>
    <w:lvl w:ilvl="2">
      <w:start w:val="1"/>
      <w:numFmt w:val="bullet"/>
      <w:lvlText w:val="•"/>
      <w:lvlJc w:val="left"/>
      <w:pPr>
        <w:ind w:left="2084" w:hanging="327"/>
      </w:pPr>
      <w:rPr>
        <w:rFonts w:hint="default"/>
      </w:rPr>
    </w:lvl>
    <w:lvl w:ilvl="3">
      <w:start w:val="1"/>
      <w:numFmt w:val="bullet"/>
      <w:lvlText w:val="•"/>
      <w:lvlJc w:val="left"/>
      <w:pPr>
        <w:ind w:left="2956" w:hanging="327"/>
      </w:pPr>
      <w:rPr>
        <w:rFonts w:hint="default"/>
      </w:rPr>
    </w:lvl>
    <w:lvl w:ilvl="4">
      <w:start w:val="1"/>
      <w:numFmt w:val="bullet"/>
      <w:lvlText w:val="•"/>
      <w:lvlJc w:val="left"/>
      <w:pPr>
        <w:ind w:left="3828" w:hanging="327"/>
      </w:pPr>
      <w:rPr>
        <w:rFonts w:hint="default"/>
      </w:rPr>
    </w:lvl>
    <w:lvl w:ilvl="5">
      <w:start w:val="1"/>
      <w:numFmt w:val="bullet"/>
      <w:lvlText w:val="•"/>
      <w:lvlJc w:val="left"/>
      <w:pPr>
        <w:ind w:left="4700" w:hanging="327"/>
      </w:pPr>
      <w:rPr>
        <w:rFonts w:hint="default"/>
      </w:rPr>
    </w:lvl>
    <w:lvl w:ilvl="6">
      <w:start w:val="1"/>
      <w:numFmt w:val="bullet"/>
      <w:lvlText w:val="•"/>
      <w:lvlJc w:val="left"/>
      <w:pPr>
        <w:ind w:left="5572" w:hanging="327"/>
      </w:pPr>
      <w:rPr>
        <w:rFonts w:hint="default"/>
      </w:rPr>
    </w:lvl>
    <w:lvl w:ilvl="7">
      <w:start w:val="1"/>
      <w:numFmt w:val="bullet"/>
      <w:lvlText w:val="•"/>
      <w:lvlJc w:val="left"/>
      <w:pPr>
        <w:ind w:left="6444" w:hanging="327"/>
      </w:pPr>
      <w:rPr>
        <w:rFonts w:hint="default"/>
      </w:rPr>
    </w:lvl>
    <w:lvl w:ilvl="8">
      <w:start w:val="1"/>
      <w:numFmt w:val="bullet"/>
      <w:lvlText w:val="•"/>
      <w:lvlJc w:val="left"/>
      <w:pPr>
        <w:ind w:left="7316" w:hanging="327"/>
      </w:pPr>
      <w:rPr>
        <w:rFonts w:hint="default"/>
      </w:rPr>
    </w:lvl>
  </w:abstractNum>
  <w:abstractNum w:abstractNumId="6">
    <w:multiLevelType w:val="hybridMultilevel"/>
    <w:lvl w:ilvl="0">
      <w:start w:val="3"/>
      <w:numFmt w:val="decimal"/>
      <w:lvlText w:val="%1"/>
      <w:lvlJc w:val="left"/>
      <w:pPr>
        <w:ind w:left="667" w:hanging="327"/>
        <w:jc w:val="left"/>
      </w:pPr>
      <w:rPr>
        <w:rFonts w:hint="default"/>
      </w:rPr>
    </w:lvl>
    <w:lvl w:ilvl="1">
      <w:start w:val="1"/>
      <w:numFmt w:val="decimal"/>
      <w:lvlText w:val="%1.%2"/>
      <w:lvlJc w:val="left"/>
      <w:pPr>
        <w:ind w:left="667" w:hanging="327"/>
        <w:jc w:val="left"/>
      </w:pPr>
      <w:rPr>
        <w:rFonts w:hint="default" w:ascii="Calibri" w:hAnsi="Calibri" w:eastAsia="Calibri" w:cs="Calibri"/>
        <w:spacing w:val="-2"/>
        <w:w w:val="100"/>
        <w:sz w:val="22"/>
        <w:szCs w:val="22"/>
      </w:rPr>
    </w:lvl>
    <w:lvl w:ilvl="2">
      <w:start w:val="1"/>
      <w:numFmt w:val="decimal"/>
      <w:lvlText w:val="%1.%2.%3"/>
      <w:lvlJc w:val="left"/>
      <w:pPr>
        <w:ind w:left="1103" w:hanging="542"/>
        <w:jc w:val="left"/>
      </w:pPr>
      <w:rPr>
        <w:rFonts w:hint="default" w:ascii="Calibri" w:hAnsi="Calibri" w:eastAsia="Calibri" w:cs="Calibri"/>
        <w:spacing w:val="-2"/>
        <w:w w:val="100"/>
        <w:sz w:val="22"/>
        <w:szCs w:val="22"/>
      </w:rPr>
    </w:lvl>
    <w:lvl w:ilvl="3">
      <w:start w:val="1"/>
      <w:numFmt w:val="bullet"/>
      <w:lvlText w:val="•"/>
      <w:lvlJc w:val="left"/>
      <w:pPr>
        <w:ind w:left="1440" w:hanging="542"/>
      </w:pPr>
      <w:rPr>
        <w:rFonts w:hint="default"/>
      </w:rPr>
    </w:lvl>
    <w:lvl w:ilvl="4">
      <w:start w:val="1"/>
      <w:numFmt w:val="bullet"/>
      <w:lvlText w:val="•"/>
      <w:lvlJc w:val="left"/>
      <w:pPr>
        <w:ind w:left="2528" w:hanging="542"/>
      </w:pPr>
      <w:rPr>
        <w:rFonts w:hint="default"/>
      </w:rPr>
    </w:lvl>
    <w:lvl w:ilvl="5">
      <w:start w:val="1"/>
      <w:numFmt w:val="bullet"/>
      <w:lvlText w:val="•"/>
      <w:lvlJc w:val="left"/>
      <w:pPr>
        <w:ind w:left="3617" w:hanging="542"/>
      </w:pPr>
      <w:rPr>
        <w:rFonts w:hint="default"/>
      </w:rPr>
    </w:lvl>
    <w:lvl w:ilvl="6">
      <w:start w:val="1"/>
      <w:numFmt w:val="bullet"/>
      <w:lvlText w:val="•"/>
      <w:lvlJc w:val="left"/>
      <w:pPr>
        <w:ind w:left="4705" w:hanging="542"/>
      </w:pPr>
      <w:rPr>
        <w:rFonts w:hint="default"/>
      </w:rPr>
    </w:lvl>
    <w:lvl w:ilvl="7">
      <w:start w:val="1"/>
      <w:numFmt w:val="bullet"/>
      <w:lvlText w:val="•"/>
      <w:lvlJc w:val="left"/>
      <w:pPr>
        <w:ind w:left="5794" w:hanging="542"/>
      </w:pPr>
      <w:rPr>
        <w:rFonts w:hint="default"/>
      </w:rPr>
    </w:lvl>
    <w:lvl w:ilvl="8">
      <w:start w:val="1"/>
      <w:numFmt w:val="bullet"/>
      <w:lvlText w:val="•"/>
      <w:lvlJc w:val="left"/>
      <w:pPr>
        <w:ind w:left="6882" w:hanging="542"/>
      </w:pPr>
      <w:rPr>
        <w:rFonts w:hint="default"/>
      </w:rPr>
    </w:lvl>
  </w:abstractNum>
  <w:abstractNum w:abstractNumId="5">
    <w:multiLevelType w:val="hybridMultilevel"/>
    <w:lvl w:ilvl="0">
      <w:start w:val="2"/>
      <w:numFmt w:val="decimal"/>
      <w:lvlText w:val="%1"/>
      <w:lvlJc w:val="left"/>
      <w:pPr>
        <w:ind w:left="1444" w:hanging="662"/>
        <w:jc w:val="left"/>
      </w:pPr>
      <w:rPr>
        <w:rFonts w:hint="default"/>
      </w:rPr>
    </w:lvl>
    <w:lvl w:ilvl="1">
      <w:start w:val="3"/>
      <w:numFmt w:val="decimal"/>
      <w:lvlText w:val="%1.%2"/>
      <w:lvlJc w:val="left"/>
      <w:pPr>
        <w:ind w:left="1444" w:hanging="662"/>
        <w:jc w:val="left"/>
      </w:pPr>
      <w:rPr>
        <w:rFonts w:hint="default"/>
      </w:rPr>
    </w:lvl>
    <w:lvl w:ilvl="2">
      <w:start w:val="2"/>
      <w:numFmt w:val="decimal"/>
      <w:lvlText w:val="%1.%2.%3"/>
      <w:lvlJc w:val="left"/>
      <w:pPr>
        <w:ind w:left="1444" w:hanging="662"/>
        <w:jc w:val="left"/>
      </w:pPr>
      <w:rPr>
        <w:rFonts w:hint="default"/>
      </w:rPr>
    </w:lvl>
    <w:lvl w:ilvl="3">
      <w:start w:val="4"/>
      <w:numFmt w:val="decimal"/>
      <w:lvlText w:val="%1.%2.%3.%4"/>
      <w:lvlJc w:val="left"/>
      <w:pPr>
        <w:ind w:left="1444" w:hanging="662"/>
        <w:jc w:val="left"/>
      </w:pPr>
      <w:rPr>
        <w:rFonts w:hint="default" w:ascii="Calibri" w:hAnsi="Calibri" w:eastAsia="Calibri" w:cs="Calibri"/>
        <w:spacing w:val="-2"/>
        <w:w w:val="100"/>
        <w:sz w:val="22"/>
        <w:szCs w:val="22"/>
      </w:rPr>
    </w:lvl>
    <w:lvl w:ilvl="4">
      <w:start w:val="1"/>
      <w:numFmt w:val="bullet"/>
      <w:lvlText w:val="•"/>
      <w:lvlJc w:val="left"/>
      <w:pPr>
        <w:ind w:left="4488" w:hanging="662"/>
      </w:pPr>
      <w:rPr>
        <w:rFonts w:hint="default"/>
      </w:rPr>
    </w:lvl>
    <w:lvl w:ilvl="5">
      <w:start w:val="1"/>
      <w:numFmt w:val="bullet"/>
      <w:lvlText w:val="•"/>
      <w:lvlJc w:val="left"/>
      <w:pPr>
        <w:ind w:left="5250" w:hanging="662"/>
      </w:pPr>
      <w:rPr>
        <w:rFonts w:hint="default"/>
      </w:rPr>
    </w:lvl>
    <w:lvl w:ilvl="6">
      <w:start w:val="1"/>
      <w:numFmt w:val="bullet"/>
      <w:lvlText w:val="•"/>
      <w:lvlJc w:val="left"/>
      <w:pPr>
        <w:ind w:left="6012" w:hanging="662"/>
      </w:pPr>
      <w:rPr>
        <w:rFonts w:hint="default"/>
      </w:rPr>
    </w:lvl>
    <w:lvl w:ilvl="7">
      <w:start w:val="1"/>
      <w:numFmt w:val="bullet"/>
      <w:lvlText w:val="•"/>
      <w:lvlJc w:val="left"/>
      <w:pPr>
        <w:ind w:left="6774" w:hanging="662"/>
      </w:pPr>
      <w:rPr>
        <w:rFonts w:hint="default"/>
      </w:rPr>
    </w:lvl>
    <w:lvl w:ilvl="8">
      <w:start w:val="1"/>
      <w:numFmt w:val="bullet"/>
      <w:lvlText w:val="•"/>
      <w:lvlJc w:val="left"/>
      <w:pPr>
        <w:ind w:left="7536" w:hanging="662"/>
      </w:pPr>
      <w:rPr>
        <w:rFonts w:hint="default"/>
      </w:rPr>
    </w:lvl>
  </w:abstractNum>
  <w:abstractNum w:abstractNumId="4">
    <w:multiLevelType w:val="hybridMultilevel"/>
    <w:lvl w:ilvl="0">
      <w:start w:val="2"/>
      <w:numFmt w:val="decimal"/>
      <w:lvlText w:val="%1"/>
      <w:lvlJc w:val="left"/>
      <w:pPr>
        <w:ind w:left="724" w:hanging="384"/>
        <w:jc w:val="left"/>
      </w:pPr>
      <w:rPr>
        <w:rFonts w:hint="default"/>
      </w:rPr>
    </w:lvl>
    <w:lvl w:ilvl="1">
      <w:start w:val="3"/>
      <w:numFmt w:val="decimal"/>
      <w:lvlText w:val="%1.%2."/>
      <w:lvlJc w:val="left"/>
      <w:pPr>
        <w:ind w:left="724" w:hanging="384"/>
        <w:jc w:val="left"/>
      </w:pPr>
      <w:rPr>
        <w:rFonts w:hint="default" w:ascii="Calibri" w:hAnsi="Calibri" w:eastAsia="Calibri" w:cs="Calibri"/>
        <w:spacing w:val="-2"/>
        <w:w w:val="100"/>
        <w:sz w:val="22"/>
        <w:szCs w:val="22"/>
      </w:rPr>
    </w:lvl>
    <w:lvl w:ilvl="2">
      <w:start w:val="2"/>
      <w:numFmt w:val="decimal"/>
      <w:lvlText w:val="%1.%2.%3."/>
      <w:lvlJc w:val="left"/>
      <w:pPr>
        <w:ind w:left="1113" w:hanging="552"/>
        <w:jc w:val="left"/>
      </w:pPr>
      <w:rPr>
        <w:rFonts w:hint="default" w:ascii="Calibri" w:hAnsi="Calibri" w:eastAsia="Calibri" w:cs="Calibri"/>
        <w:spacing w:val="-2"/>
        <w:w w:val="100"/>
        <w:sz w:val="22"/>
        <w:szCs w:val="22"/>
      </w:rPr>
    </w:lvl>
    <w:lvl w:ilvl="3">
      <w:start w:val="1"/>
      <w:numFmt w:val="decimal"/>
      <w:lvlText w:val="%1.%2.%3.%4"/>
      <w:lvlJc w:val="left"/>
      <w:pPr>
        <w:ind w:left="1444" w:hanging="662"/>
        <w:jc w:val="left"/>
      </w:pPr>
      <w:rPr>
        <w:rFonts w:hint="default" w:ascii="Calibri" w:hAnsi="Calibri" w:eastAsia="Calibri" w:cs="Calibri"/>
        <w:spacing w:val="-2"/>
        <w:w w:val="100"/>
        <w:sz w:val="22"/>
        <w:szCs w:val="22"/>
      </w:rPr>
    </w:lvl>
    <w:lvl w:ilvl="4">
      <w:start w:val="1"/>
      <w:numFmt w:val="bullet"/>
      <w:lvlText w:val="•"/>
      <w:lvlJc w:val="left"/>
      <w:pPr>
        <w:ind w:left="1820" w:hanging="662"/>
      </w:pPr>
      <w:rPr>
        <w:rFonts w:hint="default"/>
      </w:rPr>
    </w:lvl>
    <w:lvl w:ilvl="5">
      <w:start w:val="1"/>
      <w:numFmt w:val="bullet"/>
      <w:lvlText w:val="•"/>
      <w:lvlJc w:val="left"/>
      <w:pPr>
        <w:ind w:left="3026" w:hanging="662"/>
      </w:pPr>
      <w:rPr>
        <w:rFonts w:hint="default"/>
      </w:rPr>
    </w:lvl>
    <w:lvl w:ilvl="6">
      <w:start w:val="1"/>
      <w:numFmt w:val="bullet"/>
      <w:lvlText w:val="•"/>
      <w:lvlJc w:val="left"/>
      <w:pPr>
        <w:ind w:left="4233" w:hanging="662"/>
      </w:pPr>
      <w:rPr>
        <w:rFonts w:hint="default"/>
      </w:rPr>
    </w:lvl>
    <w:lvl w:ilvl="7">
      <w:start w:val="1"/>
      <w:numFmt w:val="bullet"/>
      <w:lvlText w:val="•"/>
      <w:lvlJc w:val="left"/>
      <w:pPr>
        <w:ind w:left="5440" w:hanging="662"/>
      </w:pPr>
      <w:rPr>
        <w:rFonts w:hint="default"/>
      </w:rPr>
    </w:lvl>
    <w:lvl w:ilvl="8">
      <w:start w:val="1"/>
      <w:numFmt w:val="bullet"/>
      <w:lvlText w:val="•"/>
      <w:lvlJc w:val="left"/>
      <w:pPr>
        <w:ind w:left="6646" w:hanging="662"/>
      </w:pPr>
      <w:rPr>
        <w:rFonts w:hint="default"/>
      </w:rPr>
    </w:lvl>
  </w:abstractNum>
  <w:abstractNum w:abstractNumId="3">
    <w:multiLevelType w:val="hybridMultilevel"/>
    <w:lvl w:ilvl="0">
      <w:start w:val="2"/>
      <w:numFmt w:val="decimal"/>
      <w:lvlText w:val="%1"/>
      <w:lvlJc w:val="left"/>
      <w:pPr>
        <w:ind w:left="1055" w:hanging="494"/>
        <w:jc w:val="left"/>
      </w:pPr>
      <w:rPr>
        <w:rFonts w:hint="default"/>
      </w:rPr>
    </w:lvl>
    <w:lvl w:ilvl="1">
      <w:start w:val="1"/>
      <w:numFmt w:val="decimal"/>
      <w:lvlText w:val="%1.%2"/>
      <w:lvlJc w:val="left"/>
      <w:pPr>
        <w:ind w:left="1055" w:hanging="494"/>
        <w:jc w:val="left"/>
      </w:pPr>
      <w:rPr>
        <w:rFonts w:hint="default"/>
      </w:rPr>
    </w:lvl>
    <w:lvl w:ilvl="2">
      <w:start w:val="5"/>
      <w:numFmt w:val="decimal"/>
      <w:lvlText w:val="%1.%2.%3"/>
      <w:lvlJc w:val="left"/>
      <w:pPr>
        <w:ind w:left="1055" w:hanging="494"/>
        <w:jc w:val="left"/>
      </w:pPr>
      <w:rPr>
        <w:rFonts w:hint="default" w:ascii="Calibri" w:hAnsi="Calibri" w:eastAsia="Calibri" w:cs="Calibri"/>
        <w:spacing w:val="-2"/>
        <w:w w:val="100"/>
        <w:sz w:val="22"/>
        <w:szCs w:val="22"/>
      </w:rPr>
    </w:lvl>
    <w:lvl w:ilvl="3">
      <w:start w:val="1"/>
      <w:numFmt w:val="decimal"/>
      <w:lvlText w:val="%1.%2.%3.%4"/>
      <w:lvlJc w:val="left"/>
      <w:pPr>
        <w:ind w:left="1444" w:hanging="662"/>
        <w:jc w:val="left"/>
      </w:pPr>
      <w:rPr>
        <w:rFonts w:hint="default" w:ascii="Calibri" w:hAnsi="Calibri" w:eastAsia="Calibri" w:cs="Calibri"/>
        <w:spacing w:val="-2"/>
        <w:w w:val="100"/>
        <w:sz w:val="22"/>
        <w:szCs w:val="22"/>
      </w:rPr>
    </w:lvl>
    <w:lvl w:ilvl="4">
      <w:start w:val="1"/>
      <w:numFmt w:val="bullet"/>
      <w:lvlText w:val="•"/>
      <w:lvlJc w:val="left"/>
      <w:pPr>
        <w:ind w:left="3980" w:hanging="662"/>
      </w:pPr>
      <w:rPr>
        <w:rFonts w:hint="default"/>
      </w:rPr>
    </w:lvl>
    <w:lvl w:ilvl="5">
      <w:start w:val="1"/>
      <w:numFmt w:val="bullet"/>
      <w:lvlText w:val="•"/>
      <w:lvlJc w:val="left"/>
      <w:pPr>
        <w:ind w:left="4826" w:hanging="662"/>
      </w:pPr>
      <w:rPr>
        <w:rFonts w:hint="default"/>
      </w:rPr>
    </w:lvl>
    <w:lvl w:ilvl="6">
      <w:start w:val="1"/>
      <w:numFmt w:val="bullet"/>
      <w:lvlText w:val="•"/>
      <w:lvlJc w:val="left"/>
      <w:pPr>
        <w:ind w:left="5673" w:hanging="662"/>
      </w:pPr>
      <w:rPr>
        <w:rFonts w:hint="default"/>
      </w:rPr>
    </w:lvl>
    <w:lvl w:ilvl="7">
      <w:start w:val="1"/>
      <w:numFmt w:val="bullet"/>
      <w:lvlText w:val="•"/>
      <w:lvlJc w:val="left"/>
      <w:pPr>
        <w:ind w:left="6520" w:hanging="662"/>
      </w:pPr>
      <w:rPr>
        <w:rFonts w:hint="default"/>
      </w:rPr>
    </w:lvl>
    <w:lvl w:ilvl="8">
      <w:start w:val="1"/>
      <w:numFmt w:val="bullet"/>
      <w:lvlText w:val="•"/>
      <w:lvlJc w:val="left"/>
      <w:pPr>
        <w:ind w:left="7366" w:hanging="662"/>
      </w:pPr>
      <w:rPr>
        <w:rFonts w:hint="default"/>
      </w:rPr>
    </w:lvl>
  </w:abstractNum>
  <w:abstractNum w:abstractNumId="2">
    <w:multiLevelType w:val="hybridMultilevel"/>
    <w:lvl w:ilvl="0">
      <w:start w:val="2"/>
      <w:numFmt w:val="decimal"/>
      <w:lvlText w:val="%1"/>
      <w:lvlJc w:val="left"/>
      <w:pPr>
        <w:ind w:left="1113" w:hanging="552"/>
        <w:jc w:val="left"/>
      </w:pPr>
      <w:rPr>
        <w:rFonts w:hint="default"/>
      </w:rPr>
    </w:lvl>
    <w:lvl w:ilvl="1">
      <w:start w:val="1"/>
      <w:numFmt w:val="decimal"/>
      <w:lvlText w:val="%1.%2"/>
      <w:lvlJc w:val="left"/>
      <w:pPr>
        <w:ind w:left="1113" w:hanging="552"/>
        <w:jc w:val="left"/>
      </w:pPr>
      <w:rPr>
        <w:rFonts w:hint="default"/>
      </w:rPr>
    </w:lvl>
    <w:lvl w:ilvl="2">
      <w:start w:val="4"/>
      <w:numFmt w:val="decimal"/>
      <w:lvlText w:val="%1.%2.%3."/>
      <w:lvlJc w:val="left"/>
      <w:pPr>
        <w:ind w:left="1113" w:hanging="552"/>
        <w:jc w:val="left"/>
      </w:pPr>
      <w:rPr>
        <w:rFonts w:hint="default" w:ascii="Calibri" w:hAnsi="Calibri" w:eastAsia="Calibri" w:cs="Calibri"/>
        <w:spacing w:val="-2"/>
        <w:w w:val="100"/>
        <w:sz w:val="22"/>
        <w:szCs w:val="22"/>
      </w:rPr>
    </w:lvl>
    <w:lvl w:ilvl="3">
      <w:start w:val="1"/>
      <w:numFmt w:val="decimal"/>
      <w:lvlText w:val="%1.%2.%3.%4."/>
      <w:lvlJc w:val="left"/>
      <w:pPr>
        <w:ind w:left="1501" w:hanging="720"/>
        <w:jc w:val="left"/>
      </w:pPr>
      <w:rPr>
        <w:rFonts w:hint="default" w:ascii="Calibri" w:hAnsi="Calibri" w:eastAsia="Calibri" w:cs="Calibri"/>
        <w:spacing w:val="-2"/>
        <w:w w:val="100"/>
        <w:sz w:val="22"/>
        <w:szCs w:val="22"/>
      </w:rPr>
    </w:lvl>
    <w:lvl w:ilvl="4">
      <w:start w:val="1"/>
      <w:numFmt w:val="bullet"/>
      <w:lvlText w:val="•"/>
      <w:lvlJc w:val="left"/>
      <w:pPr>
        <w:ind w:left="4020" w:hanging="720"/>
      </w:pPr>
      <w:rPr>
        <w:rFonts w:hint="default"/>
      </w:rPr>
    </w:lvl>
    <w:lvl w:ilvl="5">
      <w:start w:val="1"/>
      <w:numFmt w:val="bullet"/>
      <w:lvlText w:val="•"/>
      <w:lvlJc w:val="left"/>
      <w:pPr>
        <w:ind w:left="4860" w:hanging="720"/>
      </w:pPr>
      <w:rPr>
        <w:rFonts w:hint="default"/>
      </w:rPr>
    </w:lvl>
    <w:lvl w:ilvl="6">
      <w:start w:val="1"/>
      <w:numFmt w:val="bullet"/>
      <w:lvlText w:val="•"/>
      <w:lvlJc w:val="left"/>
      <w:pPr>
        <w:ind w:left="5700" w:hanging="720"/>
      </w:pPr>
      <w:rPr>
        <w:rFonts w:hint="default"/>
      </w:rPr>
    </w:lvl>
    <w:lvl w:ilvl="7">
      <w:start w:val="1"/>
      <w:numFmt w:val="bullet"/>
      <w:lvlText w:val="•"/>
      <w:lvlJc w:val="left"/>
      <w:pPr>
        <w:ind w:left="6540" w:hanging="720"/>
      </w:pPr>
      <w:rPr>
        <w:rFonts w:hint="default"/>
      </w:rPr>
    </w:lvl>
    <w:lvl w:ilvl="8">
      <w:start w:val="1"/>
      <w:numFmt w:val="bullet"/>
      <w:lvlText w:val="•"/>
      <w:lvlJc w:val="left"/>
      <w:pPr>
        <w:ind w:left="7380" w:hanging="720"/>
      </w:pPr>
      <w:rPr>
        <w:rFonts w:hint="default"/>
      </w:rPr>
    </w:lvl>
  </w:abstractNum>
  <w:abstractNum w:abstractNumId="1">
    <w:multiLevelType w:val="hybridMultilevel"/>
    <w:lvl w:ilvl="0">
      <w:start w:val="2"/>
      <w:numFmt w:val="decimal"/>
      <w:lvlText w:val="%1"/>
      <w:lvlJc w:val="left"/>
      <w:pPr>
        <w:ind w:left="998" w:hanging="658"/>
        <w:jc w:val="left"/>
      </w:pPr>
      <w:rPr>
        <w:rFonts w:hint="default"/>
      </w:rPr>
    </w:lvl>
    <w:lvl w:ilvl="1">
      <w:start w:val="1"/>
      <w:numFmt w:val="decimal"/>
      <w:lvlText w:val="%1.%2"/>
      <w:lvlJc w:val="left"/>
      <w:pPr>
        <w:ind w:left="998" w:hanging="658"/>
        <w:jc w:val="left"/>
      </w:pPr>
      <w:rPr>
        <w:rFonts w:hint="default" w:ascii="Calibri" w:hAnsi="Calibri" w:eastAsia="Calibri" w:cs="Calibri"/>
        <w:spacing w:val="-2"/>
        <w:w w:val="100"/>
        <w:sz w:val="22"/>
        <w:szCs w:val="22"/>
      </w:rPr>
    </w:lvl>
    <w:lvl w:ilvl="2">
      <w:start w:val="1"/>
      <w:numFmt w:val="decimal"/>
      <w:lvlText w:val="%1.%2.%3"/>
      <w:lvlJc w:val="left"/>
      <w:pPr>
        <w:ind w:left="1055" w:hanging="494"/>
        <w:jc w:val="left"/>
      </w:pPr>
      <w:rPr>
        <w:rFonts w:hint="default" w:ascii="Calibri" w:hAnsi="Calibri" w:eastAsia="Calibri" w:cs="Calibri"/>
        <w:spacing w:val="-2"/>
        <w:w w:val="100"/>
        <w:sz w:val="22"/>
        <w:szCs w:val="22"/>
      </w:rPr>
    </w:lvl>
    <w:lvl w:ilvl="3">
      <w:start w:val="1"/>
      <w:numFmt w:val="bullet"/>
      <w:lvlText w:val="•"/>
      <w:lvlJc w:val="left"/>
      <w:pPr>
        <w:ind w:left="2837" w:hanging="494"/>
      </w:pPr>
      <w:rPr>
        <w:rFonts w:hint="default"/>
      </w:rPr>
    </w:lvl>
    <w:lvl w:ilvl="4">
      <w:start w:val="1"/>
      <w:numFmt w:val="bullet"/>
      <w:lvlText w:val="•"/>
      <w:lvlJc w:val="left"/>
      <w:pPr>
        <w:ind w:left="3726" w:hanging="494"/>
      </w:pPr>
      <w:rPr>
        <w:rFonts w:hint="default"/>
      </w:rPr>
    </w:lvl>
    <w:lvl w:ilvl="5">
      <w:start w:val="1"/>
      <w:numFmt w:val="bullet"/>
      <w:lvlText w:val="•"/>
      <w:lvlJc w:val="left"/>
      <w:pPr>
        <w:ind w:left="4615" w:hanging="494"/>
      </w:pPr>
      <w:rPr>
        <w:rFonts w:hint="default"/>
      </w:rPr>
    </w:lvl>
    <w:lvl w:ilvl="6">
      <w:start w:val="1"/>
      <w:numFmt w:val="bullet"/>
      <w:lvlText w:val="•"/>
      <w:lvlJc w:val="left"/>
      <w:pPr>
        <w:ind w:left="5504" w:hanging="494"/>
      </w:pPr>
      <w:rPr>
        <w:rFonts w:hint="default"/>
      </w:rPr>
    </w:lvl>
    <w:lvl w:ilvl="7">
      <w:start w:val="1"/>
      <w:numFmt w:val="bullet"/>
      <w:lvlText w:val="•"/>
      <w:lvlJc w:val="left"/>
      <w:pPr>
        <w:ind w:left="6393" w:hanging="494"/>
      </w:pPr>
      <w:rPr>
        <w:rFonts w:hint="default"/>
      </w:rPr>
    </w:lvl>
    <w:lvl w:ilvl="8">
      <w:start w:val="1"/>
      <w:numFmt w:val="bullet"/>
      <w:lvlText w:val="•"/>
      <w:lvlJc w:val="left"/>
      <w:pPr>
        <w:ind w:left="7282" w:hanging="494"/>
      </w:pPr>
      <w:rPr>
        <w:rFonts w:hint="default"/>
      </w:rPr>
    </w:lvl>
  </w:abstractNum>
  <w:abstractNum w:abstractNumId="0">
    <w:multiLevelType w:val="hybridMultilevel"/>
    <w:lvl w:ilvl="0">
      <w:start w:val="1"/>
      <w:numFmt w:val="decimal"/>
      <w:lvlText w:val="%1"/>
      <w:lvlJc w:val="left"/>
      <w:pPr>
        <w:ind w:left="667" w:hanging="327"/>
        <w:jc w:val="left"/>
      </w:pPr>
      <w:rPr>
        <w:rFonts w:hint="default"/>
      </w:rPr>
    </w:lvl>
    <w:lvl w:ilvl="1">
      <w:start w:val="1"/>
      <w:numFmt w:val="decimal"/>
      <w:lvlText w:val="%1.%2"/>
      <w:lvlJc w:val="left"/>
      <w:pPr>
        <w:ind w:left="667" w:hanging="327"/>
        <w:jc w:val="left"/>
      </w:pPr>
      <w:rPr>
        <w:rFonts w:hint="default" w:ascii="Calibri" w:hAnsi="Calibri" w:eastAsia="Calibri" w:cs="Calibri"/>
        <w:spacing w:val="-2"/>
        <w:w w:val="100"/>
        <w:sz w:val="22"/>
        <w:szCs w:val="22"/>
      </w:rPr>
    </w:lvl>
    <w:lvl w:ilvl="2">
      <w:start w:val="1"/>
      <w:numFmt w:val="bullet"/>
      <w:lvlText w:val="•"/>
      <w:lvlJc w:val="left"/>
      <w:pPr>
        <w:ind w:left="1948" w:hanging="327"/>
      </w:pPr>
      <w:rPr>
        <w:rFonts w:hint="default"/>
      </w:rPr>
    </w:lvl>
    <w:lvl w:ilvl="3">
      <w:start w:val="1"/>
      <w:numFmt w:val="bullet"/>
      <w:lvlText w:val="•"/>
      <w:lvlJc w:val="left"/>
      <w:pPr>
        <w:ind w:left="2837" w:hanging="327"/>
      </w:pPr>
      <w:rPr>
        <w:rFonts w:hint="default"/>
      </w:rPr>
    </w:lvl>
    <w:lvl w:ilvl="4">
      <w:start w:val="1"/>
      <w:numFmt w:val="bullet"/>
      <w:lvlText w:val="•"/>
      <w:lvlJc w:val="left"/>
      <w:pPr>
        <w:ind w:left="3726" w:hanging="327"/>
      </w:pPr>
      <w:rPr>
        <w:rFonts w:hint="default"/>
      </w:rPr>
    </w:lvl>
    <w:lvl w:ilvl="5">
      <w:start w:val="1"/>
      <w:numFmt w:val="bullet"/>
      <w:lvlText w:val="•"/>
      <w:lvlJc w:val="left"/>
      <w:pPr>
        <w:ind w:left="4615" w:hanging="327"/>
      </w:pPr>
      <w:rPr>
        <w:rFonts w:hint="default"/>
      </w:rPr>
    </w:lvl>
    <w:lvl w:ilvl="6">
      <w:start w:val="1"/>
      <w:numFmt w:val="bullet"/>
      <w:lvlText w:val="•"/>
      <w:lvlJc w:val="left"/>
      <w:pPr>
        <w:ind w:left="5504" w:hanging="327"/>
      </w:pPr>
      <w:rPr>
        <w:rFonts w:hint="default"/>
      </w:rPr>
    </w:lvl>
    <w:lvl w:ilvl="7">
      <w:start w:val="1"/>
      <w:numFmt w:val="bullet"/>
      <w:lvlText w:val="•"/>
      <w:lvlJc w:val="left"/>
      <w:pPr>
        <w:ind w:left="6393" w:hanging="327"/>
      </w:pPr>
      <w:rPr>
        <w:rFonts w:hint="default"/>
      </w:rPr>
    </w:lvl>
    <w:lvl w:ilvl="8">
      <w:start w:val="1"/>
      <w:numFmt w:val="bullet"/>
      <w:lvlText w:val="•"/>
      <w:lvlJc w:val="left"/>
      <w:pPr>
        <w:ind w:left="7282" w:hanging="327"/>
      </w:pPr>
      <w:rPr>
        <w:rFonts w:hint="default"/>
      </w:rPr>
    </w:lvl>
  </w:abstract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42"/>
      <w:ind w:left="119"/>
    </w:pPr>
    <w:rPr>
      <w:rFonts w:ascii="Arial" w:hAnsi="Arial" w:eastAsia="Arial" w:cs="Arial"/>
      <w:b/>
      <w:bCs/>
      <w:sz w:val="24"/>
      <w:szCs w:val="24"/>
    </w:rPr>
  </w:style>
  <w:style w:styleId="TOC2" w:type="paragraph">
    <w:name w:val="TOC 2"/>
    <w:basedOn w:val="Normal"/>
    <w:uiPriority w:val="1"/>
    <w:qFormat/>
    <w:pPr>
      <w:spacing w:before="240"/>
      <w:ind w:left="667" w:hanging="327"/>
    </w:pPr>
    <w:rPr>
      <w:rFonts w:ascii="Calibri" w:hAnsi="Calibri" w:eastAsia="Calibri" w:cs="Calibri"/>
      <w:sz w:val="22"/>
      <w:szCs w:val="22"/>
    </w:rPr>
  </w:style>
  <w:style w:styleId="TOC3" w:type="paragraph">
    <w:name w:val="TOC 3"/>
    <w:basedOn w:val="Normal"/>
    <w:uiPriority w:val="1"/>
    <w:qFormat/>
    <w:pPr>
      <w:spacing w:before="240"/>
      <w:ind w:left="1055" w:hanging="494"/>
    </w:pPr>
    <w:rPr>
      <w:rFonts w:ascii="Calibri" w:hAnsi="Calibri" w:eastAsia="Calibri" w:cs="Calibri"/>
      <w:sz w:val="22"/>
      <w:szCs w:val="22"/>
    </w:rPr>
  </w:style>
  <w:style w:styleId="TOC4" w:type="paragraph">
    <w:name w:val="TOC 4"/>
    <w:basedOn w:val="Normal"/>
    <w:uiPriority w:val="1"/>
    <w:qFormat/>
    <w:pPr>
      <w:spacing w:before="240"/>
      <w:ind w:left="1444" w:hanging="662"/>
    </w:pPr>
    <w:rPr>
      <w:rFonts w:ascii="Calibri" w:hAnsi="Calibri" w:eastAsia="Calibri" w:cs="Calibri"/>
      <w:sz w:val="22"/>
      <w:szCs w:val="22"/>
    </w:rPr>
  </w:style>
  <w:style w:styleId="TOC5" w:type="paragraph">
    <w:name w:val="TOC 5"/>
    <w:basedOn w:val="Normal"/>
    <w:uiPriority w:val="1"/>
    <w:qFormat/>
    <w:pPr>
      <w:spacing w:before="240"/>
      <w:ind w:left="998"/>
    </w:pPr>
    <w:rPr>
      <w:rFonts w:ascii="Calibri" w:hAnsi="Calibri" w:eastAsia="Calibri" w:cs="Calibri"/>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488" w:hanging="648"/>
      <w:outlineLvl w:val="1"/>
    </w:pPr>
    <w:rPr>
      <w:rFonts w:ascii="Arial" w:hAnsi="Arial" w:eastAsia="Arial" w:cs="Arial"/>
      <w:b/>
      <w:bCs/>
      <w:sz w:val="26"/>
      <w:szCs w:val="26"/>
    </w:rPr>
  </w:style>
  <w:style w:styleId="Heading2" w:type="paragraph">
    <w:name w:val="Heading 2"/>
    <w:basedOn w:val="Normal"/>
    <w:uiPriority w:val="1"/>
    <w:qFormat/>
    <w:pPr>
      <w:ind w:left="119"/>
      <w:jc w:val="both"/>
      <w:outlineLvl w:val="2"/>
    </w:pPr>
    <w:rPr>
      <w:rFonts w:ascii="Arial" w:hAnsi="Arial" w:eastAsia="Arial" w:cs="Arial"/>
      <w:b/>
      <w:bCs/>
      <w:sz w:val="24"/>
      <w:szCs w:val="24"/>
    </w:rPr>
  </w:style>
  <w:style w:styleId="ListParagraph" w:type="paragraph">
    <w:name w:val="List Paragraph"/>
    <w:basedOn w:val="Normal"/>
    <w:uiPriority w:val="1"/>
    <w:qFormat/>
    <w:pPr>
      <w:ind w:left="119"/>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footer" Target="footer1.xml"/><Relationship Id="rId10" Type="http://schemas.openxmlformats.org/officeDocument/2006/relationships/image" Target="media/image5.jpe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footer" Target="footer2.xml"/><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image" Target="media/image18.png"/><Relationship Id="rId25" Type="http://schemas.openxmlformats.org/officeDocument/2006/relationships/image" Target="media/image19.png"/><Relationship Id="rId26" Type="http://schemas.openxmlformats.org/officeDocument/2006/relationships/image" Target="media/image20.png"/><Relationship Id="rId27" Type="http://schemas.openxmlformats.org/officeDocument/2006/relationships/image" Target="media/image21.png"/><Relationship Id="rId28" Type="http://schemas.openxmlformats.org/officeDocument/2006/relationships/footer" Target="footer3.xml"/><Relationship Id="rId29" Type="http://schemas.openxmlformats.org/officeDocument/2006/relationships/footer" Target="footer4.xml"/><Relationship Id="rId30" Type="http://schemas.openxmlformats.org/officeDocument/2006/relationships/footer" Target="footer5.xml"/><Relationship Id="rId31" Type="http://schemas.openxmlformats.org/officeDocument/2006/relationships/footer" Target="footer6.xml"/><Relationship Id="rId32" Type="http://schemas.openxmlformats.org/officeDocument/2006/relationships/footer" Target="footer7.xml"/><Relationship Id="rId33" Type="http://schemas.openxmlformats.org/officeDocument/2006/relationships/image" Target="media/image22.jpeg"/><Relationship Id="rId34" Type="http://schemas.openxmlformats.org/officeDocument/2006/relationships/image" Target="media/image23.png"/><Relationship Id="rId35" Type="http://schemas.openxmlformats.org/officeDocument/2006/relationships/footer" Target="footer8.xml"/><Relationship Id="rId36" Type="http://schemas.openxmlformats.org/officeDocument/2006/relationships/footer" Target="footer9.xml"/><Relationship Id="rId37" Type="http://schemas.openxmlformats.org/officeDocument/2006/relationships/image" Target="media/image24.jpeg"/><Relationship Id="rId38" Type="http://schemas.openxmlformats.org/officeDocument/2006/relationships/image" Target="media/image25.jpeg"/><Relationship Id="rId39" Type="http://schemas.openxmlformats.org/officeDocument/2006/relationships/image" Target="media/image26.jpeg"/><Relationship Id="rId40" Type="http://schemas.openxmlformats.org/officeDocument/2006/relationships/image" Target="media/image27.jpeg"/><Relationship Id="rId41" Type="http://schemas.openxmlformats.org/officeDocument/2006/relationships/image" Target="media/image28.jpeg"/><Relationship Id="rId42" Type="http://schemas.openxmlformats.org/officeDocument/2006/relationships/image" Target="media/image29.jpeg"/><Relationship Id="rId43" Type="http://schemas.openxmlformats.org/officeDocument/2006/relationships/image" Target="media/image30.jpeg"/><Relationship Id="rId44" Type="http://schemas.openxmlformats.org/officeDocument/2006/relationships/image" Target="media/image31.jpeg"/><Relationship Id="rId45" Type="http://schemas.openxmlformats.org/officeDocument/2006/relationships/image" Target="media/image32.png"/><Relationship Id="rId46" Type="http://schemas.openxmlformats.org/officeDocument/2006/relationships/image" Target="media/image33.jpeg"/><Relationship Id="rId47" Type="http://schemas.openxmlformats.org/officeDocument/2006/relationships/image" Target="media/image34.jpeg"/><Relationship Id="rId48" Type="http://schemas.openxmlformats.org/officeDocument/2006/relationships/footer" Target="footer10.xml"/><Relationship Id="rId49" Type="http://schemas.openxmlformats.org/officeDocument/2006/relationships/image" Target="media/image35.jpeg"/><Relationship Id="rId50" Type="http://schemas.openxmlformats.org/officeDocument/2006/relationships/image" Target="media/image36.jpeg"/><Relationship Id="rId51" Type="http://schemas.openxmlformats.org/officeDocument/2006/relationships/footer" Target="footer11.xml"/><Relationship Id="rId52" Type="http://schemas.openxmlformats.org/officeDocument/2006/relationships/image" Target="media/image37.jpeg"/><Relationship Id="rId53" Type="http://schemas.openxmlformats.org/officeDocument/2006/relationships/image" Target="media/image38.jpeg"/><Relationship Id="rId54" Type="http://schemas.openxmlformats.org/officeDocument/2006/relationships/image" Target="media/image39.jpeg"/><Relationship Id="rId55" Type="http://schemas.openxmlformats.org/officeDocument/2006/relationships/image" Target="media/image40.png"/><Relationship Id="rId56" Type="http://schemas.openxmlformats.org/officeDocument/2006/relationships/image" Target="media/image41.png"/><Relationship Id="rId57" Type="http://schemas.openxmlformats.org/officeDocument/2006/relationships/image" Target="media/image42.png"/><Relationship Id="rId58" Type="http://schemas.openxmlformats.org/officeDocument/2006/relationships/image" Target="media/image43.png"/><Relationship Id="rId59" Type="http://schemas.openxmlformats.org/officeDocument/2006/relationships/image" Target="media/image44.png"/><Relationship Id="rId60" Type="http://schemas.openxmlformats.org/officeDocument/2006/relationships/footer" Target="footer12.xml"/><Relationship Id="rId61" Type="http://schemas.openxmlformats.org/officeDocument/2006/relationships/footer" Target="footer13.xml"/><Relationship Id="rId62" Type="http://schemas.openxmlformats.org/officeDocument/2006/relationships/footer" Target="footer14.xml"/><Relationship Id="rId63" Type="http://schemas.openxmlformats.org/officeDocument/2006/relationships/footer" Target="footer15.xml"/><Relationship Id="rId64" Type="http://schemas.openxmlformats.org/officeDocument/2006/relationships/image" Target="media/image45.png"/><Relationship Id="rId65" Type="http://schemas.openxmlformats.org/officeDocument/2006/relationships/image" Target="media/image46.jpeg"/><Relationship Id="rId66" Type="http://schemas.openxmlformats.org/officeDocument/2006/relationships/image" Target="media/image47.png"/><Relationship Id="rId67" Type="http://schemas.openxmlformats.org/officeDocument/2006/relationships/image" Target="media/image48.jpeg"/><Relationship Id="rId68" Type="http://schemas.openxmlformats.org/officeDocument/2006/relationships/image" Target="media/image49.png"/><Relationship Id="rId69" Type="http://schemas.openxmlformats.org/officeDocument/2006/relationships/image" Target="media/image50.jpeg"/><Relationship Id="rId70" Type="http://schemas.openxmlformats.org/officeDocument/2006/relationships/image" Target="media/image51.png"/><Relationship Id="rId71" Type="http://schemas.openxmlformats.org/officeDocument/2006/relationships/image" Target="media/image52.jpeg"/><Relationship Id="rId72" Type="http://schemas.openxmlformats.org/officeDocument/2006/relationships/image" Target="media/image53.png"/><Relationship Id="rId73" Type="http://schemas.openxmlformats.org/officeDocument/2006/relationships/image" Target="media/image54.jpeg"/><Relationship Id="rId74" Type="http://schemas.openxmlformats.org/officeDocument/2006/relationships/footer" Target="footer16.xml"/><Relationship Id="rId75" Type="http://schemas.openxmlformats.org/officeDocument/2006/relationships/hyperlink" Target="http://www.desenredando.org/public/articulos/2001/repvuln/index.html" TargetMode="External"/><Relationship Id="rId76" Type="http://schemas.openxmlformats.org/officeDocument/2006/relationships/hyperlink" Target="http://www.edomex.gob.mx/coespo" TargetMode="External"/><Relationship Id="rId77" Type="http://schemas.openxmlformats.org/officeDocument/2006/relationships/hyperlink" Target="http://redalyc.uaemex.mx/redalyc/src/inicio/ArtPdfRed.jsp?iCve=56905503" TargetMode="External"/><Relationship Id="rId78" Type="http://schemas.openxmlformats.org/officeDocument/2006/relationships/hyperlink" Target="http://www.desenredando.org/public/articulos/200/dyd/DyD2000_mar-1-2002.pdf" TargetMode="External"/><Relationship Id="rId79" Type="http://schemas.openxmlformats.org/officeDocument/2006/relationships/hyperlink" Target="http://www.undp.org/cpr/disred/documents/publications/rdr/espanol/c2/b.pdf" TargetMode="External"/><Relationship Id="rId80" Type="http://schemas.openxmlformats.org/officeDocument/2006/relationships/image" Target="media/image55.png"/><Relationship Id="rId81" Type="http://schemas.openxmlformats.org/officeDocument/2006/relationships/image" Target="media/image56.jpeg"/><Relationship Id="rId82" Type="http://schemas.openxmlformats.org/officeDocument/2006/relationships/image" Target="media/image57.jpeg"/><Relationship Id="rId8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2017-05-23T21:44:32Z</dcterms:created>
  <dcterms:modified xsi:type="dcterms:W3CDTF">2017-05-23T21:44:32Z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